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header8.xml" ContentType="application/vnd.openxmlformats-officedocument.wordprocessingml.header+xml"/>
  <Override PartName="/word/footer13.xml" ContentType="application/vnd.openxmlformats-officedocument.wordprocessingml.footer+xml"/>
  <Override PartName="/word/header9.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0.xml" ContentType="application/vnd.openxmlformats-officedocument.wordprocessingml.header+xml"/>
  <Override PartName="/word/footer16.xml" ContentType="application/vnd.openxmlformats-officedocument.wordprocessingml.footer+xml"/>
  <Override PartName="/word/header11.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0"/>
          <w:szCs w:val="10"/>
        </w:rPr>
      </w:pPr>
    </w:p>
    <w:p>
      <w:pPr>
        <w:spacing w:line="1170" w:lineRule="exact"/>
        <w:ind w:left="316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2"/>
          <w:sz w:val="20"/>
          <w:szCs w:val="20"/>
        </w:rPr>
        <w:drawing>
          <wp:inline distT="0" distB="0" distL="0" distR="0">
            <wp:extent cx="1409699" cy="74295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6" cstate="print"/>
                    <a:stretch>
                      <a:fillRect/>
                    </a:stretch>
                  </pic:blipFill>
                  <pic:spPr>
                    <a:xfrm>
                      <a:off x="0" y="0"/>
                      <a:ext cx="1409699" cy="742950"/>
                    </a:xfrm>
                    <a:prstGeom prst="rect">
                      <a:avLst/>
                    </a:prstGeom>
                  </pic:spPr>
                </pic:pic>
              </a:graphicData>
            </a:graphic>
          </wp:inline>
        </w:drawing>
      </w:r>
      <w:r>
        <w:rPr>
          <w:rFonts w:ascii="Times New Roman" w:hAnsi="Times New Roman" w:cs="Times New Roman" w:eastAsia="Times New Roman" w:hint="default"/>
          <w:position w:val="-22"/>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2086" w:right="3763" w:firstLine="0"/>
        <w:jc w:val="center"/>
        <w:rPr>
          <w:rFonts w:ascii="宋体" w:hAnsi="宋体" w:cs="宋体" w:eastAsia="宋体" w:hint="default"/>
          <w:sz w:val="36"/>
          <w:szCs w:val="36"/>
        </w:rPr>
      </w:pPr>
      <w:r>
        <w:rPr>
          <w:rFonts w:ascii="宋体" w:hAnsi="宋体" w:cs="宋体" w:eastAsia="宋体" w:hint="default"/>
          <w:b/>
          <w:bCs/>
          <w:sz w:val="36"/>
          <w:szCs w:val="36"/>
        </w:rPr>
        <w:t>神州数码集团股份有限公司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084" w:right="376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2086" w:right="376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footerReference w:type="default" r:id="rId5"/>
          <w:type w:val="continuous"/>
          <w:pgSz w:w="11910" w:h="16840"/>
          <w:pgMar w:footer="504" w:top="1580" w:bottom="700" w:left="16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Heading1"/>
        <w:spacing w:line="240" w:lineRule="auto"/>
        <w:ind w:left="2805" w:right="0"/>
        <w:jc w:val="left"/>
        <w:rPr>
          <w:b w:val="0"/>
          <w:bCs w:val="0"/>
        </w:rPr>
      </w:pPr>
      <w:bookmarkStart w:name="第一节 重要提示、目录和释义"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4" w:right="1134"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公司负责人郭为、主管会计工作负责人辛昕及会计机构负责人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会计主管人</w:t>
      </w:r>
      <w:r>
        <w:rPr>
          <w:rFonts w:ascii="宋体" w:hAnsi="宋体" w:cs="宋体" w:eastAsia="宋体" w:hint="default"/>
          <w:b/>
          <w:bCs/>
          <w:w w:val="99"/>
          <w:sz w:val="28"/>
          <w:szCs w:val="28"/>
        </w:rPr>
        <w:t> </w:t>
      </w:r>
      <w:r>
        <w:rPr>
          <w:rFonts w:ascii="宋体" w:hAnsi="宋体" w:cs="宋体" w:eastAsia="宋体" w:hint="default"/>
          <w:b/>
          <w:bCs/>
          <w:sz w:val="28"/>
          <w:szCs w:val="28"/>
        </w:rPr>
        <w:t>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陈振坤声明：保证年度报告中财务报告的真实、准确、完整。</w:t>
      </w:r>
      <w:r>
        <w:rPr>
          <w:rFonts w:ascii="宋体" w:hAnsi="宋体" w:cs="宋体" w:eastAsia="宋体" w:hint="default"/>
          <w:sz w:val="28"/>
          <w:szCs w:val="28"/>
        </w:rPr>
      </w:r>
    </w:p>
    <w:p>
      <w:pPr>
        <w:spacing w:before="147"/>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除下列董事外，其他董事亲自出席了审议本次年报的董事会会议。</w:t>
      </w:r>
      <w:r>
        <w:rPr>
          <w:rFonts w:ascii="宋体" w:hAnsi="宋体" w:cs="宋体" w:eastAsia="宋体" w:hint="default"/>
          <w:sz w:val="28"/>
          <w:szCs w:val="28"/>
        </w:rPr>
      </w:r>
    </w:p>
    <w:p>
      <w:pPr>
        <w:spacing w:line="240" w:lineRule="auto" w:before="10"/>
        <w:rPr>
          <w:rFonts w:ascii="宋体" w:hAnsi="宋体" w:cs="宋体" w:eastAsia="宋体" w:hint="default"/>
          <w:b/>
          <w:bCs/>
          <w:sz w:val="20"/>
          <w:szCs w:val="20"/>
        </w:rPr>
      </w:pPr>
    </w:p>
    <w:tbl>
      <w:tblPr>
        <w:tblW w:w="0" w:type="auto"/>
        <w:jc w:val="left"/>
        <w:tblInd w:w="149" w:type="dxa"/>
        <w:tblLayout w:type="fixed"/>
        <w:tblCellMar>
          <w:top w:w="0" w:type="dxa"/>
          <w:left w:w="0" w:type="dxa"/>
          <w:bottom w:w="0" w:type="dxa"/>
          <w:right w:w="0" w:type="dxa"/>
        </w:tblCellMar>
        <w:tblLook w:val="01E0"/>
      </w:tblPr>
      <w:tblGrid>
        <w:gridCol w:w="2936"/>
        <w:gridCol w:w="2211"/>
        <w:gridCol w:w="2212"/>
        <w:gridCol w:w="2210"/>
      </w:tblGrid>
      <w:tr>
        <w:trPr>
          <w:trHeight w:val="401" w:hRule="exact"/>
        </w:trPr>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b/>
                <w:bCs/>
                <w:sz w:val="21"/>
                <w:szCs w:val="21"/>
              </w:rPr>
              <w:t>未亲自出席董事姓名</w:t>
            </w:r>
            <w:r>
              <w:rPr>
                <w:rFonts w:ascii="宋体" w:hAnsi="宋体" w:cs="宋体" w:eastAsia="宋体" w:hint="default"/>
                <w:sz w:val="21"/>
                <w:szCs w:val="21"/>
              </w:rPr>
            </w:r>
          </w:p>
        </w:tc>
        <w:tc>
          <w:tcPr>
            <w:tcW w:w="2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未亲自出席董事职务</w:t>
            </w:r>
            <w:r>
              <w:rPr>
                <w:rFonts w:ascii="宋体" w:hAnsi="宋体" w:cs="宋体" w:eastAsia="宋体" w:hint="default"/>
                <w:sz w:val="21"/>
                <w:szCs w:val="21"/>
              </w:rPr>
            </w:r>
          </w:p>
        </w:tc>
        <w:tc>
          <w:tcPr>
            <w:tcW w:w="2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b/>
                <w:bCs/>
                <w:sz w:val="21"/>
                <w:szCs w:val="21"/>
              </w:rPr>
              <w:t>未亲自出席会议原因</w:t>
            </w:r>
            <w:r>
              <w:rPr>
                <w:rFonts w:ascii="宋体" w:hAnsi="宋体" w:cs="宋体" w:eastAsia="宋体" w:hint="default"/>
                <w:sz w:val="21"/>
                <w:szCs w:val="21"/>
              </w:rPr>
            </w:r>
          </w:p>
        </w:tc>
        <w:tc>
          <w:tcPr>
            <w:tcW w:w="2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b/>
                <w:bCs/>
                <w:sz w:val="21"/>
                <w:szCs w:val="21"/>
              </w:rPr>
              <w:t>被委托人姓名</w:t>
            </w:r>
            <w:r>
              <w:rPr>
                <w:rFonts w:ascii="宋体" w:hAnsi="宋体" w:cs="宋体" w:eastAsia="宋体" w:hint="default"/>
                <w:sz w:val="21"/>
                <w:szCs w:val="21"/>
              </w:rPr>
            </w:r>
          </w:p>
        </w:tc>
      </w:tr>
      <w:tr>
        <w:trPr>
          <w:trHeight w:val="402"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郭为</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因公外出</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辛昕</w:t>
            </w:r>
          </w:p>
        </w:tc>
      </w:tr>
      <w:tr>
        <w:trPr>
          <w:trHeight w:val="403"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张连起</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因公外出</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朱锦梅</w:t>
            </w:r>
          </w:p>
        </w:tc>
      </w:tr>
    </w:tbl>
    <w:p>
      <w:pPr>
        <w:spacing w:line="240" w:lineRule="auto" w:before="2"/>
        <w:rPr>
          <w:rFonts w:ascii="宋体" w:hAnsi="宋体" w:cs="宋体" w:eastAsia="宋体" w:hint="default"/>
          <w:b/>
          <w:bCs/>
          <w:sz w:val="13"/>
          <w:szCs w:val="13"/>
        </w:rPr>
      </w:pPr>
    </w:p>
    <w:p>
      <w:pPr>
        <w:spacing w:line="393" w:lineRule="auto" w:before="13"/>
        <w:ind w:left="154" w:right="1130" w:firstLine="562"/>
        <w:jc w:val="both"/>
        <w:rPr>
          <w:rFonts w:ascii="宋体" w:hAnsi="宋体" w:cs="宋体" w:eastAsia="宋体" w:hint="default"/>
          <w:sz w:val="28"/>
          <w:szCs w:val="28"/>
        </w:rPr>
      </w:pPr>
      <w:r>
        <w:rPr>
          <w:rFonts w:ascii="宋体" w:hAnsi="宋体" w:cs="宋体" w:eastAsia="宋体" w:hint="default"/>
          <w:b/>
          <w:bCs/>
          <w:spacing w:val="-7"/>
          <w:w w:val="99"/>
          <w:sz w:val="28"/>
          <w:szCs w:val="28"/>
        </w:rPr>
        <w:t>《证券时报》、《上海证券报》和巨潮资讯网（</w:t>
      </w:r>
      <w:hyperlink r:id="rId9">
        <w:r>
          <w:rPr>
            <w:rFonts w:ascii="Times New Roman" w:hAnsi="Times New Roman" w:cs="Times New Roman" w:eastAsia="Times New Roman" w:hint="default"/>
            <w:b/>
            <w:bCs/>
            <w:spacing w:val="-7"/>
            <w:w w:val="99"/>
            <w:sz w:val="28"/>
            <w:szCs w:val="28"/>
          </w:rPr>
          <w:t>www.cninfo.com.cn</w:t>
        </w:r>
      </w:hyperlink>
      <w:r>
        <w:rPr>
          <w:rFonts w:ascii="宋体" w:hAnsi="宋体" w:cs="宋体" w:eastAsia="宋体" w:hint="default"/>
          <w:b/>
          <w:bCs/>
          <w:spacing w:val="-7"/>
          <w:w w:val="99"/>
          <w:sz w:val="28"/>
          <w:szCs w:val="28"/>
        </w:rPr>
        <w:t>）为公司</w:t>
      </w:r>
      <w:r>
        <w:rPr>
          <w:rFonts w:ascii="宋体" w:hAnsi="宋体" w:cs="宋体" w:eastAsia="宋体" w:hint="default"/>
          <w:b/>
          <w:bCs/>
          <w:spacing w:val="1"/>
          <w:w w:val="99"/>
          <w:sz w:val="28"/>
          <w:szCs w:val="28"/>
        </w:rPr>
        <w:t> </w:t>
      </w:r>
      <w:r>
        <w:rPr>
          <w:rFonts w:ascii="宋体" w:hAnsi="宋体" w:cs="宋体" w:eastAsia="宋体" w:hint="default"/>
          <w:b/>
          <w:bCs/>
          <w:spacing w:val="3"/>
          <w:w w:val="95"/>
          <w:sz w:val="28"/>
          <w:szCs w:val="28"/>
        </w:rPr>
        <w:t>信息披露指定媒体，公司所有信息均以上述指定媒体刊登的信息为准，本报告</w:t>
      </w:r>
      <w:r>
        <w:rPr>
          <w:rFonts w:ascii="宋体" w:hAnsi="宋体" w:cs="宋体" w:eastAsia="宋体" w:hint="default"/>
          <w:b/>
          <w:bCs/>
          <w:spacing w:val="32"/>
          <w:w w:val="95"/>
          <w:sz w:val="28"/>
          <w:szCs w:val="28"/>
        </w:rPr>
        <w:t> </w:t>
      </w:r>
      <w:r>
        <w:rPr>
          <w:rFonts w:ascii="宋体" w:hAnsi="宋体" w:cs="宋体" w:eastAsia="宋体" w:hint="default"/>
          <w:b/>
          <w:bCs/>
          <w:spacing w:val="32"/>
          <w:w w:val="95"/>
          <w:sz w:val="28"/>
          <w:szCs w:val="28"/>
        </w:rPr>
      </w:r>
      <w:r>
        <w:rPr>
          <w:rFonts w:ascii="宋体" w:hAnsi="宋体" w:cs="宋体" w:eastAsia="宋体" w:hint="default"/>
          <w:b/>
          <w:bCs/>
          <w:sz w:val="28"/>
          <w:szCs w:val="28"/>
        </w:rPr>
        <w:t>第四节</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经营情况讨论与分析</w:t>
      </w:r>
      <w:r>
        <w:rPr>
          <w:rFonts w:ascii="Times New Roman" w:hAnsi="Times New Roman" w:cs="Times New Roman" w:eastAsia="Times New Roman" w:hint="default"/>
          <w:b/>
          <w:bCs/>
          <w:sz w:val="28"/>
          <w:szCs w:val="28"/>
        </w:rPr>
        <w:t>”</w:t>
      </w:r>
      <w:r>
        <w:rPr>
          <w:rFonts w:ascii="Times New Roman" w:hAnsi="Times New Roman" w:cs="Times New Roman" w:eastAsia="Times New Roman" w:hint="default"/>
          <w:b/>
          <w:bCs/>
          <w:spacing w:val="-7"/>
          <w:sz w:val="28"/>
          <w:szCs w:val="28"/>
        </w:rPr>
        <w:t> </w:t>
      </w:r>
      <w:r>
        <w:rPr>
          <w:rFonts w:ascii="宋体" w:hAnsi="宋体" w:cs="宋体" w:eastAsia="宋体" w:hint="default"/>
          <w:b/>
          <w:bCs/>
          <w:sz w:val="28"/>
          <w:szCs w:val="28"/>
        </w:rPr>
        <w:t>分析了公司未来可能面临的风险，敬请投资者查</w:t>
      </w:r>
      <w:r>
        <w:rPr>
          <w:rFonts w:ascii="宋体" w:hAnsi="宋体" w:cs="宋体" w:eastAsia="宋体" w:hint="default"/>
          <w:b/>
          <w:bCs/>
          <w:w w:val="99"/>
          <w:sz w:val="28"/>
          <w:szCs w:val="28"/>
        </w:rPr>
        <w:t> </w:t>
      </w:r>
      <w:r>
        <w:rPr>
          <w:rFonts w:ascii="宋体" w:hAnsi="宋体" w:cs="宋体" w:eastAsia="宋体" w:hint="default"/>
          <w:b/>
          <w:bCs/>
          <w:sz w:val="28"/>
          <w:szCs w:val="28"/>
        </w:rPr>
        <w:t>阅并注意投资风险。</w:t>
      </w:r>
      <w:r>
        <w:rPr>
          <w:rFonts w:ascii="宋体" w:hAnsi="宋体" w:cs="宋体" w:eastAsia="宋体" w:hint="default"/>
          <w:sz w:val="28"/>
          <w:szCs w:val="28"/>
        </w:rPr>
      </w:r>
    </w:p>
    <w:p>
      <w:pPr>
        <w:spacing w:before="176"/>
        <w:ind w:left="716" w:right="0" w:firstLine="0"/>
        <w:jc w:val="left"/>
        <w:rPr>
          <w:rFonts w:ascii="宋体" w:hAnsi="宋体" w:cs="宋体" w:eastAsia="宋体" w:hint="default"/>
          <w:sz w:val="28"/>
          <w:szCs w:val="28"/>
        </w:rPr>
      </w:pPr>
      <w:r>
        <w:rPr>
          <w:rFonts w:ascii="宋体" w:hAnsi="宋体" w:cs="宋体" w:eastAsia="宋体" w:hint="default"/>
          <w:b/>
          <w:bCs/>
          <w:spacing w:val="-3"/>
          <w:sz w:val="28"/>
          <w:szCs w:val="28"/>
        </w:rPr>
        <w:t>公司经本次董事会审议通过的利润分配预案为：以</w:t>
      </w:r>
      <w:r>
        <w:rPr>
          <w:rFonts w:ascii="宋体" w:hAnsi="宋体" w:cs="宋体" w:eastAsia="宋体" w:hint="default"/>
          <w:b/>
          <w:bCs/>
          <w:spacing w:val="-67"/>
          <w:sz w:val="28"/>
          <w:szCs w:val="28"/>
        </w:rPr>
        <w:t> </w:t>
      </w:r>
      <w:r>
        <w:rPr>
          <w:rFonts w:ascii="Times New Roman" w:hAnsi="Times New Roman" w:cs="Times New Roman" w:eastAsia="Times New Roman" w:hint="default"/>
          <w:b/>
          <w:bCs/>
          <w:sz w:val="28"/>
          <w:szCs w:val="28"/>
        </w:rPr>
        <w:t>2018</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年</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月</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日的总</w:t>
      </w:r>
      <w:r>
        <w:rPr>
          <w:rFonts w:ascii="宋体" w:hAnsi="宋体" w:cs="宋体" w:eastAsia="宋体" w:hint="default"/>
          <w:sz w:val="28"/>
          <w:szCs w:val="28"/>
        </w:rPr>
      </w:r>
    </w:p>
    <w:p>
      <w:pPr>
        <w:spacing w:before="236"/>
        <w:ind w:left="154" w:right="0" w:firstLine="0"/>
        <w:jc w:val="left"/>
        <w:rPr>
          <w:rFonts w:ascii="宋体" w:hAnsi="宋体" w:cs="宋体" w:eastAsia="宋体" w:hint="default"/>
          <w:sz w:val="28"/>
          <w:szCs w:val="28"/>
        </w:rPr>
      </w:pPr>
      <w:r>
        <w:rPr>
          <w:rFonts w:ascii="宋体" w:hAnsi="宋体" w:cs="宋体" w:eastAsia="宋体" w:hint="default"/>
          <w:b/>
          <w:bCs/>
          <w:sz w:val="28"/>
          <w:szCs w:val="28"/>
        </w:rPr>
        <w:t>股本</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654,070,434</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股扣除回购股份数</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4,518,085</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股后的</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649,552,349</w:t>
      </w:r>
      <w:r>
        <w:rPr>
          <w:rFonts w:ascii="Times New Roman" w:hAnsi="Times New Roman" w:cs="Times New Roman" w:eastAsia="Times New Roman" w:hint="default"/>
          <w:b/>
          <w:bCs/>
          <w:spacing w:val="-3"/>
          <w:sz w:val="28"/>
          <w:szCs w:val="28"/>
        </w:rPr>
        <w:t> </w:t>
      </w:r>
      <w:r>
        <w:rPr>
          <w:rFonts w:ascii="宋体" w:hAnsi="宋体" w:cs="宋体" w:eastAsia="宋体" w:hint="default"/>
          <w:b/>
          <w:bCs/>
          <w:spacing w:val="-8"/>
          <w:sz w:val="28"/>
          <w:szCs w:val="28"/>
        </w:rPr>
        <w:t>股为基数，向</w:t>
      </w:r>
      <w:r>
        <w:rPr>
          <w:rFonts w:ascii="宋体" w:hAnsi="宋体" w:cs="宋体" w:eastAsia="宋体" w:hint="default"/>
          <w:spacing w:val="-8"/>
          <w:sz w:val="28"/>
          <w:szCs w:val="28"/>
        </w:rPr>
      </w:r>
    </w:p>
    <w:p>
      <w:pPr>
        <w:spacing w:line="386" w:lineRule="auto" w:before="236"/>
        <w:ind w:left="154" w:right="0" w:firstLine="0"/>
        <w:jc w:val="left"/>
        <w:rPr>
          <w:rFonts w:ascii="宋体" w:hAnsi="宋体" w:cs="宋体" w:eastAsia="宋体" w:hint="default"/>
          <w:sz w:val="28"/>
          <w:szCs w:val="28"/>
        </w:rPr>
      </w:pPr>
      <w:r>
        <w:rPr>
          <w:rFonts w:ascii="宋体" w:hAnsi="宋体" w:cs="宋体" w:eastAsia="宋体" w:hint="default"/>
          <w:b/>
          <w:bCs/>
          <w:w w:val="99"/>
          <w:sz w:val="28"/>
          <w:szCs w:val="28"/>
        </w:rPr>
        <w:t>全体股东每</w:t>
      </w:r>
      <w:r>
        <w:rPr>
          <w:rFonts w:ascii="宋体" w:hAnsi="宋体" w:cs="宋体" w:eastAsia="宋体" w:hint="default"/>
          <w:b/>
          <w:bCs/>
          <w:spacing w:val="-64"/>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4"/>
          <w:w w:val="99"/>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4"/>
          <w:w w:val="99"/>
          <w:sz w:val="28"/>
          <w:szCs w:val="28"/>
        </w:rPr>
        <w:t> </w:t>
      </w:r>
      <w:r>
        <w:rPr>
          <w:rFonts w:ascii="Times New Roman" w:hAnsi="Times New Roman" w:cs="Times New Roman" w:eastAsia="Times New Roman" w:hint="default"/>
          <w:b/>
          <w:bCs/>
          <w:w w:val="99"/>
          <w:sz w:val="28"/>
          <w:szCs w:val="28"/>
        </w:rPr>
        <w:t>2.53</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spacing w:val="-23"/>
          <w:w w:val="99"/>
          <w:sz w:val="28"/>
          <w:szCs w:val="28"/>
        </w:rPr>
        <w:t>元（含税），送红股</w:t>
      </w:r>
      <w:r>
        <w:rPr>
          <w:rFonts w:ascii="宋体" w:hAnsi="宋体" w:cs="宋体" w:eastAsia="宋体" w:hint="default"/>
          <w:b/>
          <w:bCs/>
          <w:spacing w:val="-64"/>
          <w:w w:val="9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4"/>
          <w:w w:val="99"/>
          <w:sz w:val="28"/>
          <w:szCs w:val="28"/>
        </w:rPr>
        <w:t> </w:t>
      </w:r>
      <w:r>
        <w:rPr>
          <w:rFonts w:ascii="宋体" w:hAnsi="宋体" w:cs="宋体" w:eastAsia="宋体" w:hint="default"/>
          <w:b/>
          <w:bCs/>
          <w:spacing w:val="-21"/>
          <w:w w:val="99"/>
          <w:sz w:val="28"/>
          <w:szCs w:val="28"/>
        </w:rPr>
        <w:t>股（含税），不以公积</w:t>
      </w:r>
      <w:r>
        <w:rPr>
          <w:rFonts w:ascii="宋体" w:hAnsi="宋体" w:cs="宋体" w:eastAsia="宋体" w:hint="default"/>
          <w:b/>
          <w:bCs/>
          <w:w w:val="99"/>
          <w:sz w:val="28"/>
          <w:szCs w:val="28"/>
        </w:rPr>
        <w:t> </w:t>
      </w:r>
      <w:r>
        <w:rPr>
          <w:rFonts w:ascii="宋体" w:hAnsi="宋体" w:cs="宋体" w:eastAsia="宋体" w:hint="default"/>
          <w:b/>
          <w:bCs/>
          <w:sz w:val="28"/>
          <w:szCs w:val="28"/>
        </w:rPr>
        <w:t>金转增股本。</w:t>
      </w:r>
      <w:r>
        <w:rPr>
          <w:rFonts w:ascii="宋体" w:hAnsi="宋体" w:cs="宋体" w:eastAsia="宋体" w:hint="default"/>
          <w:sz w:val="28"/>
          <w:szCs w:val="28"/>
        </w:rPr>
      </w:r>
    </w:p>
    <w:p>
      <w:pPr>
        <w:spacing w:after="0" w:line="386" w:lineRule="auto"/>
        <w:jc w:val="left"/>
        <w:rPr>
          <w:rFonts w:ascii="宋体" w:hAnsi="宋体" w:cs="宋体" w:eastAsia="宋体" w:hint="default"/>
          <w:sz w:val="28"/>
          <w:szCs w:val="28"/>
        </w:rPr>
        <w:sectPr>
          <w:headerReference w:type="default" r:id="rId7"/>
          <w:footerReference w:type="default" r:id="rId8"/>
          <w:pgSz w:w="11910" w:h="16840"/>
          <w:pgMar w:header="877" w:footer="979" w:top="1100" w:bottom="1160" w:left="980" w:right="0"/>
          <w:pgNumType w:start="2"/>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6"/>
          <w:szCs w:val="26"/>
        </w:rPr>
      </w:pPr>
    </w:p>
    <w:p>
      <w:pPr>
        <w:spacing w:line="460" w:lineRule="exact" w:before="0"/>
        <w:ind w:left="3751" w:right="4727"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9"/>
              </w:rPr>
              <w:t> </w:t>
            </w:r>
            <w:r>
              <w:rPr/>
              <w:t>重要提示、目录和释义</w:t>
            </w:r>
            <w:r>
              <w:rPr>
                <w:rFonts w:ascii="Times New Roman" w:hAnsi="Times New Roman" w:cs="Times New Roman" w:eastAsia="Times New Roman" w:hint="default"/>
              </w:rPr>
            </w:r>
          </w:hyperlink>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9"/>
              </w:rPr>
              <w:t> </w:t>
            </w:r>
            <w:r>
              <w:rPr/>
              <w:t>公司简介和主要财务指标</w:t>
            </w:r>
            <w:r>
              <w:rPr>
                <w:rFonts w:ascii="Times New Roman" w:hAnsi="Times New Roman" w:cs="Times New Roman" w:eastAsia="Times New Roman" w:hint="default"/>
              </w:rPr>
            </w:r>
          </w:hyperlink>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9"/>
              </w:rPr>
              <w:t> </w:t>
            </w:r>
            <w:r>
              <w:rPr/>
              <w:t>公司业务概要</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9"/>
              </w:rPr>
              <w:t> </w:t>
            </w:r>
            <w:r>
              <w:rPr/>
              <w:t>经营情况讨论与分析</w:t>
            </w:r>
            <w:r>
              <w:rPr>
                <w:rFonts w:ascii="Times New Roman" w:hAnsi="Times New Roman" w:cs="Times New Roman" w:eastAsia="Times New Roman" w:hint="default"/>
              </w:rPr>
            </w:r>
          </w:hyperlink>
          <w:r>
            <w:rPr>
              <w:rFonts w:ascii="Times New Roman" w:hAnsi="Times New Roman" w:cs="Times New Roman" w:eastAsia="Times New Roman" w:hint="default"/>
            </w:rPr>
            <w:tab/>
            <w:t>14</w:t>
          </w:r>
          <w:r>
            <w:rPr>
              <w:rFonts w:ascii="Times New Roman" w:hAnsi="Times New Roman" w:cs="Times New Roman" w:eastAsia="Times New Roman" w:hint="default"/>
              <w:b w:val="0"/>
              <w:bCs w:val="0"/>
            </w:rPr>
          </w:r>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9"/>
              </w:rPr>
              <w:t> </w:t>
            </w:r>
            <w:r>
              <w:rPr/>
              <w:t>重要事项</w:t>
            </w:r>
            <w:r>
              <w:rPr>
                <w:rFonts w:ascii="Times New Roman" w:hAnsi="Times New Roman" w:cs="Times New Roman" w:eastAsia="Times New Roman" w:hint="default"/>
              </w:rPr>
            </w:r>
          </w:hyperlink>
          <w:r>
            <w:rPr>
              <w:rFonts w:ascii="Times New Roman" w:hAnsi="Times New Roman" w:cs="Times New Roman" w:eastAsia="Times New Roman" w:hint="default"/>
            </w:rPr>
            <w:tab/>
            <w:t>31</w:t>
          </w:r>
          <w:r>
            <w:rPr>
              <w:rFonts w:ascii="Times New Roman" w:hAnsi="Times New Roman" w:cs="Times New Roman" w:eastAsia="Times New Roman" w:hint="default"/>
              <w:b w:val="0"/>
              <w:bCs w:val="0"/>
            </w:rPr>
          </w:r>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9"/>
              </w:rPr>
              <w:t> </w:t>
            </w:r>
            <w:r>
              <w:rPr/>
              <w:t>股份变动及股东情况</w:t>
            </w:r>
            <w:r>
              <w:rPr>
                <w:rFonts w:ascii="Times New Roman" w:hAnsi="Times New Roman" w:cs="Times New Roman" w:eastAsia="Times New Roman" w:hint="default"/>
              </w:rPr>
            </w:r>
          </w:hyperlink>
          <w:r>
            <w:rPr>
              <w:rFonts w:ascii="Times New Roman" w:hAnsi="Times New Roman" w:cs="Times New Roman" w:eastAsia="Times New Roman" w:hint="default"/>
            </w:rPr>
            <w:tab/>
            <w:t>74</w:t>
          </w:r>
          <w:r>
            <w:rPr>
              <w:rFonts w:ascii="Times New Roman" w:hAnsi="Times New Roman" w:cs="Times New Roman" w:eastAsia="Times New Roman" w:hint="default"/>
              <w:b w:val="0"/>
              <w:bCs w:val="0"/>
            </w:rPr>
          </w:r>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9"/>
              </w:rPr>
              <w:t> </w:t>
            </w:r>
            <w:r>
              <w:rPr/>
              <w:t>优先股相关情况</w:t>
            </w:r>
            <w:r>
              <w:rPr>
                <w:rFonts w:ascii="Times New Roman" w:hAnsi="Times New Roman" w:cs="Times New Roman" w:eastAsia="Times New Roman" w:hint="default"/>
              </w:rPr>
              <w:tab/>
              <w:t>80</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第八节</w:t>
            </w:r>
            <w:r>
              <w:rPr>
                <w:spacing w:val="-19"/>
              </w:rPr>
              <w:t> </w:t>
            </w:r>
            <w:r>
              <w:rPr/>
              <w:t>董事、监事、高级管理人员和员工情况</w:t>
            </w:r>
            <w:r>
              <w:rPr>
                <w:rFonts w:ascii="Times New Roman" w:hAnsi="Times New Roman" w:cs="Times New Roman" w:eastAsia="Times New Roman" w:hint="default"/>
              </w:rPr>
              <w:tab/>
              <w:t>81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9"/>
              </w:rPr>
              <w:t> </w:t>
            </w:r>
            <w:r>
              <w:rPr/>
              <w:t>公司治理</w:t>
            </w:r>
            <w:r>
              <w:rPr>
                <w:rFonts w:ascii="Times New Roman" w:hAnsi="Times New Roman" w:cs="Times New Roman" w:eastAsia="Times New Roman" w:hint="default"/>
              </w:rPr>
              <w:tab/>
              <w:t>89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9"/>
              </w:rPr>
              <w:t> </w:t>
            </w:r>
            <w:r>
              <w:rPr/>
              <w:t>公司债券相关情况</w:t>
            </w:r>
            <w:r>
              <w:rPr>
                <w:rFonts w:ascii="Times New Roman" w:hAnsi="Times New Roman" w:cs="Times New Roman" w:eastAsia="Times New Roman" w:hint="default"/>
              </w:rPr>
              <w:tab/>
              <w:t>95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19"/>
              </w:rPr>
              <w:t> </w:t>
            </w:r>
            <w:r>
              <w:rPr/>
              <w:t>财务报告</w:t>
            </w:r>
            <w:r>
              <w:rPr>
                <w:rFonts w:ascii="Times New Roman" w:hAnsi="Times New Roman" w:cs="Times New Roman" w:eastAsia="Times New Roman" w:hint="default"/>
              </w:rPr>
              <w:tab/>
              <w:t>96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第十二节</w:t>
            </w:r>
            <w:r>
              <w:rPr>
                <w:spacing w:val="-20"/>
              </w:rPr>
              <w:t> </w:t>
            </w:r>
            <w:r>
              <w:rPr/>
              <w:t>备查文件目录</w:t>
            </w:r>
            <w:r>
              <w:rPr>
                <w:rFonts w:ascii="Times New Roman" w:hAnsi="Times New Roman" w:cs="Times New Roman" w:eastAsia="Times New Roman" w:hint="default"/>
              </w:rPr>
              <w:tab/>
              <w:t>96</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877" w:footer="979" w:top="1100" w:bottom="1160" w:left="980" w:right="0"/>
        </w:sectPr>
      </w:pPr>
    </w:p>
    <w:p>
      <w:pPr>
        <w:spacing w:before="893"/>
        <w:ind w:left="3751" w:right="4727"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41"/>
        <w:gridCol w:w="593"/>
        <w:gridCol w:w="5436"/>
      </w:tblGrid>
      <w:tr>
        <w:trPr>
          <w:trHeight w:val="402" w:hRule="exact"/>
        </w:trPr>
        <w:tc>
          <w:tcPr>
            <w:tcW w:w="3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4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公司、本公司、神州数码</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神州数码集团股份有限公司</w:t>
            </w:r>
          </w:p>
        </w:tc>
      </w:tr>
      <w:tr>
        <w:trPr>
          <w:trHeight w:val="402" w:hRule="exact"/>
        </w:trPr>
        <w:tc>
          <w:tcPr>
            <w:tcW w:w="354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深信泰丰</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w:t>
            </w:r>
          </w:p>
        </w:tc>
      </w:tr>
      <w:tr>
        <w:trPr>
          <w:trHeight w:val="402" w:hRule="exact"/>
        </w:trPr>
        <w:tc>
          <w:tcPr>
            <w:tcW w:w="354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本集团</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神州数码集团股份有限公司及其下属子公司</w:t>
            </w:r>
          </w:p>
        </w:tc>
      </w:tr>
      <w:tr>
        <w:trPr>
          <w:trHeight w:val="402" w:hRule="exact"/>
        </w:trPr>
        <w:tc>
          <w:tcPr>
            <w:tcW w:w="354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4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161" w:hRule="exact"/>
        </w:trPr>
        <w:tc>
          <w:tcPr>
            <w:tcW w:w="3541"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神州控股</w:t>
            </w:r>
          </w:p>
        </w:tc>
        <w:tc>
          <w:tcPr>
            <w:tcW w:w="593"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21"/>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神州数码控股有限公司，一家注册于百慕大并于香港上市的公司，股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票代码为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0861.HK</w:t>
            </w:r>
          </w:p>
        </w:tc>
      </w:tr>
      <w:tr>
        <w:trPr>
          <w:trHeight w:val="392" w:hRule="exact"/>
        </w:trPr>
        <w:tc>
          <w:tcPr>
            <w:tcW w:w="3541" w:type="dxa"/>
            <w:vMerge/>
            <w:tcBorders>
              <w:left w:val="single" w:sz="4" w:space="0" w:color="000000"/>
              <w:right w:val="single" w:sz="9" w:space="0" w:color="D2D2D2"/>
            </w:tcBorders>
          </w:tcPr>
          <w:p>
            <w:pPr/>
          </w:p>
        </w:tc>
        <w:tc>
          <w:tcPr>
            <w:tcW w:w="5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41" w:type="dxa"/>
            <w:vMerge/>
            <w:tcBorders>
              <w:left w:val="single" w:sz="4" w:space="0" w:color="000000"/>
              <w:bottom w:val="single" w:sz="4" w:space="0" w:color="000000"/>
              <w:right w:val="single" w:sz="9" w:space="0" w:color="D2D2D2"/>
            </w:tcBorders>
          </w:tcPr>
          <w:p>
            <w:pPr/>
          </w:p>
        </w:tc>
        <w:tc>
          <w:tcPr>
            <w:tcW w:w="593"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4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神州信息</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神州数码信息服务股份有限公司，股票代码为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SZ.000555</w:t>
            </w:r>
          </w:p>
        </w:tc>
      </w:tr>
      <w:tr>
        <w:trPr>
          <w:trHeight w:val="317" w:hRule="exact"/>
        </w:trPr>
        <w:tc>
          <w:tcPr>
            <w:tcW w:w="3541"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神州控股下属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分销业务公司</w:t>
            </w:r>
          </w:p>
        </w:tc>
        <w:tc>
          <w:tcPr>
            <w:tcW w:w="593"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51"/>
              <w:ind w:left="27"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年上市公司实施重大资产重组所收购的神州数码控股有限公司 </w:t>
            </w:r>
            <w:r>
              <w:rPr>
                <w:rFonts w:ascii="宋体" w:hAnsi="宋体" w:cs="宋体" w:eastAsia="宋体" w:hint="default"/>
                <w:spacing w:val="-3"/>
                <w:sz w:val="18"/>
                <w:szCs w:val="18"/>
              </w:rPr>
              <w:t>下属公司，主要包括神码中国</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股权，神码上海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股权和神码 广州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392" w:hRule="exact"/>
        </w:trPr>
        <w:tc>
          <w:tcPr>
            <w:tcW w:w="3541" w:type="dxa"/>
            <w:vMerge/>
            <w:tcBorders>
              <w:left w:val="single" w:sz="4" w:space="0" w:color="000000"/>
              <w:right w:val="single" w:sz="9" w:space="0" w:color="D2D2D2"/>
            </w:tcBorders>
          </w:tcPr>
          <w:p>
            <w:pPr/>
          </w:p>
        </w:tc>
        <w:tc>
          <w:tcPr>
            <w:tcW w:w="5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41" w:type="dxa"/>
            <w:vMerge/>
            <w:tcBorders>
              <w:left w:val="single" w:sz="4" w:space="0" w:color="000000"/>
              <w:bottom w:val="single" w:sz="4" w:space="0" w:color="000000"/>
              <w:right w:val="single" w:sz="9" w:space="0" w:color="D2D2D2"/>
            </w:tcBorders>
          </w:tcPr>
          <w:p>
            <w:pPr/>
          </w:p>
        </w:tc>
        <w:tc>
          <w:tcPr>
            <w:tcW w:w="593"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4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标的资产核心管理团队</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神州数码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分销业务的高级管理人员</w:t>
            </w:r>
          </w:p>
        </w:tc>
      </w:tr>
      <w:tr>
        <w:trPr>
          <w:trHeight w:val="402" w:hRule="exact"/>
        </w:trPr>
        <w:tc>
          <w:tcPr>
            <w:tcW w:w="354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p>
        </w:tc>
      </w:tr>
      <w:tr>
        <w:trPr>
          <w:trHeight w:val="402" w:hRule="exact"/>
        </w:trPr>
        <w:tc>
          <w:tcPr>
            <w:tcW w:w="354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神码上海</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上海神州数码有限公司</w:t>
            </w:r>
          </w:p>
        </w:tc>
      </w:tr>
      <w:tr>
        <w:trPr>
          <w:trHeight w:val="402" w:hRule="exact"/>
        </w:trPr>
        <w:tc>
          <w:tcPr>
            <w:tcW w:w="354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神码广州</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广州神州数码信息科技有限公司</w:t>
            </w:r>
          </w:p>
        </w:tc>
      </w:tr>
      <w:tr>
        <w:trPr>
          <w:trHeight w:val="402" w:hRule="exact"/>
        </w:trPr>
        <w:tc>
          <w:tcPr>
            <w:tcW w:w="354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r>
      <w:tr>
        <w:trPr>
          <w:trHeight w:val="402" w:hRule="exact"/>
        </w:trPr>
        <w:tc>
          <w:tcPr>
            <w:tcW w:w="354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神码供应链</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北京神州数码供应链服务有限公司</w:t>
            </w:r>
          </w:p>
        </w:tc>
      </w:tr>
      <w:tr>
        <w:trPr>
          <w:trHeight w:val="402" w:hRule="exact"/>
        </w:trPr>
        <w:tc>
          <w:tcPr>
            <w:tcW w:w="354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神码郑州</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神州数码（郑州）有限公司</w:t>
            </w:r>
          </w:p>
        </w:tc>
      </w:tr>
      <w:tr>
        <w:trPr>
          <w:trHeight w:val="402" w:hRule="exact"/>
        </w:trPr>
        <w:tc>
          <w:tcPr>
            <w:tcW w:w="354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神码沈阳</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沈阳神州数码有限公司</w:t>
            </w:r>
          </w:p>
        </w:tc>
      </w:tr>
      <w:tr>
        <w:trPr>
          <w:trHeight w:val="402" w:hRule="exact"/>
        </w:trPr>
        <w:tc>
          <w:tcPr>
            <w:tcW w:w="354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神州数码（深圳）有限公司</w:t>
            </w:r>
          </w:p>
        </w:tc>
      </w:tr>
      <w:tr>
        <w:trPr>
          <w:trHeight w:val="402" w:hRule="exact"/>
        </w:trPr>
        <w:tc>
          <w:tcPr>
            <w:tcW w:w="354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神码南京</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南京神州数码有限公司</w:t>
            </w:r>
          </w:p>
        </w:tc>
      </w:tr>
      <w:tr>
        <w:trPr>
          <w:trHeight w:val="402" w:hRule="exact"/>
        </w:trPr>
        <w:tc>
          <w:tcPr>
            <w:tcW w:w="354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神码济南</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济南神州数码有限公司</w:t>
            </w:r>
          </w:p>
        </w:tc>
      </w:tr>
      <w:tr>
        <w:trPr>
          <w:trHeight w:val="402" w:hRule="exact"/>
        </w:trPr>
        <w:tc>
          <w:tcPr>
            <w:tcW w:w="354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神码杭州</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杭州神州数码有限公司</w:t>
            </w:r>
          </w:p>
        </w:tc>
      </w:tr>
      <w:tr>
        <w:trPr>
          <w:trHeight w:val="402" w:hRule="exact"/>
        </w:trPr>
        <w:tc>
          <w:tcPr>
            <w:tcW w:w="354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神码西安</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西安神州数码有限公司</w:t>
            </w:r>
          </w:p>
        </w:tc>
      </w:tr>
      <w:tr>
        <w:trPr>
          <w:trHeight w:val="402" w:hRule="exact"/>
        </w:trPr>
        <w:tc>
          <w:tcPr>
            <w:tcW w:w="354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神码福州</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福州神州数码有限公司</w:t>
            </w:r>
          </w:p>
        </w:tc>
      </w:tr>
      <w:tr>
        <w:trPr>
          <w:trHeight w:val="402" w:hRule="exact"/>
        </w:trPr>
        <w:tc>
          <w:tcPr>
            <w:tcW w:w="354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神码成都</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成都神州数码有限公司</w:t>
            </w:r>
          </w:p>
        </w:tc>
      </w:tr>
      <w:tr>
        <w:trPr>
          <w:trHeight w:val="402" w:hRule="exact"/>
        </w:trPr>
        <w:tc>
          <w:tcPr>
            <w:tcW w:w="354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神码电商</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北京神州数码电商科技有限公司</w:t>
            </w:r>
          </w:p>
        </w:tc>
      </w:tr>
      <w:tr>
        <w:trPr>
          <w:trHeight w:val="402" w:hRule="exact"/>
        </w:trPr>
        <w:tc>
          <w:tcPr>
            <w:tcW w:w="354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上海通信技术</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上海神州数码通信技术有限公司</w:t>
            </w:r>
          </w:p>
        </w:tc>
      </w:tr>
      <w:tr>
        <w:trPr>
          <w:trHeight w:val="402" w:hRule="exact"/>
        </w:trPr>
        <w:tc>
          <w:tcPr>
            <w:tcW w:w="354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北京网络公司</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北京神州数码云科信息技术有限公司</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552"/>
        <w:gridCol w:w="582"/>
        <w:gridCol w:w="5436"/>
      </w:tblGrid>
      <w:tr>
        <w:trPr>
          <w:trHeight w:val="402" w:hRule="exact"/>
        </w:trPr>
        <w:tc>
          <w:tcPr>
            <w:tcW w:w="3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6"/>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北京神州云计算</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北京神州数码云计算有限公司</w:t>
            </w:r>
          </w:p>
        </w:tc>
      </w:tr>
      <w:tr>
        <w:trPr>
          <w:trHeight w:val="402" w:hRule="exact"/>
        </w:trPr>
        <w:tc>
          <w:tcPr>
            <w:tcW w:w="35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贵州云计算</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贵州神州数码云计算有限公司</w:t>
            </w:r>
          </w:p>
        </w:tc>
      </w:tr>
      <w:tr>
        <w:trPr>
          <w:trHeight w:val="402" w:hRule="exact"/>
        </w:trPr>
        <w:tc>
          <w:tcPr>
            <w:tcW w:w="35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云科数据</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深圳神州数码云科数据技术有限公司</w:t>
            </w:r>
          </w:p>
        </w:tc>
      </w:tr>
      <w:tr>
        <w:trPr>
          <w:trHeight w:val="402" w:hRule="exact"/>
        </w:trPr>
        <w:tc>
          <w:tcPr>
            <w:tcW w:w="35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云科系统</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深圳神州数码云科系统科技有限公司</w:t>
            </w:r>
          </w:p>
        </w:tc>
      </w:tr>
      <w:tr>
        <w:trPr>
          <w:trHeight w:val="402" w:hRule="exact"/>
        </w:trPr>
        <w:tc>
          <w:tcPr>
            <w:tcW w:w="35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云科网络</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武汉神州数码云科网络技术有限公司</w:t>
            </w:r>
          </w:p>
        </w:tc>
      </w:tr>
      <w:tr>
        <w:trPr>
          <w:trHeight w:val="402" w:hRule="exact"/>
        </w:trPr>
        <w:tc>
          <w:tcPr>
            <w:tcW w:w="35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神州数码科技发展有限公司</w:t>
            </w:r>
          </w:p>
        </w:tc>
      </w:tr>
      <w:tr>
        <w:trPr>
          <w:trHeight w:val="402" w:hRule="exact"/>
        </w:trPr>
        <w:tc>
          <w:tcPr>
            <w:tcW w:w="35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系统信息香港</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系统信息科技（香港）有限公司</w:t>
            </w:r>
          </w:p>
        </w:tc>
      </w:tr>
      <w:tr>
        <w:trPr>
          <w:trHeight w:val="402" w:hRule="exact"/>
        </w:trPr>
        <w:tc>
          <w:tcPr>
            <w:tcW w:w="35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神码香港</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神州数码（香港）有限公司</w:t>
            </w:r>
          </w:p>
        </w:tc>
      </w:tr>
      <w:tr>
        <w:trPr>
          <w:trHeight w:val="402" w:hRule="exact"/>
        </w:trPr>
        <w:tc>
          <w:tcPr>
            <w:tcW w:w="35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神码数据服务</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神州数码数据服务（香港）有限公司</w:t>
            </w:r>
          </w:p>
        </w:tc>
      </w:tr>
      <w:tr>
        <w:trPr>
          <w:trHeight w:val="402" w:hRule="exact"/>
        </w:trPr>
        <w:tc>
          <w:tcPr>
            <w:tcW w:w="35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神码科技</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神州数码科技服务有限公司</w:t>
            </w:r>
          </w:p>
        </w:tc>
      </w:tr>
      <w:tr>
        <w:trPr>
          <w:trHeight w:val="402" w:hRule="exact"/>
        </w:trPr>
        <w:tc>
          <w:tcPr>
            <w:tcW w:w="35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神州数码澳门有限公司</w:t>
            </w:r>
          </w:p>
        </w:tc>
      </w:tr>
      <w:tr>
        <w:trPr>
          <w:trHeight w:val="402" w:hRule="exact"/>
        </w:trPr>
        <w:tc>
          <w:tcPr>
            <w:tcW w:w="35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神码网络香港</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神州数码网络（香港）有限公司</w:t>
            </w:r>
          </w:p>
        </w:tc>
      </w:tr>
      <w:tr>
        <w:trPr>
          <w:trHeight w:val="402" w:hRule="exact"/>
        </w:trPr>
        <w:tc>
          <w:tcPr>
            <w:tcW w:w="35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DCMS</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Digital China Marketing &amp; Services</w:t>
            </w:r>
            <w:r>
              <w:rPr>
                <w:rFonts w:ascii="Times New Roman"/>
                <w:spacing w:val="-8"/>
                <w:sz w:val="18"/>
              </w:rPr>
              <w:t> </w:t>
            </w:r>
            <w:r>
              <w:rPr>
                <w:rFonts w:ascii="Times New Roman"/>
                <w:sz w:val="18"/>
              </w:rPr>
              <w:t>Ltd</w:t>
            </w:r>
          </w:p>
        </w:tc>
      </w:tr>
      <w:tr>
        <w:trPr>
          <w:trHeight w:val="402" w:hRule="exact"/>
        </w:trPr>
        <w:tc>
          <w:tcPr>
            <w:tcW w:w="35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神码有限</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神州数码有限公司</w:t>
            </w:r>
          </w:p>
        </w:tc>
      </w:tr>
      <w:tr>
        <w:trPr>
          <w:trHeight w:val="402" w:hRule="exact"/>
        </w:trPr>
        <w:tc>
          <w:tcPr>
            <w:tcW w:w="35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成都神贝</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成都神州数码索贝科技有限公司</w:t>
            </w:r>
          </w:p>
        </w:tc>
      </w:tr>
      <w:tr>
        <w:trPr>
          <w:trHeight w:val="402" w:hRule="exact"/>
        </w:trPr>
        <w:tc>
          <w:tcPr>
            <w:tcW w:w="35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嘉和美康</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嘉和美康（北京）科技股份有限公司</w:t>
            </w:r>
          </w:p>
        </w:tc>
      </w:tr>
      <w:tr>
        <w:trPr>
          <w:trHeight w:val="402" w:hRule="exact"/>
        </w:trPr>
        <w:tc>
          <w:tcPr>
            <w:tcW w:w="35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北京卓越信通</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北京卓越信通电子股份有限公司</w:t>
            </w:r>
          </w:p>
        </w:tc>
      </w:tr>
      <w:tr>
        <w:trPr>
          <w:trHeight w:val="402" w:hRule="exact"/>
        </w:trPr>
        <w:tc>
          <w:tcPr>
            <w:tcW w:w="35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迪信通</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北京迪信通商贸股份有限公司</w:t>
            </w:r>
          </w:p>
        </w:tc>
      </w:tr>
      <w:tr>
        <w:trPr>
          <w:trHeight w:val="402" w:hRule="exact"/>
        </w:trPr>
        <w:tc>
          <w:tcPr>
            <w:tcW w:w="35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顶联科技</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神州顶联科技有限公司</w:t>
            </w:r>
          </w:p>
        </w:tc>
      </w:tr>
      <w:tr>
        <w:trPr>
          <w:trHeight w:val="402" w:hRule="exact"/>
        </w:trPr>
        <w:tc>
          <w:tcPr>
            <w:tcW w:w="35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上海云角</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上海云角信息技术有限公司</w:t>
            </w:r>
          </w:p>
        </w:tc>
      </w:tr>
      <w:tr>
        <w:trPr>
          <w:trHeight w:val="402" w:hRule="exact"/>
        </w:trPr>
        <w:tc>
          <w:tcPr>
            <w:tcW w:w="35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启行教育</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广东启行教育科技有限公司</w:t>
            </w:r>
          </w:p>
        </w:tc>
      </w:tr>
      <w:tr>
        <w:trPr>
          <w:trHeight w:val="402" w:hRule="exact"/>
        </w:trPr>
        <w:tc>
          <w:tcPr>
            <w:tcW w:w="35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同仁投资</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共青城启德同仁投资管理合伙企业（有限合伙）</w:t>
            </w:r>
          </w:p>
        </w:tc>
      </w:tr>
      <w:tr>
        <w:trPr>
          <w:trHeight w:val="402" w:hRule="exact"/>
        </w:trPr>
        <w:tc>
          <w:tcPr>
            <w:tcW w:w="35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启仁投资</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共青城启仁投资管理合伙企业（有限合伙）</w:t>
            </w:r>
          </w:p>
        </w:tc>
      </w:tr>
      <w:tr>
        <w:trPr>
          <w:trHeight w:val="402" w:hRule="exact"/>
        </w:trPr>
        <w:tc>
          <w:tcPr>
            <w:tcW w:w="35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纳合诚投资</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共青城纳合诚投资管理合伙企业（有限合伙）</w:t>
            </w:r>
          </w:p>
        </w:tc>
      </w:tr>
      <w:tr>
        <w:trPr>
          <w:trHeight w:val="402" w:hRule="exact"/>
        </w:trPr>
        <w:tc>
          <w:tcPr>
            <w:tcW w:w="35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至善投资</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共青城至善投资管理合伙企业（有限合伙）</w:t>
            </w:r>
          </w:p>
        </w:tc>
      </w:tr>
      <w:tr>
        <w:trPr>
          <w:trHeight w:val="402" w:hRule="exact"/>
        </w:trPr>
        <w:tc>
          <w:tcPr>
            <w:tcW w:w="35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嘉逸投资</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共青城嘉逸投资管理合伙企业（有限合伙）</w:t>
            </w:r>
          </w:p>
        </w:tc>
      </w:tr>
      <w:tr>
        <w:trPr>
          <w:trHeight w:val="402" w:hRule="exact"/>
        </w:trPr>
        <w:tc>
          <w:tcPr>
            <w:tcW w:w="35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德正嘉成</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深圳市德正嘉成投资基金合伙企业（有限合伙）</w:t>
            </w:r>
          </w:p>
        </w:tc>
      </w:tr>
      <w:tr>
        <w:trPr>
          <w:trHeight w:val="402" w:hRule="exact"/>
        </w:trPr>
        <w:tc>
          <w:tcPr>
            <w:tcW w:w="35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澜亭投资</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上海澜亭投资合伙企业（有限合伙）</w:t>
            </w:r>
          </w:p>
        </w:tc>
      </w:tr>
      <w:tr>
        <w:trPr>
          <w:trHeight w:val="402" w:hRule="exact"/>
        </w:trPr>
        <w:tc>
          <w:tcPr>
            <w:tcW w:w="35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吾湾投资</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深圳吾湾投资合伙企业（有限合伙）</w:t>
            </w:r>
          </w:p>
        </w:tc>
      </w:tr>
      <w:tr>
        <w:trPr>
          <w:trHeight w:val="402" w:hRule="exact"/>
        </w:trPr>
        <w:tc>
          <w:tcPr>
            <w:tcW w:w="35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金俊投资</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佛山市金俊股权投资合伙企业（有限合伙）</w:t>
            </w:r>
          </w:p>
        </w:tc>
      </w:tr>
      <w:tr>
        <w:trPr>
          <w:trHeight w:val="402" w:hRule="exact"/>
        </w:trPr>
        <w:tc>
          <w:tcPr>
            <w:tcW w:w="35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乾亨投资</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珠海乾亨投资管理有限公司</w:t>
            </w:r>
          </w:p>
        </w:tc>
      </w:tr>
      <w:tr>
        <w:trPr>
          <w:trHeight w:val="402" w:hRule="exact"/>
        </w:trPr>
        <w:tc>
          <w:tcPr>
            <w:tcW w:w="35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中信建投基金</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中信建投基金管理有限公司</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72.339996pt;margin-top:272.779968pt;width:361.5pt;height:19.6pt;mso-position-horizontal-relative:page;mso-position-vertical-relative:page;z-index:-1466464" coordorigin="3447,5456" coordsize="7230,392">
            <v:shape style="position:absolute;left:3447;top:5456;width:7230;height:392" coordorigin="3447,5456" coordsize="7230,392" path="m3447,5847l10676,5847,10676,5456,3447,5456,3447,5847xe" filled="true" fillcolor="#ffffff" stroked="false">
              <v:path arrowok="t"/>
              <v:fill type="solid"/>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3"/>
          <w:szCs w:val="23"/>
        </w:rPr>
      </w:pPr>
    </w:p>
    <w:p>
      <w:pPr>
        <w:pStyle w:val="Heading1"/>
        <w:spacing w:line="240" w:lineRule="auto"/>
        <w:ind w:left="2644" w:right="0"/>
        <w:jc w:val="left"/>
        <w:rPr>
          <w:b w:val="0"/>
          <w:bCs w:val="0"/>
        </w:rPr>
      </w:pPr>
      <w:bookmarkStart w:name="第二节 公司简介和主要财务指标" w:id="2"/>
      <w:bookmarkEnd w:id="2"/>
      <w:r>
        <w:rPr>
          <w:b w:val="0"/>
          <w:bCs w:val="0"/>
        </w:rPr>
      </w:r>
      <w:bookmarkStart w:name="_bookmark0" w:id="3"/>
      <w:bookmarkEnd w:id="3"/>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4"/>
      <w:bookmarkEnd w:id="4"/>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9"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神州数码</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000034</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神州数码集团股份有限公司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神州数码</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Digital China Group</w:t>
            </w:r>
            <w:r>
              <w:rPr>
                <w:rFonts w:ascii="Times New Roman"/>
                <w:spacing w:val="-5"/>
                <w:sz w:val="18"/>
              </w:rPr>
              <w:t> </w:t>
            </w:r>
            <w:r>
              <w:rPr>
                <w:rFonts w:ascii="Times New Roman"/>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Digital</w:t>
            </w:r>
            <w:r>
              <w:rPr>
                <w:rFonts w:ascii="Times New Roman"/>
                <w:spacing w:val="-3"/>
                <w:sz w:val="18"/>
              </w:rPr>
              <w:t> </w:t>
            </w:r>
            <w:r>
              <w:rPr>
                <w:rFonts w:ascii="Times New Roman"/>
                <w:sz w:val="18"/>
              </w:rPr>
              <w:t>China</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郭为</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深圳市南山区粤海街道科发路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号金融基地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E1</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北京市海淀区上地九街九号数码科技广场</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100085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www.digitalchina.com</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1">
              <w:r>
                <w:rPr>
                  <w:rFonts w:ascii="Times New Roman"/>
                  <w:sz w:val="18"/>
                </w:rPr>
                <w:t>dcg-ir@digitalchina.com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王继业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孙丹梅</w:t>
            </w: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95"/>
              <w:jc w:val="left"/>
              <w:rPr>
                <w:rFonts w:ascii="宋体" w:hAnsi="宋体" w:cs="宋体" w:eastAsia="宋体" w:hint="default"/>
                <w:sz w:val="18"/>
                <w:szCs w:val="18"/>
              </w:rPr>
            </w:pPr>
            <w:r>
              <w:rPr>
                <w:rFonts w:ascii="宋体" w:hAnsi="宋体" w:cs="宋体" w:eastAsia="宋体" w:hint="default"/>
                <w:sz w:val="18"/>
                <w:szCs w:val="18"/>
              </w:rPr>
              <w:t>北京市海淀区上地九街九号数码科技广 场</w:t>
            </w: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北京市海淀区上地九街九号数码科技广 场</w:t>
            </w:r>
          </w:p>
        </w:tc>
      </w:tr>
      <w:tr>
        <w:trPr>
          <w:trHeight w:val="392"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010-82705411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010-82705411</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010-82705651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010-82705651</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1">
              <w:r>
                <w:rPr>
                  <w:rFonts w:ascii="Times New Roman"/>
                  <w:sz w:val="18"/>
                </w:rPr>
                <w:t>dcg-ir@digitalchina.com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dcg-ir@digitalchina.com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证券时报、上海证券报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16"/>
                <w:sz w:val="18"/>
                <w:szCs w:val="18"/>
              </w:rPr>
              <w:t> </w:t>
            </w:r>
            <w:r>
              <w:rPr>
                <w:rFonts w:ascii="宋体" w:hAnsi="宋体" w:cs="宋体" w:eastAsia="宋体" w:hint="default"/>
                <w:sz w:val="18"/>
                <w:szCs w:val="18"/>
              </w:rPr>
              <w:t>（</w:t>
            </w:r>
            <w:hyperlink r:id="rId9">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14"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北京市海淀区上地九街九号数码科技广场神州数码集团股份有限公司 证券部</w:t>
            </w:r>
          </w:p>
        </w:tc>
      </w:tr>
    </w:tbl>
    <w:p>
      <w:pPr>
        <w:spacing w:after="0" w:line="319"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9"/>
        <w:rPr>
          <w:rFonts w:ascii="宋体" w:hAnsi="宋体" w:cs="宋体" w:eastAsia="宋体" w:hint="default"/>
          <w:b/>
          <w:bCs/>
          <w:sz w:val="19"/>
          <w:szCs w:val="19"/>
        </w:rPr>
      </w:pPr>
      <w:r>
        <w:rPr/>
        <w:pict>
          <v:shape style="position:absolute;margin-left:56.459999pt;margin-top:102.659981pt;width:479.2pt;height:663.7pt;mso-position-horizontal-relative:page;mso-position-vertical-relative:page;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9144030019218259X7</w:t>
                        </w:r>
                      </w:p>
                    </w:tc>
                  </w:tr>
                  <w:tr>
                    <w:trPr>
                      <w:trHeight w:val="11836"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9" w:lineRule="auto"/>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公司工商登记注册关于经营范围的变更情况为：</w:t>
                        </w:r>
                      </w:p>
                      <w:p>
                        <w:pPr>
                          <w:pStyle w:val="TableParagraph"/>
                          <w:spacing w:line="300" w:lineRule="auto" w:before="116"/>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1982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月，经营范围为：食用动物，肉类加工，饲料。畜用药，畜禽医疗 器械。</w:t>
                        </w:r>
                        <w:r>
                          <w:rPr>
                            <w:rFonts w:ascii="Times New Roman" w:hAnsi="Times New Roman" w:cs="Times New Roman" w:eastAsia="Times New Roman" w:hint="default"/>
                            <w:sz w:val="18"/>
                            <w:szCs w:val="18"/>
                          </w:rPr>
                          <w:t>1990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日，经营范围变更为：食用动物，肉类加工，饲料，果树种 植。畜用药，畜禽医疗器械。</w:t>
                        </w:r>
                      </w:p>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1994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日，经营范围变更为：经营国内商业、物资供销业（不含专营</w:t>
                        </w:r>
                      </w:p>
                      <w:p>
                        <w:pPr>
                          <w:pStyle w:val="TableParagraph"/>
                          <w:spacing w:line="302" w:lineRule="auto" w:before="63"/>
                          <w:ind w:left="23" w:right="19"/>
                          <w:jc w:val="left"/>
                          <w:rPr>
                            <w:rFonts w:ascii="宋体" w:hAnsi="宋体" w:cs="宋体" w:eastAsia="宋体" w:hint="default"/>
                            <w:sz w:val="18"/>
                            <w:szCs w:val="18"/>
                          </w:rPr>
                        </w:pPr>
                        <w:r>
                          <w:rPr>
                            <w:rFonts w:ascii="宋体" w:hAnsi="宋体" w:cs="宋体" w:eastAsia="宋体" w:hint="default"/>
                            <w:spacing w:val="-6"/>
                            <w:sz w:val="18"/>
                            <w:szCs w:val="18"/>
                          </w:rPr>
                          <w:t>专卖、专控商品）；进出口业务按深贸管审证字</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056</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号文办理；食用动物、肉类加</w:t>
                        </w:r>
                        <w:r>
                          <w:rPr>
                            <w:rFonts w:ascii="宋体" w:hAnsi="宋体" w:cs="宋体" w:eastAsia="宋体" w:hint="default"/>
                            <w:sz w:val="18"/>
                            <w:szCs w:val="18"/>
                          </w:rPr>
                          <w:t> 工，饲料，果树种植。畜用药，畜禽医疗器械。</w:t>
                        </w:r>
                      </w:p>
                      <w:p>
                        <w:pPr>
                          <w:pStyle w:val="TableParagraph"/>
                          <w:spacing w:line="240" w:lineRule="auto" w:before="6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日，经营范围变更为：国内商业、物资供销业（不含专营、专</w:t>
                        </w:r>
                      </w:p>
                      <w:p>
                        <w:pPr>
                          <w:pStyle w:val="TableParagraph"/>
                          <w:spacing w:line="302" w:lineRule="auto" w:before="63"/>
                          <w:ind w:left="23" w:right="42"/>
                          <w:jc w:val="left"/>
                          <w:rPr>
                            <w:rFonts w:ascii="宋体" w:hAnsi="宋体" w:cs="宋体" w:eastAsia="宋体" w:hint="default"/>
                            <w:sz w:val="18"/>
                            <w:szCs w:val="18"/>
                          </w:rPr>
                        </w:pPr>
                        <w:r>
                          <w:rPr>
                            <w:rFonts w:ascii="宋体" w:hAnsi="宋体" w:cs="宋体" w:eastAsia="宋体" w:hint="default"/>
                            <w:spacing w:val="-5"/>
                            <w:sz w:val="18"/>
                            <w:szCs w:val="18"/>
                          </w:rPr>
                          <w:t>控、专卖商品）。进出口业务（按深贸管审证字</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056</w:t>
                        </w:r>
                        <w:r>
                          <w:rPr>
                            <w:rFonts w:ascii="Times New Roman" w:hAnsi="Times New Roman" w:cs="Times New Roman" w:eastAsia="Times New Roman" w:hint="default"/>
                            <w:spacing w:val="6"/>
                            <w:sz w:val="18"/>
                            <w:szCs w:val="18"/>
                          </w:rPr>
                          <w:t> </w:t>
                        </w:r>
                        <w:r>
                          <w:rPr>
                            <w:rFonts w:ascii="宋体" w:hAnsi="宋体" w:cs="宋体" w:eastAsia="宋体" w:hint="default"/>
                            <w:spacing w:val="-7"/>
                            <w:sz w:val="18"/>
                            <w:szCs w:val="18"/>
                          </w:rPr>
                          <w:t>号文办理）；食用动物、肉类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加工、果树种植；畜用药。</w:t>
                        </w:r>
                      </w:p>
                      <w:p>
                        <w:pPr>
                          <w:pStyle w:val="TableParagraph"/>
                          <w:spacing w:line="314" w:lineRule="auto" w:before="68"/>
                          <w:ind w:left="23"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日，经营范围变更为：（一）研究、开发计算机硬件及配套零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件；网络产品、多媒体产品、电子信息产品及通讯产品、办公自动化设备、仪器 仪表、电器及印刷照排设备、计算机应用系统的安装和维修；自产产品的技术咨 询、技术服务、技术转让；经营自产产品的出口业务；代理销售计算机硬件、软 </w:t>
                        </w:r>
                        <w:r>
                          <w:rPr>
                            <w:rFonts w:ascii="宋体" w:hAnsi="宋体" w:cs="宋体" w:eastAsia="宋体" w:hint="default"/>
                            <w:spacing w:val="-5"/>
                            <w:sz w:val="18"/>
                            <w:szCs w:val="18"/>
                          </w:rPr>
                          <w:t>件及外围设施；销售自产产品。（不涉及国营贸易管理商品；涉及配额、许可证管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理商品的按国家有关规定办理申请手续）依法须经批准的项目，经相关部门批准 </w:t>
                        </w:r>
                        <w:r>
                          <w:rPr>
                            <w:rFonts w:ascii="宋体" w:hAnsi="宋体" w:cs="宋体" w:eastAsia="宋体" w:hint="default"/>
                            <w:spacing w:val="-3"/>
                            <w:sz w:val="18"/>
                            <w:szCs w:val="18"/>
                          </w:rPr>
                          <w:t>后依批准的内容开展经营活动。（二）国内商业、物资供销业（不含专营、专控、</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7"/>
                            <w:sz w:val="18"/>
                            <w:szCs w:val="18"/>
                          </w:rPr>
                          <w:t>专卖商品）、进出口业务（按深贸管审证字</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056</w:t>
                        </w:r>
                        <w:r>
                          <w:rPr>
                            <w:rFonts w:ascii="Times New Roman" w:hAnsi="Times New Roman" w:cs="Times New Roman" w:eastAsia="Times New Roman" w:hint="default"/>
                            <w:spacing w:val="2"/>
                            <w:sz w:val="18"/>
                            <w:szCs w:val="18"/>
                          </w:rPr>
                          <w:t> </w:t>
                        </w:r>
                        <w:r>
                          <w:rPr>
                            <w:rFonts w:ascii="宋体" w:hAnsi="宋体" w:cs="宋体" w:eastAsia="宋体" w:hint="default"/>
                            <w:spacing w:val="-9"/>
                            <w:sz w:val="18"/>
                            <w:szCs w:val="18"/>
                          </w:rPr>
                          <w:t>号文办理）、食用动物、肉类加工</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果树种植、畜用药。（三）开发、生产销售无绳电话机、多功能电话机、遥控器、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电子智能学习机、电话注塑配件、电视机塑胶配件；通信设备、电子、计算机配 </w:t>
                        </w:r>
                        <w:r>
                          <w:rPr>
                            <w:rFonts w:ascii="宋体" w:hAnsi="宋体" w:cs="宋体" w:eastAsia="宋体" w:hint="default"/>
                            <w:spacing w:val="-5"/>
                            <w:sz w:val="18"/>
                            <w:szCs w:val="18"/>
                          </w:rPr>
                          <w:t>件的技术开发；进出口业务（按资格证书办理）；计算机软件、信息技术、系统集</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成、办公自动化、综合布线技术的研发（不含限制项目）；生产机电一体化产品。</w:t>
                        </w:r>
                      </w:p>
                      <w:p>
                        <w:pPr>
                          <w:pStyle w:val="TableParagraph"/>
                          <w:spacing w:line="319" w:lineRule="auto" w:before="20"/>
                          <w:ind w:left="23" w:right="-45"/>
                          <w:jc w:val="left"/>
                          <w:rPr>
                            <w:rFonts w:ascii="宋体" w:hAnsi="宋体" w:cs="宋体" w:eastAsia="宋体" w:hint="default"/>
                            <w:sz w:val="18"/>
                            <w:szCs w:val="18"/>
                          </w:rPr>
                        </w:pPr>
                        <w:r>
                          <w:rPr>
                            <w:rFonts w:ascii="宋体" w:hAnsi="宋体" w:cs="宋体" w:eastAsia="宋体" w:hint="default"/>
                            <w:sz w:val="18"/>
                            <w:szCs w:val="18"/>
                          </w:rPr>
                          <w:t>（四）购销饲料、农副产品、浓缩饲料添加剂（以上不含专营专卖、专控商品</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 兴办种、养殖业（不含限制项目</w:t>
                        </w:r>
                        <w:r>
                          <w:rPr>
                            <w:rFonts w:ascii="宋体" w:hAnsi="宋体" w:cs="宋体" w:eastAsia="宋体" w:hint="default"/>
                            <w:spacing w:val="-90"/>
                            <w:sz w:val="18"/>
                            <w:szCs w:val="18"/>
                          </w:rPr>
                          <w:t>）。</w:t>
                        </w:r>
                        <w:r>
                          <w:rPr>
                            <w:rFonts w:ascii="宋体" w:hAnsi="宋体" w:cs="宋体" w:eastAsia="宋体" w:hint="default"/>
                            <w:sz w:val="18"/>
                            <w:szCs w:val="18"/>
                          </w:rPr>
                          <w:t>（五）在深圳市范围内从事房地产开发经营业</w:t>
                        </w:r>
                        <w:r>
                          <w:rPr>
                            <w:rFonts w:ascii="宋体" w:hAnsi="宋体" w:cs="宋体" w:eastAsia="宋体" w:hint="default"/>
                            <w:sz w:val="18"/>
                            <w:szCs w:val="18"/>
                          </w:rPr>
                          <w:t> 务；兴办实业（具体项目另行审批</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316" w:lineRule="auto" w:before="55"/>
                          <w:ind w:left="23"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日，经营范围变更为：（一）计算机硬件及配套零件的研究、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开发；网络产品、多媒体产品、电子信息产品及通讯产品、办公自动化设备、仪 器仪表、电器及印刷照排设备、计算机应用系统的安装和维修；自产产品的技术 咨询、技术服务、技术转让（法律、行政法规、国务院决定禁止的项目除外，限 </w:t>
                        </w:r>
                        <w:r>
                          <w:rPr>
                            <w:rFonts w:ascii="宋体" w:hAnsi="宋体" w:cs="宋体" w:eastAsia="宋体" w:hint="default"/>
                            <w:spacing w:val="-5"/>
                            <w:sz w:val="18"/>
                            <w:szCs w:val="18"/>
                          </w:rPr>
                          <w:t>制的项目须取得许可后方可经营）；经营进出口业务（法律、行政法规、国务院决</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5"/>
                            <w:sz w:val="18"/>
                            <w:szCs w:val="18"/>
                          </w:rPr>
                          <w:t>定禁止的项目除外，限制的项目须取得许可后方可经营）；计算机硬件、软件及外</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围设施的代理销售；销售自产产品（法律、行政法规、国务院决定禁止的项目除 </w:t>
                        </w:r>
                        <w:r>
                          <w:rPr>
                            <w:rFonts w:ascii="宋体" w:hAnsi="宋体" w:cs="宋体" w:eastAsia="宋体" w:hint="default"/>
                            <w:spacing w:val="-5"/>
                            <w:sz w:val="18"/>
                            <w:szCs w:val="18"/>
                          </w:rPr>
                          <w:t>外，限制的项目须取得许可后方可经营）；（二）通信设备、电子、计算机配件的</w:t>
                        </w:r>
                        <w:r>
                          <w:rPr>
                            <w:rFonts w:ascii="宋体" w:hAnsi="宋体" w:cs="宋体" w:eastAsia="宋体" w:hint="default"/>
                            <w:sz w:val="18"/>
                            <w:szCs w:val="18"/>
                          </w:rPr>
                          <w:t> 技术开发；计算机软件、信息技术、系统集成、办公自动化、综合布线技术的研 </w:t>
                        </w:r>
                        <w:r>
                          <w:rPr>
                            <w:rFonts w:ascii="宋体" w:hAnsi="宋体" w:cs="宋体" w:eastAsia="宋体" w:hint="default"/>
                            <w:spacing w:val="-10"/>
                            <w:sz w:val="18"/>
                            <w:szCs w:val="18"/>
                          </w:rPr>
                          <w:t>发（不含限制项目）；（三）投资兴办实业（具体项目另行申报）；在合法取得使用</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5"/>
                            <w:sz w:val="18"/>
                            <w:szCs w:val="18"/>
                          </w:rPr>
                          <w:t>权的土地上从事房地产开发经营。（以上项目法律、行政法规、国务院决定禁止的</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5"/>
                            <w:sz w:val="18"/>
                            <w:szCs w:val="18"/>
                          </w:rPr>
                          <w:t>项目除外，限制的项目须取得许可后方可经营）。</w:t>
                        </w:r>
                      </w:p>
                    </w:tc>
                  </w:tr>
                  <w:tr>
                    <w:trPr>
                      <w:trHeight w:val="1026"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月，公司控股股东由深圳市宝安区投资管理公司变更为深圳国际信 托投资公司。</w:t>
                        </w:r>
                      </w:p>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月，公司控股股东由深圳国际信托投资有限责任公司变更为中国希</w:t>
                        </w:r>
                      </w:p>
                    </w:tc>
                  </w:tr>
                </w:tbl>
                <w:p>
                  <w:pPr/>
                </w:p>
              </w:txbxContent>
            </v:textbox>
            <w10:wrap type="none"/>
          </v:shape>
        </w:pict>
      </w:r>
    </w:p>
    <w:p>
      <w:pPr>
        <w:pStyle w:val="Heading2"/>
        <w:spacing w:line="240" w:lineRule="auto" w:before="26"/>
        <w:ind w:right="0"/>
        <w:jc w:val="left"/>
        <w:rPr>
          <w:b w:val="0"/>
          <w:bCs w:val="0"/>
        </w:rPr>
      </w:pPr>
      <w:bookmarkStart w:name="四、注册变更情况" w:id="7"/>
      <w:bookmarkEnd w:id="7"/>
      <w:r>
        <w:rPr>
          <w:b w:val="0"/>
          <w:bCs w:val="0"/>
        </w:rPr>
      </w:r>
      <w:r>
        <w:rPr/>
        <w:t>四、注册变更情况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240" w:lineRule="auto" w:before="44"/>
        <w:ind w:left="0" w:right="113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before="44"/>
        <w:ind w:left="0" w:right="1139"/>
        <w:jc w:val="right"/>
      </w:pPr>
      <w:r>
        <w:rPr/>
        <w:t>、</w:t>
      </w:r>
    </w:p>
    <w:p>
      <w:pPr>
        <w:spacing w:after="0" w:line="240" w:lineRule="auto"/>
        <w:jc w:val="right"/>
        <w:sectPr>
          <w:pgSz w:w="11910" w:h="16840"/>
          <w:pgMar w:header="877" w:footer="979" w:top="1100" w:bottom="1160" w:left="980" w:right="0"/>
        </w:sectPr>
      </w:pPr>
    </w:p>
    <w:p>
      <w:pPr>
        <w:spacing w:line="240" w:lineRule="auto" w:before="2"/>
        <w:rPr>
          <w:rFonts w:ascii="宋体" w:hAnsi="宋体" w:cs="宋体" w:eastAsia="宋体" w:hint="default"/>
          <w:sz w:val="24"/>
          <w:szCs w:val="24"/>
        </w:rPr>
      </w:pPr>
    </w:p>
    <w:p>
      <w:pPr>
        <w:spacing w:line="733" w:lineRule="exact"/>
        <w:ind w:left="149" w:right="0" w:firstLine="0"/>
        <w:rPr>
          <w:rFonts w:ascii="宋体" w:hAnsi="宋体" w:cs="宋体" w:eastAsia="宋体" w:hint="default"/>
          <w:sz w:val="20"/>
          <w:szCs w:val="20"/>
        </w:rPr>
      </w:pPr>
      <w:r>
        <w:rPr>
          <w:rFonts w:ascii="宋体" w:hAnsi="宋体" w:cs="宋体" w:eastAsia="宋体" w:hint="default"/>
          <w:position w:val="-14"/>
          <w:sz w:val="20"/>
          <w:szCs w:val="20"/>
        </w:rPr>
        <w:pict>
          <v:group style="width:478.95pt;height:36.7pt;mso-position-horizontal-relative:char;mso-position-vertical-relative:line" coordorigin="0,0" coordsize="9579,734">
            <v:group style="position:absolute;left:10;top:14;width:3181;height:705" coordorigin="10,14" coordsize="3181,705">
              <v:shape style="position:absolute;left:10;top:14;width:3181;height:705" coordorigin="10,14" coordsize="3181,705" path="m10,719l3190,719,3190,14,10,14,10,719xe" filled="true" fillcolor="#d2d2d2"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8pt" strokecolor="#000000">
                <v:path arrowok="t"/>
              </v:shape>
            </v:group>
            <v:group style="position:absolute;left:3200;top:10;width:6370;height:2" coordorigin="3200,10" coordsize="6370,2">
              <v:shape style="position:absolute;left:3200;top:10;width:6370;height:2" coordorigin="3200,10" coordsize="6370,0" path="m3200,10l9569,10e" filled="false" stroked="true" strokeweight=".48pt" strokecolor="#000000">
                <v:path arrowok="t"/>
              </v:shape>
            </v:group>
            <v:group style="position:absolute;left:5;top:5;width:2;height:724" coordorigin="5,5" coordsize="2,724">
              <v:shape style="position:absolute;left:5;top:5;width:2;height:724" coordorigin="5,5" coordsize="0,724" path="m5,5l5,728e" filled="false" stroked="true" strokeweight=".48pt" strokecolor="#000000">
                <v:path arrowok="t"/>
              </v:shape>
            </v:group>
            <v:group style="position:absolute;left:10;top:724;width:3181;height:2" coordorigin="10,724" coordsize="3181,2">
              <v:shape style="position:absolute;left:10;top:724;width:3181;height:2" coordorigin="10,724" coordsize="3181,0" path="m10,724l3190,724e" filled="false" stroked="true" strokeweight=".48pt" strokecolor="#000000">
                <v:path arrowok="t"/>
              </v:shape>
            </v:group>
            <v:group style="position:absolute;left:3195;top:5;width:2;height:724" coordorigin="3195,5" coordsize="2,724">
              <v:shape style="position:absolute;left:3195;top:5;width:2;height:724" coordorigin="3195,5" coordsize="0,724" path="m3195,5l3195,728e" filled="false" stroked="true" strokeweight=".48001pt" strokecolor="#000000">
                <v:path arrowok="t"/>
              </v:shape>
            </v:group>
            <v:group style="position:absolute;left:3200;top:724;width:6370;height:2" coordorigin="3200,724" coordsize="6370,2">
              <v:shape style="position:absolute;left:3200;top:724;width:6370;height:2" coordorigin="3200,724" coordsize="6370,0" path="m3200,724l9569,724e" filled="false" stroked="true" strokeweight=".48pt" strokecolor="#000000">
                <v:path arrowok="t"/>
              </v:shape>
            </v:group>
            <v:group style="position:absolute;left:9574;top:5;width:2;height:724" coordorigin="9574,5" coordsize="2,724">
              <v:shape style="position:absolute;left:9574;top:5;width:2;height:724" coordorigin="9574,5" coordsize="0,724" path="m9574,5l9574,728e" filled="false" stroked="true" strokeweight=".48004pt" strokecolor="#000000">
                <v:path arrowok="t"/>
              </v:shape>
              <v:shape style="position:absolute;left:3195;top:10;width:6379;height:714" type="#_x0000_t202" filled="false" stroked="false">
                <v:textbox inset="0,0,0,0">
                  <w:txbxContent>
                    <w:p>
                      <w:pPr>
                        <w:spacing w:before="16"/>
                        <w:ind w:left="28" w:right="0" w:firstLine="0"/>
                        <w:jc w:val="left"/>
                        <w:rPr>
                          <w:rFonts w:ascii="宋体" w:hAnsi="宋体" w:cs="宋体" w:eastAsia="宋体" w:hint="default"/>
                          <w:sz w:val="18"/>
                          <w:szCs w:val="18"/>
                        </w:rPr>
                      </w:pPr>
                      <w:r>
                        <w:rPr>
                          <w:rFonts w:ascii="宋体" w:hAnsi="宋体" w:cs="宋体" w:eastAsia="宋体" w:hint="default"/>
                          <w:sz w:val="18"/>
                          <w:szCs w:val="18"/>
                        </w:rPr>
                        <w:t>格玛有限公司。</w:t>
                      </w:r>
                    </w:p>
                    <w:p>
                      <w:pPr>
                        <w:spacing w:before="117"/>
                        <w:ind w:left="2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月，公司控股股东由中国希格玛有限公司变更为郭为先生。</w:t>
                      </w:r>
                    </w:p>
                  </w:txbxContent>
                </v:textbox>
                <w10:wrap type="none"/>
              </v:shape>
            </v:group>
          </v:group>
        </w:pict>
      </w:r>
      <w:r>
        <w:rPr>
          <w:rFonts w:ascii="宋体" w:hAnsi="宋体" w:cs="宋体" w:eastAsia="宋体" w:hint="default"/>
          <w:position w:val="-14"/>
          <w:sz w:val="20"/>
          <w:szCs w:val="20"/>
        </w:rPr>
      </w:r>
    </w:p>
    <w:p>
      <w:pPr>
        <w:spacing w:line="240" w:lineRule="auto" w:before="10"/>
        <w:rPr>
          <w:rFonts w:ascii="宋体" w:hAnsi="宋体" w:cs="宋体" w:eastAsia="宋体" w:hint="default"/>
          <w:sz w:val="17"/>
          <w:szCs w:val="17"/>
        </w:rPr>
      </w:pPr>
    </w:p>
    <w:p>
      <w:pPr>
        <w:pStyle w:val="Heading2"/>
        <w:spacing w:line="240" w:lineRule="auto" w:before="26"/>
        <w:ind w:right="0"/>
        <w:jc w:val="left"/>
        <w:rPr>
          <w:b w:val="0"/>
          <w:bCs w:val="0"/>
        </w:rPr>
      </w:pPr>
      <w:bookmarkStart w:name="五、其他有关资料" w:id="8"/>
      <w:bookmarkEnd w:id="8"/>
      <w:r>
        <w:rPr>
          <w:b w:val="0"/>
          <w:bCs w:val="0"/>
        </w:rPr>
      </w:r>
      <w:r>
        <w:rPr/>
        <w:t>五、其他有关资料</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北京市东城区朝阳门北大街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号富华大厦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唐炫、唐静</w:t>
            </w:r>
          </w:p>
        </w:tc>
      </w:tr>
    </w:tbl>
    <w:p>
      <w:pPr>
        <w:pStyle w:val="BodyText"/>
        <w:spacing w:line="240" w:lineRule="auto" w:before="51"/>
        <w:ind w:right="0"/>
        <w:jc w:val="left"/>
      </w:pPr>
      <w:r>
        <w:rPr/>
        <w:t>公司聘请的报告期内履行持续督导职责的保荐机构</w:t>
      </w:r>
    </w:p>
    <w:p>
      <w:pPr>
        <w:pStyle w:val="BodyText"/>
        <w:spacing w:line="33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西南证券股份有限公司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08"/>
              <w:jc w:val="left"/>
              <w:rPr>
                <w:rFonts w:ascii="宋体" w:hAnsi="宋体" w:cs="宋体" w:eastAsia="宋体" w:hint="default"/>
                <w:sz w:val="18"/>
                <w:szCs w:val="18"/>
              </w:rPr>
            </w:pPr>
            <w:r>
              <w:rPr>
                <w:rFonts w:ascii="宋体" w:hAnsi="宋体" w:cs="宋体" w:eastAsia="宋体" w:hint="default"/>
                <w:sz w:val="18"/>
                <w:szCs w:val="18"/>
              </w:rPr>
              <w:t>北京市西城区金融大街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国际企业大厦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楼航冲、刘铮</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中银国际证券股份有限公司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上海市浦东区银城中路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中银大厦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韩冰、温畅</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
        <w:rPr>
          <w:rFonts w:ascii="宋体" w:hAnsi="宋体" w:cs="宋体" w:eastAsia="宋体" w:hint="default"/>
          <w:sz w:val="22"/>
          <w:szCs w:val="22"/>
        </w:rPr>
      </w:pPr>
    </w:p>
    <w:p>
      <w:pPr>
        <w:pStyle w:val="Heading2"/>
        <w:spacing w:line="240" w:lineRule="auto"/>
        <w:ind w:left="560" w:right="-20"/>
        <w:jc w:val="left"/>
        <w:rPr>
          <w:b w:val="0"/>
          <w:bCs w:val="0"/>
        </w:rPr>
      </w:pPr>
      <w:r>
        <w:rPr/>
        <w:pict>
          <v:group style="position:absolute;margin-left:70.5pt;margin-top:.875623pt;width:701pt;height:.1pt;mso-position-horizontal-relative:page;mso-position-vertical-relative:paragraph;z-index:-1466368" coordorigin="1410,18" coordsize="14020,2">
            <v:shape style="position:absolute;left:1410;top:18;width:14020;height:2" coordorigin="1410,18" coordsize="14020,0" path="m1410,18l15430,18e" filled="false" stroked="true" strokeweight=".72pt" strokecolor="#000000">
              <v:path arrowok="t"/>
            </v:shape>
            <w10:wrap type="none"/>
          </v:group>
        </w:pict>
      </w:r>
      <w:bookmarkStart w:name="六、主要会计数据和财务指标" w:id="9"/>
      <w:bookmarkEnd w:id="9"/>
      <w:r>
        <w:rPr>
          <w:b w:val="0"/>
          <w:bCs w:val="0"/>
        </w:rPr>
      </w:r>
      <w:r>
        <w:rPr/>
        <w:t>六、主要会计数据和财务指标</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560" w:right="-20"/>
        <w:jc w:val="left"/>
      </w:pPr>
      <w:r>
        <w:rPr/>
        <w:t>公司是否需追溯调整或重述以前年度会计数据</w:t>
      </w:r>
    </w:p>
    <w:p>
      <w:pPr>
        <w:pStyle w:val="BodyText"/>
        <w:spacing w:line="271" w:lineRule="auto" w:before="38"/>
        <w:ind w:left="560" w:right="196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追溯调整或重述原因 会计政策变更</w:t>
      </w:r>
    </w:p>
    <w:p>
      <w:pPr>
        <w:pStyle w:val="BodyText"/>
        <w:spacing w:line="240" w:lineRule="auto" w:before="15"/>
        <w:ind w:left="560" w:right="0"/>
        <w:jc w:val="left"/>
      </w:pPr>
      <w:r>
        <w:rPr/>
        <w:br w:type="column"/>
      </w:r>
      <w:r>
        <w:rPr/>
        <w:t>神州数码集团股份有限公司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after="0" w:line="240" w:lineRule="auto"/>
        <w:jc w:val="left"/>
        <w:sectPr>
          <w:headerReference w:type="default" r:id="rId12"/>
          <w:footerReference w:type="default" r:id="rId13"/>
          <w:pgSz w:w="16840" w:h="11910" w:orient="landscape"/>
          <w:pgMar w:header="0" w:footer="0" w:top="800" w:bottom="0" w:left="880" w:right="860"/>
          <w:cols w:num="2" w:equalWidth="0">
            <w:col w:w="4161" w:space="5930"/>
            <w:col w:w="5009"/>
          </w:cols>
        </w:sectPr>
      </w:pPr>
    </w:p>
    <w:p>
      <w:pPr>
        <w:spacing w:line="240" w:lineRule="auto" w:before="6"/>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2412"/>
        <w:gridCol w:w="2165"/>
        <w:gridCol w:w="2042"/>
        <w:gridCol w:w="2253"/>
        <w:gridCol w:w="1758"/>
        <w:gridCol w:w="2156"/>
        <w:gridCol w:w="2076"/>
      </w:tblGrid>
      <w:tr>
        <w:trPr>
          <w:trHeight w:val="180" w:hRule="exact"/>
        </w:trPr>
        <w:tc>
          <w:tcPr>
            <w:tcW w:w="2412"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5" w:type="dxa"/>
            <w:tcBorders>
              <w:top w:val="single" w:sz="4" w:space="0" w:color="000000"/>
              <w:left w:val="single" w:sz="4" w:space="0" w:color="000000"/>
              <w:bottom w:val="nil" w:sz="6" w:space="0" w:color="auto"/>
              <w:right w:val="single" w:sz="4" w:space="0" w:color="000000"/>
            </w:tcBorders>
            <w:shd w:val="clear" w:color="auto" w:fill="D2D2D2"/>
          </w:tcPr>
          <w:p>
            <w:pPr/>
          </w:p>
        </w:tc>
        <w:tc>
          <w:tcPr>
            <w:tcW w:w="429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243"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423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143" w:hRule="exact"/>
        </w:trPr>
        <w:tc>
          <w:tcPr>
            <w:tcW w:w="2412" w:type="dxa"/>
            <w:vMerge w:val="restart"/>
            <w:tcBorders>
              <w:top w:val="nil" w:sz="6" w:space="0" w:color="auto"/>
              <w:left w:val="single" w:sz="4" w:space="0" w:color="000000"/>
              <w:right w:val="single" w:sz="4" w:space="0" w:color="000000"/>
            </w:tcBorders>
            <w:shd w:val="clear" w:color="auto" w:fill="D2D2D2"/>
          </w:tcPr>
          <w:p>
            <w:pPr/>
          </w:p>
        </w:tc>
        <w:tc>
          <w:tcPr>
            <w:tcW w:w="2165" w:type="dxa"/>
            <w:vMerge w:val="restart"/>
            <w:tcBorders>
              <w:top w:val="nil" w:sz="6" w:space="0" w:color="auto"/>
              <w:left w:val="single" w:sz="4" w:space="0" w:color="000000"/>
              <w:right w:val="single" w:sz="4" w:space="0" w:color="000000"/>
            </w:tcBorders>
            <w:shd w:val="clear" w:color="auto" w:fill="D2D2D2"/>
          </w:tcPr>
          <w:p>
            <w:pPr>
              <w:pStyle w:val="TableParagraph"/>
              <w:spacing w:line="247"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295" w:type="dxa"/>
            <w:gridSpan w:val="2"/>
            <w:vMerge/>
            <w:tcBorders>
              <w:left w:val="single" w:sz="4" w:space="0" w:color="000000"/>
              <w:bottom w:val="single" w:sz="4" w:space="0" w:color="000000"/>
              <w:right w:val="single" w:sz="4" w:space="0" w:color="000000"/>
            </w:tcBorders>
            <w:shd w:val="clear" w:color="auto" w:fill="D2D2D2"/>
          </w:tcPr>
          <w:p>
            <w:pPr/>
          </w:p>
        </w:tc>
        <w:tc>
          <w:tcPr>
            <w:tcW w:w="1758" w:type="dxa"/>
            <w:vMerge/>
            <w:tcBorders>
              <w:left w:val="single" w:sz="4" w:space="0" w:color="000000"/>
              <w:bottom w:val="single" w:sz="4" w:space="0" w:color="000000"/>
              <w:right w:val="single" w:sz="4" w:space="0" w:color="000000"/>
            </w:tcBorders>
            <w:shd w:val="clear" w:color="auto" w:fill="D2D2D2"/>
          </w:tcPr>
          <w:p>
            <w:pPr/>
          </w:p>
        </w:tc>
        <w:tc>
          <w:tcPr>
            <w:tcW w:w="4233" w:type="dxa"/>
            <w:gridSpan w:val="2"/>
            <w:vMerge/>
            <w:tcBorders>
              <w:left w:val="single" w:sz="4" w:space="0" w:color="000000"/>
              <w:bottom w:val="single" w:sz="4" w:space="0" w:color="000000"/>
              <w:right w:val="single" w:sz="4" w:space="0" w:color="000000"/>
            </w:tcBorders>
            <w:shd w:val="clear" w:color="auto" w:fill="D2D2D2"/>
          </w:tcPr>
          <w:p>
            <w:pPr/>
          </w:p>
        </w:tc>
      </w:tr>
      <w:tr>
        <w:trPr>
          <w:trHeight w:val="143" w:hRule="exact"/>
        </w:trPr>
        <w:tc>
          <w:tcPr>
            <w:tcW w:w="2412" w:type="dxa"/>
            <w:vMerge/>
            <w:tcBorders>
              <w:left w:val="single" w:sz="4" w:space="0" w:color="000000"/>
              <w:bottom w:val="nil" w:sz="6" w:space="0" w:color="auto"/>
              <w:right w:val="single" w:sz="4" w:space="0" w:color="000000"/>
            </w:tcBorders>
            <w:shd w:val="clear" w:color="auto" w:fill="D2D2D2"/>
          </w:tcPr>
          <w:p>
            <w:pPr/>
          </w:p>
        </w:tc>
        <w:tc>
          <w:tcPr>
            <w:tcW w:w="2165" w:type="dxa"/>
            <w:vMerge/>
            <w:tcBorders>
              <w:left w:val="single" w:sz="4" w:space="0" w:color="000000"/>
              <w:bottom w:val="nil" w:sz="6" w:space="0" w:color="auto"/>
              <w:right w:val="single" w:sz="4" w:space="0" w:color="000000"/>
            </w:tcBorders>
            <w:shd w:val="clear" w:color="auto" w:fill="D2D2D2"/>
          </w:tcPr>
          <w:p>
            <w:pPr/>
          </w:p>
        </w:tc>
        <w:tc>
          <w:tcPr>
            <w:tcW w:w="20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22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7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调整后</w:t>
            </w:r>
          </w:p>
        </w:tc>
        <w:tc>
          <w:tcPr>
            <w:tcW w:w="21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调整前</w:t>
            </w:r>
          </w:p>
        </w:tc>
        <w:tc>
          <w:tcPr>
            <w:tcW w:w="20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180" w:hRule="exact"/>
        </w:trPr>
        <w:tc>
          <w:tcPr>
            <w:tcW w:w="2412"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5" w:type="dxa"/>
            <w:tcBorders>
              <w:top w:val="nil" w:sz="6" w:space="0" w:color="auto"/>
              <w:left w:val="single" w:sz="4" w:space="0" w:color="000000"/>
              <w:bottom w:val="single" w:sz="4" w:space="0" w:color="000000"/>
              <w:right w:val="single" w:sz="4" w:space="0" w:color="000000"/>
            </w:tcBorders>
            <w:shd w:val="clear" w:color="auto" w:fill="D2D2D2"/>
          </w:tcPr>
          <w:p>
            <w:pPr/>
          </w:p>
        </w:tc>
        <w:tc>
          <w:tcPr>
            <w:tcW w:w="2042" w:type="dxa"/>
            <w:vMerge/>
            <w:tcBorders>
              <w:left w:val="single" w:sz="4" w:space="0" w:color="000000"/>
              <w:bottom w:val="single" w:sz="4" w:space="0" w:color="000000"/>
              <w:right w:val="single" w:sz="4" w:space="0" w:color="000000"/>
            </w:tcBorders>
            <w:shd w:val="clear" w:color="auto" w:fill="D2D2D2"/>
          </w:tcPr>
          <w:p>
            <w:pPr/>
          </w:p>
        </w:tc>
        <w:tc>
          <w:tcPr>
            <w:tcW w:w="2253" w:type="dxa"/>
            <w:vMerge/>
            <w:tcBorders>
              <w:left w:val="single" w:sz="4" w:space="0" w:color="000000"/>
              <w:bottom w:val="single" w:sz="4" w:space="0" w:color="000000"/>
              <w:right w:val="single" w:sz="4" w:space="0" w:color="000000"/>
            </w:tcBorders>
            <w:shd w:val="clear" w:color="auto" w:fill="D2D2D2"/>
          </w:tcPr>
          <w:p>
            <w:pPr/>
          </w:p>
        </w:tc>
        <w:tc>
          <w:tcPr>
            <w:tcW w:w="1758" w:type="dxa"/>
            <w:vMerge/>
            <w:tcBorders>
              <w:left w:val="single" w:sz="4" w:space="0" w:color="000000"/>
              <w:bottom w:val="single" w:sz="4" w:space="0" w:color="000000"/>
              <w:right w:val="single" w:sz="4" w:space="0" w:color="000000"/>
            </w:tcBorders>
            <w:shd w:val="clear" w:color="auto" w:fill="D2D2D2"/>
          </w:tcPr>
          <w:p>
            <w:pPr/>
          </w:p>
        </w:tc>
        <w:tc>
          <w:tcPr>
            <w:tcW w:w="2156" w:type="dxa"/>
            <w:vMerge/>
            <w:tcBorders>
              <w:left w:val="single" w:sz="4" w:space="0" w:color="000000"/>
              <w:bottom w:val="single" w:sz="4" w:space="0" w:color="000000"/>
              <w:right w:val="single" w:sz="4" w:space="0" w:color="000000"/>
            </w:tcBorders>
            <w:shd w:val="clear" w:color="auto" w:fill="D2D2D2"/>
          </w:tcPr>
          <w:p>
            <w:pPr/>
          </w:p>
        </w:tc>
        <w:tc>
          <w:tcPr>
            <w:tcW w:w="2076"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21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81,858,054,493.23</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62,215,950,458.56</w:t>
            </w:r>
          </w:p>
        </w:tc>
        <w:tc>
          <w:tcPr>
            <w:tcW w:w="2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62,215,950,458.56</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31.57%</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40,531,123,500.93</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40,531,123,500.93</w:t>
            </w:r>
          </w:p>
        </w:tc>
      </w:tr>
      <w:tr>
        <w:trPr>
          <w:trHeight w:val="557"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21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512,408,008.06</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722,924,713.03</w:t>
            </w:r>
          </w:p>
        </w:tc>
        <w:tc>
          <w:tcPr>
            <w:tcW w:w="2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722,924,713.03</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-29.12%</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403,795,179.08</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403,795,179.08</w:t>
            </w:r>
          </w:p>
        </w:tc>
      </w:tr>
      <w:tr>
        <w:trPr>
          <w:trHeight w:val="557"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8"/>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经常性损益的净利润（元）</w:t>
            </w:r>
          </w:p>
        </w:tc>
        <w:tc>
          <w:tcPr>
            <w:tcW w:w="21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472,153,753.44</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337,321,169.24</w:t>
            </w:r>
          </w:p>
        </w:tc>
        <w:tc>
          <w:tcPr>
            <w:tcW w:w="2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337,321,169.24</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39.97%</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189,521,211.71</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189,521,211.71</w:t>
            </w:r>
          </w:p>
        </w:tc>
      </w:tr>
      <w:tr>
        <w:trPr>
          <w:trHeight w:val="557"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21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360,539,617.54</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-291,800,291.05</w:t>
            </w:r>
          </w:p>
        </w:tc>
        <w:tc>
          <w:tcPr>
            <w:tcW w:w="2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-291,800,291.05</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223.56%</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345,882,116.26</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345,882,116.26</w:t>
            </w:r>
          </w:p>
        </w:tc>
      </w:tr>
      <w:tr>
        <w:trPr>
          <w:trHeight w:val="323"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21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0.7834</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1.1053</w:t>
            </w:r>
          </w:p>
        </w:tc>
        <w:tc>
          <w:tcPr>
            <w:tcW w:w="2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1.1053</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-29.12%</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0.6677</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0.6677</w:t>
            </w:r>
          </w:p>
        </w:tc>
      </w:tr>
      <w:tr>
        <w:trPr>
          <w:trHeight w:val="324"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21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0.7834</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1.1053</w:t>
            </w:r>
          </w:p>
        </w:tc>
        <w:tc>
          <w:tcPr>
            <w:tcW w:w="2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1.1053</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-29.12%</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0.6677</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0.6677</w:t>
            </w:r>
          </w:p>
        </w:tc>
      </w:tr>
      <w:tr>
        <w:trPr>
          <w:trHeight w:val="323"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21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14.27%</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24.10%</w:t>
            </w:r>
          </w:p>
        </w:tc>
        <w:tc>
          <w:tcPr>
            <w:tcW w:w="2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24.10%</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-9.83%</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19.04%</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19.04%</w:t>
            </w:r>
          </w:p>
        </w:tc>
      </w:tr>
      <w:tr>
        <w:trPr>
          <w:trHeight w:val="180" w:hRule="exact"/>
        </w:trPr>
        <w:tc>
          <w:tcPr>
            <w:tcW w:w="2412"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5" w:type="dxa"/>
            <w:tcBorders>
              <w:top w:val="single" w:sz="4" w:space="0" w:color="000000"/>
              <w:left w:val="single" w:sz="4" w:space="0" w:color="000000"/>
              <w:bottom w:val="nil" w:sz="6" w:space="0" w:color="auto"/>
              <w:right w:val="single" w:sz="4" w:space="0" w:color="000000"/>
            </w:tcBorders>
            <w:shd w:val="clear" w:color="auto" w:fill="D2D2D2"/>
          </w:tcPr>
          <w:p>
            <w:pPr/>
          </w:p>
        </w:tc>
        <w:tc>
          <w:tcPr>
            <w:tcW w:w="429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63" w:right="0"/>
              <w:jc w:val="lef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423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39" w:hRule="exact"/>
        </w:trPr>
        <w:tc>
          <w:tcPr>
            <w:tcW w:w="2412" w:type="dxa"/>
            <w:vMerge w:val="restart"/>
            <w:tcBorders>
              <w:top w:val="nil" w:sz="6" w:space="0" w:color="auto"/>
              <w:left w:val="single" w:sz="4" w:space="0" w:color="000000"/>
              <w:right w:val="single" w:sz="4" w:space="0" w:color="000000"/>
            </w:tcBorders>
            <w:shd w:val="clear" w:color="auto" w:fill="D2D2D2"/>
          </w:tcPr>
          <w:p>
            <w:pPr/>
          </w:p>
        </w:tc>
        <w:tc>
          <w:tcPr>
            <w:tcW w:w="2165" w:type="dxa"/>
            <w:vMerge w:val="restart"/>
            <w:tcBorders>
              <w:top w:val="nil" w:sz="6" w:space="0" w:color="auto"/>
              <w:left w:val="single" w:sz="4" w:space="0" w:color="000000"/>
              <w:right w:val="single" w:sz="4" w:space="0" w:color="000000"/>
            </w:tcBorders>
            <w:shd w:val="clear" w:color="auto" w:fill="D2D2D2"/>
          </w:tcPr>
          <w:p>
            <w:pPr>
              <w:pStyle w:val="TableParagraph"/>
              <w:spacing w:line="247" w:lineRule="exact"/>
              <w:ind w:left="6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4295" w:type="dxa"/>
            <w:gridSpan w:val="2"/>
            <w:vMerge/>
            <w:tcBorders>
              <w:left w:val="single" w:sz="4" w:space="0" w:color="000000"/>
              <w:bottom w:val="single" w:sz="4" w:space="0" w:color="000000"/>
              <w:right w:val="single" w:sz="4" w:space="0" w:color="000000"/>
            </w:tcBorders>
            <w:shd w:val="clear" w:color="auto" w:fill="D2D2D2"/>
          </w:tcPr>
          <w:p>
            <w:pPr/>
          </w:p>
        </w:tc>
        <w:tc>
          <w:tcPr>
            <w:tcW w:w="1758" w:type="dxa"/>
            <w:vMerge/>
            <w:tcBorders>
              <w:left w:val="single" w:sz="4" w:space="0" w:color="000000"/>
              <w:bottom w:val="single" w:sz="4" w:space="0" w:color="000000"/>
              <w:right w:val="single" w:sz="4" w:space="0" w:color="000000"/>
            </w:tcBorders>
            <w:shd w:val="clear" w:color="auto" w:fill="D2D2D2"/>
          </w:tcPr>
          <w:p>
            <w:pPr/>
          </w:p>
        </w:tc>
        <w:tc>
          <w:tcPr>
            <w:tcW w:w="4233" w:type="dxa"/>
            <w:gridSpan w:val="2"/>
            <w:vMerge/>
            <w:tcBorders>
              <w:left w:val="single" w:sz="4" w:space="0" w:color="000000"/>
              <w:bottom w:val="single" w:sz="4" w:space="0" w:color="000000"/>
              <w:right w:val="single" w:sz="4" w:space="0" w:color="000000"/>
            </w:tcBorders>
            <w:shd w:val="clear" w:color="auto" w:fill="D2D2D2"/>
          </w:tcPr>
          <w:p>
            <w:pPr/>
          </w:p>
        </w:tc>
      </w:tr>
      <w:tr>
        <w:trPr>
          <w:trHeight w:val="149" w:hRule="exact"/>
        </w:trPr>
        <w:tc>
          <w:tcPr>
            <w:tcW w:w="2412" w:type="dxa"/>
            <w:vMerge/>
            <w:tcBorders>
              <w:left w:val="single" w:sz="4" w:space="0" w:color="000000"/>
              <w:bottom w:val="nil" w:sz="6" w:space="0" w:color="auto"/>
              <w:right w:val="single" w:sz="4" w:space="0" w:color="000000"/>
            </w:tcBorders>
            <w:shd w:val="clear" w:color="auto" w:fill="D2D2D2"/>
          </w:tcPr>
          <w:p>
            <w:pPr/>
          </w:p>
        </w:tc>
        <w:tc>
          <w:tcPr>
            <w:tcW w:w="2165" w:type="dxa"/>
            <w:vMerge/>
            <w:tcBorders>
              <w:left w:val="single" w:sz="4" w:space="0" w:color="000000"/>
              <w:bottom w:val="nil" w:sz="6" w:space="0" w:color="auto"/>
              <w:right w:val="single" w:sz="4" w:space="0" w:color="000000"/>
            </w:tcBorders>
            <w:shd w:val="clear" w:color="auto" w:fill="D2D2D2"/>
          </w:tcPr>
          <w:p>
            <w:pPr/>
          </w:p>
        </w:tc>
        <w:tc>
          <w:tcPr>
            <w:tcW w:w="20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22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7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调整后</w:t>
            </w:r>
          </w:p>
        </w:tc>
        <w:tc>
          <w:tcPr>
            <w:tcW w:w="21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调整前</w:t>
            </w:r>
          </w:p>
        </w:tc>
        <w:tc>
          <w:tcPr>
            <w:tcW w:w="20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179" w:hRule="exact"/>
        </w:trPr>
        <w:tc>
          <w:tcPr>
            <w:tcW w:w="2412"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5" w:type="dxa"/>
            <w:tcBorders>
              <w:top w:val="nil" w:sz="6" w:space="0" w:color="auto"/>
              <w:left w:val="single" w:sz="4" w:space="0" w:color="000000"/>
              <w:bottom w:val="single" w:sz="4" w:space="0" w:color="000000"/>
              <w:right w:val="single" w:sz="4" w:space="0" w:color="000000"/>
            </w:tcBorders>
            <w:shd w:val="clear" w:color="auto" w:fill="D2D2D2"/>
          </w:tcPr>
          <w:p>
            <w:pPr/>
          </w:p>
        </w:tc>
        <w:tc>
          <w:tcPr>
            <w:tcW w:w="2042" w:type="dxa"/>
            <w:vMerge/>
            <w:tcBorders>
              <w:left w:val="single" w:sz="4" w:space="0" w:color="000000"/>
              <w:bottom w:val="single" w:sz="4" w:space="0" w:color="000000"/>
              <w:right w:val="single" w:sz="4" w:space="0" w:color="000000"/>
            </w:tcBorders>
            <w:shd w:val="clear" w:color="auto" w:fill="D2D2D2"/>
          </w:tcPr>
          <w:p>
            <w:pPr/>
          </w:p>
        </w:tc>
        <w:tc>
          <w:tcPr>
            <w:tcW w:w="2253" w:type="dxa"/>
            <w:vMerge/>
            <w:tcBorders>
              <w:left w:val="single" w:sz="4" w:space="0" w:color="000000"/>
              <w:bottom w:val="single" w:sz="4" w:space="0" w:color="000000"/>
              <w:right w:val="single" w:sz="4" w:space="0" w:color="000000"/>
            </w:tcBorders>
            <w:shd w:val="clear" w:color="auto" w:fill="D2D2D2"/>
          </w:tcPr>
          <w:p>
            <w:pPr/>
          </w:p>
        </w:tc>
        <w:tc>
          <w:tcPr>
            <w:tcW w:w="1758" w:type="dxa"/>
            <w:vMerge/>
            <w:tcBorders>
              <w:left w:val="single" w:sz="4" w:space="0" w:color="000000"/>
              <w:bottom w:val="single" w:sz="4" w:space="0" w:color="000000"/>
              <w:right w:val="single" w:sz="4" w:space="0" w:color="000000"/>
            </w:tcBorders>
            <w:shd w:val="clear" w:color="auto" w:fill="D2D2D2"/>
          </w:tcPr>
          <w:p>
            <w:pPr/>
          </w:p>
        </w:tc>
        <w:tc>
          <w:tcPr>
            <w:tcW w:w="2156" w:type="dxa"/>
            <w:vMerge/>
            <w:tcBorders>
              <w:left w:val="single" w:sz="4" w:space="0" w:color="000000"/>
              <w:bottom w:val="single" w:sz="4" w:space="0" w:color="000000"/>
              <w:right w:val="single" w:sz="4" w:space="0" w:color="000000"/>
            </w:tcBorders>
            <w:shd w:val="clear" w:color="auto" w:fill="D2D2D2"/>
          </w:tcPr>
          <w:p>
            <w:pPr/>
          </w:p>
        </w:tc>
        <w:tc>
          <w:tcPr>
            <w:tcW w:w="2076"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21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25,985,451,950.06</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24,273,190,387.85</w:t>
            </w:r>
          </w:p>
        </w:tc>
        <w:tc>
          <w:tcPr>
            <w:tcW w:w="2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24,273,190,387.85</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7.05%</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17,037,169,575.96</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17,038,725,301.51</w:t>
            </w:r>
          </w:p>
        </w:tc>
      </w:tr>
      <w:tr>
        <w:trPr>
          <w:trHeight w:val="557"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21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3,841,446,080.18</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3,350,058,916.99</w:t>
            </w:r>
          </w:p>
        </w:tc>
        <w:tc>
          <w:tcPr>
            <w:tcW w:w="2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3,350,058,916.99</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14.67%</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2,648,163,405.59</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2,648,163,405.59</w:t>
            </w:r>
          </w:p>
        </w:tc>
      </w:tr>
    </w:tbl>
    <w:p>
      <w:pPr>
        <w:pStyle w:val="BodyText"/>
        <w:spacing w:line="240" w:lineRule="auto" w:before="11"/>
        <w:ind w:left="560" w:right="0"/>
        <w:jc w:val="left"/>
      </w:pPr>
      <w:r>
        <w:rPr/>
        <w:t>会计政策变更的原因及会计差错更正的情况：</w:t>
      </w:r>
    </w:p>
    <w:p>
      <w:pPr>
        <w:pStyle w:val="BodyText"/>
        <w:spacing w:line="242" w:lineRule="exact" w:before="37"/>
        <w:ind w:left="920" w:right="0"/>
        <w:jc w:val="left"/>
        <w:rPr>
          <w:rFonts w:ascii="Times New Roman" w:hAnsi="Times New Roman" w:cs="Times New Roman" w:eastAsia="Times New Roman" w:hint="default"/>
        </w:rPr>
      </w:pPr>
      <w:r>
        <w:rPr/>
        <w:t>财政部于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年颁布</w:t>
      </w:r>
      <w:r>
        <w:rPr>
          <w:spacing w:val="-24"/>
        </w:rPr>
        <w:t>了</w:t>
      </w:r>
      <w:r>
        <w:rPr/>
        <w:t>《</w:t>
      </w:r>
      <w:r>
        <w:rPr>
          <w:spacing w:val="-2"/>
        </w:rPr>
        <w:t>关</w:t>
      </w:r>
      <w:r>
        <w:rPr/>
        <w:t>于修订印发</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年度一般企业财务报表格式的通知</w:t>
      </w:r>
      <w:r>
        <w:rPr>
          <w:spacing w:val="-114"/>
        </w:rPr>
        <w:t>》</w:t>
      </w:r>
      <w:r>
        <w:rPr/>
        <w:t>（财</w:t>
      </w:r>
      <w:r>
        <w:rPr>
          <w:spacing w:val="-26"/>
        </w:rPr>
        <w:t>会</w:t>
      </w:r>
      <w:r>
        <w:rPr/>
        <w:t>【</w:t>
      </w:r>
      <w:r>
        <w:rPr>
          <w:rFonts w:ascii="Times New Roman" w:hAnsi="Times New Roman" w:cs="Times New Roman" w:eastAsia="Times New Roman" w:hint="default"/>
        </w:rPr>
        <w:t>2018</w:t>
      </w:r>
      <w:r>
        <w:rPr>
          <w:spacing w:val="-24"/>
        </w:rPr>
        <w:t>】</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号</w:t>
      </w:r>
      <w:r>
        <w:rPr>
          <w:spacing w:val="-24"/>
        </w:rPr>
        <w:t>）</w:t>
      </w:r>
      <w:r>
        <w:rPr/>
        <w:t>及其解读</w:t>
      </w:r>
      <w:r>
        <w:rPr>
          <w:spacing w:val="-24"/>
        </w:rPr>
        <w:t>，</w:t>
      </w:r>
      <w:r>
        <w:rPr>
          <w:spacing w:val="-2"/>
        </w:rPr>
        <w:t>本</w:t>
      </w:r>
      <w:r>
        <w:rPr/>
        <w:t>集团已按照上述通知编制</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年度的财务报表</w:t>
      </w:r>
      <w:r>
        <w:rPr>
          <w:spacing w:val="-24"/>
        </w:rPr>
        <w:t>，</w:t>
      </w:r>
      <w:r>
        <w:rPr/>
        <w:t>对</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01</w:t>
      </w:r>
      <w:r>
        <w:rPr>
          <w:rFonts w:ascii="Times New Roman" w:hAnsi="Times New Roman" w:cs="Times New Roman" w:eastAsia="Times New Roman" w:hint="default"/>
        </w:rPr>
        <w:t>7</w:t>
      </w:r>
    </w:p>
    <w:p>
      <w:pPr>
        <w:pStyle w:val="BodyText"/>
        <w:spacing w:line="242" w:lineRule="exact"/>
        <w:ind w:left="560" w:right="0"/>
        <w:jc w:val="left"/>
      </w:pPr>
      <w:r>
        <w:rPr/>
        <w:t>年比较财务报表相应调整。会计政策变更对本集团财务报表的具体影响见本报告第十一节财务报告、五、重要会计政策及会计估计、</w:t>
      </w:r>
      <w:r>
        <w:rPr>
          <w:rFonts w:ascii="Times New Roman" w:hAnsi="Times New Roman" w:cs="Times New Roman" w:eastAsia="Times New Roman" w:hint="default"/>
        </w:rPr>
        <w:t>31</w:t>
      </w:r>
      <w:r>
        <w:rPr/>
        <w:t>、重要会计政策和会计估计变更。</w:t>
      </w:r>
    </w:p>
    <w:p>
      <w:pPr>
        <w:pStyle w:val="BodyText"/>
        <w:spacing w:line="241" w:lineRule="exact" w:before="24"/>
        <w:ind w:left="920"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年本集团根据《增值税会计处理规定</w:t>
      </w:r>
      <w:r>
        <w:rPr>
          <w:spacing w:val="-90"/>
        </w:rPr>
        <w:t>》</w:t>
      </w:r>
      <w:r>
        <w:rPr/>
        <w:t>（财会</w:t>
      </w:r>
      <w:r>
        <w:rPr>
          <w:rFonts w:ascii="Times New Roman" w:hAnsi="Times New Roman" w:cs="Times New Roman" w:eastAsia="Times New Roman" w:hint="default"/>
        </w:rPr>
        <w:t>[2016</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号）的要求，将</w:t>
      </w:r>
      <w:r>
        <w:rPr>
          <w:rFonts w:ascii="Times New Roman" w:hAnsi="Times New Roman" w:cs="Times New Roman" w:eastAsia="Times New Roman" w:hint="default"/>
          <w:spacing w:val="-1"/>
          <w:w w:val="99"/>
        </w:rPr>
        <w:t>"</w:t>
      </w:r>
      <w:r>
        <w:rPr/>
        <w:t>应交税费</w:t>
      </w:r>
      <w:r>
        <w:rPr>
          <w:rFonts w:ascii="Times New Roman" w:hAnsi="Times New Roman" w:cs="Times New Roman" w:eastAsia="Times New Roman" w:hint="default"/>
          <w:spacing w:val="-1"/>
          <w:w w:val="99"/>
        </w:rPr>
        <w:t>"</w:t>
      </w:r>
      <w:r>
        <w:rPr/>
        <w:t>科目下的</w:t>
      </w:r>
      <w:r>
        <w:rPr>
          <w:rFonts w:ascii="Times New Roman" w:hAnsi="Times New Roman" w:cs="Times New Roman" w:eastAsia="Times New Roman" w:hint="default"/>
          <w:spacing w:val="-1"/>
          <w:w w:val="99"/>
        </w:rPr>
        <w:t>"</w:t>
      </w:r>
      <w:r>
        <w:rPr/>
        <w:t>应交增值税</w:t>
      </w:r>
      <w:r>
        <w:rPr>
          <w:rFonts w:ascii="Times New Roman" w:hAnsi="Times New Roman" w:cs="Times New Roman" w:eastAsia="Times New Roman" w:hint="default"/>
          <w:spacing w:val="-1"/>
          <w:w w:val="99"/>
        </w:rPr>
        <w:t>"</w:t>
      </w:r>
      <w:r>
        <w:rPr/>
        <w:t>、</w:t>
      </w:r>
      <w:r>
        <w:rPr>
          <w:rFonts w:ascii="Times New Roman" w:hAnsi="Times New Roman" w:cs="Times New Roman" w:eastAsia="Times New Roman" w:hint="default"/>
          <w:spacing w:val="-1"/>
          <w:w w:val="99"/>
        </w:rPr>
        <w:t>"</w:t>
      </w:r>
      <w:r>
        <w:rPr/>
        <w:t>未交增值税</w:t>
      </w:r>
      <w:r>
        <w:rPr>
          <w:rFonts w:ascii="Times New Roman" w:hAnsi="Times New Roman" w:cs="Times New Roman" w:eastAsia="Times New Roman" w:hint="default"/>
          <w:spacing w:val="-1"/>
          <w:w w:val="99"/>
        </w:rPr>
        <w:t>"</w:t>
      </w:r>
      <w:r>
        <w:rPr/>
        <w:t>、</w:t>
      </w:r>
      <w:r>
        <w:rPr>
          <w:rFonts w:ascii="Times New Roman" w:hAnsi="Times New Roman" w:cs="Times New Roman" w:eastAsia="Times New Roman" w:hint="default"/>
          <w:spacing w:val="-1"/>
          <w:w w:val="99"/>
        </w:rPr>
        <w:t>"</w:t>
      </w:r>
      <w:r>
        <w:rPr/>
        <w:t>待抵扣进项税额</w:t>
      </w:r>
      <w:r>
        <w:rPr>
          <w:rFonts w:ascii="Times New Roman" w:hAnsi="Times New Roman" w:cs="Times New Roman" w:eastAsia="Times New Roman" w:hint="default"/>
          <w:spacing w:val="-1"/>
          <w:w w:val="99"/>
        </w:rPr>
        <w:t>"</w:t>
      </w:r>
      <w:r>
        <w:rPr/>
        <w:t>、</w:t>
      </w:r>
      <w:r>
        <w:rPr>
          <w:rFonts w:ascii="Times New Roman" w:hAnsi="Times New Roman" w:cs="Times New Roman" w:eastAsia="Times New Roman" w:hint="default"/>
          <w:spacing w:val="-1"/>
          <w:w w:val="99"/>
        </w:rPr>
        <w:t>"</w:t>
      </w:r>
      <w:r>
        <w:rPr/>
        <w:t>待认证进项税额</w:t>
      </w:r>
      <w:r>
        <w:rPr>
          <w:rFonts w:ascii="Times New Roman" w:hAnsi="Times New Roman" w:cs="Times New Roman" w:eastAsia="Times New Roman" w:hint="default"/>
          <w:spacing w:val="-1"/>
          <w:w w:val="99"/>
        </w:rPr>
        <w:t>"</w:t>
      </w:r>
      <w:r>
        <w:rPr/>
        <w:t>、</w:t>
      </w:r>
      <w:r>
        <w:rPr>
          <w:rFonts w:ascii="Times New Roman" w:hAnsi="Times New Roman" w:cs="Times New Roman" w:eastAsia="Times New Roman" w:hint="default"/>
          <w:spacing w:val="-1"/>
          <w:w w:val="99"/>
        </w:rPr>
        <w:t>"</w:t>
      </w:r>
      <w:r>
        <w:rPr/>
        <w:t>增值</w:t>
      </w:r>
    </w:p>
    <w:p>
      <w:pPr>
        <w:pStyle w:val="BodyText"/>
        <w:spacing w:line="233" w:lineRule="exact"/>
        <w:ind w:left="560" w:right="0"/>
        <w:jc w:val="left"/>
      </w:pPr>
      <w:r>
        <w:rPr/>
        <w:t>税留抵税额</w:t>
      </w:r>
      <w:r>
        <w:rPr>
          <w:rFonts w:ascii="Times New Roman" w:hAnsi="Times New Roman" w:cs="Times New Roman" w:eastAsia="Times New Roman" w:hint="default"/>
        </w:rPr>
        <w:t>"</w:t>
      </w:r>
      <w:r>
        <w:rPr/>
        <w:t>等明细科目期末借方余额根据情况，在资产负债表的“其他流动资产”或“其他非流动资产”项目列示；同时根据《企业会计准则第</w:t>
      </w:r>
      <w:r>
        <w:rPr>
          <w:spacing w:val="-45"/>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财务报表列报》的要求对</w:t>
      </w:r>
    </w:p>
    <w:p>
      <w:pPr>
        <w:pStyle w:val="BodyText"/>
        <w:spacing w:line="242" w:lineRule="exact"/>
        <w:ind w:left="560" w:right="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年对比数据进行了调整，调整金额共计</w:t>
      </w:r>
      <w:r>
        <w:rPr>
          <w:spacing w:val="-46"/>
        </w:rPr>
        <w:t> </w:t>
      </w:r>
      <w:r>
        <w:rPr>
          <w:rFonts w:ascii="Times New Roman" w:hAnsi="Times New Roman" w:cs="Times New Roman" w:eastAsia="Times New Roman" w:hint="default"/>
        </w:rPr>
        <w:t>1,555,725.55</w:t>
      </w:r>
      <w:r>
        <w:rPr>
          <w:rFonts w:ascii="Times New Roman" w:hAnsi="Times New Roman" w:cs="Times New Roman" w:eastAsia="Times New Roman" w:hint="default"/>
          <w:spacing w:val="-2"/>
        </w:rPr>
        <w:t> </w:t>
      </w:r>
      <w:r>
        <w:rPr/>
        <w:t>元（其中母公司调整金额</w:t>
      </w:r>
      <w:r>
        <w:rPr>
          <w:spacing w:val="-46"/>
        </w:rPr>
        <w:t> </w:t>
      </w:r>
      <w:r>
        <w:rPr>
          <w:rFonts w:ascii="Times New Roman" w:hAnsi="Times New Roman" w:cs="Times New Roman" w:eastAsia="Times New Roman" w:hint="default"/>
        </w:rPr>
        <w:t>875,089.63 </w:t>
      </w:r>
      <w:r>
        <w:rPr/>
        <w:t>元</w:t>
      </w:r>
      <w:r>
        <w:rPr>
          <w:spacing w:val="-90"/>
        </w:rPr>
        <w:t>）</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BodyText"/>
        <w:spacing w:line="240" w:lineRule="auto" w:before="76"/>
        <w:ind w:left="0" w:right="576"/>
        <w:jc w:val="right"/>
        <w:rPr>
          <w:rFonts w:ascii="Times New Roman" w:hAnsi="Times New Roman" w:cs="Times New Roman" w:eastAsia="Times New Roman" w:hint="default"/>
        </w:rPr>
      </w:pPr>
      <w:r>
        <w:rPr>
          <w:rFonts w:ascii="Times New Roman"/>
        </w:rPr>
        <w:t>9</w:t>
      </w: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3"/>
          <w:szCs w:val="23"/>
        </w:rPr>
      </w:pPr>
    </w:p>
    <w:p>
      <w:pPr>
        <w:spacing w:line="371" w:lineRule="exact"/>
        <w:ind w:left="1090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3" name="image1.jpeg" descr=""/>
            <wp:cNvGraphicFramePr>
              <a:graphicFrameLocks noChangeAspect="1"/>
            </wp:cNvGraphicFramePr>
            <a:graphic>
              <a:graphicData uri="http://schemas.openxmlformats.org/drawingml/2006/picture">
                <pic:pic>
                  <pic:nvPicPr>
                    <pic:cNvPr id="4" name="image1.jpeg"/>
                    <pic:cNvPicPr/>
                  </pic:nvPicPr>
                  <pic:blipFill>
                    <a:blip r:embed="rId14"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10" w:orient="landscape"/>
          <w:pgMar w:top="1580" w:bottom="700" w:left="880" w:right="860"/>
        </w:sectPr>
      </w:pPr>
    </w:p>
    <w:p>
      <w:pPr>
        <w:spacing w:line="240" w:lineRule="auto" w:before="4"/>
        <w:rPr>
          <w:rFonts w:ascii="Times New Roman" w:hAnsi="Times New Roman" w:cs="Times New Roman" w:eastAsia="Times New Roman" w:hint="default"/>
          <w:sz w:val="21"/>
          <w:szCs w:val="21"/>
        </w:rPr>
      </w:pPr>
    </w:p>
    <w:p>
      <w:pPr>
        <w:pStyle w:val="BodyText"/>
        <w:spacing w:line="240" w:lineRule="auto" w:before="44"/>
        <w:ind w:left="214" w:right="1360"/>
        <w:jc w:val="left"/>
      </w:pPr>
      <w:r>
        <w:rPr/>
        <w:t>截止披露前一交易日的公司总股本：</w:t>
      </w:r>
    </w:p>
    <w:p>
      <w:pPr>
        <w:spacing w:line="240" w:lineRule="auto" w:before="3"/>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4867"/>
        <w:gridCol w:w="4989"/>
      </w:tblGrid>
      <w:tr>
        <w:trPr>
          <w:trHeight w:val="323" w:hRule="exact"/>
        </w:trPr>
        <w:tc>
          <w:tcPr>
            <w:tcW w:w="486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截止披露前一交易日的公司总股本（股）</w:t>
            </w:r>
          </w:p>
        </w:tc>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z w:val="18"/>
              </w:rPr>
              <w:t>654,070,434</w:t>
            </w:r>
          </w:p>
        </w:tc>
      </w:tr>
      <w:tr>
        <w:trPr>
          <w:trHeight w:val="323" w:hRule="exact"/>
        </w:trPr>
        <w:tc>
          <w:tcPr>
            <w:tcW w:w="486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z w:val="18"/>
              </w:rPr>
              <w:t>0.7834</w:t>
            </w:r>
          </w:p>
        </w:tc>
      </w:tr>
    </w:tbl>
    <w:p>
      <w:pPr>
        <w:pStyle w:val="BodyText"/>
        <w:spacing w:line="205" w:lineRule="exact"/>
        <w:ind w:left="214" w:right="1360"/>
        <w:jc w:val="left"/>
      </w:pPr>
      <w:r>
        <w:rPr/>
        <w:t>是否存在公司债</w:t>
      </w:r>
    </w:p>
    <w:p>
      <w:pPr>
        <w:pStyle w:val="BodyText"/>
        <w:spacing w:line="240" w:lineRule="auto" w:before="39"/>
        <w:ind w:left="214" w:right="136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3"/>
        <w:rPr>
          <w:rFonts w:ascii="宋体" w:hAnsi="宋体" w:cs="宋体" w:eastAsia="宋体" w:hint="default"/>
          <w:sz w:val="20"/>
          <w:szCs w:val="20"/>
        </w:rPr>
      </w:pPr>
    </w:p>
    <w:p>
      <w:pPr>
        <w:pStyle w:val="Heading2"/>
        <w:spacing w:line="240" w:lineRule="auto"/>
        <w:ind w:left="214" w:right="1360"/>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left="214" w:right="1360"/>
        <w:jc w:val="left"/>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0"/>
        <w:rPr>
          <w:rFonts w:ascii="宋体" w:hAnsi="宋体" w:cs="宋体" w:eastAsia="宋体" w:hint="default"/>
          <w:b/>
          <w:bCs/>
          <w:sz w:val="22"/>
          <w:szCs w:val="22"/>
        </w:rPr>
      </w:pPr>
    </w:p>
    <w:p>
      <w:pPr>
        <w:pStyle w:val="BodyText"/>
        <w:spacing w:line="264" w:lineRule="auto"/>
        <w:ind w:left="214" w:right="1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
        <w:rPr>
          <w:rFonts w:ascii="宋体" w:hAnsi="宋体" w:cs="宋体" w:eastAsia="宋体" w:hint="default"/>
          <w:sz w:val="21"/>
          <w:szCs w:val="21"/>
        </w:rPr>
      </w:pPr>
    </w:p>
    <w:p>
      <w:pPr>
        <w:pStyle w:val="Heading3"/>
        <w:spacing w:line="240" w:lineRule="auto"/>
        <w:ind w:left="214" w:right="1360"/>
        <w:jc w:val="left"/>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12"/>
        <w:rPr>
          <w:rFonts w:ascii="宋体" w:hAnsi="宋体" w:cs="宋体" w:eastAsia="宋体" w:hint="default"/>
          <w:b/>
          <w:bCs/>
          <w:sz w:val="21"/>
          <w:szCs w:val="21"/>
        </w:rPr>
      </w:pPr>
    </w:p>
    <w:p>
      <w:pPr>
        <w:pStyle w:val="BodyText"/>
        <w:spacing w:line="264" w:lineRule="auto"/>
        <w:ind w:left="214" w:right="26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1"/>
        <w:rPr>
          <w:rFonts w:ascii="宋体" w:hAnsi="宋体" w:cs="宋体" w:eastAsia="宋体" w:hint="default"/>
          <w:sz w:val="21"/>
          <w:szCs w:val="21"/>
        </w:rPr>
      </w:pPr>
    </w:p>
    <w:p>
      <w:pPr>
        <w:pStyle w:val="Heading3"/>
        <w:spacing w:line="240" w:lineRule="auto"/>
        <w:ind w:left="214" w:right="1360"/>
        <w:jc w:val="left"/>
        <w:rPr>
          <w:b w:val="0"/>
          <w:bCs w:val="0"/>
        </w:rPr>
      </w:pPr>
      <w:bookmarkStart w:name="3、境内外会计准则下会计数据差异原因说明" w:id="13"/>
      <w:bookmarkEnd w:id="13"/>
      <w:r>
        <w:rPr>
          <w:b w:val="0"/>
          <w:bCs w:val="0"/>
        </w:rPr>
      </w:r>
      <w:r>
        <w:rPr>
          <w:rFonts w:ascii="Times New Roman" w:hAnsi="Times New Roman" w:cs="Times New Roman" w:eastAsia="Times New Roman" w:hint="default"/>
        </w:rPr>
        <w:t>3</w:t>
      </w:r>
      <w:r>
        <w:rPr/>
        <w:t>、境内外会计准则下会计数据差异原因说明</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214" w:right="1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0"/>
          <w:szCs w:val="20"/>
        </w:rPr>
      </w:pPr>
    </w:p>
    <w:p>
      <w:pPr>
        <w:pStyle w:val="Heading2"/>
        <w:spacing w:line="240" w:lineRule="auto"/>
        <w:ind w:left="214" w:right="136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2"/>
        <w:rPr>
          <w:rFonts w:ascii="宋体" w:hAnsi="宋体" w:cs="宋体" w:eastAsia="宋体" w:hint="default"/>
          <w:b/>
          <w:bCs/>
          <w:sz w:val="20"/>
          <w:szCs w:val="20"/>
        </w:rPr>
      </w:pPr>
    </w:p>
    <w:p>
      <w:pPr>
        <w:pStyle w:val="BodyText"/>
        <w:spacing w:line="240" w:lineRule="auto" w:before="44"/>
        <w:ind w:left="0" w:right="1130"/>
        <w:jc w:val="right"/>
      </w:pPr>
      <w:r>
        <w:rPr/>
        <w:t>单位：元</w:t>
      </w:r>
    </w:p>
    <w:p>
      <w:pPr>
        <w:spacing w:line="240" w:lineRule="auto" w:before="2"/>
        <w:rPr>
          <w:rFonts w:ascii="宋体" w:hAnsi="宋体" w:cs="宋体" w:eastAsia="宋体" w:hint="default"/>
          <w:sz w:val="5"/>
          <w:szCs w:val="5"/>
        </w:rPr>
      </w:pPr>
    </w:p>
    <w:tbl>
      <w:tblPr>
        <w:tblW w:w="0" w:type="auto"/>
        <w:jc w:val="left"/>
        <w:tblInd w:w="22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32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32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15,784,658,438.53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17,262,223,490.15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20,307,694,413.03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28,503,478,151.52</w:t>
            </w:r>
          </w:p>
        </w:tc>
      </w:tr>
      <w:tr>
        <w:trPr>
          <w:trHeight w:val="32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2"/>
                <w:sz w:val="18"/>
              </w:rPr>
              <w:t>111,406,861.16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156,092,520.61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76,897,151.43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168,011,474.86</w:t>
            </w:r>
          </w:p>
        </w:tc>
      </w:tr>
      <w:tr>
        <w:trPr>
          <w:trHeight w:val="557"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105,393,388.94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143,340,249.20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72,138,045.62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151,282,069.68</w:t>
            </w:r>
          </w:p>
        </w:tc>
      </w:tr>
      <w:tr>
        <w:trPr>
          <w:trHeight w:val="32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-152,701,046.14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696,555,630.67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87,006,591.21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-270,321,558.20</w:t>
            </w:r>
          </w:p>
        </w:tc>
      </w:tr>
    </w:tbl>
    <w:p>
      <w:pPr>
        <w:pStyle w:val="BodyText"/>
        <w:spacing w:line="240" w:lineRule="auto" w:before="10"/>
        <w:ind w:left="214" w:right="1360"/>
        <w:jc w:val="left"/>
      </w:pPr>
      <w:r>
        <w:rPr/>
        <w:t>上述财务指标或其加总数是否与公司已披露季度报告、半年度报告相关财务指标存在重大差异</w:t>
      </w:r>
    </w:p>
    <w:p>
      <w:pPr>
        <w:pStyle w:val="BodyText"/>
        <w:spacing w:line="240" w:lineRule="auto" w:before="37"/>
        <w:ind w:left="214" w:right="136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
        <w:rPr>
          <w:rFonts w:ascii="宋体" w:hAnsi="宋体" w:cs="宋体" w:eastAsia="宋体" w:hint="default"/>
          <w:sz w:val="21"/>
          <w:szCs w:val="21"/>
        </w:rPr>
      </w:pPr>
    </w:p>
    <w:p>
      <w:pPr>
        <w:pStyle w:val="Heading2"/>
        <w:spacing w:line="240" w:lineRule="auto"/>
        <w:ind w:left="214" w:right="136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1"/>
        <w:rPr>
          <w:rFonts w:ascii="宋体" w:hAnsi="宋体" w:cs="宋体" w:eastAsia="宋体" w:hint="default"/>
          <w:b/>
          <w:bCs/>
          <w:sz w:val="20"/>
          <w:szCs w:val="20"/>
        </w:rPr>
      </w:pPr>
    </w:p>
    <w:p>
      <w:pPr>
        <w:pStyle w:val="BodyText"/>
        <w:spacing w:line="240" w:lineRule="auto" w:before="44"/>
        <w:ind w:left="214" w:right="1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24"/>
        <w:ind w:left="0" w:right="1130"/>
        <w:jc w:val="right"/>
      </w:pPr>
      <w:r>
        <w:rPr/>
        <w:t>单位：元</w:t>
      </w:r>
    </w:p>
    <w:p>
      <w:pPr>
        <w:spacing w:line="240" w:lineRule="auto" w:before="3"/>
        <w:rPr>
          <w:rFonts w:ascii="宋体" w:hAnsi="宋体" w:cs="宋体" w:eastAsia="宋体" w:hint="default"/>
          <w:sz w:val="5"/>
          <w:szCs w:val="5"/>
        </w:rPr>
      </w:pPr>
    </w:p>
    <w:tbl>
      <w:tblPr>
        <w:tblW w:w="0" w:type="auto"/>
        <w:jc w:val="left"/>
        <w:tblInd w:w="220" w:type="dxa"/>
        <w:tblLayout w:type="fixed"/>
        <w:tblCellMar>
          <w:top w:w="0" w:type="dxa"/>
          <w:left w:w="0" w:type="dxa"/>
          <w:bottom w:w="0" w:type="dxa"/>
          <w:right w:w="0" w:type="dxa"/>
        </w:tblCellMar>
        <w:tblLook w:val="01E0"/>
      </w:tblPr>
      <w:tblGrid>
        <w:gridCol w:w="4481"/>
        <w:gridCol w:w="1429"/>
        <w:gridCol w:w="1418"/>
        <w:gridCol w:w="1276"/>
        <w:gridCol w:w="954"/>
      </w:tblGrid>
      <w:tr>
        <w:trPr>
          <w:trHeight w:val="323" w:hRule="exact"/>
        </w:trPr>
        <w:tc>
          <w:tcPr>
            <w:tcW w:w="4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92" w:right="0"/>
              <w:jc w:val="left"/>
              <w:rPr>
                <w:rFonts w:ascii="宋体" w:hAnsi="宋体" w:cs="宋体" w:eastAsia="宋体" w:hint="default"/>
                <w:sz w:val="18"/>
                <w:szCs w:val="18"/>
              </w:rPr>
            </w:pPr>
            <w:r>
              <w:rPr>
                <w:rFonts w:ascii="宋体" w:hAnsi="宋体" w:cs="宋体" w:eastAsia="宋体" w:hint="default"/>
                <w:sz w:val="18"/>
                <w:szCs w:val="18"/>
              </w:rPr>
              <w:t>说明</w:t>
            </w:r>
          </w:p>
        </w:tc>
      </w:tr>
      <w:tr>
        <w:trPr>
          <w:trHeight w:val="557" w:hRule="exact"/>
        </w:trPr>
        <w:tc>
          <w:tcPr>
            <w:tcW w:w="4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10"/>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非流动资产处置损益（包括已计提资产减值准备的冲销部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分）</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-1,467,524.25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-2,065,144.17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-769,599.58</w:t>
            </w:r>
            <w:r>
              <w:rPr>
                <w:rFonts w:ascii="Times New Roman"/>
                <w:sz w:val="18"/>
              </w:rPr>
            </w:r>
          </w:p>
        </w:tc>
        <w:tc>
          <w:tcPr>
            <w:tcW w:w="95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10"/>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计入当期损益的政府补助（与企业业务密切相关，按照国</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家统一标准定额或定量享受的政府补助除外）</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45,541,319.26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52,242,727.03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40,879,234.50</w:t>
            </w:r>
          </w:p>
        </w:tc>
        <w:tc>
          <w:tcPr>
            <w:tcW w:w="95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10,532,903.51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13,720,467.86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5,239,195.51</w:t>
            </w:r>
          </w:p>
        </w:tc>
        <w:tc>
          <w:tcPr>
            <w:tcW w:w="954"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4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10"/>
              <w:jc w:val="left"/>
              <w:rPr>
                <w:rFonts w:ascii="宋体" w:hAnsi="宋体" w:cs="宋体" w:eastAsia="宋体" w:hint="default"/>
                <w:sz w:val="18"/>
                <w:szCs w:val="18"/>
              </w:rPr>
            </w:pPr>
            <w:r>
              <w:rPr>
                <w:rFonts w:ascii="宋体" w:hAnsi="宋体" w:cs="宋体" w:eastAsia="宋体" w:hint="default"/>
                <w:spacing w:val="-3"/>
                <w:sz w:val="18"/>
                <w:szCs w:val="18"/>
              </w:rPr>
              <w:t>企业取得子公司、联营企业及合营企业的投资成本小于取</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得投资时应享有被投资单位可辨认净资产公允价值产生 的收益</w:t>
            </w:r>
          </w:p>
        </w:tc>
        <w:tc>
          <w:tcPr>
            <w:tcW w:w="1429" w:type="dxa"/>
            <w:tcBorders>
              <w:top w:val="single" w:sz="4" w:space="0" w:color="000000"/>
              <w:left w:val="single" w:sz="13" w:space="0" w:color="D2D2D2"/>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341,722,930.53</w:t>
            </w:r>
          </w:p>
        </w:tc>
        <w:tc>
          <w:tcPr>
            <w:tcW w:w="1276" w:type="dxa"/>
            <w:tcBorders>
              <w:top w:val="single" w:sz="4" w:space="0" w:color="000000"/>
              <w:left w:val="single" w:sz="4" w:space="0" w:color="000000"/>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429" w:type="dxa"/>
            <w:tcBorders>
              <w:top w:val="single" w:sz="4" w:space="0" w:color="000000"/>
              <w:left w:val="single" w:sz="13" w:space="0" w:color="D2D2D2"/>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3,803,013.70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6,889,834.64</w:t>
            </w:r>
          </w:p>
        </w:tc>
        <w:tc>
          <w:tcPr>
            <w:tcW w:w="954"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5"/>
          <w:pgSz w:w="11910" w:h="16840"/>
          <w:pgMar w:footer="979" w:header="0" w:top="1100" w:bottom="1160" w:left="920" w:right="0"/>
          <w:pgNumType w:start="1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504"/>
        <w:gridCol w:w="1417"/>
        <w:gridCol w:w="1418"/>
        <w:gridCol w:w="1276"/>
        <w:gridCol w:w="954"/>
      </w:tblGrid>
      <w:tr>
        <w:trPr>
          <w:trHeight w:val="324" w:hRule="exact"/>
        </w:trPr>
        <w:tc>
          <w:tcPr>
            <w:tcW w:w="4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23" w:hRule="exact"/>
        </w:trPr>
        <w:tc>
          <w:tcPr>
            <w:tcW w:w="4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4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-3,031,792.93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-14,527,875.34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-9,653,356.47</w:t>
            </w:r>
          </w:p>
        </w:tc>
        <w:tc>
          <w:tcPr>
            <w:tcW w:w="95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4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
              <w:ind w:left="22" w:right="22"/>
              <w:jc w:val="both"/>
              <w:rPr>
                <w:rFonts w:ascii="宋体" w:hAnsi="宋体" w:cs="宋体" w:eastAsia="宋体" w:hint="default"/>
                <w:sz w:val="18"/>
                <w:szCs w:val="18"/>
              </w:rPr>
            </w:pPr>
            <w:r>
              <w:rPr>
                <w:rFonts w:ascii="宋体" w:hAnsi="宋体" w:cs="宋体" w:eastAsia="宋体" w:hint="default"/>
                <w:spacing w:val="-3"/>
                <w:sz w:val="18"/>
                <w:szCs w:val="18"/>
              </w:rPr>
              <w:t>除同公司正常经营业务相关的有效套期保值业务外，持有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交易性金融资产、交易性金融负债产生的公允价值变动损</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益，以及处置交易性金融资产、交易性金融负债和可供出</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售金融资产取得的投资收益</w:t>
            </w:r>
          </w:p>
        </w:tc>
        <w:tc>
          <w:tcPr>
            <w:tcW w:w="14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467,403.34</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1,422,478.80</w:t>
            </w:r>
          </w:p>
        </w:tc>
        <w:tc>
          <w:tcPr>
            <w:tcW w:w="95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4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-253,609.94</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3,003,802.58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-16,414,124.10</w:t>
            </w:r>
          </w:p>
        </w:tc>
        <w:tc>
          <w:tcPr>
            <w:tcW w:w="95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417" w:type="dxa"/>
            <w:tcBorders>
              <w:top w:val="single" w:sz="4" w:space="0" w:color="000000"/>
              <w:left w:val="single" w:sz="13" w:space="0" w:color="D2D2D2"/>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95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50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处置子公司收益</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200,312,867.75</w:t>
            </w:r>
          </w:p>
        </w:tc>
        <w:tc>
          <w:tcPr>
            <w:tcW w:w="95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50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2.00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1,608,000.00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11,719,457.90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2"/>
                <w:sz w:val="18"/>
              </w:rPr>
              <w:t>13,903,119.11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2"/>
                <w:sz w:val="18"/>
              </w:rPr>
              <w:t>11,632,112.69</w:t>
            </w:r>
          </w:p>
        </w:tc>
        <w:tc>
          <w:tcPr>
            <w:tcW w:w="95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-185,011.53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1,259.29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450.99</w:t>
            </w:r>
          </w:p>
        </w:tc>
        <w:tc>
          <w:tcPr>
            <w:tcW w:w="954" w:type="dxa"/>
            <w:tcBorders>
              <w:top w:val="single" w:sz="4" w:space="0" w:color="000000"/>
              <w:left w:val="single" w:sz="4" w:space="0" w:color="000000"/>
              <w:bottom w:val="single" w:sz="10" w:space="0" w:color="D2D2D2"/>
              <w:right w:val="single" w:sz="4" w:space="0" w:color="000000"/>
            </w:tcBorders>
          </w:tcPr>
          <w:p>
            <w:pPr/>
          </w:p>
        </w:tc>
      </w:tr>
      <w:tr>
        <w:trPr>
          <w:trHeight w:val="323" w:hRule="exact"/>
        </w:trPr>
        <w:tc>
          <w:tcPr>
            <w:tcW w:w="4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40,254,254.62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385,603,543.79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214,273,967.37</w:t>
            </w:r>
          </w:p>
        </w:tc>
        <w:tc>
          <w:tcPr>
            <w:tcW w:w="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2" w:lineRule="exact" w:before="9"/>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234" w:lineRule="exact" w:before="15"/>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34" w:lineRule="exact" w:before="46"/>
        <w:ind w:right="1115" w:firstLine="360"/>
        <w:jc w:val="left"/>
      </w:pPr>
      <w:r>
        <w:rPr/>
        <w:t>公司报告期不存在将根据《公开发行证券的公司信息披露解释性公告第</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spacing w:val="-3"/>
        </w:rPr>
        <w:t>号</w:t>
      </w:r>
      <w:r>
        <w:rPr>
          <w:rFonts w:ascii="Times New Roman" w:hAnsi="Times New Roman" w:cs="Times New Roman" w:eastAsia="Times New Roman" w:hint="default"/>
          <w:spacing w:val="-3"/>
        </w:rPr>
        <w:t>——</w:t>
      </w:r>
      <w:r>
        <w:rPr>
          <w:spacing w:val="-3"/>
        </w:rPr>
        <w:t>非经常性损益》定义、列举的非经常性</w:t>
      </w:r>
      <w:r>
        <w:rPr/>
        <w:t> 损益项目界定为经常性损益的项目的情形。</w:t>
      </w:r>
    </w:p>
    <w:p>
      <w:pPr>
        <w:spacing w:after="0" w:line="234" w:lineRule="exact"/>
        <w:jc w:val="left"/>
        <w:sectPr>
          <w:pgSz w:w="11910" w:h="16840"/>
          <w:pgMar w:header="0" w:footer="979" w:top="110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447" w:right="0"/>
        <w:jc w:val="left"/>
        <w:rPr>
          <w:b w:val="0"/>
          <w:bCs w:val="0"/>
        </w:rPr>
      </w:pPr>
      <w:bookmarkStart w:name="第三节 公司业务概要" w:id="16"/>
      <w:bookmarkEnd w:id="16"/>
      <w:r>
        <w:rPr>
          <w:b w:val="0"/>
          <w:bCs w:val="0"/>
        </w:rPr>
      </w:r>
      <w:bookmarkStart w:name="_bookmark1" w:id="17"/>
      <w:bookmarkEnd w:id="17"/>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41"/>
          <w:szCs w:val="41"/>
        </w:rPr>
      </w:pPr>
    </w:p>
    <w:p>
      <w:pPr>
        <w:pStyle w:val="Heading2"/>
        <w:spacing w:line="240" w:lineRule="auto"/>
        <w:ind w:right="0"/>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6"/>
        <w:rPr>
          <w:rFonts w:ascii="宋体" w:hAnsi="宋体" w:cs="宋体" w:eastAsia="宋体" w:hint="default"/>
          <w:b/>
          <w:bCs/>
          <w:sz w:val="23"/>
          <w:szCs w:val="23"/>
        </w:rPr>
      </w:pPr>
    </w:p>
    <w:p>
      <w:pPr>
        <w:pStyle w:val="BodyText"/>
        <w:spacing w:line="278" w:lineRule="auto"/>
        <w:ind w:right="7692"/>
        <w:jc w:val="left"/>
      </w:pPr>
      <w:r>
        <w:rPr/>
        <w:t>公司是否需要遵守特殊行业的披露要求 否</w:t>
      </w:r>
    </w:p>
    <w:p>
      <w:pPr>
        <w:pStyle w:val="BodyText"/>
        <w:spacing w:line="266" w:lineRule="auto" w:before="9"/>
        <w:ind w:right="1129" w:firstLine="360"/>
        <w:jc w:val="both"/>
      </w:pPr>
      <w:r>
        <w:rPr>
          <w:spacing w:val="-2"/>
        </w:rPr>
        <w:t>作为一家脱胎于中科院计算所的科技企业，神州数码秉承锐意创新的科学家基因和务实进取的企业家精神，从诞生第一</w:t>
      </w:r>
      <w:r>
        <w:rPr/>
        <w:t> 天起就以</w:t>
      </w:r>
      <w:r>
        <w:rPr>
          <w:spacing w:val="-68"/>
        </w:rPr>
        <w:t> </w:t>
      </w:r>
      <w:r>
        <w:rPr>
          <w:rFonts w:ascii="Times New Roman" w:hAnsi="Times New Roman" w:cs="Times New Roman" w:eastAsia="Times New Roman" w:hint="default"/>
        </w:rPr>
        <w:t>Digital</w:t>
      </w:r>
      <w:r>
        <w:rPr>
          <w:rFonts w:ascii="Times New Roman" w:hAnsi="Times New Roman" w:cs="Times New Roman" w:eastAsia="Times New Roman" w:hint="default"/>
          <w:spacing w:val="-22"/>
        </w:rPr>
        <w:t> </w:t>
      </w:r>
      <w:r>
        <w:rPr>
          <w:rFonts w:ascii="Times New Roman" w:hAnsi="Times New Roman" w:cs="Times New Roman" w:eastAsia="Times New Roman" w:hint="default"/>
        </w:rPr>
        <w:t>China</w:t>
      </w:r>
      <w:r>
        <w:rPr>
          <w:rFonts w:ascii="Times New Roman" w:hAnsi="Times New Roman" w:cs="Times New Roman" w:eastAsia="Times New Roman" w:hint="default"/>
          <w:spacing w:val="-22"/>
        </w:rPr>
        <w:t> </w:t>
      </w:r>
      <w:r>
        <w:rPr/>
        <w:t>作为公司的英文名称以及企业的使命愿景，二十年来矢志不渝地践行数字中国战略，携手全球顶级科 技巨头，持续助力客户的数字化转型。过去</w:t>
      </w:r>
      <w:r>
        <w:rPr>
          <w:spacing w:val="-41"/>
        </w:rPr>
        <w:t> </w:t>
      </w:r>
      <w:r>
        <w:rPr>
          <w:rFonts w:ascii="Times New Roman" w:hAnsi="Times New Roman" w:cs="Times New Roman" w:eastAsia="Times New Roman" w:hint="default"/>
        </w:rPr>
        <w:t>20</w:t>
      </w:r>
      <w:r>
        <w:rPr>
          <w:rFonts w:ascii="Times New Roman" w:hAnsi="Times New Roman" w:cs="Times New Roman" w:eastAsia="Times New Roman" w:hint="default"/>
          <w:spacing w:val="4"/>
        </w:rPr>
        <w:t> </w:t>
      </w:r>
      <w:r>
        <w:rPr/>
        <w:t>多年的发展历程中，从</w:t>
      </w:r>
      <w:r>
        <w:rPr>
          <w:spacing w:val="-41"/>
        </w:rPr>
        <w:t> </w:t>
      </w:r>
      <w:r>
        <w:rPr>
          <w:rFonts w:ascii="Times New Roman" w:hAnsi="Times New Roman" w:cs="Times New Roman" w:eastAsia="Times New Roman" w:hint="default"/>
        </w:rPr>
        <w:t>IT</w:t>
      </w:r>
      <w:r>
        <w:rPr>
          <w:rFonts w:ascii="Times New Roman" w:hAnsi="Times New Roman" w:cs="Times New Roman" w:eastAsia="Times New Roman" w:hint="default"/>
          <w:spacing w:val="4"/>
        </w:rPr>
        <w:t> </w:t>
      </w:r>
      <w:r>
        <w:rPr/>
        <w:t>产品设备分销到</w:t>
      </w:r>
      <w:r>
        <w:rPr>
          <w:spacing w:val="-41"/>
        </w:rPr>
        <w:t> </w:t>
      </w:r>
      <w:r>
        <w:rPr>
          <w:rFonts w:ascii="Times New Roman" w:hAnsi="Times New Roman" w:cs="Times New Roman" w:eastAsia="Times New Roman" w:hint="default"/>
        </w:rPr>
        <w:t>IT</w:t>
      </w:r>
      <w:r>
        <w:rPr>
          <w:rFonts w:ascii="Times New Roman" w:hAnsi="Times New Roman" w:cs="Times New Roman" w:eastAsia="Times New Roman" w:hint="default"/>
          <w:spacing w:val="4"/>
        </w:rPr>
        <w:t> </w:t>
      </w:r>
      <w:r>
        <w:rPr/>
        <w:t>技术服务再到云计算等数字化 </w:t>
      </w:r>
      <w:r>
        <w:rPr>
          <w:spacing w:val="-2"/>
        </w:rPr>
        <w:t>产品方案，神州数码紧跟中国科技产业发展大潮，精研技术产品，深耕市场渠道，始终践行数字中国使命，不忘初心，笃定</w:t>
      </w:r>
      <w:r>
        <w:rPr>
          <w:spacing w:val="-68"/>
        </w:rPr>
        <w:t> </w:t>
      </w:r>
      <w:r>
        <w:rPr>
          <w:spacing w:val="-68"/>
        </w:rPr>
      </w:r>
      <w:r>
        <w:rPr/>
        <w:t>前行。</w:t>
      </w:r>
    </w:p>
    <w:p>
      <w:pPr>
        <w:pStyle w:val="BodyText"/>
        <w:spacing w:line="240" w:lineRule="auto" w:before="53"/>
        <w:ind w:left="514" w:right="0"/>
        <w:jc w:val="left"/>
      </w:pPr>
      <w:r>
        <w:rPr/>
        <w:t>报告期内公司从事的主要业务包括：</w:t>
      </w:r>
    </w:p>
    <w:p>
      <w:pPr>
        <w:pStyle w:val="Heading5"/>
        <w:spacing w:line="240" w:lineRule="auto" w:before="73"/>
        <w:ind w:left="515" w:right="0"/>
        <w:jc w:val="left"/>
        <w:rPr>
          <w:b w:val="0"/>
          <w:bCs w:val="0"/>
        </w:rPr>
      </w:pPr>
      <w:r>
        <w:rPr/>
        <w:t>（一）云计算业务</w:t>
      </w:r>
      <w:r>
        <w:rPr>
          <w:b w:val="0"/>
          <w:bCs w:val="0"/>
        </w:rPr>
      </w:r>
    </w:p>
    <w:p>
      <w:pPr>
        <w:pStyle w:val="BodyText"/>
        <w:spacing w:line="264" w:lineRule="auto" w:before="71"/>
        <w:ind w:right="1129" w:firstLine="360"/>
        <w:jc w:val="both"/>
      </w:pPr>
      <w:r>
        <w:rPr/>
        <w:t>公司是国内领先的云管理服务及数字化方案提供商，为企业客户提供从</w:t>
      </w:r>
      <w:r>
        <w:rPr>
          <w:spacing w:val="-57"/>
        </w:rPr>
        <w:t> </w:t>
      </w:r>
      <w:r>
        <w:rPr>
          <w:rFonts w:ascii="Times New Roman" w:hAnsi="Times New Roman" w:cs="Times New Roman" w:eastAsia="Times New Roman" w:hint="default"/>
        </w:rPr>
        <w:t>IaaS</w:t>
      </w:r>
      <w:r>
        <w:rPr/>
        <w:t>、</w:t>
      </w:r>
      <w:r>
        <w:rPr>
          <w:rFonts w:ascii="Times New Roman" w:hAnsi="Times New Roman" w:cs="Times New Roman" w:eastAsia="Times New Roman" w:hint="default"/>
        </w:rPr>
        <w:t>PaaS</w:t>
      </w:r>
      <w:r>
        <w:rPr>
          <w:rFonts w:ascii="Times New Roman" w:hAnsi="Times New Roman" w:cs="Times New Roman" w:eastAsia="Times New Roman" w:hint="default"/>
          <w:spacing w:val="-11"/>
        </w:rPr>
        <w:t> </w:t>
      </w:r>
      <w:r>
        <w:rPr/>
        <w:t>到</w:t>
      </w:r>
      <w:r>
        <w:rPr>
          <w:spacing w:val="-57"/>
        </w:rPr>
        <w:t> </w:t>
      </w:r>
      <w:r>
        <w:rPr>
          <w:rFonts w:ascii="Times New Roman" w:hAnsi="Times New Roman" w:cs="Times New Roman" w:eastAsia="Times New Roman" w:hint="default"/>
        </w:rPr>
        <w:t>SaaS</w:t>
      </w:r>
      <w:r>
        <w:rPr>
          <w:rFonts w:ascii="Times New Roman" w:hAnsi="Times New Roman" w:cs="Times New Roman" w:eastAsia="Times New Roman" w:hint="default"/>
          <w:spacing w:val="-12"/>
        </w:rPr>
        <w:t> </w:t>
      </w:r>
      <w:r>
        <w:rPr/>
        <w:t>的各类产品、服务及企业数 </w:t>
      </w:r>
      <w:r>
        <w:rPr>
          <w:spacing w:val="-3"/>
        </w:rPr>
        <w:t>字化解决方案，主要包括三类业务：（</w:t>
      </w:r>
      <w:r>
        <w:rPr>
          <w:rFonts w:ascii="Times New Roman" w:hAnsi="Times New Roman" w:cs="Times New Roman" w:eastAsia="Times New Roman" w:hint="default"/>
          <w:spacing w:val="-3"/>
        </w:rPr>
        <w:t>1</w:t>
      </w:r>
      <w:r>
        <w:rPr>
          <w:spacing w:val="-3"/>
        </w:rPr>
        <w:t>）云转售业务：包括公有云资源、混合云平台、软件授权及</w:t>
      </w:r>
      <w:r>
        <w:rPr/>
        <w:t> </w:t>
      </w:r>
      <w:r>
        <w:rPr>
          <w:rFonts w:ascii="Times New Roman" w:hAnsi="Times New Roman" w:cs="Times New Roman" w:eastAsia="Times New Roman" w:hint="default"/>
          <w:w w:val="99"/>
        </w:rPr>
        <w:t>SaaS </w:t>
      </w:r>
      <w:r>
        <w:rPr>
          <w:spacing w:val="-10"/>
        </w:rPr>
        <w:t>服务等；（</w:t>
      </w:r>
      <w:r>
        <w:rPr>
          <w:rFonts w:ascii="Times New Roman" w:hAnsi="Times New Roman" w:cs="Times New Roman" w:eastAsia="Times New Roman" w:hint="default"/>
          <w:spacing w:val="-10"/>
        </w:rPr>
        <w:t>2</w:t>
      </w:r>
      <w:r>
        <w:rPr>
          <w:spacing w:val="-10"/>
        </w:rPr>
        <w:t>）云管</w:t>
      </w:r>
      <w:r>
        <w:rPr>
          <w:spacing w:val="-85"/>
        </w:rPr>
        <w:t> </w:t>
      </w:r>
      <w:r>
        <w:rPr>
          <w:spacing w:val="-2"/>
        </w:rPr>
        <w:t>理服务：包括咨询、培训、迁移、实施、运维和支持、优化和安全等一系列全生命周期的服务；利用公司自主研发的云管理</w:t>
      </w:r>
      <w:r>
        <w:rPr>
          <w:spacing w:val="-71"/>
        </w:rPr>
        <w:t> </w:t>
      </w:r>
      <w:r>
        <w:rPr>
          <w:spacing w:val="-71"/>
        </w:rPr>
      </w:r>
      <w:r>
        <w:rPr>
          <w:spacing w:val="-4"/>
        </w:rPr>
        <w:t>平台，实时监控、控制风险和优化成本，帮助客户实现多云及混合云资源的一站式管理；（</w:t>
      </w:r>
      <w:r>
        <w:rPr>
          <w:rFonts w:ascii="Times New Roman" w:hAnsi="Times New Roman" w:cs="Times New Roman" w:eastAsia="Times New Roman" w:hint="default"/>
          <w:spacing w:val="-4"/>
        </w:rPr>
        <w:t>3</w:t>
      </w:r>
      <w:r>
        <w:rPr>
          <w:spacing w:val="-4"/>
        </w:rPr>
        <w:t>）数字化解决方案业务：立足于</w:t>
      </w:r>
      <w:r>
        <w:rPr>
          <w:spacing w:val="-46"/>
        </w:rPr>
        <w:t> </w:t>
      </w:r>
      <w:r>
        <w:rPr>
          <w:spacing w:val="-46"/>
        </w:rPr>
      </w:r>
      <w:r>
        <w:rPr>
          <w:spacing w:val="-2"/>
        </w:rPr>
        <w:t>客户上云用云，为包括零售、快消、汽车等行业世界五百强企业在内的广大企业客户提供以物联网、大数据、人工智能等技</w:t>
      </w:r>
      <w:r>
        <w:rPr>
          <w:spacing w:val="-65"/>
        </w:rPr>
        <w:t> </w:t>
      </w:r>
      <w:r>
        <w:rPr>
          <w:spacing w:val="-65"/>
        </w:rPr>
      </w:r>
      <w:r>
        <w:rPr/>
        <w:t>术为基础的数字化商业全套解决方案。</w:t>
      </w:r>
    </w:p>
    <w:p>
      <w:pPr>
        <w:spacing w:line="295" w:lineRule="auto" w:before="56"/>
        <w:ind w:left="514" w:right="0" w:firstLine="1"/>
        <w:jc w:val="left"/>
        <w:rPr>
          <w:rFonts w:ascii="宋体" w:hAnsi="宋体" w:cs="宋体" w:eastAsia="宋体" w:hint="default"/>
          <w:sz w:val="18"/>
          <w:szCs w:val="18"/>
        </w:rPr>
      </w:pPr>
      <w:r>
        <w:rPr>
          <w:rFonts w:ascii="宋体" w:hAnsi="宋体" w:cs="宋体" w:eastAsia="宋体" w:hint="default"/>
          <w:b/>
          <w:bCs/>
          <w:sz w:val="18"/>
          <w:szCs w:val="18"/>
        </w:rPr>
        <w:t>（二）</w:t>
      </w:r>
      <w:r>
        <w:rPr>
          <w:rFonts w:ascii="Times New Roman" w:hAnsi="Times New Roman" w:cs="Times New Roman" w:eastAsia="Times New Roman" w:hint="default"/>
          <w:b/>
          <w:bCs/>
          <w:sz w:val="18"/>
          <w:szCs w:val="18"/>
        </w:rPr>
        <w:t>IT</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分销和增值服务业务</w:t>
      </w:r>
      <w:r>
        <w:rPr>
          <w:rFonts w:ascii="宋体" w:hAnsi="宋体" w:cs="宋体" w:eastAsia="宋体" w:hint="default"/>
          <w:b/>
          <w:bCs/>
          <w:w w:val="99"/>
          <w:sz w:val="18"/>
          <w:szCs w:val="18"/>
        </w:rPr>
        <w:t> </w:t>
      </w:r>
      <w:r>
        <w:rPr>
          <w:rFonts w:ascii="宋体" w:hAnsi="宋体" w:cs="宋体" w:eastAsia="宋体" w:hint="default"/>
          <w:spacing w:val="-5"/>
          <w:sz w:val="18"/>
          <w:szCs w:val="18"/>
        </w:rPr>
        <w:t>公司是中国最大的、涉及领域最广的</w:t>
      </w:r>
      <w:r>
        <w:rPr>
          <w:rFonts w:ascii="Times New Roman" w:hAnsi="Times New Roman" w:cs="Times New Roman" w:eastAsia="Times New Roman" w:hint="default"/>
          <w:spacing w:val="-5"/>
          <w:sz w:val="18"/>
          <w:szCs w:val="18"/>
        </w:rPr>
        <w:t>IT</w:t>
      </w:r>
      <w:r>
        <w:rPr>
          <w:rFonts w:ascii="宋体" w:hAnsi="宋体" w:cs="宋体" w:eastAsia="宋体" w:hint="default"/>
          <w:spacing w:val="-5"/>
          <w:sz w:val="18"/>
          <w:szCs w:val="18"/>
        </w:rPr>
        <w:t>领域分销和增值服务商。经过二十多年的积累，公司建立了国内覆盖范围最广（覆</w:t>
      </w:r>
    </w:p>
    <w:p>
      <w:pPr>
        <w:pStyle w:val="BodyText"/>
        <w:spacing w:line="222" w:lineRule="exact"/>
        <w:ind w:right="0"/>
        <w:jc w:val="both"/>
      </w:pPr>
      <w:r>
        <w:rPr/>
        <w:t>盖国内</w:t>
      </w:r>
      <w:r>
        <w:rPr>
          <w:rFonts w:ascii="Times New Roman" w:hAnsi="Times New Roman" w:cs="Times New Roman" w:eastAsia="Times New Roman" w:hint="default"/>
        </w:rPr>
        <w:t>1000</w:t>
      </w:r>
      <w:r>
        <w:rPr>
          <w:spacing w:val="1"/>
        </w:rPr>
        <w:t>余</w:t>
      </w:r>
      <w:r>
        <w:rPr/>
        <w:t>座城市</w:t>
      </w:r>
      <w:r>
        <w:rPr>
          <w:spacing w:val="-90"/>
        </w:rPr>
        <w:t>）</w:t>
      </w:r>
      <w:r>
        <w:rPr/>
        <w:t>、生</w:t>
      </w:r>
      <w:r>
        <w:rPr>
          <w:spacing w:val="1"/>
        </w:rPr>
        <w:t>态</w:t>
      </w:r>
      <w:r>
        <w:rPr/>
        <w:t>规模最大（</w:t>
      </w:r>
      <w:r>
        <w:rPr>
          <w:spacing w:val="1"/>
        </w:rPr>
        <w:t>涵</w:t>
      </w:r>
      <w:r>
        <w:rPr/>
        <w:t>盖</w:t>
      </w:r>
      <w:r>
        <w:rPr>
          <w:rFonts w:ascii="Times New Roman" w:hAnsi="Times New Roman" w:cs="Times New Roman" w:eastAsia="Times New Roman" w:hint="default"/>
        </w:rPr>
        <w:t>30000</w:t>
      </w:r>
      <w:r>
        <w:rPr/>
        <w:t>余家</w:t>
      </w:r>
      <w:r>
        <w:rPr>
          <w:spacing w:val="1"/>
        </w:rPr>
        <w:t>渠</w:t>
      </w:r>
      <w:r>
        <w:rPr/>
        <w:t>道合作伙伴</w:t>
      </w:r>
      <w:r>
        <w:rPr>
          <w:spacing w:val="-90"/>
        </w:rPr>
        <w:t>）</w:t>
      </w:r>
      <w:r>
        <w:rPr>
          <w:spacing w:val="1"/>
        </w:rPr>
        <w:t>、</w:t>
      </w:r>
      <w:r>
        <w:rPr/>
        <w:t>运营效率最</w:t>
      </w:r>
      <w:r>
        <w:rPr>
          <w:spacing w:val="1"/>
        </w:rPr>
        <w:t>高</w:t>
      </w:r>
      <w:r>
        <w:rPr/>
        <w:t>（存货周转</w:t>
      </w:r>
      <w:r>
        <w:rPr>
          <w:spacing w:val="1"/>
        </w:rPr>
        <w:t>率</w:t>
      </w:r>
      <w:r>
        <w:rPr/>
        <w:t>和资金成本</w:t>
      </w:r>
      <w:r>
        <w:rPr>
          <w:spacing w:val="1"/>
        </w:rPr>
        <w:t>等</w:t>
      </w:r>
      <w:r>
        <w:rPr/>
        <w:t>运营效率</w:t>
      </w:r>
    </w:p>
    <w:p>
      <w:pPr>
        <w:pStyle w:val="BodyText"/>
        <w:spacing w:line="259" w:lineRule="auto" w:before="20"/>
        <w:ind w:right="1130"/>
        <w:jc w:val="both"/>
      </w:pPr>
      <w:r>
        <w:rPr>
          <w:spacing w:val="-6"/>
        </w:rPr>
        <w:t>指标均显著高于行业平均水平）的</w:t>
      </w:r>
      <w:r>
        <w:rPr>
          <w:rFonts w:ascii="Times New Roman" w:hAnsi="Times New Roman" w:cs="Times New Roman" w:eastAsia="Times New Roman" w:hint="default"/>
          <w:spacing w:val="-6"/>
        </w:rPr>
        <w:t>To</w:t>
      </w:r>
      <w:r>
        <w:rPr>
          <w:rFonts w:ascii="Times New Roman" w:hAnsi="Times New Roman" w:cs="Times New Roman" w:eastAsia="Times New Roman" w:hint="default"/>
          <w:spacing w:val="20"/>
        </w:rPr>
        <w:t> </w:t>
      </w:r>
      <w:r>
        <w:rPr>
          <w:rFonts w:ascii="Times New Roman" w:hAnsi="Times New Roman" w:cs="Times New Roman" w:eastAsia="Times New Roman" w:hint="default"/>
          <w:spacing w:val="-5"/>
        </w:rPr>
        <w:t>B</w:t>
      </w:r>
      <w:r>
        <w:rPr>
          <w:spacing w:val="-5"/>
        </w:rPr>
        <w:t>营销渠道网络。该渠道网络长期服务并深度融合国内海量企业级客户，资源价值极大、</w:t>
      </w:r>
      <w:r>
        <w:rPr>
          <w:spacing w:val="-85"/>
        </w:rPr>
        <w:t> </w:t>
      </w:r>
      <w:r>
        <w:rPr>
          <w:spacing w:val="-85"/>
        </w:rPr>
      </w:r>
      <w:r>
        <w:rPr>
          <w:spacing w:val="-2"/>
        </w:rPr>
        <w:t>经营壁垒极高，是国内外科技类厂商进入中国企业级</w:t>
      </w:r>
      <w:r>
        <w:rPr>
          <w:rFonts w:ascii="Times New Roman" w:hAnsi="Times New Roman" w:cs="Times New Roman" w:eastAsia="Times New Roman" w:hint="default"/>
          <w:spacing w:val="-2"/>
        </w:rPr>
        <w:t>IT</w:t>
      </w:r>
      <w:r>
        <w:rPr>
          <w:spacing w:val="-2"/>
        </w:rPr>
        <w:t>市场的首选合作伙伴。经营涵盖的产品包括移动办公设备、计算机配</w:t>
      </w:r>
      <w:r>
        <w:rPr>
          <w:spacing w:val="-53"/>
        </w:rPr>
        <w:t> </w:t>
      </w:r>
      <w:r>
        <w:rPr>
          <w:spacing w:val="-53"/>
        </w:rPr>
      </w:r>
      <w:r>
        <w:rPr>
          <w:spacing w:val="-2"/>
        </w:rPr>
        <w:t>件、智能硬件、物联网设备、笔记本电脑、显示设备、服务器、存储设备、网络设备应用软件等上万种</w:t>
      </w:r>
      <w:r>
        <w:rPr>
          <w:rFonts w:ascii="Times New Roman" w:hAnsi="Times New Roman" w:cs="Times New Roman" w:eastAsia="Times New Roman" w:hint="default"/>
          <w:spacing w:val="-2"/>
        </w:rPr>
        <w:t>IT</w:t>
      </w:r>
      <w:r>
        <w:rPr>
          <w:spacing w:val="-2"/>
        </w:rPr>
        <w:t>产品，连续十几年</w:t>
      </w:r>
      <w:r>
        <w:rPr>
          <w:spacing w:val="-60"/>
        </w:rPr>
        <w:t> </w:t>
      </w:r>
      <w:r>
        <w:rPr>
          <w:spacing w:val="-60"/>
        </w:rPr>
      </w:r>
      <w:r>
        <w:rPr/>
        <w:t>蝉联</w:t>
      </w:r>
      <w:r>
        <w:rPr>
          <w:rFonts w:ascii="Times New Roman" w:hAnsi="Times New Roman" w:cs="Times New Roman" w:eastAsia="Times New Roman" w:hint="default"/>
        </w:rPr>
        <w:t>IT</w:t>
      </w:r>
      <w:r>
        <w:rPr/>
        <w:t>分销领域国内市场第一。在为广大企业级客户及消费者提供丰富电子产品的同时，公司已经累计为超过</w:t>
      </w:r>
      <w:r>
        <w:rPr>
          <w:rFonts w:ascii="Times New Roman" w:hAnsi="Times New Roman" w:cs="Times New Roman" w:eastAsia="Times New Roman" w:hint="default"/>
        </w:rPr>
        <w:t>100</w:t>
      </w:r>
      <w:r>
        <w:rPr/>
        <w:t>万家中国</w:t>
      </w:r>
      <w:r>
        <w:rPr>
          <w:spacing w:val="-74"/>
        </w:rPr>
        <w:t> </w:t>
      </w:r>
      <w:r>
        <w:rPr>
          <w:spacing w:val="-2"/>
        </w:rPr>
        <w:t>企业提供数字化转型所需要的产品、解决方案和服务。面对以云计算为重要标志的数字化转型大潮，公司强大的</w:t>
      </w:r>
      <w:r>
        <w:rPr>
          <w:rFonts w:ascii="Times New Roman" w:hAnsi="Times New Roman" w:cs="Times New Roman" w:eastAsia="Times New Roman" w:hint="default"/>
          <w:spacing w:val="-2"/>
        </w:rPr>
        <w:t>To</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1"/>
        </w:rPr>
        <w:t>B</w:t>
      </w:r>
      <w:r>
        <w:rPr>
          <w:spacing w:val="-1"/>
        </w:rPr>
        <w:t>营销渠</w:t>
      </w:r>
      <w:r>
        <w:rPr>
          <w:spacing w:val="-87"/>
        </w:rPr>
        <w:t> </w:t>
      </w:r>
      <w:r>
        <w:rPr/>
        <w:t>道网络和企业级客户覆盖能力将迅速展现出巨大的增值空间。</w:t>
      </w:r>
    </w:p>
    <w:p>
      <w:pPr>
        <w:spacing w:line="240" w:lineRule="auto" w:before="8"/>
        <w:rPr>
          <w:rFonts w:ascii="宋体" w:hAnsi="宋体" w:cs="宋体" w:eastAsia="宋体" w:hint="default"/>
          <w:sz w:val="23"/>
          <w:szCs w:val="23"/>
        </w:rPr>
      </w:pPr>
    </w:p>
    <w:p>
      <w:pPr>
        <w:pStyle w:val="Heading2"/>
        <w:spacing w:line="240" w:lineRule="auto"/>
        <w:ind w:right="0"/>
        <w:jc w:val="both"/>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2"/>
        <w:rPr>
          <w:rFonts w:ascii="宋体" w:hAnsi="宋体" w:cs="宋体" w:eastAsia="宋体" w:hint="default"/>
          <w:b/>
          <w:bCs/>
          <w:sz w:val="23"/>
          <w:szCs w:val="23"/>
        </w:rPr>
      </w:pPr>
    </w:p>
    <w:p>
      <w:pPr>
        <w:pStyle w:val="Heading3"/>
        <w:spacing w:line="240" w:lineRule="auto"/>
        <w:ind w:right="0"/>
        <w:jc w:val="both"/>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4"/>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668"/>
        <w:gridCol w:w="7900"/>
      </w:tblGrid>
      <w:tr>
        <w:trPr>
          <w:trHeight w:val="224" w:hRule="exact"/>
        </w:trPr>
        <w:tc>
          <w:tcPr>
            <w:tcW w:w="166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4" w:hRule="exact"/>
        </w:trPr>
        <w:tc>
          <w:tcPr>
            <w:tcW w:w="16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79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224" w:hRule="exact"/>
        </w:trPr>
        <w:tc>
          <w:tcPr>
            <w:tcW w:w="166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22" w:hRule="exact"/>
        </w:trPr>
        <w:tc>
          <w:tcPr>
            <w:tcW w:w="166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0" w:type="dxa"/>
            <w:vMerge w:val="restart"/>
            <w:tcBorders>
              <w:top w:val="single" w:sz="4" w:space="0" w:color="000000"/>
              <w:left w:val="single" w:sz="13" w:space="0" w:color="D2D2D2"/>
              <w:right w:val="single" w:sz="4" w:space="0" w:color="000000"/>
            </w:tcBorders>
          </w:tcPr>
          <w:p>
            <w:pPr>
              <w:pStyle w:val="TableParagraph"/>
              <w:spacing w:line="232" w:lineRule="exact" w:before="35"/>
              <w:ind w:left="11" w:right="19"/>
              <w:jc w:val="left"/>
              <w:rPr>
                <w:rFonts w:ascii="宋体" w:hAnsi="宋体" w:cs="宋体" w:eastAsia="宋体" w:hint="default"/>
                <w:sz w:val="18"/>
                <w:szCs w:val="18"/>
              </w:rPr>
            </w:pPr>
            <w:r>
              <w:rPr>
                <w:rFonts w:ascii="宋体" w:hAnsi="宋体" w:cs="宋体" w:eastAsia="宋体" w:hint="default"/>
                <w:sz w:val="18"/>
                <w:szCs w:val="18"/>
              </w:rPr>
              <w:t>在建工程期初余额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5,194.67 </w:t>
            </w:r>
            <w:r>
              <w:rPr>
                <w:rFonts w:ascii="宋体" w:hAnsi="宋体" w:cs="宋体" w:eastAsia="宋体" w:hint="default"/>
                <w:sz w:val="18"/>
                <w:szCs w:val="18"/>
              </w:rPr>
              <w:t>万元，期末余额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31,449.40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万元，与年初余额相比增加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505.42%,</w:t>
            </w:r>
            <w:r>
              <w:rPr>
                <w:rFonts w:ascii="宋体" w:hAnsi="宋体" w:cs="宋体" w:eastAsia="宋体" w:hint="default"/>
                <w:sz w:val="18"/>
                <w:szCs w:val="18"/>
              </w:rPr>
              <w:t>主要原因 是本报告期深圳土地项目工程投入增加；</w:t>
            </w:r>
          </w:p>
        </w:tc>
      </w:tr>
      <w:tr>
        <w:trPr>
          <w:trHeight w:val="434" w:hRule="exact"/>
        </w:trPr>
        <w:tc>
          <w:tcPr>
            <w:tcW w:w="166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7900" w:type="dxa"/>
            <w:vMerge/>
            <w:tcBorders>
              <w:left w:val="single" w:sz="13" w:space="0" w:color="D2D2D2"/>
              <w:bottom w:val="single" w:sz="4" w:space="0" w:color="000000"/>
              <w:right w:val="single" w:sz="4" w:space="0" w:color="000000"/>
            </w:tcBorders>
          </w:tcPr>
          <w:p>
            <w:pPr/>
          </w:p>
        </w:tc>
      </w:tr>
      <w:tr>
        <w:trPr>
          <w:trHeight w:val="122" w:hRule="exact"/>
        </w:trPr>
        <w:tc>
          <w:tcPr>
            <w:tcW w:w="166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0" w:type="dxa"/>
            <w:vMerge w:val="restart"/>
            <w:tcBorders>
              <w:top w:val="single" w:sz="4" w:space="0" w:color="000000"/>
              <w:left w:val="single" w:sz="13" w:space="0" w:color="D2D2D2"/>
              <w:right w:val="single" w:sz="4" w:space="0" w:color="000000"/>
            </w:tcBorders>
          </w:tcPr>
          <w:p>
            <w:pPr>
              <w:pStyle w:val="TableParagraph"/>
              <w:spacing w:line="234" w:lineRule="exact" w:before="33"/>
              <w:ind w:left="11" w:right="65"/>
              <w:jc w:val="left"/>
              <w:rPr>
                <w:rFonts w:ascii="宋体" w:hAnsi="宋体" w:cs="宋体" w:eastAsia="宋体" w:hint="default"/>
                <w:sz w:val="18"/>
                <w:szCs w:val="18"/>
              </w:rPr>
            </w:pPr>
            <w:r>
              <w:rPr>
                <w:rFonts w:ascii="宋体" w:hAnsi="宋体" w:cs="宋体" w:eastAsia="宋体" w:hint="default"/>
                <w:sz w:val="18"/>
                <w:szCs w:val="18"/>
              </w:rPr>
              <w:t>递延所得税资产期初余额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21,400.81 </w:t>
            </w:r>
            <w:r>
              <w:rPr>
                <w:rFonts w:ascii="宋体" w:hAnsi="宋体" w:cs="宋体" w:eastAsia="宋体" w:hint="default"/>
                <w:sz w:val="18"/>
                <w:szCs w:val="18"/>
              </w:rPr>
              <w:t>万元，期末余额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28,454.85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万元，与年初余额相比增加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32.96%</w:t>
            </w:r>
            <w:r>
              <w:rPr>
                <w:rFonts w:ascii="宋体" w:hAnsi="宋体" w:cs="宋体" w:eastAsia="宋体" w:hint="default"/>
                <w:sz w:val="18"/>
                <w:szCs w:val="18"/>
              </w:rPr>
              <w:t>， 主要原因本报告期可抵扣暂时性差异较上年增加；</w:t>
            </w:r>
          </w:p>
        </w:tc>
      </w:tr>
      <w:tr>
        <w:trPr>
          <w:trHeight w:val="436" w:hRule="exact"/>
        </w:trPr>
        <w:tc>
          <w:tcPr>
            <w:tcW w:w="166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7900" w:type="dxa"/>
            <w:vMerge/>
            <w:tcBorders>
              <w:left w:val="single" w:sz="13" w:space="0" w:color="D2D2D2"/>
              <w:bottom w:val="single" w:sz="4" w:space="0" w:color="000000"/>
              <w:right w:val="single" w:sz="4" w:space="0" w:color="000000"/>
            </w:tcBorders>
          </w:tcPr>
          <w:p>
            <w:pPr/>
          </w:p>
        </w:tc>
      </w:tr>
    </w:tbl>
    <w:p>
      <w:pPr>
        <w:spacing w:line="240" w:lineRule="auto" w:before="7"/>
        <w:rPr>
          <w:rFonts w:ascii="宋体" w:hAnsi="宋体" w:cs="宋体" w:eastAsia="宋体" w:hint="default"/>
          <w:b/>
          <w:bCs/>
          <w:sz w:val="17"/>
          <w:szCs w:val="17"/>
        </w:rPr>
      </w:pPr>
    </w:p>
    <w:p>
      <w:pPr>
        <w:pStyle w:val="Heading3"/>
        <w:spacing w:line="240" w:lineRule="auto" w:before="35"/>
        <w:ind w:right="0"/>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0" w:footer="979" w:top="1100" w:bottom="1160" w:left="980" w:right="0"/>
        </w:sectPr>
      </w:pPr>
    </w:p>
    <w:p>
      <w:pPr>
        <w:spacing w:line="240" w:lineRule="auto" w:before="7"/>
        <w:rPr>
          <w:rFonts w:ascii="宋体" w:hAnsi="宋体" w:cs="宋体" w:eastAsia="宋体" w:hint="default"/>
          <w:sz w:val="19"/>
          <w:szCs w:val="19"/>
        </w:rPr>
      </w:pPr>
    </w:p>
    <w:p>
      <w:pPr>
        <w:pStyle w:val="Heading2"/>
        <w:spacing w:line="240" w:lineRule="auto" w:before="26"/>
        <w:ind w:right="0"/>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6"/>
        <w:rPr>
          <w:rFonts w:ascii="宋体" w:hAnsi="宋体" w:cs="宋体" w:eastAsia="宋体" w:hint="default"/>
          <w:b/>
          <w:bCs/>
          <w:sz w:val="23"/>
          <w:szCs w:val="23"/>
        </w:rPr>
      </w:pPr>
    </w:p>
    <w:p>
      <w:pPr>
        <w:pStyle w:val="BodyText"/>
        <w:spacing w:line="278" w:lineRule="auto"/>
        <w:ind w:right="7692"/>
        <w:jc w:val="left"/>
      </w:pPr>
      <w:r>
        <w:rPr/>
        <w:t>公司是否需要遵守特殊行业的披露要求 否</w:t>
      </w:r>
    </w:p>
    <w:p>
      <w:pPr>
        <w:pStyle w:val="BodyText"/>
        <w:spacing w:line="276" w:lineRule="auto" w:before="9"/>
        <w:ind w:right="1132" w:firstLine="360"/>
        <w:jc w:val="both"/>
      </w:pPr>
      <w:bookmarkStart w:name="_bookmark2" w:id="23"/>
      <w:bookmarkEnd w:id="23"/>
      <w:r>
        <w:rPr/>
      </w:r>
      <w:r>
        <w:rPr>
          <w:spacing w:val="-2"/>
        </w:rPr>
        <w:t>成立至今，公司始终践行数字中国使命。近年来在国内数字化转型不断推进的大背景下，在云计算和数字化转型领域也</w:t>
      </w:r>
      <w:r>
        <w:rPr/>
        <w:t> 迅速建立和积累了显著的竞争优势，具体如下：</w:t>
      </w:r>
    </w:p>
    <w:p>
      <w:pPr>
        <w:pStyle w:val="BodyText"/>
        <w:spacing w:line="295" w:lineRule="auto" w:before="46"/>
        <w:ind w:left="514" w:right="0"/>
        <w:jc w:val="left"/>
      </w:pPr>
      <w:r>
        <w:rPr>
          <w:rFonts w:ascii="Times New Roman" w:hAnsi="Times New Roman" w:cs="Times New Roman" w:eastAsia="Times New Roman" w:hint="default"/>
        </w:rPr>
        <w:t>1</w:t>
      </w:r>
      <w:r>
        <w:rPr/>
        <w:t>、国内领先的云计算产业相关服务技术优势 </w:t>
      </w:r>
      <w:r>
        <w:rPr>
          <w:spacing w:val="-2"/>
        </w:rPr>
        <w:t>回顾企业历史，公司各个发展阶段取得的成功均建立在技术领先的优势之上，技术创新的基因根植于公司血脉之中，近</w:t>
      </w:r>
    </w:p>
    <w:p>
      <w:pPr>
        <w:pStyle w:val="BodyText"/>
        <w:spacing w:line="259" w:lineRule="auto"/>
        <w:ind w:right="1129"/>
        <w:jc w:val="both"/>
      </w:pPr>
      <w:r>
        <w:rPr>
          <w:spacing w:val="-3"/>
        </w:rPr>
        <w:t>年来公司战略聚焦和快速发展的云计算业务也是如此。公司云计算团队技术实力雄厚，全集团已获得微软、</w:t>
      </w:r>
      <w:r>
        <w:rPr>
          <w:rFonts w:ascii="Times New Roman" w:hAnsi="Times New Roman" w:cs="Times New Roman" w:eastAsia="Times New Roman" w:hint="default"/>
          <w:spacing w:val="-3"/>
        </w:rPr>
        <w:t>AWS</w:t>
      </w:r>
      <w:r>
        <w:rPr>
          <w:spacing w:val="-3"/>
        </w:rPr>
        <w:t>、阿里云、</w:t>
      </w:r>
      <w:r>
        <w:rPr>
          <w:spacing w:val="-50"/>
        </w:rPr>
        <w:t> </w:t>
      </w:r>
      <w:r>
        <w:rPr>
          <w:spacing w:val="-50"/>
        </w:rPr>
      </w:r>
      <w:r>
        <w:rPr>
          <w:rFonts w:ascii="Times New Roman" w:hAnsi="Times New Roman" w:cs="Times New Roman" w:eastAsia="Times New Roman" w:hint="default"/>
        </w:rPr>
        <w:t>Red</w:t>
      </w:r>
      <w:r>
        <w:rPr>
          <w:rFonts w:ascii="Times New Roman" w:hAnsi="Times New Roman" w:cs="Times New Roman" w:eastAsia="Times New Roman" w:hint="default"/>
          <w:spacing w:val="13"/>
        </w:rPr>
        <w:t> </w:t>
      </w:r>
      <w:r>
        <w:rPr>
          <w:rFonts w:ascii="Times New Roman" w:hAnsi="Times New Roman" w:cs="Times New Roman" w:eastAsia="Times New Roman" w:hint="default"/>
        </w:rPr>
        <w:t>Hat</w:t>
      </w:r>
      <w:r>
        <w:rPr/>
        <w:t>、</w:t>
      </w:r>
      <w:r>
        <w:rPr>
          <w:rFonts w:ascii="Times New Roman" w:hAnsi="Times New Roman" w:cs="Times New Roman" w:eastAsia="Times New Roman" w:hint="default"/>
        </w:rPr>
        <w:t>Oracle</w:t>
      </w:r>
      <w:r>
        <w:rPr/>
        <w:t>、华为等国内外顶级云相关专业化认证的人员超过</w:t>
      </w:r>
      <w:r>
        <w:rPr>
          <w:spacing w:val="-46"/>
        </w:rPr>
        <w:t> </w:t>
      </w:r>
      <w:r>
        <w:rPr>
          <w:rFonts w:ascii="Times New Roman" w:hAnsi="Times New Roman" w:cs="Times New Roman" w:eastAsia="Times New Roman" w:hint="default"/>
        </w:rPr>
        <w:t>150 </w:t>
      </w:r>
      <w:r>
        <w:rPr/>
        <w:t>人，技术人员合计约</w:t>
      </w:r>
      <w:r>
        <w:rPr>
          <w:spacing w:val="-46"/>
        </w:rPr>
        <w:t> </w:t>
      </w:r>
      <w:r>
        <w:rPr>
          <w:rFonts w:ascii="Times New Roman" w:hAnsi="Times New Roman" w:cs="Times New Roman" w:eastAsia="Times New Roman" w:hint="default"/>
        </w:rPr>
        <w:t>1200</w:t>
      </w:r>
      <w:r>
        <w:rPr>
          <w:rFonts w:ascii="Times New Roman" w:hAnsi="Times New Roman" w:cs="Times New Roman" w:eastAsia="Times New Roman" w:hint="default"/>
          <w:spacing w:val="-1"/>
        </w:rPr>
        <w:t> </w:t>
      </w:r>
      <w:r>
        <w:rPr/>
        <w:t>人。目前，公司在云计算 方面的技术优势主要包括：国内少数能够在多云环境下实现</w:t>
      </w:r>
      <w:r>
        <w:rPr>
          <w:spacing w:val="-65"/>
        </w:rPr>
        <w:t> </w:t>
      </w:r>
      <w:r>
        <w:rPr>
          <w:rFonts w:ascii="Times New Roman" w:hAnsi="Times New Roman" w:cs="Times New Roman" w:eastAsia="Times New Roman" w:hint="default"/>
        </w:rPr>
        <w:t>MSP</w:t>
      </w:r>
      <w:r>
        <w:rPr>
          <w:rFonts w:ascii="Times New Roman" w:hAnsi="Times New Roman" w:cs="Times New Roman" w:eastAsia="Times New Roman" w:hint="default"/>
          <w:spacing w:val="-20"/>
        </w:rPr>
        <w:t> </w:t>
      </w:r>
      <w:r>
        <w:rPr/>
        <w:t>服务的企业、国内极少数能够实现对云平台原生</w:t>
      </w:r>
      <w:r>
        <w:rPr>
          <w:spacing w:val="-65"/>
        </w:rPr>
        <w:t> </w:t>
      </w:r>
      <w:r>
        <w:rPr>
          <w:rFonts w:ascii="Times New Roman" w:hAnsi="Times New Roman" w:cs="Times New Roman" w:eastAsia="Times New Roman" w:hint="default"/>
        </w:rPr>
        <w:t>PaaS</w:t>
      </w:r>
      <w:r>
        <w:rPr>
          <w:rFonts w:ascii="Times New Roman" w:hAnsi="Times New Roman" w:cs="Times New Roman" w:eastAsia="Times New Roman" w:hint="default"/>
          <w:spacing w:val="-20"/>
        </w:rPr>
        <w:t> </w:t>
      </w:r>
      <w:r>
        <w:rPr/>
        <w:t>监控 的企业、国内极少数能够帮助客户在多云环境下实现数字化应用开发的企业。公司对</w:t>
      </w:r>
      <w:r>
        <w:rPr>
          <w:spacing w:val="-47"/>
        </w:rPr>
        <w:t> </w:t>
      </w:r>
      <w:r>
        <w:rPr>
          <w:rFonts w:ascii="Times New Roman" w:hAnsi="Times New Roman" w:cs="Times New Roman" w:eastAsia="Times New Roman" w:hint="default"/>
        </w:rPr>
        <w:t>3A</w:t>
      </w:r>
      <w:r>
        <w:rPr>
          <w:rFonts w:ascii="Times New Roman" w:hAnsi="Times New Roman" w:cs="Times New Roman" w:eastAsia="Times New Roman" w:hint="default"/>
          <w:spacing w:val="-2"/>
        </w:rPr>
        <w:t> </w:t>
      </w:r>
      <w:r>
        <w:rPr/>
        <w:t>等主流云厂商的</w:t>
      </w:r>
      <w:r>
        <w:rPr>
          <w:spacing w:val="-47"/>
        </w:rPr>
        <w:t> </w:t>
      </w:r>
      <w:r>
        <w:rPr>
          <w:rFonts w:ascii="Times New Roman" w:hAnsi="Times New Roman" w:cs="Times New Roman" w:eastAsia="Times New Roman" w:hint="default"/>
        </w:rPr>
        <w:t>IaaS+PaaS</w:t>
      </w:r>
      <w:r>
        <w:rPr>
          <w:rFonts w:ascii="Times New Roman" w:hAnsi="Times New Roman" w:cs="Times New Roman" w:eastAsia="Times New Roman" w:hint="default"/>
          <w:spacing w:val="-2"/>
        </w:rPr>
        <w:t> </w:t>
      </w:r>
      <w:r>
        <w:rPr/>
        <w:t>架构和 技术非常熟悉，拥有基于</w:t>
      </w:r>
      <w:r>
        <w:rPr>
          <w:spacing w:val="-60"/>
        </w:rPr>
        <w:t> </w:t>
      </w:r>
      <w:r>
        <w:rPr>
          <w:rFonts w:ascii="Times New Roman" w:hAnsi="Times New Roman" w:cs="Times New Roman" w:eastAsia="Times New Roman" w:hint="default"/>
        </w:rPr>
        <w:t>3A</w:t>
      </w:r>
      <w:r>
        <w:rPr>
          <w:rFonts w:ascii="Times New Roman" w:hAnsi="Times New Roman" w:cs="Times New Roman" w:eastAsia="Times New Roman" w:hint="default"/>
          <w:spacing w:val="-14"/>
        </w:rPr>
        <w:t> </w:t>
      </w:r>
      <w:r>
        <w:rPr/>
        <w:t>平台、开源平台以及混合云架构的技术服务能力；具备从设计，到实施，到开发的全生命周期 </w:t>
      </w:r>
      <w:r>
        <w:rPr>
          <w:spacing w:val="-8"/>
        </w:rPr>
        <w:t>云专业服务（</w:t>
      </w:r>
      <w:r>
        <w:rPr>
          <w:rFonts w:ascii="Times New Roman" w:hAnsi="Times New Roman" w:cs="Times New Roman" w:eastAsia="Times New Roman" w:hint="default"/>
          <w:spacing w:val="-8"/>
        </w:rPr>
        <w:t>CPS</w:t>
      </w:r>
      <w:r>
        <w:rPr>
          <w:spacing w:val="-8"/>
        </w:rPr>
        <w:t>）能力；利用自主研发、国内领先的云管理平台，为客户提供自动化的开发运维服务；具备为</w:t>
      </w:r>
      <w:r>
        <w:rPr>
          <w:spacing w:val="-32"/>
        </w:rPr>
        <w:t> </w:t>
      </w:r>
      <w:r>
        <w:rPr>
          <w:rFonts w:ascii="Times New Roman" w:hAnsi="Times New Roman" w:cs="Times New Roman" w:eastAsia="Times New Roman" w:hint="default"/>
          <w:spacing w:val="-5"/>
        </w:rPr>
        <w:t>SAP</w:t>
      </w:r>
      <w:r>
        <w:rPr>
          <w:spacing w:val="-5"/>
        </w:rPr>
        <w:t>、</w:t>
      </w:r>
      <w:r>
        <w:rPr>
          <w:rFonts w:ascii="Times New Roman" w:hAnsi="Times New Roman" w:cs="Times New Roman" w:eastAsia="Times New Roman" w:hint="default"/>
          <w:spacing w:val="-5"/>
        </w:rPr>
        <w:t>Salesforce</w:t>
      </w:r>
      <w:r>
        <w:rPr>
          <w:rFonts w:ascii="Times New Roman" w:hAnsi="Times New Roman" w:cs="Times New Roman" w:eastAsia="Times New Roman" w:hint="default"/>
          <w:spacing w:val="-41"/>
        </w:rPr>
        <w:t> </w:t>
      </w:r>
      <w:r>
        <w:rPr/>
        <w:t>等国内外巨头</w:t>
      </w:r>
      <w:r>
        <w:rPr>
          <w:spacing w:val="-42"/>
        </w:rPr>
        <w:t> </w:t>
      </w:r>
      <w:r>
        <w:rPr>
          <w:rFonts w:ascii="Times New Roman" w:hAnsi="Times New Roman" w:cs="Times New Roman" w:eastAsia="Times New Roman" w:hint="default"/>
          <w:w w:val="99"/>
        </w:rPr>
        <w:t>SaaS</w:t>
      </w:r>
      <w:r>
        <w:rPr>
          <w:rFonts w:ascii="Times New Roman" w:hAnsi="Times New Roman" w:cs="Times New Roman" w:eastAsia="Times New Roman" w:hint="default"/>
          <w:spacing w:val="3"/>
          <w:w w:val="99"/>
        </w:rPr>
        <w:t> </w:t>
      </w:r>
      <w:r>
        <w:rPr>
          <w:spacing w:val="-4"/>
        </w:rPr>
        <w:t>厂商提供交付和实施服务的能力。简言之，公司在云计算产业及相关服务业务方面已经初步形成了全面、</w:t>
      </w:r>
      <w:r>
        <w:rPr/>
        <w:t> 系统、周期完整的技术领先地位，这是公司下一阶段实现云计算业务跨越式发展的核心优势和强大武器。</w:t>
      </w:r>
    </w:p>
    <w:p>
      <w:pPr>
        <w:pStyle w:val="BodyText"/>
        <w:spacing w:line="295" w:lineRule="auto" w:before="58"/>
        <w:ind w:left="514" w:right="0"/>
        <w:jc w:val="left"/>
      </w:pPr>
      <w:r>
        <w:rPr>
          <w:rFonts w:ascii="Times New Roman" w:hAnsi="Times New Roman" w:cs="Times New Roman" w:eastAsia="Times New Roman" w:hint="default"/>
        </w:rPr>
        <w:t>2</w:t>
      </w:r>
      <w:r>
        <w:rPr/>
        <w:t>、产业级云计算服务业务成功案例的成熟经验优势 </w:t>
      </w:r>
      <w:r>
        <w:rPr>
          <w:spacing w:val="-2"/>
        </w:rPr>
        <w:t>根据权威市场研究机构的报告，企业级特别是大企业级客户选择云服务商最重要的标准之一就是是否具备有行业代表性</w:t>
      </w:r>
    </w:p>
    <w:p>
      <w:pPr>
        <w:pStyle w:val="BodyText"/>
        <w:spacing w:line="273" w:lineRule="auto"/>
        <w:ind w:right="1116"/>
        <w:jc w:val="left"/>
        <w:rPr>
          <w:rFonts w:ascii="Times New Roman" w:hAnsi="Times New Roman" w:cs="Times New Roman" w:eastAsia="Times New Roman" w:hint="default"/>
        </w:rPr>
      </w:pPr>
      <w:r>
        <w:rPr>
          <w:spacing w:val="-2"/>
        </w:rPr>
        <w:t>的实际成功案例，这也正是神州数码长期深耕产业领袖级客户的优势所在。在顶尖行业客户和自身技术实力的支持下，公司</w:t>
      </w:r>
      <w:r>
        <w:rPr>
          <w:spacing w:val="-66"/>
        </w:rPr>
        <w:t> </w:t>
      </w:r>
      <w:r>
        <w:rPr>
          <w:spacing w:val="-66"/>
        </w:rPr>
      </w:r>
      <w:r>
        <w:rPr>
          <w:spacing w:val="-1"/>
        </w:rPr>
        <w:t>积累了大量实际行业成功云服务运营的成熟经验和以世界五百强客户为代表的标杆性成功案例方案。公司累计服务超过</w:t>
      </w:r>
      <w:r>
        <w:rPr>
          <w:spacing w:val="-32"/>
        </w:rPr>
        <w:t> </w:t>
      </w:r>
      <w:r>
        <w:rPr>
          <w:rFonts w:ascii="Times New Roman" w:hAnsi="Times New Roman" w:cs="Times New Roman" w:eastAsia="Times New Roman" w:hint="default"/>
        </w:rPr>
        <w:t>100</w:t>
      </w:r>
    </w:p>
    <w:p>
      <w:pPr>
        <w:pStyle w:val="BodyText"/>
        <w:spacing w:line="266" w:lineRule="auto"/>
        <w:ind w:right="1041"/>
        <w:jc w:val="left"/>
      </w:pPr>
      <w:r>
        <w:rPr>
          <w:spacing w:val="-3"/>
        </w:rPr>
        <w:t>家中大型企业（不包含纯转售业务客户），其中世界五百强客户超过</w:t>
      </w:r>
      <w:r>
        <w:rPr>
          <w:spacing w:val="-43"/>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家，重点客户云计算业务年收入超过</w:t>
      </w:r>
      <w:r>
        <w:rPr>
          <w:spacing w:val="-43"/>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
        </w:rPr>
        <w:t> </w:t>
      </w:r>
      <w:r>
        <w:rPr/>
        <w:t>万元且依 </w:t>
      </w:r>
      <w:r>
        <w:rPr>
          <w:spacing w:val="-2"/>
        </w:rPr>
        <w:t>然保持高速增长，实现了单体客户云运维服务收入过亿元的重大突破，全方位、多角度、全生命周期地协助客户基于云计算</w:t>
      </w:r>
      <w:r>
        <w:rPr>
          <w:spacing w:val="-65"/>
        </w:rPr>
        <w:t> </w:t>
      </w:r>
      <w:r>
        <w:rPr>
          <w:spacing w:val="-65"/>
        </w:rPr>
      </w:r>
      <w:r>
        <w:rPr/>
        <w:t>进行数字化转型。此外，通过长期服务行业顶级客户，公司积累了包括大数据、物联网、人工智能、混合现实等</w:t>
      </w:r>
      <w:r>
        <w:rPr>
          <w:spacing w:val="-41"/>
        </w:rPr>
        <w:t> </w:t>
      </w:r>
      <w:r>
        <w:rPr>
          <w:rFonts w:ascii="Times New Roman" w:hAnsi="Times New Roman" w:cs="Times New Roman" w:eastAsia="Times New Roman" w:hint="default"/>
        </w:rPr>
        <w:t>17</w:t>
      </w:r>
      <w:r>
        <w:rPr>
          <w:rFonts w:ascii="Times New Roman" w:hAnsi="Times New Roman" w:cs="Times New Roman" w:eastAsia="Times New Roman" w:hint="default"/>
          <w:spacing w:val="4"/>
        </w:rPr>
        <w:t> </w:t>
      </w:r>
      <w:r>
        <w:rPr/>
        <w:t>类自主 产权的公有云解决方案并实现了重点行业解决方案产品化。公司为快消和汽车行业的多家全球顶尖客户提供了</w:t>
      </w:r>
      <w:r>
        <w:rPr>
          <w:spacing w:val="3"/>
        </w:rPr>
        <w:t> </w:t>
      </w:r>
      <w:r>
        <w:rPr>
          <w:rFonts w:ascii="Times New Roman" w:hAnsi="Times New Roman" w:cs="Times New Roman" w:eastAsia="Times New Roman" w:hint="default"/>
        </w:rPr>
        <w:t>MSP</w:t>
      </w:r>
      <w:r>
        <w:rPr/>
        <w:t>、车联 网、大数据平台、数字营销、智能机器人训练等多种服务和解决方案。公司将复制当前在汽车、零售快消行业的成功案例，</w:t>
      </w:r>
      <w:r>
        <w:rPr>
          <w:spacing w:val="-84"/>
        </w:rPr>
        <w:t> </w:t>
      </w:r>
      <w:r>
        <w:rPr>
          <w:spacing w:val="-84"/>
        </w:rPr>
      </w:r>
      <w:r>
        <w:rPr/>
        <w:t>通过“服务”</w:t>
      </w:r>
      <w:r>
        <w:rPr>
          <w:rFonts w:ascii="Times New Roman" w:hAnsi="Times New Roman" w:cs="Times New Roman" w:eastAsia="Times New Roman" w:hint="default"/>
        </w:rPr>
        <w:t>-</w:t>
      </w:r>
      <w:r>
        <w:rPr>
          <w:rFonts w:ascii="Times New Roman" w:hAnsi="Times New Roman" w:cs="Times New Roman" w:eastAsia="Times New Roman" w:hint="default"/>
        </w:rPr>
        <w:t>“</w:t>
      </w:r>
      <w:r>
        <w:rPr/>
        <w:t>方案</w:t>
      </w:r>
      <w:r>
        <w:rPr>
          <w:rFonts w:ascii="Times New Roman" w:hAnsi="Times New Roman" w:cs="Times New Roman" w:eastAsia="Times New Roman" w:hint="default"/>
        </w:rPr>
        <w:t>”</w:t>
      </w:r>
      <w:r>
        <w:rPr>
          <w:rFonts w:ascii="Times New Roman" w:hAnsi="Times New Roman" w:cs="Times New Roman" w:eastAsia="Times New Roman" w:hint="default"/>
        </w:rPr>
        <w:t>-</w:t>
      </w:r>
      <w:r>
        <w:rPr>
          <w:rFonts w:ascii="Times New Roman" w:hAnsi="Times New Roman" w:cs="Times New Roman" w:eastAsia="Times New Roman" w:hint="default"/>
        </w:rPr>
        <w:t>“</w:t>
      </w:r>
      <w:r>
        <w:rPr/>
        <w:t>产品</w:t>
      </w:r>
      <w:r>
        <w:rPr>
          <w:rFonts w:ascii="Times New Roman" w:hAnsi="Times New Roman" w:cs="Times New Roman" w:eastAsia="Times New Roman" w:hint="default"/>
        </w:rPr>
        <w:t>”</w:t>
      </w:r>
      <w:r>
        <w:rPr/>
        <w:t>的发展路径，逐步实现</w:t>
      </w:r>
      <w:r>
        <w:rPr>
          <w:spacing w:val="-64"/>
        </w:rPr>
        <w:t> </w:t>
      </w:r>
      <w:r>
        <w:rPr>
          <w:rFonts w:ascii="Times New Roman" w:hAnsi="Times New Roman" w:cs="Times New Roman" w:eastAsia="Times New Roman" w:hint="default"/>
        </w:rPr>
        <w:t>SaaS</w:t>
      </w:r>
      <w:r>
        <w:rPr>
          <w:rFonts w:ascii="Times New Roman" w:hAnsi="Times New Roman" w:cs="Times New Roman" w:eastAsia="Times New Roman" w:hint="default"/>
          <w:spacing w:val="-20"/>
        </w:rPr>
        <w:t> </w:t>
      </w:r>
      <w:r>
        <w:rPr/>
        <w:t>级别的行业应用产品化。同时，基于行业发展的成熟度，将择机将 </w:t>
      </w:r>
      <w:r>
        <w:rPr>
          <w:spacing w:val="-2"/>
        </w:rPr>
        <w:t>技术能力和方案向其它行业延伸拓展。这些在行业中通过协助顶级客户而形成的成熟经验和成功方案是未来公司发展数字化</w:t>
      </w:r>
      <w:r>
        <w:rPr>
          <w:spacing w:val="-63"/>
        </w:rPr>
        <w:t> </w:t>
      </w:r>
      <w:r>
        <w:rPr>
          <w:spacing w:val="-63"/>
        </w:rPr>
      </w:r>
      <w:r>
        <w:rPr/>
        <w:t>应用业务的坚实基础，也是其他竞争对手无法复制也难以逾越的壁垒。</w:t>
      </w:r>
    </w:p>
    <w:p>
      <w:pPr>
        <w:pStyle w:val="BodyText"/>
        <w:spacing w:line="240" w:lineRule="auto" w:before="53"/>
        <w:ind w:left="514" w:right="0"/>
        <w:jc w:val="left"/>
      </w:pPr>
      <w:r>
        <w:rPr>
          <w:rFonts w:ascii="Times New Roman" w:hAnsi="Times New Roman" w:cs="Times New Roman" w:eastAsia="Times New Roman" w:hint="default"/>
        </w:rPr>
        <w:t>3</w:t>
      </w:r>
      <w:r>
        <w:rPr/>
        <w:t>、国内最大的</w:t>
      </w:r>
      <w:r>
        <w:rPr>
          <w:spacing w:val="-47"/>
        </w:rPr>
        <w:t> </w:t>
      </w:r>
      <w:r>
        <w:rPr>
          <w:rFonts w:ascii="Times New Roman" w:hAnsi="Times New Roman" w:cs="Times New Roman" w:eastAsia="Times New Roman" w:hint="default"/>
          <w:spacing w:val="-6"/>
        </w:rPr>
        <w:t>To</w:t>
      </w:r>
      <w:r>
        <w:rPr>
          <w:rFonts w:ascii="Times New Roman" w:hAnsi="Times New Roman" w:cs="Times New Roman" w:eastAsia="Times New Roman" w:hint="default"/>
          <w:spacing w:val="-1"/>
        </w:rPr>
        <w:t> </w:t>
      </w:r>
      <w:r>
        <w:rPr>
          <w:rFonts w:ascii="Times New Roman" w:hAnsi="Times New Roman" w:cs="Times New Roman" w:eastAsia="Times New Roman" w:hint="default"/>
        </w:rPr>
        <w:t>B</w:t>
      </w:r>
      <w:r>
        <w:rPr>
          <w:rFonts w:ascii="Times New Roman" w:hAnsi="Times New Roman" w:cs="Times New Roman" w:eastAsia="Times New Roman" w:hint="default"/>
          <w:spacing w:val="-2"/>
        </w:rPr>
        <w:t> </w:t>
      </w:r>
      <w:r>
        <w:rPr/>
        <w:t>销售网络渠道优势</w:t>
      </w:r>
    </w:p>
    <w:p>
      <w:pPr>
        <w:pStyle w:val="BodyText"/>
        <w:spacing w:line="261" w:lineRule="auto" w:before="58"/>
        <w:ind w:right="1130" w:firstLine="360"/>
        <w:jc w:val="both"/>
      </w:pPr>
      <w:r>
        <w:rPr/>
        <w:t>通过二十年积累而形成的</w:t>
      </w:r>
      <w:r>
        <w:rPr>
          <w:spacing w:val="-52"/>
        </w:rPr>
        <w:t> </w:t>
      </w:r>
      <w:r>
        <w:rPr>
          <w:rFonts w:ascii="Times New Roman" w:hAnsi="Times New Roman" w:cs="Times New Roman" w:eastAsia="Times New Roman" w:hint="default"/>
          <w:spacing w:val="-6"/>
        </w:rPr>
        <w:t>To</w:t>
      </w:r>
      <w:r>
        <w:rPr>
          <w:rFonts w:ascii="Times New Roman" w:hAnsi="Times New Roman" w:cs="Times New Roman" w:eastAsia="Times New Roman" w:hint="default"/>
          <w:spacing w:val="-7"/>
        </w:rPr>
        <w:t> </w:t>
      </w:r>
      <w:r>
        <w:rPr>
          <w:rFonts w:ascii="Times New Roman" w:hAnsi="Times New Roman" w:cs="Times New Roman" w:eastAsia="Times New Roman" w:hint="default"/>
        </w:rPr>
        <w:t>B</w:t>
      </w:r>
      <w:r>
        <w:rPr>
          <w:rFonts w:ascii="Times New Roman" w:hAnsi="Times New Roman" w:cs="Times New Roman" w:eastAsia="Times New Roman" w:hint="default"/>
          <w:spacing w:val="-7"/>
        </w:rPr>
        <w:t> </w:t>
      </w:r>
      <w:r>
        <w:rPr/>
        <w:t>渠道网络是公司最重要的战略资源。通过专注于国内企业级</w:t>
      </w:r>
      <w:r>
        <w:rPr>
          <w:spacing w:val="-51"/>
        </w:rPr>
        <w:t> </w:t>
      </w:r>
      <w:r>
        <w:rPr>
          <w:rFonts w:ascii="Times New Roman" w:hAnsi="Times New Roman" w:cs="Times New Roman" w:eastAsia="Times New Roman" w:hint="default"/>
        </w:rPr>
        <w:t>IT</w:t>
      </w:r>
      <w:r>
        <w:rPr>
          <w:rFonts w:ascii="Times New Roman" w:hAnsi="Times New Roman" w:cs="Times New Roman" w:eastAsia="Times New Roman" w:hint="default"/>
          <w:spacing w:val="-7"/>
        </w:rPr>
        <w:t> </w:t>
      </w:r>
      <w:r>
        <w:rPr>
          <w:spacing w:val="-3"/>
        </w:rPr>
        <w:t>市场的不懈耕耘，公司构</w:t>
      </w:r>
      <w:r>
        <w:rPr/>
        <w:t> 建了遍布国内</w:t>
      </w:r>
      <w:r>
        <w:rPr>
          <w:spacing w:val="-48"/>
        </w:rPr>
        <w:t> </w:t>
      </w:r>
      <w:r>
        <w:rPr>
          <w:rFonts w:ascii="Times New Roman" w:hAnsi="Times New Roman" w:cs="Times New Roman" w:eastAsia="Times New Roman" w:hint="default"/>
        </w:rPr>
        <w:t>1000</w:t>
      </w:r>
      <w:r>
        <w:rPr>
          <w:rFonts w:ascii="Times New Roman" w:hAnsi="Times New Roman" w:cs="Times New Roman" w:eastAsia="Times New Roman" w:hint="default"/>
          <w:spacing w:val="-3"/>
        </w:rPr>
        <w:t> </w:t>
      </w:r>
      <w:r>
        <w:rPr>
          <w:spacing w:val="-4"/>
        </w:rPr>
        <w:t>余座城市、覆盖各大垂直行业、整合</w:t>
      </w:r>
      <w:r>
        <w:rPr>
          <w:spacing w:val="-48"/>
        </w:rPr>
        <w:t> </w:t>
      </w:r>
      <w:r>
        <w:rPr>
          <w:rFonts w:ascii="Times New Roman" w:hAnsi="Times New Roman" w:cs="Times New Roman" w:eastAsia="Times New Roman" w:hint="default"/>
        </w:rPr>
        <w:t>30000</w:t>
      </w:r>
      <w:r>
        <w:rPr>
          <w:rFonts w:ascii="Times New Roman" w:hAnsi="Times New Roman" w:cs="Times New Roman" w:eastAsia="Times New Roman" w:hint="default"/>
          <w:spacing w:val="-3"/>
        </w:rPr>
        <w:t> </w:t>
      </w:r>
      <w:r>
        <w:rPr/>
        <w:t>余家销售渠道的全国最大</w:t>
      </w:r>
      <w:r>
        <w:rPr>
          <w:spacing w:val="-48"/>
        </w:rPr>
        <w:t> </w:t>
      </w:r>
      <w:r>
        <w:rPr>
          <w:rFonts w:ascii="Times New Roman" w:hAnsi="Times New Roman" w:cs="Times New Roman" w:eastAsia="Times New Roman" w:hint="default"/>
          <w:spacing w:val="-6"/>
        </w:rPr>
        <w:t>To</w:t>
      </w:r>
      <w:r>
        <w:rPr>
          <w:rFonts w:ascii="Times New Roman" w:hAnsi="Times New Roman" w:cs="Times New Roman" w:eastAsia="Times New Roman" w:hint="default"/>
          <w:spacing w:val="-2"/>
        </w:rPr>
        <w:t> </w:t>
      </w:r>
      <w:r>
        <w:rPr>
          <w:rFonts w:ascii="Times New Roman" w:hAnsi="Times New Roman" w:cs="Times New Roman" w:eastAsia="Times New Roman" w:hint="default"/>
        </w:rPr>
        <w:t>B</w:t>
      </w:r>
      <w:r>
        <w:rPr>
          <w:rFonts w:ascii="Times New Roman" w:hAnsi="Times New Roman" w:cs="Times New Roman" w:eastAsia="Times New Roman" w:hint="default"/>
          <w:spacing w:val="-3"/>
        </w:rPr>
        <w:t> </w:t>
      </w:r>
      <w:r>
        <w:rPr/>
        <w:t>销售渠道网络。这一渠道网络 </w:t>
      </w:r>
      <w:r>
        <w:rPr>
          <w:spacing w:val="-2"/>
        </w:rPr>
        <w:t>是公司长期深耕细作、日积月累的成果结晶，资源价值极大、竞争壁垒极高。通过二十年来的通力合作，公司已经和国内外</w:t>
      </w:r>
      <w:r>
        <w:rPr>
          <w:spacing w:val="-66"/>
        </w:rPr>
        <w:t> </w:t>
      </w:r>
      <w:r>
        <w:rPr>
          <w:spacing w:val="-66"/>
        </w:rPr>
      </w:r>
      <w:r>
        <w:rPr/>
        <w:t>广大厂商客户以及各类合作伙伴建立起了非常牢固的企业级</w:t>
      </w:r>
      <w:r>
        <w:rPr>
          <w:spacing w:val="-36"/>
        </w:rPr>
        <w:t> </w:t>
      </w:r>
      <w:r>
        <w:rPr>
          <w:rFonts w:ascii="Times New Roman" w:hAnsi="Times New Roman" w:cs="Times New Roman" w:eastAsia="Times New Roman" w:hint="default"/>
        </w:rPr>
        <w:t>IT</w:t>
      </w:r>
      <w:r>
        <w:rPr>
          <w:rFonts w:ascii="Times New Roman" w:hAnsi="Times New Roman" w:cs="Times New Roman" w:eastAsia="Times New Roman" w:hint="default"/>
          <w:spacing w:val="9"/>
        </w:rPr>
        <w:t> </w:t>
      </w:r>
      <w:r>
        <w:rPr/>
        <w:t>市场产业链和生态圈，相互赋能、相互促进，协同发展、互 利共赢，构筑起公司 </w:t>
      </w:r>
      <w:r>
        <w:rPr>
          <w:rFonts w:ascii="Times New Roman" w:hAnsi="Times New Roman" w:cs="Times New Roman" w:eastAsia="Times New Roman" w:hint="default"/>
          <w:spacing w:val="-6"/>
        </w:rPr>
        <w:t>To </w:t>
      </w:r>
      <w:r>
        <w:rPr>
          <w:rFonts w:ascii="Times New Roman" w:hAnsi="Times New Roman" w:cs="Times New Roman" w:eastAsia="Times New Roman" w:hint="default"/>
        </w:rPr>
        <w:t>B</w:t>
      </w:r>
      <w:r>
        <w:rPr>
          <w:rFonts w:ascii="Times New Roman" w:hAnsi="Times New Roman" w:cs="Times New Roman" w:eastAsia="Times New Roman" w:hint="default"/>
          <w:spacing w:val="-25"/>
        </w:rPr>
        <w:t> </w:t>
      </w:r>
      <w:r>
        <w:rPr/>
        <w:t>业务极其宽广的护城河。基于多年渠道服务经验，公司对于企业客户的行业特性和应用场景有着 深度理解，能够持续高效触达客户并快速响应客户需求，对客户特别是大 </w:t>
      </w:r>
      <w:r>
        <w:rPr>
          <w:rFonts w:ascii="Times New Roman" w:hAnsi="Times New Roman" w:cs="Times New Roman" w:eastAsia="Times New Roman" w:hint="default"/>
        </w:rPr>
        <w:t>B</w:t>
      </w:r>
      <w:r>
        <w:rPr>
          <w:rFonts w:ascii="Times New Roman" w:hAnsi="Times New Roman" w:cs="Times New Roman" w:eastAsia="Times New Roman" w:hint="default"/>
          <w:spacing w:val="24"/>
        </w:rPr>
        <w:t> </w:t>
      </w:r>
      <w:r>
        <w:rPr/>
        <w:t>企业级客户形成了超高粘性。通过这一销售渠 </w:t>
      </w:r>
      <w:r>
        <w:rPr>
          <w:spacing w:val="-2"/>
        </w:rPr>
        <w:t>道网络，公司能够将全面涵盖企业信息化和数字化需求的产品、解决方案及服务精准高效地传递给企业客户，并根据客户需</w:t>
      </w:r>
      <w:r>
        <w:rPr>
          <w:spacing w:val="-66"/>
        </w:rPr>
        <w:t> </w:t>
      </w:r>
      <w:r>
        <w:rPr>
          <w:spacing w:val="-66"/>
        </w:rPr>
      </w:r>
      <w:r>
        <w:rPr/>
        <w:t>求和行业属性进行快速映射并落地实施。未来，随着数字化转型大潮和</w:t>
      </w:r>
      <w:r>
        <w:rPr>
          <w:spacing w:val="-49"/>
        </w:rPr>
        <w:t> </w:t>
      </w:r>
      <w:r>
        <w:rPr>
          <w:rFonts w:ascii="Times New Roman" w:hAnsi="Times New Roman" w:cs="Times New Roman" w:eastAsia="Times New Roman" w:hint="default"/>
        </w:rPr>
        <w:t>B</w:t>
      </w:r>
      <w:r>
        <w:rPr>
          <w:rFonts w:ascii="Times New Roman" w:hAnsi="Times New Roman" w:cs="Times New Roman" w:eastAsia="Times New Roman" w:hint="default"/>
          <w:spacing w:val="-5"/>
        </w:rPr>
        <w:t> </w:t>
      </w:r>
      <w:r>
        <w:rPr/>
        <w:t>端企业级</w:t>
      </w:r>
      <w:r>
        <w:rPr>
          <w:spacing w:val="-50"/>
        </w:rPr>
        <w:t> </w:t>
      </w:r>
      <w:r>
        <w:rPr>
          <w:rFonts w:ascii="Times New Roman" w:hAnsi="Times New Roman" w:cs="Times New Roman" w:eastAsia="Times New Roman" w:hint="default"/>
        </w:rPr>
        <w:t>IT</w:t>
      </w:r>
      <w:r>
        <w:rPr>
          <w:rFonts w:ascii="Times New Roman" w:hAnsi="Times New Roman" w:cs="Times New Roman" w:eastAsia="Times New Roman" w:hint="default"/>
          <w:spacing w:val="-5"/>
        </w:rPr>
        <w:t> </w:t>
      </w:r>
      <w:r>
        <w:rPr/>
        <w:t>市场的爆发，这一覆盖全地域、全行 业、全产品、全周期的销售渠道网络必将成为公司在云计算等 </w:t>
      </w:r>
      <w:r>
        <w:rPr>
          <w:rFonts w:ascii="Times New Roman" w:hAnsi="Times New Roman" w:cs="Times New Roman" w:eastAsia="Times New Roman" w:hint="default"/>
          <w:spacing w:val="-6"/>
        </w:rPr>
        <w:t>To </w:t>
      </w:r>
      <w:r>
        <w:rPr>
          <w:rFonts w:ascii="Times New Roman" w:hAnsi="Times New Roman" w:cs="Times New Roman" w:eastAsia="Times New Roman" w:hint="default"/>
        </w:rPr>
        <w:t>B</w:t>
      </w:r>
      <w:r>
        <w:rPr>
          <w:rFonts w:ascii="Times New Roman" w:hAnsi="Times New Roman" w:cs="Times New Roman" w:eastAsia="Times New Roman" w:hint="default"/>
          <w:spacing w:val="-24"/>
        </w:rPr>
        <w:t> </w:t>
      </w:r>
      <w:r>
        <w:rPr/>
        <w:t>企业级大数据业务市场实现爆发式增长的坚实基础和有 力保障，承载和实现越来越大的产业价值和商业利益。</w:t>
      </w:r>
    </w:p>
    <w:p>
      <w:pPr>
        <w:pStyle w:val="BodyText"/>
        <w:spacing w:line="240" w:lineRule="auto" w:before="56"/>
        <w:ind w:left="514" w:right="0"/>
        <w:jc w:val="left"/>
      </w:pPr>
      <w:r>
        <w:rPr>
          <w:rFonts w:ascii="Times New Roman" w:hAnsi="Times New Roman" w:cs="Times New Roman" w:eastAsia="Times New Roman" w:hint="default"/>
        </w:rPr>
        <w:t>4</w:t>
      </w:r>
      <w:r>
        <w:rPr/>
        <w:t>、顶尖的云资源优势</w:t>
      </w:r>
    </w:p>
    <w:p>
      <w:pPr>
        <w:pStyle w:val="BodyText"/>
        <w:spacing w:line="264" w:lineRule="auto" w:before="58"/>
        <w:ind w:right="1130" w:firstLine="360"/>
        <w:jc w:val="both"/>
      </w:pPr>
      <w:r>
        <w:rPr/>
        <w:t>作为连续多年国内</w:t>
      </w:r>
      <w:r>
        <w:rPr>
          <w:spacing w:val="-39"/>
        </w:rPr>
        <w:t> </w:t>
      </w:r>
      <w:r>
        <w:rPr>
          <w:rFonts w:ascii="Times New Roman" w:hAnsi="Times New Roman" w:cs="Times New Roman" w:eastAsia="Times New Roman" w:hint="default"/>
        </w:rPr>
        <w:t>IT</w:t>
      </w:r>
      <w:r>
        <w:rPr>
          <w:rFonts w:ascii="Times New Roman" w:hAnsi="Times New Roman" w:cs="Times New Roman" w:eastAsia="Times New Roman" w:hint="default"/>
          <w:spacing w:val="6"/>
        </w:rPr>
        <w:t> </w:t>
      </w:r>
      <w:r>
        <w:rPr>
          <w:spacing w:val="-3"/>
        </w:rPr>
        <w:t>分销龙头，公司与国内外各大厂商巨头保持了长期紧密的合作关系，在</w:t>
      </w:r>
      <w:r>
        <w:rPr>
          <w:spacing w:val="-39"/>
        </w:rPr>
        <w:t> </w:t>
      </w:r>
      <w:r>
        <w:rPr>
          <w:rFonts w:ascii="Times New Roman" w:hAnsi="Times New Roman" w:cs="Times New Roman" w:eastAsia="Times New Roman" w:hint="default"/>
        </w:rPr>
        <w:t>IT</w:t>
      </w:r>
      <w:r>
        <w:rPr>
          <w:rFonts w:ascii="Times New Roman" w:hAnsi="Times New Roman" w:cs="Times New Roman" w:eastAsia="Times New Roman" w:hint="default"/>
          <w:spacing w:val="6"/>
        </w:rPr>
        <w:t> </w:t>
      </w:r>
      <w:r>
        <w:rPr/>
        <w:t>产业全面转向云计算等 数字化大潮的进程中，公司将继续携手云厂商同步前行。公司同时拥有阿里云钻石合作伙伴、</w:t>
      </w:r>
      <w:r>
        <w:rPr>
          <w:rFonts w:ascii="Times New Roman" w:hAnsi="Times New Roman" w:cs="Times New Roman" w:eastAsia="Times New Roman" w:hint="default"/>
        </w:rPr>
        <w:t>Azure </w:t>
      </w:r>
      <w:r>
        <w:rPr/>
        <w:t>金牌合作伙伴、</w:t>
      </w:r>
      <w:r>
        <w:rPr>
          <w:rFonts w:ascii="Times New Roman" w:hAnsi="Times New Roman" w:cs="Times New Roman" w:eastAsia="Times New Roman" w:hint="default"/>
        </w:rPr>
        <w:t>AWS</w:t>
      </w:r>
      <w:r>
        <w:rPr>
          <w:rFonts w:ascii="Times New Roman" w:hAnsi="Times New Roman" w:cs="Times New Roman" w:eastAsia="Times New Roman" w:hint="default"/>
          <w:spacing w:val="-30"/>
        </w:rPr>
        <w:t> </w:t>
      </w:r>
      <w:r>
        <w:rPr>
          <w:rFonts w:ascii="Times New Roman" w:hAnsi="Times New Roman" w:cs="Times New Roman" w:eastAsia="Times New Roman" w:hint="default"/>
          <w:spacing w:val="-30"/>
        </w:rPr>
      </w:r>
      <w:r>
        <w:rPr>
          <w:spacing w:val="4"/>
        </w:rPr>
        <w:t>高级咨询合作伙伴的身份，也是首批通过 </w:t>
      </w:r>
      <w:r>
        <w:rPr>
          <w:rFonts w:ascii="Times New Roman" w:hAnsi="Times New Roman" w:cs="Times New Roman" w:eastAsia="Times New Roman" w:hint="default"/>
        </w:rPr>
        <w:t>Oracle Cloud MSP</w:t>
      </w:r>
      <w:r>
        <w:rPr>
          <w:rFonts w:ascii="Times New Roman" w:hAnsi="Times New Roman" w:cs="Times New Roman" w:eastAsia="Times New Roman" w:hint="default"/>
          <w:spacing w:val="39"/>
        </w:rPr>
        <w:t> </w:t>
      </w:r>
      <w:r>
        <w:rPr>
          <w:spacing w:val="5"/>
        </w:rPr>
        <w:t>认证的大中华区合作伙伴及华为战略合作伙伴；同时，以</w:t>
      </w:r>
      <w:r>
        <w:rPr/>
        <w:t> </w:t>
      </w:r>
      <w:r>
        <w:rPr>
          <w:rFonts w:ascii="Times New Roman" w:hAnsi="Times New Roman" w:cs="Times New Roman" w:eastAsia="Times New Roman" w:hint="default"/>
        </w:rPr>
        <w:t>Salesforce</w:t>
      </w:r>
      <w:r>
        <w:rPr/>
        <w:t>、</w:t>
      </w:r>
      <w:r>
        <w:rPr>
          <w:rFonts w:ascii="Times New Roman" w:hAnsi="Times New Roman" w:cs="Times New Roman" w:eastAsia="Times New Roman" w:hint="default"/>
        </w:rPr>
        <w:t>SAP</w:t>
      </w:r>
      <w:r>
        <w:rPr/>
        <w:t>、</w:t>
      </w:r>
      <w:r>
        <w:rPr>
          <w:rFonts w:ascii="Times New Roman" w:hAnsi="Times New Roman" w:cs="Times New Roman" w:eastAsia="Times New Roman" w:hint="default"/>
        </w:rPr>
        <w:t>Oracle</w:t>
      </w:r>
      <w:r>
        <w:rPr/>
        <w:t>、</w:t>
      </w:r>
      <w:r>
        <w:rPr>
          <w:rFonts w:ascii="Times New Roman" w:hAnsi="Times New Roman" w:cs="Times New Roman" w:eastAsia="Times New Roman" w:hint="default"/>
        </w:rPr>
        <w:t>MS</w:t>
      </w:r>
      <w:r>
        <w:rPr>
          <w:rFonts w:ascii="Times New Roman" w:hAnsi="Times New Roman" w:cs="Times New Roman" w:eastAsia="Times New Roman" w:hint="default"/>
          <w:spacing w:val="-9"/>
        </w:rPr>
        <w:t> </w:t>
      </w:r>
      <w:r>
        <w:rPr>
          <w:rFonts w:ascii="Times New Roman" w:hAnsi="Times New Roman" w:cs="Times New Roman" w:eastAsia="Times New Roman" w:hint="default"/>
        </w:rPr>
        <w:t>Office365</w:t>
      </w:r>
      <w:r>
        <w:rPr>
          <w:rFonts w:ascii="Times New Roman" w:hAnsi="Times New Roman" w:cs="Times New Roman" w:eastAsia="Times New Roman" w:hint="default"/>
          <w:spacing w:val="-8"/>
        </w:rPr>
        <w:t> </w:t>
      </w:r>
      <w:r>
        <w:rPr/>
        <w:t>为主力，构建起汇聚</w:t>
      </w:r>
      <w:r>
        <w:rPr>
          <w:spacing w:val="-54"/>
        </w:rPr>
        <w:t> </w:t>
      </w:r>
      <w:r>
        <w:rPr>
          <w:rFonts w:ascii="Times New Roman" w:hAnsi="Times New Roman" w:cs="Times New Roman" w:eastAsia="Times New Roman" w:hint="default"/>
        </w:rPr>
        <w:t>120</w:t>
      </w:r>
      <w:r>
        <w:rPr>
          <w:rFonts w:ascii="Times New Roman" w:hAnsi="Times New Roman" w:cs="Times New Roman" w:eastAsia="Times New Roman" w:hint="default"/>
          <w:spacing w:val="-9"/>
        </w:rPr>
        <w:t> </w:t>
      </w:r>
      <w:r>
        <w:rPr/>
        <w:t>余种主流云应用</w:t>
      </w:r>
      <w:r>
        <w:rPr>
          <w:spacing w:val="-54"/>
        </w:rPr>
        <w:t> </w:t>
      </w:r>
      <w:r>
        <w:rPr>
          <w:rFonts w:ascii="Times New Roman" w:hAnsi="Times New Roman" w:cs="Times New Roman" w:eastAsia="Times New Roman" w:hint="default"/>
        </w:rPr>
        <w:t>SaaS</w:t>
      </w:r>
      <w:r>
        <w:rPr>
          <w:rFonts w:ascii="Times New Roman" w:hAnsi="Times New Roman" w:cs="Times New Roman" w:eastAsia="Times New Roman" w:hint="default"/>
          <w:spacing w:val="-8"/>
        </w:rPr>
        <w:t> </w:t>
      </w:r>
      <w:r>
        <w:rPr>
          <w:spacing w:val="-3"/>
        </w:rPr>
        <w:t>资源、</w:t>
      </w:r>
      <w:r>
        <w:rPr>
          <w:rFonts w:ascii="Times New Roman" w:hAnsi="Times New Roman" w:cs="Times New Roman" w:eastAsia="Times New Roman" w:hint="default"/>
          <w:spacing w:val="-3"/>
        </w:rPr>
        <w:t>500</w:t>
      </w:r>
      <w:r>
        <w:rPr>
          <w:rFonts w:ascii="Times New Roman" w:hAnsi="Times New Roman" w:cs="Times New Roman" w:eastAsia="Times New Roman" w:hint="default"/>
          <w:spacing w:val="-9"/>
        </w:rPr>
        <w:t> </w:t>
      </w:r>
      <w:r>
        <w:rPr/>
        <w:t>余家云生态合作伙伴资源 </w:t>
      </w:r>
      <w:r>
        <w:rPr>
          <w:spacing w:val="-2"/>
        </w:rPr>
        <w:t>的云资源池。公司对于合作伙伴价值明显，大部分合作厂商都把公司的销售网络作为其最大的渠道通路，部分厂商接近一半</w:t>
      </w:r>
      <w:r>
        <w:rPr>
          <w:spacing w:val="-66"/>
        </w:rPr>
        <w:t> </w:t>
      </w:r>
      <w:r>
        <w:rPr>
          <w:spacing w:val="-66"/>
        </w:rPr>
      </w:r>
      <w:r>
        <w:rPr>
          <w:spacing w:val="-1"/>
        </w:rPr>
        <w:t>的云计算产品都是通过公司的网络完成销售。公司还是国内少数拥有</w:t>
      </w:r>
      <w:r>
        <w:rPr>
          <w:spacing w:val="-32"/>
        </w:rPr>
        <w:t> </w:t>
      </w:r>
      <w:r>
        <w:rPr>
          <w:rFonts w:ascii="Times New Roman" w:hAnsi="Times New Roman" w:cs="Times New Roman" w:eastAsia="Times New Roman" w:hint="default"/>
          <w:spacing w:val="-6"/>
          <w:w w:val="99"/>
        </w:rPr>
        <w:t>IDC</w:t>
      </w:r>
      <w:r>
        <w:rPr>
          <w:spacing w:val="-6"/>
          <w:w w:val="99"/>
        </w:rPr>
        <w:t>（含互联网资源协作）、</w:t>
      </w:r>
      <w:r>
        <w:rPr>
          <w:rFonts w:ascii="Times New Roman" w:hAnsi="Times New Roman" w:cs="Times New Roman" w:eastAsia="Times New Roman" w:hint="default"/>
          <w:spacing w:val="-6"/>
          <w:w w:val="99"/>
        </w:rPr>
        <w:t>ISP</w:t>
      </w:r>
      <w:r>
        <w:rPr>
          <w:spacing w:val="-6"/>
          <w:w w:val="99"/>
        </w:rPr>
        <w:t>、</w:t>
      </w:r>
      <w:r>
        <w:rPr>
          <w:rFonts w:ascii="Times New Roman" w:hAnsi="Times New Roman" w:cs="Times New Roman" w:eastAsia="Times New Roman" w:hint="default"/>
          <w:spacing w:val="-6"/>
          <w:w w:val="99"/>
        </w:rPr>
        <w:t>ICP</w:t>
      </w:r>
      <w:r>
        <w:rPr>
          <w:rFonts w:ascii="Times New Roman" w:hAnsi="Times New Roman" w:cs="Times New Roman" w:eastAsia="Times New Roman" w:hint="default"/>
          <w:spacing w:val="13"/>
          <w:w w:val="99"/>
        </w:rPr>
        <w:t> </w:t>
      </w:r>
      <w:r>
        <w:rPr/>
        <w:t>牌照且能够对接</w:t>
      </w:r>
      <w:r>
        <w:rPr>
          <w:spacing w:val="-87"/>
        </w:rPr>
        <w:t> </w:t>
      </w:r>
      <w:r>
        <w:rPr>
          <w:spacing w:val="-87"/>
        </w:rPr>
      </w:r>
      <w:r>
        <w:rPr>
          <w:spacing w:val="-2"/>
        </w:rPr>
        <w:t>所有主流云资源厂商的企业，公司广泛的云合作体系，能够为客户提供主流的、多样化的选择，使客户兼顾成本、适用性和</w:t>
      </w:r>
      <w:r>
        <w:rPr>
          <w:spacing w:val="-66"/>
        </w:rPr>
        <w:t> </w:t>
      </w:r>
      <w:r>
        <w:rPr>
          <w:spacing w:val="-66"/>
        </w:rPr>
      </w:r>
      <w:r>
        <w:rPr/>
        <w:t>拓展性做出最优选择。</w:t>
      </w:r>
    </w:p>
    <w:p>
      <w:pPr>
        <w:pStyle w:val="BodyText"/>
        <w:spacing w:line="240" w:lineRule="auto" w:before="55"/>
        <w:ind w:left="514" w:right="0"/>
        <w:jc w:val="left"/>
      </w:pPr>
      <w:r>
        <w:rPr>
          <w:rFonts w:ascii="Times New Roman" w:hAnsi="Times New Roman" w:cs="Times New Roman" w:eastAsia="Times New Roman" w:hint="default"/>
        </w:rPr>
        <w:t>5</w:t>
      </w:r>
      <w:r>
        <w:rPr/>
        <w:t>、包括供应链、资金链等在内的系统化运营优势</w:t>
      </w:r>
    </w:p>
    <w:p>
      <w:pPr>
        <w:pStyle w:val="BodyText"/>
        <w:spacing w:line="240" w:lineRule="auto" w:before="58"/>
        <w:ind w:left="514" w:right="0"/>
        <w:jc w:val="left"/>
      </w:pPr>
      <w:r>
        <w:rPr/>
        <w:t>传统的</w:t>
      </w:r>
      <w:r>
        <w:rPr>
          <w:spacing w:val="-36"/>
        </w:rPr>
        <w:t> </w:t>
      </w:r>
      <w:r>
        <w:rPr>
          <w:rFonts w:ascii="Times New Roman" w:hAnsi="Times New Roman" w:cs="Times New Roman" w:eastAsia="Times New Roman" w:hint="default"/>
        </w:rPr>
        <w:t>IT</w:t>
      </w:r>
      <w:r>
        <w:rPr>
          <w:rFonts w:ascii="Times New Roman" w:hAnsi="Times New Roman" w:cs="Times New Roman" w:eastAsia="Times New Roman" w:hint="default"/>
          <w:spacing w:val="9"/>
        </w:rPr>
        <w:t> </w:t>
      </w:r>
      <w:r>
        <w:rPr/>
        <w:t>分销业务毛利率低、资金消耗大，是一个极度考验公司运营效率的行业。公司自成立以来除了持续强化自身</w:t>
      </w:r>
    </w:p>
    <w:p>
      <w:pPr>
        <w:spacing w:after="0" w:line="240" w:lineRule="auto"/>
        <w:jc w:val="left"/>
        <w:sectPr>
          <w:pgSz w:w="11910" w:h="16840"/>
          <w:pgMar w:header="0" w:footer="979" w:top="1100" w:bottom="1160" w:left="980" w:right="0"/>
        </w:sectPr>
      </w:pPr>
    </w:p>
    <w:p>
      <w:pPr>
        <w:spacing w:line="240" w:lineRule="auto" w:before="10"/>
        <w:rPr>
          <w:rFonts w:ascii="宋体" w:hAnsi="宋体" w:cs="宋体" w:eastAsia="宋体" w:hint="default"/>
          <w:sz w:val="18"/>
          <w:szCs w:val="18"/>
        </w:rPr>
      </w:pPr>
    </w:p>
    <w:p>
      <w:pPr>
        <w:pStyle w:val="BodyText"/>
        <w:spacing w:line="271" w:lineRule="auto" w:before="44"/>
        <w:ind w:right="0"/>
        <w:jc w:val="left"/>
      </w:pPr>
      <w:r>
        <w:rPr/>
        <w:t>技术优势、重点拓展技术含量更足、毛利水平更高的增值分销业务之外，在内部管理和运营效率上也在持续优化和提升，能 </w:t>
      </w:r>
      <w:r>
        <w:rPr>
          <w:spacing w:val="-2"/>
        </w:rPr>
        <w:t>够在如此激烈竞争的行业中长期保持龙头地位证明了公司强大的运营能力。公司供应链管理的运营效率达到了国际先进水平，</w:t>
      </w:r>
      <w:r>
        <w:rPr>
          <w:spacing w:val="-62"/>
        </w:rPr>
        <w:t> </w:t>
      </w:r>
      <w:r>
        <w:rPr>
          <w:spacing w:val="-62"/>
        </w:rPr>
      </w:r>
      <w:r>
        <w:rPr/>
        <w:t>较之竞争对手，公司存货周转率更高，存货周转天数更短，在存货管理上具有明显优势。基于多年来积累的良好信用和持续</w:t>
      </w:r>
      <w:r>
        <w:rPr/>
        <w:t> 增长的业绩表现，公司与各大银行、金融机构保持良好的关系，具有强大的融资能力。公司充分发挥集团在香港和内地都拥 有融资平台的国际化优势，资本成本显著低于行业水平，通过财务资金管理体系为业务发展提供了有力的支持，保证公司财 产的完整安全、实现保值增值。此外，经过长期积累，公司在</w:t>
      </w:r>
      <w:r>
        <w:rPr>
          <w:spacing w:val="-36"/>
        </w:rPr>
        <w:t> </w:t>
      </w:r>
      <w:r>
        <w:rPr>
          <w:rFonts w:ascii="Times New Roman" w:hAnsi="Times New Roman" w:cs="Times New Roman" w:eastAsia="Times New Roman" w:hint="default"/>
        </w:rPr>
        <w:t>IT</w:t>
      </w:r>
      <w:r>
        <w:rPr>
          <w:rFonts w:ascii="Times New Roman" w:hAnsi="Times New Roman" w:cs="Times New Roman" w:eastAsia="Times New Roman" w:hint="default"/>
          <w:spacing w:val="9"/>
        </w:rPr>
        <w:t> </w:t>
      </w:r>
      <w:r>
        <w:rPr/>
        <w:t>行业内还积累了强大的品牌优势、大数据业务的全牌照优 势以及其他综合优势，为公司各项业务的快速发展提供了系统化的充分保障。</w:t>
      </w:r>
    </w:p>
    <w:p>
      <w:pPr>
        <w:spacing w:after="0" w:line="271" w:lineRule="auto"/>
        <w:jc w:val="left"/>
        <w:sectPr>
          <w:pgSz w:w="11910" w:h="16840"/>
          <w:pgMar w:header="0" w:footer="979" w:top="1100" w:bottom="1160" w:left="980" w:right="0"/>
        </w:sectPr>
      </w:pPr>
    </w:p>
    <w:p>
      <w:pPr>
        <w:spacing w:line="240" w:lineRule="auto" w:before="5"/>
        <w:rPr>
          <w:rFonts w:ascii="宋体" w:hAnsi="宋体" w:cs="宋体" w:eastAsia="宋体" w:hint="default"/>
          <w:sz w:val="20"/>
          <w:szCs w:val="20"/>
        </w:rPr>
      </w:pPr>
    </w:p>
    <w:p>
      <w:pPr>
        <w:pStyle w:val="Heading1"/>
        <w:spacing w:line="240" w:lineRule="auto"/>
        <w:ind w:left="2966" w:right="0"/>
        <w:jc w:val="left"/>
        <w:rPr>
          <w:b w:val="0"/>
          <w:bCs w:val="0"/>
        </w:rPr>
      </w:pPr>
      <w:bookmarkStart w:name="第四节 经营情况讨论与分析" w:id="24"/>
      <w:bookmarkEnd w:id="24"/>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7"/>
          <w:szCs w:val="27"/>
        </w:rPr>
      </w:pPr>
    </w:p>
    <w:p>
      <w:pPr>
        <w:pStyle w:val="Heading2"/>
        <w:spacing w:line="240" w:lineRule="auto" w:before="26"/>
        <w:ind w:right="0"/>
        <w:jc w:val="both"/>
        <w:rPr>
          <w:b w:val="0"/>
          <w:bCs w:val="0"/>
        </w:rPr>
      </w:pPr>
      <w:bookmarkStart w:name="一、概述" w:id="25"/>
      <w:bookmarkEnd w:id="25"/>
      <w:r>
        <w:rPr>
          <w:b w:val="0"/>
          <w:bCs w:val="0"/>
        </w:rPr>
      </w:r>
      <w:r>
        <w:rPr/>
        <w:t>一、概述</w:t>
      </w:r>
      <w:r>
        <w:rPr>
          <w:b w:val="0"/>
          <w:bCs w:val="0"/>
        </w:rPr>
      </w:r>
    </w:p>
    <w:p>
      <w:pPr>
        <w:spacing w:line="240" w:lineRule="auto" w:before="9"/>
        <w:rPr>
          <w:rFonts w:ascii="宋体" w:hAnsi="宋体" w:cs="宋体" w:eastAsia="宋体" w:hint="default"/>
          <w:b/>
          <w:bCs/>
          <w:sz w:val="23"/>
          <w:szCs w:val="23"/>
        </w:rPr>
      </w:pPr>
    </w:p>
    <w:p>
      <w:pPr>
        <w:pStyle w:val="BodyText"/>
        <w:spacing w:line="312" w:lineRule="auto"/>
        <w:ind w:left="514" w:right="0" w:firstLine="1"/>
        <w:jc w:val="left"/>
      </w:pPr>
      <w:r>
        <w:rPr>
          <w:rFonts w:ascii="宋体" w:hAnsi="宋体" w:cs="宋体" w:eastAsia="宋体" w:hint="default"/>
          <w:b/>
          <w:bCs/>
        </w:rPr>
        <w:t>（一）数字化转型趋势分析</w:t>
      </w:r>
      <w:r>
        <w:rPr>
          <w:rFonts w:ascii="宋体" w:hAnsi="宋体" w:cs="宋体" w:eastAsia="宋体" w:hint="default"/>
          <w:b/>
          <w:bCs/>
          <w:w w:val="99"/>
        </w:rPr>
        <w:t> </w:t>
      </w:r>
      <w:r>
        <w:rPr>
          <w:spacing w:val="-2"/>
        </w:rPr>
        <w:t>目前，我国正处于从信息化向数字化转型的关键时期，数字化转型将会给科技行业乃至整个经济运行机制带来深刻长远</w:t>
      </w:r>
    </w:p>
    <w:p>
      <w:pPr>
        <w:pStyle w:val="BodyText"/>
        <w:spacing w:line="215" w:lineRule="exact"/>
        <w:ind w:right="0"/>
        <w:jc w:val="both"/>
      </w:pPr>
      <w:r>
        <w:rPr/>
        <w:t>的历史性机遇和根本性变革，主要体现在以下两个方面。</w:t>
      </w:r>
    </w:p>
    <w:p>
      <w:pPr>
        <w:pStyle w:val="BodyText"/>
        <w:spacing w:line="240" w:lineRule="auto" w:before="73"/>
        <w:ind w:left="514" w:right="0"/>
        <w:jc w:val="left"/>
      </w:pPr>
      <w:r>
        <w:rPr>
          <w:rFonts w:ascii="Times New Roman" w:hAnsi="Times New Roman" w:cs="Times New Roman" w:eastAsia="Times New Roman" w:hint="default"/>
        </w:rPr>
        <w:t>1</w:t>
      </w:r>
      <w:r>
        <w:rPr/>
        <w:t>、数字化转型给科技行业带来重大变化和历史机遇</w:t>
      </w:r>
    </w:p>
    <w:p>
      <w:pPr>
        <w:pStyle w:val="BodyText"/>
        <w:spacing w:line="259" w:lineRule="auto" w:before="59"/>
        <w:ind w:right="1130" w:firstLine="36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10"/>
        </w:rPr>
        <w:t> </w:t>
      </w:r>
      <w:r>
        <w:rPr/>
        <w:t>年是全面落实推进十九大报告提出的数字中国战略的创始之年，也是全球</w:t>
      </w:r>
      <w:r>
        <w:rPr>
          <w:spacing w:val="-55"/>
        </w:rPr>
        <w:t> </w:t>
      </w:r>
      <w:r>
        <w:rPr>
          <w:rFonts w:ascii="Times New Roman" w:hAnsi="Times New Roman" w:cs="Times New Roman" w:eastAsia="Times New Roman" w:hint="default"/>
        </w:rPr>
        <w:t>IT</w:t>
      </w:r>
      <w:r>
        <w:rPr>
          <w:rFonts w:ascii="Times New Roman" w:hAnsi="Times New Roman" w:cs="Times New Roman" w:eastAsia="Times New Roman" w:hint="default"/>
          <w:spacing w:val="-10"/>
        </w:rPr>
        <w:t> </w:t>
      </w:r>
      <w:r>
        <w:rPr/>
        <w:t>行业加速向以云计算等技术代表的数 字化时代深度转型的关键一年。根据</w:t>
      </w:r>
      <w:r>
        <w:rPr>
          <w:spacing w:val="-56"/>
        </w:rPr>
        <w:t> </w:t>
      </w:r>
      <w:r>
        <w:rPr>
          <w:rFonts w:ascii="Times New Roman" w:hAnsi="Times New Roman" w:cs="Times New Roman" w:eastAsia="Times New Roman" w:hint="default"/>
        </w:rPr>
        <w:t>IDC</w:t>
      </w:r>
      <w:r>
        <w:rPr>
          <w:rFonts w:ascii="Times New Roman" w:hAnsi="Times New Roman" w:cs="Times New Roman" w:eastAsia="Times New Roman" w:hint="default"/>
          <w:spacing w:val="-10"/>
        </w:rPr>
        <w:t> </w:t>
      </w:r>
      <w:r>
        <w:rPr/>
        <w:t>关于数字化转型的报告，数字经济进入爆发的临界点，到</w:t>
      </w:r>
      <w:r>
        <w:rPr>
          <w:spacing w:val="-56"/>
        </w:rPr>
        <w:t> </w:t>
      </w:r>
      <w:r>
        <w:rPr>
          <w:rFonts w:ascii="Times New Roman" w:hAnsi="Times New Roman" w:cs="Times New Roman" w:eastAsia="Times New Roman" w:hint="default"/>
        </w:rPr>
        <w:t>2021</w:t>
      </w:r>
      <w:r>
        <w:rPr>
          <w:rFonts w:ascii="Times New Roman" w:hAnsi="Times New Roman" w:cs="Times New Roman" w:eastAsia="Times New Roman" w:hint="default"/>
          <w:spacing w:val="-11"/>
        </w:rPr>
        <w:t> </w:t>
      </w:r>
      <w:r>
        <w:rPr/>
        <w:t>年全球超过</w:t>
      </w:r>
      <w:r>
        <w:rPr>
          <w:spacing w:val="-56"/>
        </w:rPr>
        <w:t> </w:t>
      </w:r>
      <w:r>
        <w:rPr>
          <w:rFonts w:ascii="Times New Roman" w:hAnsi="Times New Roman" w:cs="Times New Roman" w:eastAsia="Times New Roman" w:hint="default"/>
        </w:rPr>
        <w:t>50%</w:t>
      </w:r>
      <w:r>
        <w:rPr/>
        <w:t>的 经济都将是数字化的，中国 </w:t>
      </w:r>
      <w:r>
        <w:rPr>
          <w:rFonts w:ascii="Times New Roman" w:hAnsi="Times New Roman" w:cs="Times New Roman" w:eastAsia="Times New Roman" w:hint="default"/>
        </w:rPr>
        <w:t>55%</w:t>
      </w:r>
      <w:r>
        <w:rPr/>
        <w:t>的经济都将是数字经济，而目前这一数字为</w:t>
      </w:r>
      <w:r>
        <w:rPr>
          <w:spacing w:val="-22"/>
        </w:rPr>
        <w:t> </w:t>
      </w:r>
      <w:r>
        <w:rPr>
          <w:rFonts w:ascii="Times New Roman" w:hAnsi="Times New Roman" w:cs="Times New Roman" w:eastAsia="Times New Roman" w:hint="default"/>
        </w:rPr>
        <w:t>32%</w:t>
      </w:r>
      <w:r>
        <w:rPr/>
        <w:t>。在数字经济推动下，企业数字化转型的 紧迫性非常强，数字化转型将驱动绝大部分企业</w:t>
      </w:r>
      <w:r>
        <w:rPr>
          <w:spacing w:val="-35"/>
        </w:rPr>
        <w:t> </w:t>
      </w:r>
      <w:r>
        <w:rPr>
          <w:rFonts w:ascii="Times New Roman" w:hAnsi="Times New Roman" w:cs="Times New Roman" w:eastAsia="Times New Roman" w:hint="default"/>
        </w:rPr>
        <w:t>ICT</w:t>
      </w:r>
      <w:r>
        <w:rPr>
          <w:rFonts w:ascii="Times New Roman" w:hAnsi="Times New Roman" w:cs="Times New Roman" w:eastAsia="Times New Roman" w:hint="default"/>
          <w:spacing w:val="9"/>
        </w:rPr>
        <w:t> </w:t>
      </w:r>
      <w:r>
        <w:rPr/>
        <w:t>投入的增长。中国</w:t>
      </w:r>
      <w:r>
        <w:rPr>
          <w:spacing w:val="-36"/>
        </w:rPr>
        <w:t> </w:t>
      </w:r>
      <w:r>
        <w:rPr>
          <w:rFonts w:ascii="宋体" w:hAnsi="宋体" w:cs="宋体" w:eastAsia="宋体" w:hint="default"/>
        </w:rPr>
        <w:t>2018</w:t>
      </w:r>
      <w:r>
        <w:rPr>
          <w:rFonts w:ascii="宋体" w:hAnsi="宋体" w:cs="宋体" w:eastAsia="宋体" w:hint="default"/>
          <w:spacing w:val="-36"/>
        </w:rPr>
        <w:t> </w:t>
      </w:r>
      <w:r>
        <w:rPr/>
        <w:t>年数字化转型相关的</w:t>
      </w:r>
      <w:r>
        <w:rPr>
          <w:spacing w:val="-36"/>
        </w:rPr>
        <w:t> </w:t>
      </w:r>
      <w:r>
        <w:rPr>
          <w:rFonts w:ascii="宋体" w:hAnsi="宋体" w:cs="宋体" w:eastAsia="宋体" w:hint="default"/>
        </w:rPr>
        <w:t>ICT</w:t>
      </w:r>
      <w:r>
        <w:rPr>
          <w:rFonts w:ascii="宋体" w:hAnsi="宋体" w:cs="宋体" w:eastAsia="宋体" w:hint="default"/>
          <w:spacing w:val="-36"/>
        </w:rPr>
        <w:t> </w:t>
      </w:r>
      <w:r>
        <w:rPr/>
        <w:t>支出达到</w:t>
      </w:r>
      <w:r>
        <w:rPr>
          <w:spacing w:val="-36"/>
        </w:rPr>
        <w:t> </w:t>
      </w:r>
      <w:r>
        <w:rPr>
          <w:rFonts w:ascii="宋体" w:hAnsi="宋体" w:cs="宋体" w:eastAsia="宋体" w:hint="default"/>
        </w:rPr>
        <w:t>2100</w:t>
      </w:r>
      <w:r>
        <w:rPr>
          <w:rFonts w:ascii="宋体" w:hAnsi="宋体" w:cs="宋体" w:eastAsia="宋体" w:hint="default"/>
          <w:spacing w:val="-36"/>
        </w:rPr>
        <w:t> </w:t>
      </w:r>
      <w:r>
        <w:rPr/>
        <w:t>亿美 元，</w:t>
      </w:r>
      <w:r>
        <w:rPr>
          <w:rFonts w:ascii="宋体" w:hAnsi="宋体" w:cs="宋体" w:eastAsia="宋体" w:hint="default"/>
        </w:rPr>
        <w:t>2021</w:t>
      </w:r>
      <w:r>
        <w:rPr>
          <w:rFonts w:ascii="宋体" w:hAnsi="宋体" w:cs="宋体" w:eastAsia="宋体" w:hint="default"/>
          <w:spacing w:val="-46"/>
        </w:rPr>
        <w:t> </w:t>
      </w:r>
      <w:r>
        <w:rPr/>
        <w:t>年预计为</w:t>
      </w:r>
      <w:r>
        <w:rPr>
          <w:spacing w:val="-46"/>
        </w:rPr>
        <w:t> </w:t>
      </w:r>
      <w:r>
        <w:rPr>
          <w:rFonts w:ascii="宋体" w:hAnsi="宋体" w:cs="宋体" w:eastAsia="宋体" w:hint="default"/>
        </w:rPr>
        <w:t>3500</w:t>
      </w:r>
      <w:r>
        <w:rPr>
          <w:rFonts w:ascii="宋体" w:hAnsi="宋体" w:cs="宋体" w:eastAsia="宋体" w:hint="default"/>
          <w:spacing w:val="-46"/>
        </w:rPr>
        <w:t> </w:t>
      </w:r>
      <w:r>
        <w:rPr/>
        <w:t>亿美元，年均复合增速为</w:t>
      </w:r>
      <w:r>
        <w:rPr>
          <w:spacing w:val="-46"/>
        </w:rPr>
        <w:t> </w:t>
      </w:r>
      <w:r>
        <w:rPr>
          <w:rFonts w:ascii="宋体" w:hAnsi="宋体" w:cs="宋体" w:eastAsia="宋体" w:hint="default"/>
        </w:rPr>
        <w:t>18.5%</w:t>
      </w:r>
      <w:r>
        <w:rPr/>
        <w:t>，数字化转型的</w:t>
      </w:r>
      <w:r>
        <w:rPr>
          <w:spacing w:val="-46"/>
        </w:rPr>
        <w:t> </w:t>
      </w:r>
      <w:r>
        <w:rPr>
          <w:rFonts w:ascii="宋体" w:hAnsi="宋体" w:cs="宋体" w:eastAsia="宋体" w:hint="default"/>
        </w:rPr>
        <w:t>IT</w:t>
      </w:r>
      <w:r>
        <w:rPr>
          <w:rFonts w:ascii="宋体" w:hAnsi="宋体" w:cs="宋体" w:eastAsia="宋体" w:hint="default"/>
          <w:spacing w:val="-46"/>
        </w:rPr>
        <w:t> </w:t>
      </w:r>
      <w:r>
        <w:rPr/>
        <w:t>支出将占整体</w:t>
      </w:r>
      <w:r>
        <w:rPr>
          <w:spacing w:val="-46"/>
        </w:rPr>
        <w:t> </w:t>
      </w:r>
      <w:r>
        <w:rPr>
          <w:rFonts w:ascii="宋体" w:hAnsi="宋体" w:cs="宋体" w:eastAsia="宋体" w:hint="default"/>
        </w:rPr>
        <w:t>IT</w:t>
      </w:r>
      <w:r>
        <w:rPr>
          <w:rFonts w:ascii="宋体" w:hAnsi="宋体" w:cs="宋体" w:eastAsia="宋体" w:hint="default"/>
          <w:spacing w:val="-46"/>
        </w:rPr>
        <w:t> </w:t>
      </w:r>
      <w:r>
        <w:rPr/>
        <w:t>支出的</w:t>
      </w:r>
      <w:r>
        <w:rPr>
          <w:spacing w:val="-46"/>
        </w:rPr>
        <w:t> </w:t>
      </w:r>
      <w:r>
        <w:rPr>
          <w:rFonts w:ascii="宋体" w:hAnsi="宋体" w:cs="宋体" w:eastAsia="宋体" w:hint="default"/>
        </w:rPr>
        <w:t>30%-40%</w:t>
      </w:r>
      <w:r>
        <w:rPr/>
        <w:t>。</w:t>
      </w:r>
    </w:p>
    <w:p>
      <w:pPr>
        <w:pStyle w:val="BodyText"/>
        <w:spacing w:line="271" w:lineRule="auto" w:before="57"/>
        <w:ind w:right="1032" w:firstLine="360"/>
        <w:jc w:val="left"/>
      </w:pPr>
      <w:r>
        <w:rPr>
          <w:spacing w:val="-2"/>
        </w:rPr>
        <w:t>在数字化转型中，最重大变化之一就是客户的需求从买过程转为买结果，从买产品转为买能力。企业不仅需要标准化的</w:t>
      </w:r>
      <w:r>
        <w:rPr/>
        <w:t> </w:t>
      </w:r>
      <w:r>
        <w:rPr>
          <w:rFonts w:ascii="Times New Roman" w:hAnsi="Times New Roman" w:cs="Times New Roman" w:eastAsia="Times New Roman" w:hint="default"/>
        </w:rPr>
        <w:t>IT </w:t>
      </w:r>
      <w:r>
        <w:rPr/>
        <w:t>产品和设备，他们更需要对业务流程直接进行科技赋能。云计算是数字化转型的基石，大量数字化场景需要将应用（从</w:t>
      </w:r>
      <w:r>
        <w:rPr>
          <w:spacing w:val="-76"/>
        </w:rPr>
        <w:t> </w:t>
      </w:r>
      <w:r>
        <w:rPr>
          <w:spacing w:val="-76"/>
        </w:rPr>
      </w:r>
      <w:r>
        <w:rPr/>
        <w:t>车联网、共享平台、自动驾驶等行业应用到大数据平台、互联网交互、智能交互、精准营销等通用应用）直接部署于云端，</w:t>
      </w:r>
      <w:r>
        <w:rPr>
          <w:spacing w:val="-85"/>
        </w:rPr>
        <w:t> </w:t>
      </w:r>
      <w:r>
        <w:rPr>
          <w:spacing w:val="-85"/>
        </w:rPr>
      </w:r>
      <w:r>
        <w:rPr>
          <w:spacing w:val="-2"/>
        </w:rPr>
        <w:t>利用云上大数据、人工智能、物联网等技术完成企业的数字化转型。然而，除了极少数公有云等大数据时代基础设施类巨头</w:t>
      </w:r>
      <w:r>
        <w:rPr>
          <w:spacing w:val="-66"/>
        </w:rPr>
        <w:t> </w:t>
      </w:r>
      <w:r>
        <w:rPr>
          <w:spacing w:val="-66"/>
        </w:rPr>
      </w:r>
      <w:r>
        <w:rPr>
          <w:spacing w:val="-2"/>
        </w:rPr>
        <w:t>企业，对于绝大部分科技企业的要求将从高新科技产品的研发能力逐步转化为高效满足客户需求的服务和技术能力，能否真</w:t>
      </w:r>
      <w:r>
        <w:rPr>
          <w:spacing w:val="-64"/>
        </w:rPr>
        <w:t> </w:t>
      </w:r>
      <w:r>
        <w:rPr>
          <w:spacing w:val="-64"/>
        </w:rPr>
      </w:r>
      <w:r>
        <w:rPr>
          <w:spacing w:val="-2"/>
        </w:rPr>
        <w:t>正触达用户的业务、理解用户的需求、解决用户的问题、适应用户的变化将越来越成为科技企业的核心竞争力，数字化转型</w:t>
      </w:r>
      <w:r>
        <w:rPr>
          <w:spacing w:val="-66"/>
        </w:rPr>
        <w:t> </w:t>
      </w:r>
      <w:r>
        <w:rPr>
          <w:spacing w:val="-66"/>
        </w:rPr>
      </w:r>
      <w:r>
        <w:rPr/>
        <w:t>将从需求端彻底改变科技行业的商业模式。</w:t>
      </w:r>
    </w:p>
    <w:p>
      <w:pPr>
        <w:pStyle w:val="BodyText"/>
        <w:spacing w:line="273" w:lineRule="auto" w:before="48"/>
        <w:ind w:right="951" w:firstLine="360"/>
        <w:jc w:val="left"/>
      </w:pPr>
      <w:r>
        <w:rPr/>
        <w:t>与此同时，云计算产业经过</w:t>
      </w:r>
      <w:r>
        <w:rPr>
          <w:spacing w:val="-41"/>
        </w:rPr>
        <w:t> </w:t>
      </w:r>
      <w:r>
        <w:rPr>
          <w:rFonts w:ascii="宋体" w:hAnsi="宋体" w:cs="宋体" w:eastAsia="宋体" w:hint="default"/>
        </w:rPr>
        <w:t>10</w:t>
      </w:r>
      <w:r>
        <w:rPr>
          <w:rFonts w:ascii="宋体" w:hAnsi="宋体" w:cs="宋体" w:eastAsia="宋体" w:hint="default"/>
          <w:spacing w:val="-41"/>
        </w:rPr>
        <w:t> </w:t>
      </w:r>
      <w:r>
        <w:rPr/>
        <w:t>余年的发展，技术不断迭代和成熟，企业上云进程呈加速状态。企业对云计算的接受程 度和投入力度明显提升，云计算进入到产业应用的新阶段，云上大数据的汇集将进一步助推与人工智能、物联网等新兴技术 在企业数字化转型中的深度应用和价值提升，成为未来支撑产业发展的基础，未来企业级云服务市场的潜力更多来自于企业 </w:t>
      </w:r>
      <w:r>
        <w:rPr>
          <w:spacing w:val="-3"/>
        </w:rPr>
        <w:t>上云之后基于核心业务的数字化转型需求。在企业数字化转型过程中，云上会涌现大量的数字创新服务，而</w:t>
      </w:r>
      <w:r>
        <w:rPr>
          <w:spacing w:val="-38"/>
        </w:rPr>
        <w:t> </w:t>
      </w:r>
      <w:r>
        <w:rPr>
          <w:rFonts w:ascii="宋体" w:hAnsi="宋体" w:cs="宋体" w:eastAsia="宋体" w:hint="default"/>
          <w:spacing w:val="-4"/>
        </w:rPr>
        <w:t>AI</w:t>
      </w:r>
      <w:r>
        <w:rPr>
          <w:spacing w:val="-4"/>
        </w:rPr>
        <w:t>、容器技术、</w:t>
      </w:r>
      <w:r>
        <w:rPr>
          <w:spacing w:val="-56"/>
        </w:rPr>
        <w:t> </w:t>
      </w:r>
      <w:r>
        <w:rPr>
          <w:spacing w:val="-56"/>
        </w:rPr>
      </w:r>
      <w:r>
        <w:rPr>
          <w:rFonts w:ascii="宋体" w:hAnsi="宋体" w:cs="宋体" w:eastAsia="宋体" w:hint="default"/>
        </w:rPr>
        <w:t>API </w:t>
      </w:r>
      <w:r>
        <w:rPr/>
        <w:t>管理、</w:t>
      </w:r>
      <w:r>
        <w:rPr>
          <w:rFonts w:ascii="宋体" w:hAnsi="宋体" w:cs="宋体" w:eastAsia="宋体" w:hint="default"/>
        </w:rPr>
        <w:t>IoT</w:t>
      </w:r>
      <w:r>
        <w:rPr/>
        <w:t>、边缘计算等新技术解决方案将促进云计算市场的新一轮革新，使得公有云成为承载这些创新应用服务的最</w:t>
      </w:r>
      <w:r>
        <w:rPr>
          <w:spacing w:val="-83"/>
        </w:rPr>
        <w:t> </w:t>
      </w:r>
      <w:r>
        <w:rPr>
          <w:spacing w:val="-83"/>
        </w:rPr>
      </w:r>
      <w:r>
        <w:rPr/>
        <w:t>佳选择，由此数字化转型也将从供给端企业级大数据市场创造巨大的增长机遇。总而言之，数字化转型从需求和供给两方面</w:t>
      </w:r>
      <w:r>
        <w:rPr/>
        <w:t> </w:t>
      </w:r>
      <w:r>
        <w:rPr>
          <w:spacing w:val="-2"/>
        </w:rPr>
        <w:t>都给科技行业带来了本质而深远的变化，能够真正理解用户业务需求和把握科技创新发展方向的企业将迎来重大历史机遇期。</w:t>
      </w:r>
    </w:p>
    <w:p>
      <w:pPr>
        <w:pStyle w:val="BodyText"/>
        <w:spacing w:line="295" w:lineRule="auto" w:before="47"/>
        <w:ind w:left="514" w:right="1032"/>
        <w:jc w:val="left"/>
      </w:pPr>
      <w:r>
        <w:rPr>
          <w:rFonts w:ascii="Times New Roman" w:hAnsi="Times New Roman" w:cs="Times New Roman" w:eastAsia="Times New Roman" w:hint="default"/>
        </w:rPr>
        <w:t>2</w:t>
      </w:r>
      <w:r>
        <w:rPr/>
        <w:t>、数字化转型将给商业运行模式带来流程再造和产业链重塑 随着数字化转型进程不断深入，企业客户、厂商以及渠道和服务提供商的业务流程和产业链价值体系将发生巨大变化。</w:t>
      </w:r>
    </w:p>
    <w:p>
      <w:pPr>
        <w:pStyle w:val="BodyText"/>
        <w:spacing w:line="273" w:lineRule="auto"/>
        <w:ind w:right="1131"/>
        <w:jc w:val="both"/>
      </w:pPr>
      <w:r>
        <w:rPr>
          <w:spacing w:val="-2"/>
        </w:rPr>
        <w:t>企业的价值诉求从基于企业自身、追求组织和业务效率的持续提升转变为基于产业发展、追求战略变革与业务创新，投入从</w:t>
      </w:r>
      <w:r>
        <w:rPr>
          <w:spacing w:val="-66"/>
        </w:rPr>
        <w:t> </w:t>
      </w:r>
      <w:r>
        <w:rPr>
          <w:spacing w:val="-66"/>
        </w:rPr>
      </w:r>
      <w:r>
        <w:rPr>
          <w:spacing w:val="-2"/>
        </w:rPr>
        <w:t>以资产性投入为主，服务性投入为辅转变为资产性投入下降而以云服务为代表的服务性投入大幅增加，决策机制由技术部门</w:t>
      </w:r>
      <w:r>
        <w:rPr>
          <w:spacing w:val="-64"/>
        </w:rPr>
        <w:t> </w:t>
      </w:r>
      <w:r>
        <w:rPr>
          <w:spacing w:val="-64"/>
        </w:rPr>
      </w:r>
      <w:r>
        <w:rPr>
          <w:spacing w:val="-2"/>
        </w:rPr>
        <w:t>为主转变为技术与业务的紧密融合与联合决策，科技行业厂商从以产品为主、服务为辅的“产品”提供商转变为以满足客户</w:t>
      </w:r>
      <w:r>
        <w:rPr>
          <w:spacing w:val="-66"/>
        </w:rPr>
        <w:t> </w:t>
      </w:r>
      <w:r>
        <w:rPr>
          <w:spacing w:val="-66"/>
        </w:rPr>
      </w:r>
      <w:r>
        <w:rPr>
          <w:spacing w:val="-2"/>
        </w:rPr>
        <w:t>需求为主的“功能”提供商。在数字化转型的大背景下，所有经济活动参与者都将从传统模式下服从于特定的组织和产品转</w:t>
      </w:r>
      <w:r>
        <w:rPr>
          <w:spacing w:val="-66"/>
        </w:rPr>
        <w:t> </w:t>
      </w:r>
      <w:r>
        <w:rPr>
          <w:spacing w:val="-66"/>
        </w:rPr>
      </w:r>
      <w:r>
        <w:rPr>
          <w:spacing w:val="-2"/>
        </w:rPr>
        <w:t>变为数字化生态下服务于本质商业目标的业务和功能。从过程导向转向结果导向，数字化转型将带来整个商业模式的流程再</w:t>
      </w:r>
      <w:r>
        <w:rPr>
          <w:spacing w:val="-64"/>
        </w:rPr>
        <w:t> </w:t>
      </w:r>
      <w:r>
        <w:rPr>
          <w:spacing w:val="-64"/>
        </w:rPr>
      </w:r>
      <w:r>
        <w:rPr/>
        <w:t>造和产业链重塑。</w:t>
      </w:r>
    </w:p>
    <w:p>
      <w:pPr>
        <w:pStyle w:val="BodyText"/>
        <w:spacing w:line="273" w:lineRule="auto" w:before="46"/>
        <w:ind w:right="1043" w:firstLine="360"/>
        <w:jc w:val="both"/>
      </w:pPr>
      <w:r>
        <w:rPr>
          <w:spacing w:val="-2"/>
        </w:rPr>
        <w:t>在整个过程中，作为连接厂商和客户的渠道服务商也将面临重大的机遇和挑战。企业数字化转型缩短了客户、厂商和渠</w:t>
      </w:r>
      <w:r>
        <w:rPr/>
        <w:t> </w:t>
      </w:r>
      <w:r>
        <w:rPr>
          <w:spacing w:val="-2"/>
        </w:rPr>
        <w:t>道服务商之间的链接，将产业链的重心进一步向客户端推移，厂商标准化的产品和服务与各行业海量企业客户差异化的业务</w:t>
      </w:r>
      <w:r>
        <w:rPr>
          <w:spacing w:val="-64"/>
        </w:rPr>
        <w:t> </w:t>
      </w:r>
      <w:r>
        <w:rPr>
          <w:spacing w:val="-64"/>
        </w:rPr>
      </w:r>
      <w:r>
        <w:rPr>
          <w:spacing w:val="-2"/>
        </w:rPr>
        <w:t>需求之间的供需差在数字经济时代将更加凸显。首先，由于基因的差异，厂商天生偏向标准化的产品，而客户则会由于市场</w:t>
      </w:r>
      <w:r>
        <w:rPr>
          <w:spacing w:val="-66"/>
        </w:rPr>
        <w:t> </w:t>
      </w:r>
      <w:r>
        <w:rPr>
          <w:spacing w:val="-66"/>
        </w:rPr>
      </w:r>
      <w:r>
        <w:rPr>
          <w:spacing w:val="-2"/>
        </w:rPr>
        <w:t>的差异和变化产生海量差异化需求，在之前的模式下客户只能接受标准化产品然后去自己实现所需的功能，而在数字化转型</w:t>
      </w:r>
      <w:r>
        <w:rPr>
          <w:spacing w:val="-64"/>
        </w:rPr>
        <w:t> </w:t>
      </w:r>
      <w:r>
        <w:rPr>
          <w:spacing w:val="-64"/>
        </w:rPr>
      </w:r>
      <w:r>
        <w:rPr>
          <w:spacing w:val="-2"/>
        </w:rPr>
        <w:t>阶段，客户的业务部门将没有能力也没有意愿自己去通过现有的标准化产品满足自身的差异化需求，甚至对云计算等厂商提</w:t>
      </w:r>
      <w:r>
        <w:rPr>
          <w:spacing w:val="-64"/>
        </w:rPr>
        <w:t> </w:t>
      </w:r>
      <w:r>
        <w:rPr>
          <w:spacing w:val="-64"/>
        </w:rPr>
      </w:r>
      <w:r>
        <w:rPr>
          <w:spacing w:val="-2"/>
        </w:rPr>
        <w:t>供的标准化产品缺乏足够的认知，因此客户就会对渠道服务商提出更高的要求。而如果渠道服务商能够在现有标准化产品上</w:t>
      </w:r>
      <w:r>
        <w:rPr>
          <w:spacing w:val="-64"/>
        </w:rPr>
        <w:t> </w:t>
      </w:r>
      <w:r>
        <w:rPr>
          <w:spacing w:val="-64"/>
        </w:rPr>
      </w:r>
      <w:r>
        <w:rPr/>
        <w:t>针对客户的需求提供更多的增值服务及定制化的开发，就能够真正成为密切参与客户结果的数字化转型合作伙伴和赋能者。</w:t>
      </w:r>
    </w:p>
    <w:p>
      <w:pPr>
        <w:spacing w:after="0" w:line="273" w:lineRule="auto"/>
        <w:jc w:val="both"/>
        <w:sectPr>
          <w:pgSz w:w="11910" w:h="16840"/>
          <w:pgMar w:header="0" w:footer="979" w:top="1100" w:bottom="1160" w:left="980" w:right="0"/>
        </w:sectPr>
      </w:pPr>
    </w:p>
    <w:p>
      <w:pPr>
        <w:spacing w:line="240" w:lineRule="auto" w:before="6"/>
        <w:rPr>
          <w:rFonts w:ascii="宋体" w:hAnsi="宋体" w:cs="宋体" w:eastAsia="宋体" w:hint="default"/>
          <w:sz w:val="24"/>
          <w:szCs w:val="24"/>
        </w:rPr>
      </w:pPr>
    </w:p>
    <w:p>
      <w:pPr>
        <w:spacing w:line="3786" w:lineRule="exact"/>
        <w:ind w:left="187" w:right="0" w:firstLine="0"/>
        <w:rPr>
          <w:rFonts w:ascii="宋体" w:hAnsi="宋体" w:cs="宋体" w:eastAsia="宋体" w:hint="default"/>
          <w:sz w:val="20"/>
          <w:szCs w:val="20"/>
        </w:rPr>
      </w:pPr>
      <w:r>
        <w:rPr>
          <w:rFonts w:ascii="宋体" w:hAnsi="宋体" w:cs="宋体" w:eastAsia="宋体" w:hint="default"/>
          <w:position w:val="-75"/>
          <w:sz w:val="20"/>
          <w:szCs w:val="20"/>
        </w:rPr>
        <w:drawing>
          <wp:inline distT="0" distB="0" distL="0" distR="0">
            <wp:extent cx="5320466" cy="2404109"/>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6" cstate="print"/>
                    <a:stretch>
                      <a:fillRect/>
                    </a:stretch>
                  </pic:blipFill>
                  <pic:spPr>
                    <a:xfrm>
                      <a:off x="0" y="0"/>
                      <a:ext cx="5320466" cy="2404109"/>
                    </a:xfrm>
                    <a:prstGeom prst="rect">
                      <a:avLst/>
                    </a:prstGeom>
                  </pic:spPr>
                </pic:pic>
              </a:graphicData>
            </a:graphic>
          </wp:inline>
        </w:drawing>
      </w:r>
      <w:r>
        <w:rPr>
          <w:rFonts w:ascii="宋体" w:hAnsi="宋体" w:cs="宋体" w:eastAsia="宋体" w:hint="default"/>
          <w:position w:val="-75"/>
          <w:sz w:val="20"/>
          <w:szCs w:val="20"/>
        </w:rPr>
      </w:r>
    </w:p>
    <w:p>
      <w:pPr>
        <w:pStyle w:val="Heading5"/>
        <w:spacing w:line="212" w:lineRule="exact" w:before="0"/>
        <w:ind w:left="515" w:right="0"/>
        <w:jc w:val="left"/>
        <w:rPr>
          <w:b w:val="0"/>
          <w:bCs w:val="0"/>
        </w:rPr>
      </w:pPr>
      <w:r>
        <w:rPr/>
        <w:t>（二）公司战略和业务进展</w:t>
      </w:r>
      <w:r>
        <w:rPr>
          <w:b w:val="0"/>
          <w:bCs w:val="0"/>
        </w:rPr>
      </w:r>
    </w:p>
    <w:p>
      <w:pPr>
        <w:pStyle w:val="BodyText"/>
        <w:spacing w:line="230" w:lineRule="auto" w:before="46"/>
        <w:ind w:right="1131" w:firstLine="360"/>
        <w:jc w:val="both"/>
      </w:pPr>
      <w:r>
        <w:rPr/>
        <w:t>基于</w:t>
      </w:r>
      <w:r>
        <w:rPr>
          <w:spacing w:val="-39"/>
        </w:rPr>
        <w:t> </w:t>
      </w:r>
      <w:r>
        <w:rPr>
          <w:rFonts w:ascii="Times New Roman" w:hAnsi="Times New Roman" w:cs="Times New Roman" w:eastAsia="Times New Roman" w:hint="default"/>
        </w:rPr>
        <w:t>20</w:t>
      </w:r>
      <w:r>
        <w:rPr>
          <w:rFonts w:ascii="Times New Roman" w:hAnsi="Times New Roman" w:cs="Times New Roman" w:eastAsia="Times New Roman" w:hint="default"/>
          <w:spacing w:val="5"/>
        </w:rPr>
        <w:t> </w:t>
      </w:r>
      <w:r>
        <w:rPr/>
        <w:t>余年深耕中国</w:t>
      </w:r>
      <w:r>
        <w:rPr>
          <w:spacing w:val="-40"/>
        </w:rPr>
        <w:t> </w:t>
      </w:r>
      <w:r>
        <w:rPr>
          <w:rFonts w:ascii="Times New Roman" w:hAnsi="Times New Roman" w:cs="Times New Roman" w:eastAsia="Times New Roman" w:hint="default"/>
        </w:rPr>
        <w:t>IT</w:t>
      </w:r>
      <w:r>
        <w:rPr>
          <w:rFonts w:ascii="Times New Roman" w:hAnsi="Times New Roman" w:cs="Times New Roman" w:eastAsia="Times New Roman" w:hint="default"/>
          <w:spacing w:val="6"/>
        </w:rPr>
        <w:t> </w:t>
      </w:r>
      <w:r>
        <w:rPr/>
        <w:t>市场建立的品牌、资源和渠道优势，公司紧抓</w:t>
      </w:r>
      <w:r>
        <w:rPr>
          <w:spacing w:val="-40"/>
        </w:rPr>
        <w:t> </w:t>
      </w:r>
      <w:r>
        <w:rPr>
          <w:rFonts w:ascii="Times New Roman" w:hAnsi="Times New Roman" w:cs="Times New Roman" w:eastAsia="Times New Roman" w:hint="default"/>
        </w:rPr>
        <w:t>IT</w:t>
      </w:r>
      <w:r>
        <w:rPr>
          <w:rFonts w:ascii="Times New Roman" w:hAnsi="Times New Roman" w:cs="Times New Roman" w:eastAsia="Times New Roman" w:hint="default"/>
          <w:spacing w:val="6"/>
        </w:rPr>
        <w:t> </w:t>
      </w:r>
      <w:r>
        <w:rPr/>
        <w:t>产业全面迈向云计算和</w:t>
      </w:r>
      <w:r>
        <w:rPr>
          <w:spacing w:val="-39"/>
        </w:rPr>
        <w:t> </w:t>
      </w:r>
      <w:r>
        <w:rPr>
          <w:rFonts w:ascii="Times New Roman" w:hAnsi="Times New Roman" w:cs="Times New Roman" w:eastAsia="Times New Roman" w:hint="default"/>
        </w:rPr>
        <w:t>DT</w:t>
      </w:r>
      <w:r>
        <w:rPr>
          <w:rFonts w:ascii="Times New Roman" w:hAnsi="Times New Roman" w:cs="Times New Roman" w:eastAsia="Times New Roman" w:hint="default"/>
          <w:spacing w:val="6"/>
        </w:rPr>
        <w:t> </w:t>
      </w:r>
      <w:r>
        <w:rPr/>
        <w:t>时代的重要发展 </w:t>
      </w:r>
      <w:r>
        <w:rPr>
          <w:spacing w:val="-2"/>
        </w:rPr>
        <w:t>契机，致力于成为中国最领先的云管理服务和数字化方案提供商，为企业客户提供全生命周期的专业云服务和数字化解决方</w:t>
      </w:r>
      <w:r>
        <w:rPr>
          <w:spacing w:val="-64"/>
        </w:rPr>
        <w:t> </w:t>
      </w:r>
      <w:r>
        <w:rPr>
          <w:spacing w:val="-64"/>
        </w:rPr>
      </w:r>
      <w:r>
        <w:rPr/>
        <w:t>案，全面助力企业数字化转型。公司云计算和数字化转型业务生态链如下图所示：</w:t>
      </w:r>
    </w:p>
    <w:p>
      <w:pPr>
        <w:spacing w:line="240" w:lineRule="auto" w:before="6"/>
        <w:rPr>
          <w:rFonts w:ascii="宋体" w:hAnsi="宋体" w:cs="宋体" w:eastAsia="宋体" w:hint="default"/>
          <w:sz w:val="5"/>
          <w:szCs w:val="5"/>
        </w:rPr>
      </w:pPr>
    </w:p>
    <w:p>
      <w:pPr>
        <w:spacing w:line="4602" w:lineRule="exact"/>
        <w:ind w:left="157" w:right="0" w:firstLine="0"/>
        <w:rPr>
          <w:rFonts w:ascii="宋体" w:hAnsi="宋体" w:cs="宋体" w:eastAsia="宋体" w:hint="default"/>
          <w:sz w:val="20"/>
          <w:szCs w:val="20"/>
        </w:rPr>
      </w:pPr>
      <w:r>
        <w:rPr>
          <w:rFonts w:ascii="宋体" w:hAnsi="宋体" w:cs="宋体" w:eastAsia="宋体" w:hint="default"/>
          <w:position w:val="-91"/>
          <w:sz w:val="20"/>
          <w:szCs w:val="20"/>
        </w:rPr>
        <w:drawing>
          <wp:inline distT="0" distB="0" distL="0" distR="0">
            <wp:extent cx="5208425" cy="292227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7" cstate="print"/>
                    <a:stretch>
                      <a:fillRect/>
                    </a:stretch>
                  </pic:blipFill>
                  <pic:spPr>
                    <a:xfrm>
                      <a:off x="0" y="0"/>
                      <a:ext cx="5208425" cy="2922270"/>
                    </a:xfrm>
                    <a:prstGeom prst="rect">
                      <a:avLst/>
                    </a:prstGeom>
                  </pic:spPr>
                </pic:pic>
              </a:graphicData>
            </a:graphic>
          </wp:inline>
        </w:drawing>
      </w:r>
      <w:r>
        <w:rPr>
          <w:rFonts w:ascii="宋体" w:hAnsi="宋体" w:cs="宋体" w:eastAsia="宋体" w:hint="default"/>
          <w:position w:val="-91"/>
          <w:sz w:val="20"/>
          <w:szCs w:val="20"/>
        </w:rPr>
      </w:r>
    </w:p>
    <w:p>
      <w:pPr>
        <w:pStyle w:val="BodyText"/>
        <w:spacing w:line="240" w:lineRule="auto" w:before="88"/>
        <w:ind w:left="514" w:right="0"/>
        <w:jc w:val="left"/>
      </w:pPr>
      <w:r>
        <w:rPr>
          <w:rFonts w:ascii="Times New Roman" w:hAnsi="Times New Roman" w:cs="Times New Roman" w:eastAsia="Times New Roman" w:hint="default"/>
        </w:rPr>
        <w:t>1</w:t>
      </w:r>
      <w:r>
        <w:rPr/>
        <w:t>、云管理服务</w:t>
      </w:r>
    </w:p>
    <w:p>
      <w:pPr>
        <w:pStyle w:val="BodyText"/>
        <w:spacing w:line="268" w:lineRule="auto" w:before="58"/>
        <w:ind w:right="1131" w:firstLine="360"/>
        <w:jc w:val="both"/>
      </w:pPr>
      <w:r>
        <w:rPr>
          <w:spacing w:val="-3"/>
        </w:rPr>
        <w:t>报告期内，云管理服务（</w:t>
      </w:r>
      <w:r>
        <w:rPr>
          <w:rFonts w:ascii="Times New Roman" w:hAnsi="Times New Roman" w:cs="Times New Roman" w:eastAsia="Times New Roman" w:hint="default"/>
          <w:spacing w:val="-3"/>
        </w:rPr>
        <w:t>MSP</w:t>
      </w:r>
      <w:r>
        <w:rPr>
          <w:spacing w:val="-3"/>
        </w:rPr>
        <w:t>）收入</w:t>
      </w:r>
      <w:r>
        <w:rPr>
          <w:spacing w:val="-53"/>
        </w:rPr>
        <w:t> </w:t>
      </w:r>
      <w:r>
        <w:rPr>
          <w:rFonts w:ascii="Times New Roman" w:hAnsi="Times New Roman" w:cs="Times New Roman" w:eastAsia="Times New Roman" w:hint="default"/>
        </w:rPr>
        <w:t>0.53</w:t>
      </w:r>
      <w:r>
        <w:rPr>
          <w:rFonts w:ascii="Times New Roman" w:hAnsi="Times New Roman" w:cs="Times New Roman" w:eastAsia="Times New Roman" w:hint="default"/>
          <w:spacing w:val="-8"/>
        </w:rPr>
        <w:t> </w:t>
      </w:r>
      <w:r>
        <w:rPr/>
        <w:t>亿元，同比增长</w:t>
      </w:r>
      <w:r>
        <w:rPr>
          <w:spacing w:val="-53"/>
        </w:rPr>
        <w:t> </w:t>
      </w:r>
      <w:r>
        <w:rPr>
          <w:rFonts w:ascii="Times New Roman" w:hAnsi="Times New Roman" w:cs="Times New Roman" w:eastAsia="Times New Roman" w:hint="default"/>
        </w:rPr>
        <w:t>85.02%</w:t>
      </w:r>
      <w:r>
        <w:rPr/>
        <w:t>，毛利率</w:t>
      </w:r>
      <w:r>
        <w:rPr>
          <w:spacing w:val="-53"/>
        </w:rPr>
        <w:t> </w:t>
      </w:r>
      <w:r>
        <w:rPr>
          <w:rFonts w:ascii="Times New Roman" w:hAnsi="Times New Roman" w:cs="Times New Roman" w:eastAsia="Times New Roman" w:hint="default"/>
        </w:rPr>
        <w:t>52.59%</w:t>
      </w:r>
      <w:r>
        <w:rPr/>
        <w:t>，续单率高于</w:t>
      </w:r>
      <w:r>
        <w:rPr>
          <w:spacing w:val="-53"/>
        </w:rPr>
        <w:t> </w:t>
      </w:r>
      <w:r>
        <w:rPr>
          <w:rFonts w:ascii="Times New Roman" w:hAnsi="Times New Roman" w:cs="Times New Roman" w:eastAsia="Times New Roman" w:hint="default"/>
        </w:rPr>
        <w:t>90%</w:t>
      </w:r>
      <w:r>
        <w:rPr/>
        <w:t>。通过资源对接和 </w:t>
      </w:r>
      <w:r>
        <w:rPr>
          <w:spacing w:val="-2"/>
        </w:rPr>
        <w:t>转售，公司能够与客户建立联系并理解客户的业务需求和应用场景。公司技术团队拥有基于多云平台和混合云架构的服务能</w:t>
      </w:r>
      <w:r>
        <w:rPr>
          <w:spacing w:val="-64"/>
        </w:rPr>
        <w:t> </w:t>
      </w:r>
      <w:r>
        <w:rPr>
          <w:spacing w:val="-64"/>
        </w:rPr>
      </w:r>
      <w:r>
        <w:rPr>
          <w:spacing w:val="-5"/>
        </w:rPr>
        <w:t>力，能够提供咨询、迁移、运维、部署等全方位云管理服务。随着企业客户上云程度不断加深，云上会积累越来越多的数据，</w:t>
      </w:r>
      <w:r>
        <w:rPr>
          <w:spacing w:val="-81"/>
        </w:rPr>
        <w:t> </w:t>
      </w:r>
      <w:r>
        <w:rPr>
          <w:spacing w:val="-81"/>
        </w:rPr>
      </w:r>
      <w:r>
        <w:rPr/>
        <w:t>伴随</w:t>
      </w:r>
      <w:r>
        <w:rPr>
          <w:spacing w:val="-46"/>
        </w:rPr>
        <w:t> </w:t>
      </w:r>
      <w:r>
        <w:rPr>
          <w:rFonts w:ascii="Times New Roman" w:hAnsi="Times New Roman" w:cs="Times New Roman" w:eastAsia="Times New Roman" w:hint="default"/>
        </w:rPr>
        <w:t>AI/IoT</w:t>
      </w:r>
      <w:r>
        <w:rPr>
          <w:rFonts w:ascii="Times New Roman" w:hAnsi="Times New Roman" w:cs="Times New Roman" w:eastAsia="Times New Roman" w:hint="default"/>
          <w:spacing w:val="-1"/>
        </w:rPr>
        <w:t> </w:t>
      </w:r>
      <w:r>
        <w:rPr/>
        <w:t>及大数据等技术的快速迭代，带来大量的云上定制化开发业务需求。</w:t>
      </w:r>
    </w:p>
    <w:p>
      <w:pPr>
        <w:pStyle w:val="BodyText"/>
        <w:spacing w:line="261" w:lineRule="auto" w:before="34"/>
        <w:ind w:right="1130" w:firstLine="360"/>
        <w:jc w:val="both"/>
      </w:pPr>
      <w:r>
        <w:rPr>
          <w:spacing w:val="-2"/>
        </w:rPr>
        <w:t>报告期内，公司云管理服务继续保持良好的发展势头，主要进展包括：帮助汽车行业某全球顶级企业共享车出行平台在</w:t>
      </w:r>
      <w:r>
        <w:rPr/>
        <w:t> 国内落地；成为数家汽车及零售行业顶级企业的唯一云上运维服务商；为大型制造企业实施布署</w:t>
      </w:r>
      <w:r>
        <w:rPr>
          <w:spacing w:val="-65"/>
        </w:rPr>
        <w:t> </w:t>
      </w:r>
      <w:r>
        <w:rPr>
          <w:rFonts w:ascii="Times New Roman" w:hAnsi="Times New Roman" w:cs="Times New Roman" w:eastAsia="Times New Roman" w:hint="default"/>
        </w:rPr>
        <w:t>DevOps</w:t>
      </w:r>
      <w:r>
        <w:rPr>
          <w:rFonts w:ascii="Times New Roman" w:hAnsi="Times New Roman" w:cs="Times New Roman" w:eastAsia="Times New Roman" w:hint="default"/>
          <w:spacing w:val="-21"/>
        </w:rPr>
        <w:t> </w:t>
      </w:r>
      <w:r>
        <w:rPr/>
        <w:t>工具链并提供技术 运营服务。此外，在混合云方面，微软中国首家</w:t>
      </w:r>
      <w:r>
        <w:rPr>
          <w:spacing w:val="-55"/>
        </w:rPr>
        <w:t> </w:t>
      </w:r>
      <w:r>
        <w:rPr>
          <w:rFonts w:ascii="Times New Roman" w:hAnsi="Times New Roman" w:cs="Times New Roman" w:eastAsia="Times New Roman" w:hint="default"/>
        </w:rPr>
        <w:t>Azure</w:t>
      </w:r>
      <w:r>
        <w:rPr>
          <w:rFonts w:ascii="Times New Roman" w:hAnsi="Times New Roman" w:cs="Times New Roman" w:eastAsia="Times New Roman" w:hint="default"/>
          <w:spacing w:val="-10"/>
        </w:rPr>
        <w:t> </w:t>
      </w:r>
      <w:r>
        <w:rPr>
          <w:rFonts w:ascii="Times New Roman" w:hAnsi="Times New Roman" w:cs="Times New Roman" w:eastAsia="Times New Roman" w:hint="default"/>
        </w:rPr>
        <w:t>Stack</w:t>
      </w:r>
      <w:r>
        <w:rPr>
          <w:rFonts w:ascii="Times New Roman" w:hAnsi="Times New Roman" w:cs="Times New Roman" w:eastAsia="Times New Roman" w:hint="default"/>
          <w:spacing w:val="-10"/>
        </w:rPr>
        <w:t> </w:t>
      </w:r>
      <w:r>
        <w:rPr/>
        <w:t>展示及测试中心落地神州数码，公司成为</w:t>
      </w:r>
      <w:r>
        <w:rPr>
          <w:spacing w:val="-55"/>
        </w:rPr>
        <w:t> </w:t>
      </w:r>
      <w:r>
        <w:rPr>
          <w:rFonts w:ascii="Times New Roman" w:hAnsi="Times New Roman" w:cs="Times New Roman" w:eastAsia="Times New Roman" w:hint="default"/>
        </w:rPr>
        <w:t>Azure</w:t>
      </w:r>
      <w:r>
        <w:rPr>
          <w:rFonts w:ascii="Times New Roman" w:hAnsi="Times New Roman" w:cs="Times New Roman" w:eastAsia="Times New Roman" w:hint="default"/>
          <w:spacing w:val="-10"/>
        </w:rPr>
        <w:t> </w:t>
      </w:r>
      <w:r>
        <w:rPr>
          <w:rFonts w:ascii="Times New Roman" w:hAnsi="Times New Roman" w:cs="Times New Roman" w:eastAsia="Times New Roman" w:hint="default"/>
        </w:rPr>
        <w:t>Stack</w:t>
      </w:r>
      <w:r>
        <w:rPr>
          <w:rFonts w:ascii="Times New Roman" w:hAnsi="Times New Roman" w:cs="Times New Roman" w:eastAsia="Times New Roman" w:hint="default"/>
          <w:spacing w:val="-11"/>
        </w:rPr>
        <w:t> </w:t>
      </w:r>
      <w:r>
        <w:rPr/>
        <w:t>在北京和 上海地区市场的总代理和微软中国区首批合作伙伴，为客户提供基于 </w:t>
      </w:r>
      <w:r>
        <w:rPr>
          <w:rFonts w:ascii="Times New Roman" w:hAnsi="Times New Roman" w:cs="Times New Roman" w:eastAsia="Times New Roman" w:hint="default"/>
        </w:rPr>
        <w:t>Azure Stack</w:t>
      </w:r>
      <w:r>
        <w:rPr>
          <w:rFonts w:ascii="Times New Roman" w:hAnsi="Times New Roman" w:cs="Times New Roman" w:eastAsia="Times New Roman" w:hint="default"/>
          <w:spacing w:val="-25"/>
        </w:rPr>
        <w:t> </w:t>
      </w:r>
      <w:r>
        <w:rPr/>
        <w:t>混合云咨询、规划、迁移、测试、应用部 署、总代理等一揽子服务；同时，针对国内企业级市场的发展现状，全面加强了与阿里云、</w:t>
      </w:r>
      <w:r>
        <w:rPr>
          <w:rFonts w:ascii="Times New Roman" w:hAnsi="Times New Roman" w:cs="Times New Roman" w:eastAsia="Times New Roman" w:hint="default"/>
        </w:rPr>
        <w:t>AWS</w:t>
      </w:r>
      <w:r>
        <w:rPr>
          <w:rFonts w:ascii="Times New Roman" w:hAnsi="Times New Roman" w:cs="Times New Roman" w:eastAsia="Times New Roman" w:hint="default"/>
          <w:spacing w:val="14"/>
        </w:rPr>
        <w:t> </w:t>
      </w:r>
      <w:r>
        <w:rPr/>
        <w:t>以及华为云在混合云领域 的合作，携手共拓国内企业级市场。私有云方面，公司携手</w:t>
      </w:r>
      <w:r>
        <w:rPr>
          <w:spacing w:val="-44"/>
        </w:rPr>
        <w:t> </w:t>
      </w:r>
      <w:r>
        <w:rPr>
          <w:rFonts w:ascii="Times New Roman" w:hAnsi="Times New Roman" w:cs="Times New Roman" w:eastAsia="Times New Roman" w:hint="default"/>
        </w:rPr>
        <w:t>IBM </w:t>
      </w:r>
      <w:r>
        <w:rPr/>
        <w:t>在北京和广州两地建立了云计算客户体验中心，引入</w:t>
      </w:r>
      <w:r>
        <w:rPr>
          <w:spacing w:val="-44"/>
        </w:rPr>
        <w:t> </w:t>
      </w:r>
      <w:r>
        <w:rPr>
          <w:rFonts w:ascii="Times New Roman" w:hAnsi="Times New Roman" w:cs="Times New Roman" w:eastAsia="Times New Roman" w:hint="default"/>
        </w:rPr>
        <w:t>IBM Cloud</w:t>
      </w:r>
      <w:r>
        <w:rPr>
          <w:rFonts w:ascii="Times New Roman" w:hAnsi="Times New Roman" w:cs="Times New Roman" w:eastAsia="Times New Roman" w:hint="default"/>
          <w:spacing w:val="-7"/>
        </w:rPr>
        <w:t> </w:t>
      </w:r>
      <w:r>
        <w:rPr>
          <w:rFonts w:ascii="Times New Roman" w:hAnsi="Times New Roman" w:cs="Times New Roman" w:eastAsia="Times New Roman" w:hint="default"/>
        </w:rPr>
        <w:t>Private</w:t>
      </w:r>
      <w:r>
        <w:rPr/>
        <w:t>，为广大合作伙伴和客户提供围绕</w:t>
      </w:r>
      <w:r>
        <w:rPr>
          <w:spacing w:val="-53"/>
        </w:rPr>
        <w:t> </w:t>
      </w:r>
      <w:r>
        <w:rPr>
          <w:rFonts w:ascii="Times New Roman" w:hAnsi="Times New Roman" w:cs="Times New Roman" w:eastAsia="Times New Roman" w:hint="default"/>
        </w:rPr>
        <w:t>IBM</w:t>
      </w:r>
      <w:r>
        <w:rPr>
          <w:rFonts w:ascii="Times New Roman" w:hAnsi="Times New Roman" w:cs="Times New Roman" w:eastAsia="Times New Roman" w:hint="default"/>
          <w:spacing w:val="-7"/>
        </w:rPr>
        <w:t> </w:t>
      </w:r>
      <w:r>
        <w:rPr>
          <w:rFonts w:ascii="Times New Roman" w:hAnsi="Times New Roman" w:cs="Times New Roman" w:eastAsia="Times New Roman" w:hint="default"/>
        </w:rPr>
        <w:t>Cloud</w:t>
      </w:r>
      <w:r>
        <w:rPr>
          <w:rFonts w:ascii="Times New Roman" w:hAnsi="Times New Roman" w:cs="Times New Roman" w:eastAsia="Times New Roman" w:hint="default"/>
          <w:spacing w:val="-7"/>
        </w:rPr>
        <w:t> </w:t>
      </w:r>
      <w:r>
        <w:rPr>
          <w:rFonts w:ascii="Times New Roman" w:hAnsi="Times New Roman" w:cs="Times New Roman" w:eastAsia="Times New Roman" w:hint="default"/>
        </w:rPr>
        <w:t>Private</w:t>
      </w:r>
      <w:r>
        <w:rPr>
          <w:rFonts w:ascii="Times New Roman" w:hAnsi="Times New Roman" w:cs="Times New Roman" w:eastAsia="Times New Roman" w:hint="default"/>
          <w:spacing w:val="-7"/>
        </w:rPr>
        <w:t> </w:t>
      </w:r>
      <w:r>
        <w:rPr/>
        <w:t>的全方位服务。专有云方面，公司与国都证券签署总额为 </w:t>
      </w:r>
      <w:r>
        <w:rPr>
          <w:rFonts w:ascii="Times New Roman" w:hAnsi="Times New Roman" w:cs="Times New Roman" w:eastAsia="Times New Roman" w:hint="default"/>
        </w:rPr>
        <w:t>1 </w:t>
      </w:r>
      <w:r>
        <w:rPr>
          <w:spacing w:val="-4"/>
        </w:rPr>
        <w:t>亿元的专有云项目合同，按照金融证券行业的高标准要求，为客户的核心系统提供为期 </w:t>
      </w:r>
      <w:r>
        <w:rPr>
          <w:rFonts w:ascii="Times New Roman" w:hAnsi="Times New Roman" w:cs="Times New Roman" w:eastAsia="Times New Roman" w:hint="default"/>
        </w:rPr>
        <w:t>10</w:t>
      </w:r>
      <w:r>
        <w:rPr>
          <w:rFonts w:ascii="Times New Roman" w:hAnsi="Times New Roman" w:cs="Times New Roman" w:eastAsia="Times New Roman" w:hint="default"/>
          <w:spacing w:val="-19"/>
        </w:rPr>
        <w:t> </w:t>
      </w:r>
      <w:r>
        <w:rPr/>
        <w:t>年定制化运营类的专有云服务。</w:t>
      </w:r>
    </w:p>
    <w:p>
      <w:pPr>
        <w:pStyle w:val="BodyText"/>
        <w:spacing w:line="240" w:lineRule="auto" w:before="41"/>
        <w:ind w:left="514" w:right="0"/>
        <w:jc w:val="left"/>
      </w:pPr>
      <w:r>
        <w:rPr>
          <w:rFonts w:ascii="Times New Roman" w:hAnsi="Times New Roman" w:cs="Times New Roman" w:eastAsia="Times New Roman" w:hint="default"/>
        </w:rPr>
        <w:t>2</w:t>
      </w:r>
      <w:r>
        <w:rPr/>
        <w:t>、数字化解决方案</w:t>
      </w:r>
    </w:p>
    <w:p>
      <w:pPr>
        <w:pStyle w:val="BodyText"/>
        <w:spacing w:line="259" w:lineRule="auto" w:before="58"/>
        <w:ind w:right="1129" w:firstLine="360"/>
        <w:jc w:val="both"/>
      </w:pPr>
      <w:r>
        <w:rPr/>
        <w:t>报告期内，云上数字化解决方案（</w:t>
      </w:r>
      <w:r>
        <w:rPr>
          <w:rFonts w:ascii="Times New Roman" w:hAnsi="Times New Roman" w:cs="Times New Roman" w:eastAsia="Times New Roman" w:hint="default"/>
        </w:rPr>
        <w:t>ISV</w:t>
      </w:r>
      <w:r>
        <w:rPr/>
        <w:t>）收入</w:t>
      </w:r>
      <w:r>
        <w:rPr>
          <w:spacing w:val="-44"/>
        </w:rPr>
        <w:t> </w:t>
      </w:r>
      <w:r>
        <w:rPr>
          <w:rFonts w:ascii="Times New Roman" w:hAnsi="Times New Roman" w:cs="Times New Roman" w:eastAsia="Times New Roman" w:hint="default"/>
        </w:rPr>
        <w:t>0.72 </w:t>
      </w:r>
      <w:r>
        <w:rPr/>
        <w:t>亿元，同比增长</w:t>
      </w:r>
      <w:r>
        <w:rPr>
          <w:spacing w:val="-45"/>
        </w:rPr>
        <w:t> </w:t>
      </w:r>
      <w:r>
        <w:rPr>
          <w:rFonts w:ascii="Times New Roman" w:hAnsi="Times New Roman" w:cs="Times New Roman" w:eastAsia="Times New Roman" w:hint="default"/>
        </w:rPr>
        <w:t>63.02%</w:t>
      </w:r>
      <w:r>
        <w:rPr/>
        <w:t>，毛利率</w:t>
      </w:r>
      <w:r>
        <w:rPr>
          <w:spacing w:val="-45"/>
        </w:rPr>
        <w:t> </w:t>
      </w:r>
      <w:r>
        <w:rPr>
          <w:rFonts w:ascii="Times New Roman" w:hAnsi="Times New Roman" w:cs="Times New Roman" w:eastAsia="Times New Roman" w:hint="default"/>
        </w:rPr>
        <w:t>83.43%</w:t>
      </w:r>
      <w:r>
        <w:rPr/>
        <w:t>。随着客户上云程度不断加 </w:t>
      </w:r>
      <w:r>
        <w:rPr>
          <w:spacing w:val="-2"/>
        </w:rPr>
        <w:t>深，云上会积累越来越多的数据，同时人工智能、大数据、物联网等技术的快速迭代，会带来大量的云上数字化解决方案需</w:t>
      </w:r>
    </w:p>
    <w:p>
      <w:pPr>
        <w:spacing w:after="0" w:line="259" w:lineRule="auto"/>
        <w:jc w:val="both"/>
        <w:sectPr>
          <w:pgSz w:w="11910" w:h="16840"/>
          <w:pgMar w:header="0" w:footer="979" w:top="1100" w:bottom="1160" w:left="980" w:right="0"/>
        </w:sectPr>
      </w:pPr>
    </w:p>
    <w:p>
      <w:pPr>
        <w:spacing w:line="240" w:lineRule="auto" w:before="10"/>
        <w:rPr>
          <w:rFonts w:ascii="宋体" w:hAnsi="宋体" w:cs="宋体" w:eastAsia="宋体" w:hint="default"/>
          <w:sz w:val="18"/>
          <w:szCs w:val="18"/>
        </w:rPr>
      </w:pPr>
    </w:p>
    <w:p>
      <w:pPr>
        <w:pStyle w:val="BodyText"/>
        <w:spacing w:line="273" w:lineRule="auto" w:before="44"/>
        <w:ind w:right="1130"/>
        <w:jc w:val="both"/>
      </w:pPr>
      <w:r>
        <w:rPr>
          <w:spacing w:val="-2"/>
        </w:rPr>
        <w:t>求。基于强大的技术实力和丰富的服务经验，公司为包括零售、快消、汽车等行业世界五百强企业在内的广大客户提供以物</w:t>
      </w:r>
      <w:r>
        <w:rPr>
          <w:spacing w:val="-66"/>
        </w:rPr>
        <w:t> </w:t>
      </w:r>
      <w:r>
        <w:rPr>
          <w:spacing w:val="-66"/>
        </w:rPr>
      </w:r>
      <w:r>
        <w:rPr>
          <w:spacing w:val="-2"/>
        </w:rPr>
        <w:t>联网、大数据、人工智能等技术为基础的数字化解决方案。为行业顶端客户形成的数字化解决方案具有较高的可复制性，能</w:t>
      </w:r>
      <w:r>
        <w:rPr>
          <w:spacing w:val="-66"/>
        </w:rPr>
        <w:t> </w:t>
      </w:r>
      <w:r>
        <w:rPr>
          <w:spacing w:val="-66"/>
        </w:rPr>
      </w:r>
      <w:r>
        <w:rPr/>
        <w:t>够在行业内进行产品化推广。报告期内，数字化解决方案业务主要进展如下：</w:t>
      </w:r>
    </w:p>
    <w:p>
      <w:pPr>
        <w:pStyle w:val="BodyText"/>
        <w:spacing w:line="264" w:lineRule="auto" w:before="46"/>
        <w:ind w:right="1032" w:firstLine="36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Imcloud</w:t>
      </w:r>
      <w:r>
        <w:rPr>
          <w:rFonts w:ascii="Times New Roman" w:hAnsi="Times New Roman" w:cs="Times New Roman" w:eastAsia="Times New Roman" w:hint="default"/>
          <w:spacing w:val="13"/>
        </w:rPr>
        <w:t> </w:t>
      </w:r>
      <w:r>
        <w:rPr/>
        <w:t>智能管理云平台。利用云计算技术实现异地多分支网络的智能化和集中化管理，提供传统网络无法提供 的数据收集和分析功能，将网络管理简单化、智能化、可视化，提升用户网络体验，将复杂网络简单化。</w:t>
      </w:r>
      <w:r>
        <w:rPr>
          <w:rFonts w:ascii="Times New Roman" w:hAnsi="Times New Roman" w:cs="Times New Roman" w:eastAsia="Times New Roman" w:hint="default"/>
        </w:rPr>
        <w:t>Imcloud</w:t>
      </w:r>
      <w:r>
        <w:rPr>
          <w:rFonts w:ascii="Times New Roman" w:hAnsi="Times New Roman" w:cs="Times New Roman" w:eastAsia="Times New Roman" w:hint="default"/>
          <w:spacing w:val="-5"/>
        </w:rPr>
        <w:t> </w:t>
      </w:r>
      <w:r>
        <w:rPr/>
        <w:t>智能管理 </w:t>
      </w:r>
      <w:r>
        <w:rPr>
          <w:spacing w:val="-2"/>
        </w:rPr>
        <w:t>云平台支持即付即用，能够显著降低客户的综合运营成本，并实现网络设备的灵活维护与升级；通过智能部署网络，能够轻</w:t>
      </w:r>
      <w:r>
        <w:rPr>
          <w:spacing w:val="-66"/>
        </w:rPr>
        <w:t> </w:t>
      </w:r>
      <w:r>
        <w:rPr>
          <w:spacing w:val="-66"/>
        </w:rPr>
      </w:r>
      <w:r>
        <w:rPr/>
        <w:t>松实现网络扩展，大幅度降低本地网络部署难度，让业务快速上线；同时，通过网络可视化，提供基于设备、用户、网络、</w:t>
      </w:r>
      <w:r>
        <w:rPr>
          <w:spacing w:val="-85"/>
        </w:rPr>
        <w:t> </w:t>
      </w:r>
      <w:r>
        <w:rPr>
          <w:spacing w:val="-85"/>
        </w:rPr>
      </w:r>
      <w:r>
        <w:rPr>
          <w:spacing w:val="-3"/>
        </w:rPr>
        <w:t>终端数据分析，为客户业务发展提供数据指导和分析辅助。</w:t>
      </w:r>
      <w:r>
        <w:rPr>
          <w:rFonts w:ascii="Times New Roman" w:hAnsi="Times New Roman" w:cs="Times New Roman" w:eastAsia="Times New Roman" w:hint="default"/>
          <w:spacing w:val="-3"/>
        </w:rPr>
        <w:t>Imcloud </w:t>
      </w:r>
      <w:r>
        <w:rPr>
          <w:spacing w:val="-5"/>
        </w:rPr>
        <w:t>平台提供“网络即服务”的模式，已为国内千余所学校、</w:t>
      </w:r>
      <w:r>
        <w:rPr>
          <w:spacing w:val="-54"/>
        </w:rPr>
        <w:t> </w:t>
      </w:r>
      <w:r>
        <w:rPr>
          <w:spacing w:val="-54"/>
        </w:rPr>
      </w:r>
      <w:r>
        <w:rPr/>
        <w:t>酒店，近万家中小企业提供了公有云和私有云服务，管理几十万台设备。未来 </w:t>
      </w:r>
      <w:r>
        <w:rPr>
          <w:rFonts w:ascii="Times New Roman" w:hAnsi="Times New Roman" w:cs="Times New Roman" w:eastAsia="Times New Roman" w:hint="default"/>
        </w:rPr>
        <w:t>Imcloud</w:t>
      </w:r>
      <w:r>
        <w:rPr>
          <w:rFonts w:ascii="Times New Roman" w:hAnsi="Times New Roman" w:cs="Times New Roman" w:eastAsia="Times New Roman" w:hint="default"/>
          <w:spacing w:val="32"/>
        </w:rPr>
        <w:t> </w:t>
      </w:r>
      <w:r>
        <w:rPr/>
        <w:t>计划支持有线</w:t>
      </w:r>
      <w:r>
        <w:rPr>
          <w:rFonts w:ascii="Times New Roman" w:hAnsi="Times New Roman" w:cs="Times New Roman" w:eastAsia="Times New Roman" w:hint="default"/>
        </w:rPr>
        <w:t>/</w:t>
      </w:r>
      <w:r>
        <w:rPr/>
        <w:t>无线、物联网、大数 据等技术，并将管理自动化持续升级。</w:t>
      </w:r>
    </w:p>
    <w:p>
      <w:pPr>
        <w:pStyle w:val="BodyText"/>
        <w:spacing w:line="264" w:lineRule="auto" w:before="53"/>
        <w:ind w:right="1130" w:firstLine="360"/>
        <w:jc w:val="both"/>
      </w:pPr>
      <w:r>
        <w:rPr>
          <w:spacing w:val="-3"/>
        </w:rPr>
        <w:t>（</w:t>
      </w:r>
      <w:r>
        <w:rPr>
          <w:rFonts w:ascii="Times New Roman" w:hAnsi="Times New Roman" w:cs="Times New Roman" w:eastAsia="Times New Roman" w:hint="default"/>
          <w:spacing w:val="-3"/>
        </w:rPr>
        <w:t>2</w:t>
      </w:r>
      <w:r>
        <w:rPr>
          <w:spacing w:val="-3"/>
        </w:rPr>
        <w:t>）神州视讯云服务。神州视讯云服务是公司面向企业级市场打造的，拥有</w:t>
      </w:r>
      <w:r>
        <w:rPr>
          <w:spacing w:val="-44"/>
        </w:rPr>
        <w:t> </w:t>
      </w:r>
      <w:r>
        <w:rPr>
          <w:rFonts w:ascii="Times New Roman" w:hAnsi="Times New Roman" w:cs="Times New Roman" w:eastAsia="Times New Roman" w:hint="default"/>
        </w:rPr>
        <w:t>100%</w:t>
      </w:r>
      <w:r>
        <w:rPr/>
        <w:t>软件著作权的全球视频云服务产品。 </w:t>
      </w:r>
      <w:r>
        <w:rPr>
          <w:spacing w:val="-1"/>
        </w:rPr>
        <w:t>作为全新一代全球化云视频服务平台，它提供了云</w:t>
      </w:r>
      <w:r>
        <w:rPr>
          <w:rFonts w:ascii="Times New Roman" w:hAnsi="Times New Roman" w:cs="Times New Roman" w:eastAsia="Times New Roman" w:hint="default"/>
          <w:spacing w:val="-1"/>
        </w:rPr>
        <w:t>-</w:t>
      </w:r>
      <w:r>
        <w:rPr>
          <w:spacing w:val="-1"/>
        </w:rPr>
        <w:t>管</w:t>
      </w:r>
      <w:r>
        <w:rPr>
          <w:rFonts w:ascii="Times New Roman" w:hAnsi="Times New Roman" w:cs="Times New Roman" w:eastAsia="Times New Roman" w:hint="default"/>
          <w:spacing w:val="-1"/>
        </w:rPr>
        <w:t>-</w:t>
      </w:r>
      <w:r>
        <w:rPr>
          <w:spacing w:val="-1"/>
        </w:rPr>
        <w:t>端完整的企业级视频通讯服务，能够帮助企业提高沟通效率，减少差</w:t>
      </w:r>
      <w:r>
        <w:rPr>
          <w:spacing w:val="-59"/>
        </w:rPr>
        <w:t> </w:t>
      </w:r>
      <w:r>
        <w:rPr>
          <w:spacing w:val="-59"/>
        </w:rPr>
      </w:r>
      <w:r>
        <w:rPr>
          <w:spacing w:val="-2"/>
        </w:rPr>
        <w:t>旅开支，快速决策。神州视讯能够提供全球覆盖的全高清云视频，通过接入节点的自动适配，保障最优化的视频质量；支持</w:t>
      </w:r>
      <w:r>
        <w:rPr>
          <w:spacing w:val="-66"/>
        </w:rPr>
        <w:t> </w:t>
      </w:r>
      <w:r>
        <w:rPr>
          <w:spacing w:val="-66"/>
        </w:rPr>
      </w:r>
      <w:r>
        <w:rPr/>
        <w:t>硬件、软件、移动 </w:t>
      </w:r>
      <w:r>
        <w:rPr>
          <w:rFonts w:ascii="Times New Roman" w:hAnsi="Times New Roman" w:cs="Times New Roman" w:eastAsia="Times New Roman" w:hint="default"/>
        </w:rPr>
        <w:t>APP</w:t>
      </w:r>
      <w:r>
        <w:rPr>
          <w:rFonts w:ascii="Times New Roman" w:hAnsi="Times New Roman" w:cs="Times New Roman" w:eastAsia="Times New Roman" w:hint="default"/>
          <w:spacing w:val="-8"/>
        </w:rPr>
        <w:t> </w:t>
      </w:r>
      <w:r>
        <w:rPr/>
        <w:t>以及语音等多种方式入会，并提供媒体加密、会议加密、网络加密等多重安全机制；原生支持第三 </w:t>
      </w:r>
      <w:r>
        <w:rPr>
          <w:spacing w:val="-2"/>
        </w:rPr>
        <w:t>方硬件终端，并对已有全套视频会议系统的客户，提供混合云方案，在已有系统基础上平滑扩展无缝迁移；提供开放的全定</w:t>
      </w:r>
      <w:r>
        <w:rPr>
          <w:spacing w:val="-65"/>
        </w:rPr>
        <w:t> </w:t>
      </w:r>
      <w:r>
        <w:rPr>
          <w:spacing w:val="-65"/>
        </w:rPr>
      </w:r>
      <w:r>
        <w:rPr/>
        <w:t>制化能力，可以实现管理后台定制，提供集成</w:t>
      </w:r>
      <w:r>
        <w:rPr>
          <w:spacing w:val="-47"/>
        </w:rPr>
        <w:t> </w:t>
      </w:r>
      <w:r>
        <w:rPr>
          <w:rFonts w:ascii="Times New Roman" w:hAnsi="Times New Roman" w:cs="Times New Roman" w:eastAsia="Times New Roman" w:hint="default"/>
        </w:rPr>
        <w:t>API</w:t>
      </w:r>
      <w:r>
        <w:rPr/>
        <w:t>，方便和客户已有的系统进行集成。</w:t>
      </w:r>
    </w:p>
    <w:p>
      <w:pPr>
        <w:pStyle w:val="BodyText"/>
        <w:spacing w:line="264" w:lineRule="auto" w:before="38"/>
        <w:ind w:right="1130" w:firstLine="360"/>
        <w:jc w:val="both"/>
      </w:pPr>
      <w:r>
        <w:rPr/>
        <w:t>（</w:t>
      </w:r>
      <w:r>
        <w:rPr>
          <w:rFonts w:ascii="Times New Roman" w:hAnsi="Times New Roman" w:cs="Times New Roman" w:eastAsia="Times New Roman" w:hint="default"/>
        </w:rPr>
        <w:t>3</w:t>
      </w:r>
      <w:r>
        <w:rPr/>
        <w:t>）云科易服。云科易服 </w:t>
      </w:r>
      <w:r>
        <w:rPr>
          <w:rFonts w:ascii="Times New Roman" w:hAnsi="Times New Roman" w:cs="Times New Roman" w:eastAsia="Times New Roman" w:hint="default"/>
          <w:spacing w:val="-1"/>
          <w:w w:val="99"/>
        </w:rPr>
        <w:t>CSM</w:t>
      </w:r>
      <w:r>
        <w:rPr>
          <w:rFonts w:ascii="Times New Roman" w:hAnsi="Times New Roman" w:cs="Times New Roman" w:eastAsia="Times New Roman" w:hint="default"/>
          <w:w w:val="99"/>
        </w:rPr>
        <w:t> </w:t>
      </w:r>
      <w:r>
        <w:rPr/>
        <w:t>是神州数码自主研发的 </w:t>
      </w:r>
      <w:r>
        <w:rPr>
          <w:rFonts w:ascii="Times New Roman" w:hAnsi="Times New Roman" w:cs="Times New Roman" w:eastAsia="Times New Roman" w:hint="default"/>
          <w:spacing w:val="-1"/>
          <w:w w:val="99"/>
        </w:rPr>
        <w:t>SaaS</w:t>
      </w:r>
      <w:r>
        <w:rPr>
          <w:rFonts w:ascii="Times New Roman" w:hAnsi="Times New Roman" w:cs="Times New Roman" w:eastAsia="Times New Roman" w:hint="default"/>
          <w:spacing w:val="1"/>
          <w:w w:val="99"/>
        </w:rPr>
        <w:t> </w:t>
      </w:r>
      <w:r>
        <w:rPr>
          <w:spacing w:val="-4"/>
        </w:rPr>
        <w:t>产品，可实现公有云及私有云的敏捷部署“开箱即用”。</w:t>
      </w:r>
      <w:r>
        <w:rPr/>
        <w:t> 公司基于云科易服为客户打造的车联网服务运营管理平台可以将厂商、集成商、云服务商与内部开发、</w:t>
      </w:r>
      <w:r>
        <w:rPr>
          <w:rFonts w:ascii="Times New Roman" w:hAnsi="Times New Roman" w:cs="Times New Roman" w:eastAsia="Times New Roman" w:hint="default"/>
        </w:rPr>
        <w:t>IT</w:t>
      </w:r>
      <w:r>
        <w:rPr>
          <w:rFonts w:ascii="Times New Roman" w:hAnsi="Times New Roman" w:cs="Times New Roman" w:eastAsia="Times New Roman" w:hint="default"/>
          <w:spacing w:val="15"/>
        </w:rPr>
        <w:t> </w:t>
      </w:r>
      <w:r>
        <w:rPr/>
        <w:t>服务聚合在统一 的平台上，通过运营服务沉淀服务数据，再通过数据采集分析反哺业务运营，在为客户的 </w:t>
      </w:r>
      <w:r>
        <w:rPr>
          <w:rFonts w:ascii="Times New Roman" w:hAnsi="Times New Roman" w:cs="Times New Roman" w:eastAsia="Times New Roman" w:hint="default"/>
        </w:rPr>
        <w:t>IT</w:t>
      </w:r>
      <w:r>
        <w:rPr>
          <w:rFonts w:ascii="Times New Roman" w:hAnsi="Times New Roman" w:cs="Times New Roman" w:eastAsia="Times New Roman" w:hint="default"/>
          <w:spacing w:val="-26"/>
        </w:rPr>
        <w:t> </w:t>
      </w:r>
      <w:r>
        <w:rPr/>
        <w:t>运营与核心业务提供有效支撑 </w:t>
      </w:r>
      <w:r>
        <w:rPr>
          <w:spacing w:val="-2"/>
        </w:rPr>
        <w:t>的同时，还能通过可视化服务反馈为企业运营提供决策支持。该平台可以通过对车辆基础数据、服务运营数据及需要集成的</w:t>
      </w:r>
      <w:r>
        <w:rPr>
          <w:spacing w:val="-66"/>
        </w:rPr>
        <w:t> </w:t>
      </w:r>
      <w:r>
        <w:rPr>
          <w:spacing w:val="-66"/>
        </w:rPr>
      </w:r>
      <w:r>
        <w:rPr>
          <w:spacing w:val="-2"/>
        </w:rPr>
        <w:t>其他系统数据进行整合分析，并输出服务业务的可视化全量数据报表，自动更新、定时推送，方便企业客户以数据为中心制</w:t>
      </w:r>
      <w:r>
        <w:rPr>
          <w:spacing w:val="-66"/>
        </w:rPr>
        <w:t> </w:t>
      </w:r>
      <w:r>
        <w:rPr>
          <w:spacing w:val="-66"/>
        </w:rPr>
      </w:r>
      <w:r>
        <w:rPr/>
        <w:t>定决策。云科易服 </w:t>
      </w:r>
      <w:r>
        <w:rPr>
          <w:rFonts w:ascii="Times New Roman" w:hAnsi="Times New Roman" w:cs="Times New Roman" w:eastAsia="Times New Roman" w:hint="default"/>
        </w:rPr>
        <w:t>CSM </w:t>
      </w:r>
      <w:r>
        <w:rPr/>
        <w:t>已经上线了专门为服务管理设计的虚拟服务机器人</w:t>
      </w:r>
      <w:r>
        <w:rPr>
          <w:spacing w:val="-28"/>
        </w:rPr>
        <w:t> </w:t>
      </w:r>
      <w:r>
        <w:rPr>
          <w:rFonts w:ascii="Times New Roman" w:hAnsi="Times New Roman" w:cs="Times New Roman" w:eastAsia="Times New Roman" w:hint="default"/>
        </w:rPr>
        <w:t>Luma</w:t>
      </w:r>
      <w:r>
        <w:rPr/>
        <w:t>，具备自然语言处理和机器学习技术，未 来有望将云科易服</w:t>
      </w:r>
      <w:r>
        <w:rPr>
          <w:spacing w:val="-41"/>
        </w:rPr>
        <w:t> </w:t>
      </w:r>
      <w:r>
        <w:rPr>
          <w:rFonts w:ascii="Times New Roman" w:hAnsi="Times New Roman" w:cs="Times New Roman" w:eastAsia="Times New Roman" w:hint="default"/>
        </w:rPr>
        <w:t>CSM</w:t>
      </w:r>
      <w:r>
        <w:rPr>
          <w:rFonts w:ascii="Times New Roman" w:hAnsi="Times New Roman" w:cs="Times New Roman" w:eastAsia="Times New Roman" w:hint="default"/>
          <w:spacing w:val="2"/>
        </w:rPr>
        <w:t> </w:t>
      </w:r>
      <w:r>
        <w:rPr/>
        <w:t>自带的</w:t>
      </w:r>
      <w:r>
        <w:rPr>
          <w:spacing w:val="-41"/>
        </w:rPr>
        <w:t> </w:t>
      </w:r>
      <w:r>
        <w:rPr>
          <w:rFonts w:ascii="Times New Roman" w:hAnsi="Times New Roman" w:cs="Times New Roman" w:eastAsia="Times New Roman" w:hint="default"/>
        </w:rPr>
        <w:t>Luma</w:t>
      </w:r>
      <w:r>
        <w:rPr>
          <w:rFonts w:ascii="Times New Roman" w:hAnsi="Times New Roman" w:cs="Times New Roman" w:eastAsia="Times New Roman" w:hint="default"/>
          <w:spacing w:val="3"/>
        </w:rPr>
        <w:t> </w:t>
      </w:r>
      <w:r>
        <w:rPr/>
        <w:t>智能化服务功能与服务管理解决方案进一步结合，优化提升客户智能车联网服务运营 管理平台的智能化服务及大数据采集、分析、处理能力，进一步优化用户体验。</w:t>
      </w:r>
    </w:p>
    <w:p>
      <w:pPr>
        <w:pStyle w:val="BodyText"/>
        <w:spacing w:line="261" w:lineRule="auto" w:before="53"/>
        <w:ind w:right="1130" w:firstLine="360"/>
        <w:jc w:val="both"/>
      </w:pPr>
      <w:r>
        <w:rPr/>
        <w:t>（</w:t>
      </w:r>
      <w:r>
        <w:rPr>
          <w:rFonts w:ascii="Times New Roman" w:hAnsi="Times New Roman" w:cs="Times New Roman" w:eastAsia="Times New Roman" w:hint="default"/>
        </w:rPr>
        <w:t>4</w:t>
      </w:r>
      <w:r>
        <w:rPr/>
        <w:t>）零售行业大数据解决方案。通过长期服务众多世界五百强零售企业，公司形成了完整可靠的面向零售行业的大数 据解决方案，内容包括：在众多共有云平台以及混合云平台上的</w:t>
      </w:r>
      <w:r>
        <w:rPr>
          <w:spacing w:val="-36"/>
        </w:rPr>
        <w:t> </w:t>
      </w:r>
      <w:r>
        <w:rPr>
          <w:rFonts w:ascii="Times New Roman" w:hAnsi="Times New Roman" w:cs="Times New Roman" w:eastAsia="Times New Roman" w:hint="default"/>
        </w:rPr>
        <w:t>IT</w:t>
      </w:r>
      <w:r>
        <w:rPr>
          <w:rFonts w:ascii="Times New Roman" w:hAnsi="Times New Roman" w:cs="Times New Roman" w:eastAsia="Times New Roman" w:hint="default"/>
          <w:spacing w:val="9"/>
        </w:rPr>
        <w:t> </w:t>
      </w:r>
      <w:r>
        <w:rPr/>
        <w:t>开发、提供专业级的技术和工具支持，保证客户的云平 </w:t>
      </w:r>
      <w:r>
        <w:rPr>
          <w:spacing w:val="-2"/>
        </w:rPr>
        <w:t>台、应用和服务正常运行，让客户专注于其核心业务；运用敏捷开发为客户提供快速响应需求变更的大数据开发方案。为客</w:t>
      </w:r>
      <w:r>
        <w:rPr>
          <w:spacing w:val="-66"/>
        </w:rPr>
        <w:t> </w:t>
      </w:r>
      <w:r>
        <w:rPr>
          <w:spacing w:val="-66"/>
        </w:rPr>
      </w:r>
      <w:r>
        <w:rPr/>
        <w:t>户及时处理各种数据源的入库及分析，包括门店 </w:t>
      </w:r>
      <w:r>
        <w:rPr>
          <w:rFonts w:ascii="Times New Roman" w:hAnsi="Times New Roman" w:cs="Times New Roman" w:eastAsia="Times New Roman" w:hint="default"/>
        </w:rPr>
        <w:t>POS</w:t>
      </w:r>
      <w:r>
        <w:rPr>
          <w:rFonts w:ascii="Times New Roman" w:hAnsi="Times New Roman" w:cs="Times New Roman" w:eastAsia="Times New Roman" w:hint="default"/>
          <w:spacing w:val="-8"/>
        </w:rPr>
        <w:t> </w:t>
      </w:r>
      <w:r>
        <w:rPr/>
        <w:t>机数据、电商平台数据、微信小程序、外卖订单等各类数据，并实现 快速迭代和交付。</w:t>
      </w:r>
    </w:p>
    <w:p>
      <w:pPr>
        <w:pStyle w:val="BodyText"/>
        <w:spacing w:line="240" w:lineRule="auto" w:before="56"/>
        <w:ind w:left="514" w:right="0"/>
        <w:jc w:val="left"/>
      </w:pPr>
      <w:r>
        <w:rPr>
          <w:rFonts w:ascii="Times New Roman" w:hAnsi="Times New Roman" w:cs="Times New Roman" w:eastAsia="Times New Roman" w:hint="default"/>
        </w:rPr>
        <w:t>3</w:t>
      </w:r>
      <w:r>
        <w:rPr/>
        <w:t>、云转售业务</w:t>
      </w:r>
    </w:p>
    <w:p>
      <w:pPr>
        <w:pStyle w:val="BodyText"/>
        <w:spacing w:line="259" w:lineRule="auto" w:before="58"/>
        <w:ind w:right="1130" w:firstLine="360"/>
        <w:jc w:val="both"/>
      </w:pPr>
      <w:r>
        <w:rPr>
          <w:spacing w:val="-7"/>
        </w:rPr>
        <w:t>报告期内，公司实现云计算收入</w:t>
      </w:r>
      <w:r>
        <w:rPr>
          <w:spacing w:val="-60"/>
        </w:rPr>
        <w:t> </w:t>
      </w:r>
      <w:r>
        <w:rPr>
          <w:rFonts w:ascii="Times New Roman" w:hAnsi="Times New Roman" w:cs="Times New Roman" w:eastAsia="Times New Roman" w:hint="default"/>
        </w:rPr>
        <w:t>5.81</w:t>
      </w:r>
      <w:r>
        <w:rPr>
          <w:rFonts w:ascii="Times New Roman" w:hAnsi="Times New Roman" w:cs="Times New Roman" w:eastAsia="Times New Roman" w:hint="default"/>
          <w:spacing w:val="-15"/>
        </w:rPr>
        <w:t> </w:t>
      </w:r>
      <w:r>
        <w:rPr>
          <w:spacing w:val="-14"/>
        </w:rPr>
        <w:t>亿元，同比增长</w:t>
      </w:r>
      <w:r>
        <w:rPr>
          <w:spacing w:val="-60"/>
        </w:rPr>
        <w:t> </w:t>
      </w:r>
      <w:r>
        <w:rPr>
          <w:rFonts w:ascii="Times New Roman" w:hAnsi="Times New Roman" w:cs="Times New Roman" w:eastAsia="Times New Roman" w:hint="default"/>
          <w:spacing w:val="-5"/>
        </w:rPr>
        <w:t>187.41%</w:t>
      </w:r>
      <w:r>
        <w:rPr>
          <w:spacing w:val="-5"/>
        </w:rPr>
        <w:t>，其中单纯的云资源转售收入</w:t>
      </w:r>
      <w:r>
        <w:rPr>
          <w:spacing w:val="-60"/>
        </w:rPr>
        <w:t> </w:t>
      </w:r>
      <w:r>
        <w:rPr>
          <w:rFonts w:ascii="Times New Roman" w:hAnsi="Times New Roman" w:cs="Times New Roman" w:eastAsia="Times New Roman" w:hint="default"/>
        </w:rPr>
        <w:t>1.30</w:t>
      </w:r>
      <w:r>
        <w:rPr>
          <w:rFonts w:ascii="Times New Roman" w:hAnsi="Times New Roman" w:cs="Times New Roman" w:eastAsia="Times New Roman" w:hint="default"/>
          <w:spacing w:val="-15"/>
        </w:rPr>
        <w:t> </w:t>
      </w:r>
      <w:r>
        <w:rPr>
          <w:spacing w:val="-14"/>
        </w:rPr>
        <w:t>亿元，同比增长</w:t>
      </w:r>
      <w:r>
        <w:rPr>
          <w:spacing w:val="-60"/>
        </w:rPr>
        <w:t> </w:t>
      </w:r>
      <w:r>
        <w:rPr>
          <w:rFonts w:ascii="Times New Roman" w:hAnsi="Times New Roman" w:cs="Times New Roman" w:eastAsia="Times New Roman" w:hint="default"/>
        </w:rPr>
        <w:t>264.91%</w:t>
      </w:r>
      <w:r>
        <w:rPr/>
        <w:t>， 毛利率</w:t>
      </w:r>
      <w:r>
        <w:rPr>
          <w:spacing w:val="-48"/>
        </w:rPr>
        <w:t> </w:t>
      </w:r>
      <w:r>
        <w:rPr>
          <w:rFonts w:ascii="Times New Roman" w:hAnsi="Times New Roman" w:cs="Times New Roman" w:eastAsia="Times New Roman" w:hint="default"/>
        </w:rPr>
        <w:t>6.07</w:t>
      </w:r>
      <w:r>
        <w:rPr>
          <w:rFonts w:ascii="Times New Roman" w:hAnsi="Times New Roman" w:cs="Times New Roman" w:eastAsia="Times New Roman" w:hint="default"/>
          <w:spacing w:val="-2"/>
        </w:rPr>
        <w:t> </w:t>
      </w:r>
      <w:r>
        <w:rPr>
          <w:rFonts w:ascii="Times New Roman" w:hAnsi="Times New Roman" w:cs="Times New Roman" w:eastAsia="Times New Roman" w:hint="default"/>
        </w:rPr>
        <w:t>%</w:t>
      </w:r>
      <w:r>
        <w:rPr/>
        <w:t>；为云服务提供基础云资源的转售收入</w:t>
      </w:r>
      <w:r>
        <w:rPr>
          <w:spacing w:val="-48"/>
        </w:rPr>
        <w:t> </w:t>
      </w:r>
      <w:r>
        <w:rPr>
          <w:rFonts w:ascii="Times New Roman" w:hAnsi="Times New Roman" w:cs="Times New Roman" w:eastAsia="Times New Roman" w:hint="default"/>
        </w:rPr>
        <w:t>3.26</w:t>
      </w:r>
      <w:r>
        <w:rPr>
          <w:rFonts w:ascii="Times New Roman" w:hAnsi="Times New Roman" w:cs="Times New Roman" w:eastAsia="Times New Roman" w:hint="default"/>
          <w:spacing w:val="-3"/>
        </w:rPr>
        <w:t> </w:t>
      </w:r>
      <w:r>
        <w:rPr/>
        <w:t>亿元，同比增长</w:t>
      </w:r>
      <w:r>
        <w:rPr>
          <w:spacing w:val="-48"/>
        </w:rPr>
        <w:t> </w:t>
      </w:r>
      <w:r>
        <w:rPr>
          <w:rFonts w:ascii="Times New Roman" w:hAnsi="Times New Roman" w:cs="Times New Roman" w:eastAsia="Times New Roman" w:hint="default"/>
        </w:rPr>
        <w:t>248.10%</w:t>
      </w:r>
      <w:r>
        <w:rPr/>
        <w:t>，毛利率</w:t>
      </w:r>
      <w:r>
        <w:rPr>
          <w:spacing w:val="-48"/>
        </w:rPr>
        <w:t> </w:t>
      </w:r>
      <w:r>
        <w:rPr>
          <w:rFonts w:ascii="Times New Roman" w:hAnsi="Times New Roman" w:cs="Times New Roman" w:eastAsia="Times New Roman" w:hint="default"/>
        </w:rPr>
        <w:t>11.34%</w:t>
      </w:r>
      <w:r>
        <w:rPr/>
        <w:t>。</w:t>
      </w:r>
    </w:p>
    <w:p>
      <w:pPr>
        <w:pStyle w:val="BodyText"/>
        <w:spacing w:line="266" w:lineRule="auto" w:before="42"/>
        <w:ind w:right="1131" w:firstLine="360"/>
        <w:jc w:val="both"/>
      </w:pPr>
      <w:r>
        <w:rPr>
          <w:spacing w:val="-2"/>
        </w:rPr>
        <w:t>公司能够以高级合作伙伴的身份对接国内外主流的云服务、</w:t>
      </w:r>
      <w:r>
        <w:rPr>
          <w:rFonts w:ascii="Times New Roman" w:hAnsi="Times New Roman" w:cs="Times New Roman" w:eastAsia="Times New Roman" w:hint="default"/>
          <w:spacing w:val="-2"/>
        </w:rPr>
        <w:t>AI/IoT</w:t>
      </w:r>
      <w:r>
        <w:rPr>
          <w:rFonts w:ascii="Times New Roman" w:hAnsi="Times New Roman" w:cs="Times New Roman" w:eastAsia="Times New Roman" w:hint="default"/>
          <w:spacing w:val="19"/>
        </w:rPr>
        <w:t> </w:t>
      </w:r>
      <w:r>
        <w:rPr>
          <w:spacing w:val="-2"/>
        </w:rPr>
        <w:t>及大数据厂商，提供市场上最丰富的云计算及数字化</w:t>
      </w:r>
      <w:r>
        <w:rPr/>
        <w:t> 相关资源和产品，包括公有云资源，私有云</w:t>
      </w:r>
      <w:r>
        <w:rPr>
          <w:rFonts w:ascii="Times New Roman" w:hAnsi="Times New Roman" w:cs="Times New Roman" w:eastAsia="Times New Roman" w:hint="default"/>
        </w:rPr>
        <w:t>/</w:t>
      </w:r>
      <w:r>
        <w:rPr/>
        <w:t>混合云平台，</w:t>
      </w:r>
      <w:r>
        <w:rPr>
          <w:rFonts w:ascii="Times New Roman" w:hAnsi="Times New Roman" w:cs="Times New Roman" w:eastAsia="Times New Roman" w:hint="default"/>
        </w:rPr>
        <w:t>SaaS </w:t>
      </w:r>
      <w:r>
        <w:rPr/>
        <w:t>以及 </w:t>
      </w:r>
      <w:r>
        <w:rPr>
          <w:rFonts w:ascii="Times New Roman" w:hAnsi="Times New Roman" w:cs="Times New Roman" w:eastAsia="Times New Roman" w:hint="default"/>
        </w:rPr>
        <w:t>AI</w:t>
      </w:r>
      <w:r>
        <w:rPr>
          <w:rFonts w:ascii="Times New Roman" w:hAnsi="Times New Roman" w:cs="Times New Roman" w:eastAsia="Times New Roman" w:hint="default"/>
          <w:spacing w:val="-10"/>
        </w:rPr>
        <w:t> </w:t>
      </w:r>
      <w:r>
        <w:rPr/>
        <w:t>和大数据等新兴技术和应用，为客户提供一站式、 </w:t>
      </w:r>
      <w:r>
        <w:rPr>
          <w:spacing w:val="-2"/>
        </w:rPr>
        <w:t>多样化的资源对接和转售服务。绝大部分大中型企业都会选择多个公有云平台及混合云架构进行部署，企业客户更倾向于使</w:t>
      </w:r>
      <w:r>
        <w:rPr>
          <w:spacing w:val="-64"/>
        </w:rPr>
        <w:t> </w:t>
      </w:r>
      <w:r>
        <w:rPr>
          <w:spacing w:val="-64"/>
        </w:rPr>
      </w:r>
      <w:r>
        <w:rPr>
          <w:spacing w:val="-2"/>
        </w:rPr>
        <w:t>用同一家云服务商同时对接多个主流云厂商，提供统一的资源对接和转售。广泛的资源对接是接触客户并提供服务的起点和</w:t>
      </w:r>
      <w:r>
        <w:rPr>
          <w:spacing w:val="-64"/>
        </w:rPr>
        <w:t> </w:t>
      </w:r>
      <w:r>
        <w:rPr>
          <w:spacing w:val="-64"/>
        </w:rPr>
      </w:r>
      <w:r>
        <w:rPr/>
        <w:t>基础，为云增值服务和数字化转型业务的推进奠定坚实基础。</w:t>
      </w:r>
    </w:p>
    <w:p>
      <w:pPr>
        <w:pStyle w:val="BodyText"/>
        <w:spacing w:line="261" w:lineRule="auto" w:before="52"/>
        <w:ind w:right="1130" w:firstLine="360"/>
        <w:jc w:val="both"/>
      </w:pPr>
      <w:r>
        <w:rPr/>
        <w:t>在云资源对接上，公司与全球</w:t>
      </w:r>
      <w:r>
        <w:rPr>
          <w:spacing w:val="-43"/>
        </w:rPr>
        <w:t> </w:t>
      </w:r>
      <w:r>
        <w:rPr>
          <w:rFonts w:ascii="Times New Roman" w:hAnsi="Times New Roman" w:cs="Times New Roman" w:eastAsia="Times New Roman" w:hint="default"/>
        </w:rPr>
        <w:t>80+</w:t>
      </w:r>
      <w:r>
        <w:rPr/>
        <w:t>主流云厂商建立了深度合作关系，拥有阿里云钻石合作伙伴、</w:t>
      </w:r>
      <w:r>
        <w:rPr>
          <w:rFonts w:ascii="Times New Roman" w:hAnsi="Times New Roman" w:cs="Times New Roman" w:eastAsia="Times New Roman" w:hint="default"/>
        </w:rPr>
        <w:t>Azure</w:t>
      </w:r>
      <w:r>
        <w:rPr>
          <w:rFonts w:ascii="Times New Roman" w:hAnsi="Times New Roman" w:cs="Times New Roman" w:eastAsia="Times New Roman" w:hint="default"/>
          <w:spacing w:val="2"/>
        </w:rPr>
        <w:t> </w:t>
      </w:r>
      <w:r>
        <w:rPr/>
        <w:t>金牌合作伙伴、 </w:t>
      </w:r>
      <w:r>
        <w:rPr>
          <w:rFonts w:ascii="Times New Roman" w:hAnsi="Times New Roman" w:cs="Times New Roman" w:eastAsia="Times New Roman" w:hint="default"/>
          <w:spacing w:val="-5"/>
        </w:rPr>
        <w:t>AWS</w:t>
      </w:r>
      <w:r>
        <w:rPr>
          <w:rFonts w:ascii="Times New Roman" w:hAnsi="Times New Roman" w:cs="Times New Roman" w:eastAsia="Times New Roman" w:hint="default"/>
          <w:spacing w:val="-2"/>
        </w:rPr>
        <w:t> </w:t>
      </w:r>
      <w:r>
        <w:rPr/>
        <w:t>高级咨询合作伙伴以及腾讯云战略及开发合作伙伴身份，是首批通过</w:t>
      </w:r>
      <w:r>
        <w:rPr>
          <w:spacing w:val="-46"/>
        </w:rPr>
        <w:t> </w:t>
      </w:r>
      <w:r>
        <w:rPr>
          <w:rFonts w:ascii="Times New Roman" w:hAnsi="Times New Roman" w:cs="Times New Roman" w:eastAsia="Times New Roman" w:hint="default"/>
        </w:rPr>
        <w:t>Oracle</w:t>
      </w:r>
      <w:r>
        <w:rPr>
          <w:rFonts w:ascii="Times New Roman" w:hAnsi="Times New Roman" w:cs="Times New Roman" w:eastAsia="Times New Roman" w:hint="default"/>
          <w:spacing w:val="3"/>
        </w:rPr>
        <w:t> </w:t>
      </w:r>
      <w:r>
        <w:rPr>
          <w:rFonts w:ascii="Times New Roman" w:hAnsi="Times New Roman" w:cs="Times New Roman" w:eastAsia="Times New Roman" w:hint="default"/>
        </w:rPr>
        <w:t>Cloud</w:t>
      </w:r>
      <w:r>
        <w:rPr>
          <w:rFonts w:ascii="Times New Roman" w:hAnsi="Times New Roman" w:cs="Times New Roman" w:eastAsia="Times New Roman" w:hint="default"/>
          <w:spacing w:val="2"/>
        </w:rPr>
        <w:t> </w:t>
      </w:r>
      <w:r>
        <w:rPr>
          <w:rFonts w:ascii="Times New Roman" w:hAnsi="Times New Roman" w:cs="Times New Roman" w:eastAsia="Times New Roman" w:hint="default"/>
        </w:rPr>
        <w:t>MSP</w:t>
      </w:r>
      <w:r>
        <w:rPr>
          <w:rFonts w:ascii="Times New Roman" w:hAnsi="Times New Roman" w:cs="Times New Roman" w:eastAsia="Times New Roman" w:hint="default"/>
          <w:spacing w:val="-1"/>
        </w:rPr>
        <w:t> </w:t>
      </w:r>
      <w:r>
        <w:rPr/>
        <w:t>认证的大中华区合作伙伴及华 为战略合作伙伴，还是</w:t>
      </w:r>
      <w:r>
        <w:rPr>
          <w:spacing w:val="-47"/>
        </w:rPr>
        <w:t> </w:t>
      </w:r>
      <w:r>
        <w:rPr>
          <w:rFonts w:ascii="Times New Roman" w:hAnsi="Times New Roman" w:cs="Times New Roman" w:eastAsia="Times New Roman" w:hint="default"/>
        </w:rPr>
        <w:t>VMware</w:t>
      </w:r>
      <w:r>
        <w:rPr>
          <w:rFonts w:ascii="Times New Roman" w:hAnsi="Times New Roman" w:cs="Times New Roman" w:eastAsia="Times New Roman" w:hint="default"/>
          <w:spacing w:val="24"/>
        </w:rPr>
        <w:t> </w:t>
      </w:r>
      <w:r>
        <w:rPr>
          <w:rFonts w:ascii="Times New Roman" w:hAnsi="Times New Roman" w:cs="Times New Roman" w:eastAsia="Times New Roman" w:hint="default"/>
        </w:rPr>
        <w:t>Vcan</w:t>
      </w:r>
      <w:r>
        <w:rPr>
          <w:rFonts w:ascii="Times New Roman" w:hAnsi="Times New Roman" w:cs="Times New Roman" w:eastAsia="Times New Roman" w:hint="default"/>
          <w:spacing w:val="22"/>
        </w:rPr>
        <w:t> </w:t>
      </w:r>
      <w:r>
        <w:rPr>
          <w:rFonts w:ascii="Times New Roman" w:hAnsi="Times New Roman" w:cs="Times New Roman" w:eastAsia="Times New Roman" w:hint="default"/>
        </w:rPr>
        <w:t>&amp;</w:t>
      </w:r>
      <w:r>
        <w:rPr>
          <w:rFonts w:ascii="Times New Roman" w:hAnsi="Times New Roman" w:cs="Times New Roman" w:eastAsia="Times New Roman" w:hint="default"/>
          <w:spacing w:val="23"/>
        </w:rPr>
        <w:t> </w:t>
      </w:r>
      <w:r>
        <w:rPr>
          <w:rFonts w:ascii="Times New Roman" w:hAnsi="Times New Roman" w:cs="Times New Roman" w:eastAsia="Times New Roman" w:hint="default"/>
        </w:rPr>
        <w:t>Aggregator </w:t>
      </w:r>
      <w:r>
        <w:rPr/>
        <w:t>以及红帽</w:t>
      </w:r>
      <w:r>
        <w:rPr>
          <w:spacing w:val="-47"/>
        </w:rPr>
        <w:t> </w:t>
      </w:r>
      <w:r>
        <w:rPr>
          <w:rFonts w:ascii="Times New Roman" w:hAnsi="Times New Roman" w:cs="Times New Roman" w:eastAsia="Times New Roman" w:hint="default"/>
        </w:rPr>
        <w:t>CCSPD</w:t>
      </w:r>
      <w:r>
        <w:rPr>
          <w:rFonts w:ascii="Times New Roman" w:hAnsi="Times New Roman" w:cs="Times New Roman" w:eastAsia="Times New Roman" w:hint="default"/>
          <w:spacing w:val="-2"/>
        </w:rPr>
        <w:t> </w:t>
      </w:r>
      <w:r>
        <w:rPr/>
        <w:t>合作伙伴。报告期内，公司成为</w:t>
      </w:r>
      <w:r>
        <w:rPr>
          <w:spacing w:val="-47"/>
        </w:rPr>
        <w:t> </w:t>
      </w:r>
      <w:r>
        <w:rPr>
          <w:rFonts w:ascii="Times New Roman" w:hAnsi="Times New Roman" w:cs="Times New Roman" w:eastAsia="Times New Roman" w:hint="default"/>
        </w:rPr>
        <w:t>Elastic</w:t>
      </w:r>
      <w:r>
        <w:rPr>
          <w:rFonts w:ascii="Times New Roman" w:hAnsi="Times New Roman" w:cs="Times New Roman" w:eastAsia="Times New Roman" w:hint="default"/>
          <w:spacing w:val="-1"/>
        </w:rPr>
        <w:t> </w:t>
      </w:r>
      <w:r>
        <w:rPr/>
        <w:t>中国首批战略 </w:t>
      </w:r>
      <w:r>
        <w:rPr>
          <w:spacing w:val="-5"/>
        </w:rPr>
        <w:t>合作伙伴。同时，公司以</w:t>
      </w:r>
      <w:r>
        <w:rPr>
          <w:spacing w:val="-41"/>
        </w:rPr>
        <w:t> </w:t>
      </w:r>
      <w:r>
        <w:rPr>
          <w:rFonts w:ascii="Times New Roman" w:hAnsi="Times New Roman" w:cs="Times New Roman" w:eastAsia="Times New Roman" w:hint="default"/>
          <w:spacing w:val="-4"/>
        </w:rPr>
        <w:t>Salesforce</w:t>
      </w:r>
      <w:r>
        <w:rPr>
          <w:spacing w:val="-4"/>
        </w:rPr>
        <w:t>、</w:t>
      </w:r>
      <w:r>
        <w:rPr>
          <w:rFonts w:ascii="Times New Roman" w:hAnsi="Times New Roman" w:cs="Times New Roman" w:eastAsia="Times New Roman" w:hint="default"/>
          <w:spacing w:val="-4"/>
        </w:rPr>
        <w:t>SAP</w:t>
      </w:r>
      <w:r>
        <w:rPr>
          <w:spacing w:val="-4"/>
        </w:rPr>
        <w:t>、</w:t>
      </w:r>
      <w:r>
        <w:rPr>
          <w:rFonts w:ascii="Times New Roman" w:hAnsi="Times New Roman" w:cs="Times New Roman" w:eastAsia="Times New Roman" w:hint="default"/>
          <w:spacing w:val="-4"/>
        </w:rPr>
        <w:t>Oracle</w:t>
      </w:r>
      <w:r>
        <w:rPr>
          <w:spacing w:val="-4"/>
        </w:rPr>
        <w:t>、</w:t>
      </w:r>
      <w:r>
        <w:rPr>
          <w:rFonts w:ascii="Times New Roman" w:hAnsi="Times New Roman" w:cs="Times New Roman" w:eastAsia="Times New Roman" w:hint="default"/>
          <w:spacing w:val="-4"/>
        </w:rPr>
        <w:t>MS</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3"/>
        </w:rPr>
        <w:t>Office365</w:t>
      </w:r>
      <w:r>
        <w:rPr>
          <w:spacing w:val="-3"/>
        </w:rPr>
        <w:t>、</w:t>
      </w:r>
      <w:r>
        <w:rPr>
          <w:rFonts w:ascii="Times New Roman" w:hAnsi="Times New Roman" w:cs="Times New Roman" w:eastAsia="Times New Roman" w:hint="default"/>
          <w:spacing w:val="-3"/>
        </w:rPr>
        <w:t>Adobe</w:t>
      </w:r>
      <w:r>
        <w:rPr>
          <w:spacing w:val="-3"/>
        </w:rPr>
        <w:t>、</w:t>
      </w:r>
      <w:r>
        <w:rPr>
          <w:rFonts w:ascii="Times New Roman" w:hAnsi="Times New Roman" w:cs="Times New Roman" w:eastAsia="Times New Roman" w:hint="default"/>
          <w:spacing w:val="-3"/>
        </w:rPr>
        <w:t>Autodesk</w:t>
      </w:r>
      <w:r>
        <w:rPr>
          <w:rFonts w:ascii="Times New Roman" w:hAnsi="Times New Roman" w:cs="Times New Roman" w:eastAsia="Times New Roman" w:hint="default"/>
          <w:spacing w:val="4"/>
        </w:rPr>
        <w:t> </w:t>
      </w:r>
      <w:r>
        <w:rPr>
          <w:spacing w:val="-3"/>
        </w:rPr>
        <w:t>为主力，构建起汇聚</w:t>
      </w:r>
      <w:r>
        <w:rPr>
          <w:spacing w:val="-41"/>
        </w:rPr>
        <w:t> </w:t>
      </w:r>
      <w:r>
        <w:rPr>
          <w:rFonts w:ascii="Times New Roman" w:hAnsi="Times New Roman" w:cs="Times New Roman" w:eastAsia="Times New Roman" w:hint="default"/>
        </w:rPr>
        <w:t>120</w:t>
      </w:r>
      <w:r>
        <w:rPr>
          <w:rFonts w:ascii="Times New Roman" w:hAnsi="Times New Roman" w:cs="Times New Roman" w:eastAsia="Times New Roman" w:hint="default"/>
          <w:spacing w:val="4"/>
        </w:rPr>
        <w:t> </w:t>
      </w:r>
      <w:r>
        <w:rPr/>
        <w:t>余种主流</w:t>
      </w:r>
      <w:r>
        <w:rPr>
          <w:spacing w:val="-41"/>
        </w:rPr>
        <w:t> </w:t>
      </w:r>
      <w:r>
        <w:rPr>
          <w:rFonts w:ascii="Times New Roman" w:hAnsi="Times New Roman" w:cs="Times New Roman" w:eastAsia="Times New Roman" w:hint="default"/>
        </w:rPr>
        <w:t>SaaS</w:t>
      </w:r>
      <w:r>
        <w:rPr>
          <w:rFonts w:ascii="Times New Roman" w:hAnsi="Times New Roman" w:cs="Times New Roman" w:eastAsia="Times New Roman" w:hint="default"/>
          <w:spacing w:val="-42"/>
        </w:rPr>
        <w:t> </w:t>
      </w:r>
      <w:r>
        <w:rPr>
          <w:spacing w:val="-2"/>
        </w:rPr>
        <w:t>资源、</w:t>
      </w:r>
      <w:r>
        <w:rPr>
          <w:rFonts w:ascii="Times New Roman" w:hAnsi="Times New Roman" w:cs="Times New Roman" w:eastAsia="Times New Roman" w:hint="default"/>
          <w:spacing w:val="-2"/>
        </w:rPr>
        <w:t>500</w:t>
      </w:r>
      <w:r>
        <w:rPr>
          <w:rFonts w:ascii="Times New Roman" w:hAnsi="Times New Roman" w:cs="Times New Roman" w:eastAsia="Times New Roman" w:hint="default"/>
          <w:spacing w:val="16"/>
        </w:rPr>
        <w:t> </w:t>
      </w:r>
      <w:r>
        <w:rPr>
          <w:spacing w:val="-1"/>
        </w:rPr>
        <w:t>余家云生态合作伙伴资源的云资源池。公司广泛的云合作体系，能够为客户提供主流的、多样化的选择，使客户</w:t>
      </w:r>
      <w:r>
        <w:rPr>
          <w:spacing w:val="-86"/>
        </w:rPr>
        <w:t> </w:t>
      </w:r>
      <w:r>
        <w:rPr>
          <w:spacing w:val="-86"/>
        </w:rPr>
      </w:r>
      <w:r>
        <w:rPr/>
        <w:t>兼顾成本、适用性和拓展性做出最优选择。在云转售渠道拓展上，公司持续助力和赋能传统渠道伙伴向云转型，累计通过</w:t>
      </w:r>
      <w:r>
        <w:rPr>
          <w:spacing w:val="2"/>
        </w:rPr>
        <w:t> </w:t>
      </w:r>
      <w:r>
        <w:rPr>
          <w:spacing w:val="2"/>
        </w:rPr>
      </w:r>
      <w:r>
        <w:rPr>
          <w:rFonts w:ascii="Times New Roman" w:hAnsi="Times New Roman" w:cs="Times New Roman" w:eastAsia="Times New Roman" w:hint="default"/>
        </w:rPr>
        <w:t>600</w:t>
      </w:r>
      <w:r>
        <w:rPr>
          <w:rFonts w:ascii="Times New Roman" w:hAnsi="Times New Roman" w:cs="Times New Roman" w:eastAsia="Times New Roman" w:hint="default"/>
          <w:spacing w:val="-13"/>
        </w:rPr>
        <w:t> </w:t>
      </w:r>
      <w:r>
        <w:rPr/>
        <w:t>余家渠道合作伙伴产生云转售及增值服务业务，报告期内新增约</w:t>
      </w:r>
      <w:r>
        <w:rPr>
          <w:spacing w:val="-57"/>
        </w:rPr>
        <w:t> </w:t>
      </w:r>
      <w:r>
        <w:rPr>
          <w:rFonts w:ascii="Times New Roman" w:hAnsi="Times New Roman" w:cs="Times New Roman" w:eastAsia="Times New Roman" w:hint="default"/>
        </w:rPr>
        <w:t>300</w:t>
      </w:r>
      <w:r>
        <w:rPr>
          <w:rFonts w:ascii="Times New Roman" w:hAnsi="Times New Roman" w:cs="Times New Roman" w:eastAsia="Times New Roman" w:hint="default"/>
          <w:spacing w:val="-13"/>
        </w:rPr>
        <w:t> </w:t>
      </w:r>
      <w:r>
        <w:rPr/>
        <w:t>家，渠道销售网络在云服务和数字化转型业务中正 在发挥越来越重要的作用。</w:t>
      </w:r>
    </w:p>
    <w:p>
      <w:pPr>
        <w:spacing w:line="240" w:lineRule="auto" w:before="8"/>
        <w:rPr>
          <w:rFonts w:ascii="宋体" w:hAnsi="宋体" w:cs="宋体" w:eastAsia="宋体" w:hint="default"/>
          <w:sz w:val="25"/>
          <w:szCs w:val="25"/>
        </w:rPr>
      </w:pPr>
    </w:p>
    <w:p>
      <w:pPr>
        <w:spacing w:line="295" w:lineRule="auto" w:before="0"/>
        <w:ind w:left="506" w:right="0" w:firstLine="7"/>
        <w:jc w:val="left"/>
        <w:rPr>
          <w:rFonts w:ascii="宋体" w:hAnsi="宋体" w:cs="宋体" w:eastAsia="宋体" w:hint="default"/>
          <w:sz w:val="18"/>
          <w:szCs w:val="18"/>
        </w:rPr>
      </w:pPr>
      <w:r>
        <w:rPr>
          <w:rFonts w:ascii="宋体" w:hAnsi="宋体" w:cs="宋体" w:eastAsia="宋体" w:hint="default"/>
          <w:b/>
          <w:bCs/>
          <w:sz w:val="18"/>
          <w:szCs w:val="18"/>
        </w:rPr>
        <w:t>（三）</w:t>
      </w:r>
      <w:r>
        <w:rPr>
          <w:rFonts w:ascii="Times New Roman" w:hAnsi="Times New Roman" w:cs="Times New Roman" w:eastAsia="Times New Roman" w:hint="default"/>
          <w:b/>
          <w:bCs/>
          <w:sz w:val="18"/>
          <w:szCs w:val="18"/>
        </w:rPr>
        <w:t>2018 </w:t>
      </w:r>
      <w:r>
        <w:rPr>
          <w:rFonts w:ascii="宋体" w:hAnsi="宋体" w:cs="宋体" w:eastAsia="宋体" w:hint="default"/>
          <w:b/>
          <w:bCs/>
          <w:sz w:val="18"/>
          <w:szCs w:val="18"/>
        </w:rPr>
        <w:t>年整体经营情况</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报告期内，公司进一步巩固和完善了渠道覆盖、全面加强了与国内外知名厂商的合作，初步确立了在云计算和数字化转</w:t>
      </w:r>
    </w:p>
    <w:p>
      <w:pPr>
        <w:pStyle w:val="BodyText"/>
        <w:spacing w:line="259" w:lineRule="auto"/>
        <w:ind w:right="1039"/>
        <w:jc w:val="both"/>
      </w:pPr>
      <w:r>
        <w:rPr/>
        <w:t>型业务方面的领先优势，有效扩大了在传统</w:t>
      </w:r>
      <w:r>
        <w:rPr>
          <w:spacing w:val="-30"/>
        </w:rPr>
        <w:t> </w:t>
      </w:r>
      <w:r>
        <w:rPr>
          <w:rFonts w:ascii="Times New Roman" w:hAnsi="Times New Roman" w:cs="Times New Roman" w:eastAsia="Times New Roman" w:hint="default"/>
        </w:rPr>
        <w:t>IT</w:t>
      </w:r>
      <w:r>
        <w:rPr>
          <w:rFonts w:ascii="Times New Roman" w:hAnsi="Times New Roman" w:cs="Times New Roman" w:eastAsia="Times New Roman" w:hint="default"/>
          <w:spacing w:val="15"/>
        </w:rPr>
        <w:t> </w:t>
      </w:r>
      <w:r>
        <w:rPr/>
        <w:t>分销和增值服务领域国内市场领先的地位。公司实现营业收入</w:t>
      </w:r>
      <w:r>
        <w:rPr>
          <w:spacing w:val="-30"/>
        </w:rPr>
        <w:t> </w:t>
      </w:r>
      <w:r>
        <w:rPr>
          <w:rFonts w:ascii="Times New Roman" w:hAnsi="Times New Roman" w:cs="Times New Roman" w:eastAsia="Times New Roman" w:hint="default"/>
        </w:rPr>
        <w:t>818.58</w:t>
      </w:r>
      <w:r>
        <w:rPr>
          <w:rFonts w:ascii="Times New Roman" w:hAnsi="Times New Roman" w:cs="Times New Roman" w:eastAsia="Times New Roman" w:hint="default"/>
          <w:spacing w:val="15"/>
        </w:rPr>
        <w:t> </w:t>
      </w:r>
      <w:r>
        <w:rPr/>
        <w:t>亿元， 同比增长</w:t>
      </w:r>
      <w:r>
        <w:rPr>
          <w:spacing w:val="-47"/>
        </w:rPr>
        <w:t> </w:t>
      </w:r>
      <w:r>
        <w:rPr>
          <w:rFonts w:ascii="Times New Roman" w:hAnsi="Times New Roman" w:cs="Times New Roman" w:eastAsia="Times New Roman" w:hint="default"/>
        </w:rPr>
        <w:t>31.57%</w:t>
      </w:r>
      <w:r>
        <w:rPr/>
        <w:t>，其中</w:t>
      </w:r>
      <w:r>
        <w:rPr>
          <w:spacing w:val="-47"/>
        </w:rPr>
        <w:t> </w:t>
      </w:r>
      <w:r>
        <w:rPr>
          <w:rFonts w:ascii="宋体" w:hAnsi="宋体" w:cs="宋体" w:eastAsia="宋体" w:hint="default"/>
        </w:rPr>
        <w:t>IT</w:t>
      </w:r>
      <w:r>
        <w:rPr>
          <w:rFonts w:ascii="宋体" w:hAnsi="宋体" w:cs="宋体" w:eastAsia="宋体" w:hint="default"/>
          <w:spacing w:val="-47"/>
        </w:rPr>
        <w:t> </w:t>
      </w:r>
      <w:r>
        <w:rPr/>
        <w:t>分销及增值服务业务实现营业收入</w:t>
      </w:r>
      <w:r>
        <w:rPr>
          <w:spacing w:val="-47"/>
        </w:rPr>
        <w:t> </w:t>
      </w:r>
      <w:r>
        <w:rPr>
          <w:rFonts w:ascii="宋体" w:hAnsi="宋体" w:cs="宋体" w:eastAsia="宋体" w:hint="default"/>
        </w:rPr>
        <w:t>807.57</w:t>
      </w:r>
      <w:r>
        <w:rPr>
          <w:rFonts w:ascii="宋体" w:hAnsi="宋体" w:cs="宋体" w:eastAsia="宋体" w:hint="default"/>
          <w:spacing w:val="-47"/>
        </w:rPr>
        <w:t> </w:t>
      </w:r>
      <w:r>
        <w:rPr/>
        <w:t>亿元，同比增长</w:t>
      </w:r>
      <w:r>
        <w:rPr>
          <w:spacing w:val="-47"/>
        </w:rPr>
        <w:t> </w:t>
      </w:r>
      <w:r>
        <w:rPr>
          <w:rFonts w:ascii="宋体" w:hAnsi="宋体" w:cs="宋体" w:eastAsia="宋体" w:hint="default"/>
        </w:rPr>
        <w:t>31.06%</w:t>
      </w:r>
      <w:r>
        <w:rPr/>
        <w:t>；归属于上市公司股东的净利</w:t>
      </w:r>
    </w:p>
    <w:p>
      <w:pPr>
        <w:spacing w:after="0" w:line="259" w:lineRule="auto"/>
        <w:jc w:val="both"/>
        <w:sectPr>
          <w:footerReference w:type="default" r:id="rId18"/>
          <w:pgSz w:w="11910" w:h="16840"/>
          <w:pgMar w:footer="979" w:header="0" w:top="1100" w:bottom="1160" w:left="980" w:right="0"/>
          <w:pgNumType w:start="17"/>
        </w:sectPr>
      </w:pPr>
    </w:p>
    <w:p>
      <w:pPr>
        <w:spacing w:line="240" w:lineRule="auto" w:before="10"/>
        <w:rPr>
          <w:rFonts w:ascii="宋体" w:hAnsi="宋体" w:cs="宋体" w:eastAsia="宋体" w:hint="default"/>
          <w:sz w:val="18"/>
          <w:szCs w:val="18"/>
        </w:rPr>
      </w:pPr>
    </w:p>
    <w:p>
      <w:pPr>
        <w:pStyle w:val="BodyText"/>
        <w:spacing w:line="259" w:lineRule="auto" w:before="44"/>
        <w:ind w:right="1122"/>
        <w:jc w:val="left"/>
      </w:pPr>
      <w:r>
        <w:rPr/>
        <w:t>润</w:t>
      </w:r>
      <w:r>
        <w:rPr>
          <w:spacing w:val="-35"/>
        </w:rPr>
        <w:t> </w:t>
      </w:r>
      <w:r>
        <w:rPr>
          <w:rFonts w:ascii="Times New Roman" w:hAnsi="Times New Roman" w:cs="Times New Roman" w:eastAsia="Times New Roman" w:hint="default"/>
        </w:rPr>
        <w:t>5.12</w:t>
      </w:r>
      <w:r>
        <w:rPr>
          <w:rFonts w:ascii="Times New Roman" w:hAnsi="Times New Roman" w:cs="Times New Roman" w:eastAsia="Times New Roman" w:hint="default"/>
          <w:spacing w:val="10"/>
        </w:rPr>
        <w:t> </w:t>
      </w:r>
      <w:r>
        <w:rPr/>
        <w:t>亿元，同比下降</w:t>
      </w:r>
      <w:r>
        <w:rPr>
          <w:spacing w:val="-35"/>
        </w:rPr>
        <w:t> </w:t>
      </w:r>
      <w:r>
        <w:rPr>
          <w:rFonts w:ascii="Times New Roman" w:hAnsi="Times New Roman" w:cs="Times New Roman" w:eastAsia="Times New Roman" w:hint="default"/>
        </w:rPr>
        <w:t>29.12%</w:t>
      </w:r>
      <w:r>
        <w:rPr/>
        <w:t>；归属于上市公司股东扣除非经常性损益的净利润</w:t>
      </w:r>
      <w:r>
        <w:rPr>
          <w:spacing w:val="-35"/>
        </w:rPr>
        <w:t> </w:t>
      </w:r>
      <w:r>
        <w:rPr>
          <w:rFonts w:ascii="Times New Roman" w:hAnsi="Times New Roman" w:cs="Times New Roman" w:eastAsia="Times New Roman" w:hint="default"/>
        </w:rPr>
        <w:t>4.72</w:t>
      </w:r>
      <w:r>
        <w:rPr>
          <w:rFonts w:ascii="Times New Roman" w:hAnsi="Times New Roman" w:cs="Times New Roman" w:eastAsia="Times New Roman" w:hint="default"/>
          <w:spacing w:val="10"/>
        </w:rPr>
        <w:t> </w:t>
      </w:r>
      <w:r>
        <w:rPr/>
        <w:t>亿元，同比增长</w:t>
      </w:r>
      <w:r>
        <w:rPr>
          <w:spacing w:val="-35"/>
        </w:rPr>
        <w:t> </w:t>
      </w:r>
      <w:r>
        <w:rPr>
          <w:rFonts w:ascii="Times New Roman" w:hAnsi="Times New Roman" w:cs="Times New Roman" w:eastAsia="Times New Roman" w:hint="default"/>
        </w:rPr>
        <w:t>39.97%</w:t>
      </w:r>
      <w:r>
        <w:rPr/>
        <w:t>；基本每股 收益</w:t>
      </w:r>
      <w:r>
        <w:rPr>
          <w:spacing w:val="-51"/>
        </w:rPr>
        <w:t> </w:t>
      </w:r>
      <w:r>
        <w:rPr>
          <w:rFonts w:ascii="Times New Roman" w:hAnsi="Times New Roman" w:cs="Times New Roman" w:eastAsia="Times New Roman" w:hint="default"/>
        </w:rPr>
        <w:t>0.78</w:t>
      </w:r>
      <w:r>
        <w:rPr>
          <w:rFonts w:ascii="Times New Roman" w:hAnsi="Times New Roman" w:cs="Times New Roman" w:eastAsia="Times New Roman" w:hint="default"/>
          <w:spacing w:val="-6"/>
        </w:rPr>
        <w:t> </w:t>
      </w:r>
      <w:r>
        <w:rPr/>
        <w:t>元。经营活动产生的现金流量净额</w:t>
      </w:r>
      <w:r>
        <w:rPr>
          <w:spacing w:val="-51"/>
        </w:rPr>
        <w:t> </w:t>
      </w:r>
      <w:r>
        <w:rPr>
          <w:rFonts w:ascii="Times New Roman" w:hAnsi="Times New Roman" w:cs="Times New Roman" w:eastAsia="Times New Roman" w:hint="default"/>
        </w:rPr>
        <w:t>3.61</w:t>
      </w:r>
      <w:r>
        <w:rPr>
          <w:rFonts w:ascii="Times New Roman" w:hAnsi="Times New Roman" w:cs="Times New Roman" w:eastAsia="Times New Roman" w:hint="default"/>
          <w:spacing w:val="-6"/>
        </w:rPr>
        <w:t> </w:t>
      </w:r>
      <w:r>
        <w:rPr/>
        <w:t>亿元，较上年同期增加</w:t>
      </w:r>
      <w:r>
        <w:rPr>
          <w:spacing w:val="-51"/>
        </w:rPr>
        <w:t> </w:t>
      </w:r>
      <w:r>
        <w:rPr>
          <w:rFonts w:ascii="Times New Roman" w:hAnsi="Times New Roman" w:cs="Times New Roman" w:eastAsia="Times New Roman" w:hint="default"/>
        </w:rPr>
        <w:t>223.56%</w:t>
      </w:r>
      <w:r>
        <w:rPr/>
        <w:t>。截至</w:t>
      </w:r>
      <w:r>
        <w:rPr>
          <w:spacing w:val="-5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日，公司资产总额</w:t>
      </w:r>
    </w:p>
    <w:p>
      <w:pPr>
        <w:pStyle w:val="BodyText"/>
        <w:spacing w:line="259" w:lineRule="auto" w:before="2"/>
        <w:ind w:right="1117"/>
        <w:jc w:val="left"/>
      </w:pPr>
      <w:r>
        <w:rPr>
          <w:rFonts w:ascii="Times New Roman" w:hAnsi="Times New Roman" w:cs="Times New Roman" w:eastAsia="Times New Roman" w:hint="default"/>
        </w:rPr>
        <w:t>259.85</w:t>
      </w:r>
      <w:r>
        <w:rPr>
          <w:rFonts w:ascii="Times New Roman" w:hAnsi="Times New Roman" w:cs="Times New Roman" w:eastAsia="Times New Roman" w:hint="default"/>
          <w:spacing w:val="-14"/>
        </w:rPr>
        <w:t> </w:t>
      </w:r>
      <w:r>
        <w:rPr/>
        <w:t>亿元，较上年度末增加</w:t>
      </w:r>
      <w:r>
        <w:rPr>
          <w:spacing w:val="-59"/>
        </w:rPr>
        <w:t> </w:t>
      </w:r>
      <w:r>
        <w:rPr>
          <w:rFonts w:ascii="Times New Roman" w:hAnsi="Times New Roman" w:cs="Times New Roman" w:eastAsia="Times New Roman" w:hint="default"/>
        </w:rPr>
        <w:t>7.05%</w:t>
      </w:r>
      <w:r>
        <w:rPr/>
        <w:t>；归属于上市公司股东的净资产</w:t>
      </w:r>
      <w:r>
        <w:rPr>
          <w:spacing w:val="-59"/>
        </w:rPr>
        <w:t> </w:t>
      </w:r>
      <w:r>
        <w:rPr>
          <w:rFonts w:ascii="Times New Roman" w:hAnsi="Times New Roman" w:cs="Times New Roman" w:eastAsia="Times New Roman" w:hint="default"/>
        </w:rPr>
        <w:t>38.41</w:t>
      </w:r>
      <w:r>
        <w:rPr>
          <w:rFonts w:ascii="Times New Roman" w:hAnsi="Times New Roman" w:cs="Times New Roman" w:eastAsia="Times New Roman" w:hint="default"/>
          <w:spacing w:val="-14"/>
        </w:rPr>
        <w:t> </w:t>
      </w:r>
      <w:r>
        <w:rPr/>
        <w:t>亿元，较上年度末增加</w:t>
      </w:r>
      <w:r>
        <w:rPr>
          <w:spacing w:val="-59"/>
        </w:rPr>
        <w:t> </w:t>
      </w:r>
      <w:r>
        <w:rPr>
          <w:rFonts w:ascii="Times New Roman" w:hAnsi="Times New Roman" w:cs="Times New Roman" w:eastAsia="Times New Roman" w:hint="default"/>
        </w:rPr>
        <w:t>14.67%</w:t>
      </w:r>
      <w:r>
        <w:rPr/>
        <w:t>。公司收入强劲增 长，业绩稳步提升，结构明显改善。</w:t>
      </w:r>
    </w:p>
    <w:p>
      <w:pPr>
        <w:pStyle w:val="BodyText"/>
        <w:spacing w:line="273" w:lineRule="auto" w:before="57"/>
        <w:ind w:right="1130" w:firstLine="352"/>
        <w:jc w:val="both"/>
      </w:pPr>
      <w:r>
        <w:rPr>
          <w:spacing w:val="-2"/>
        </w:rPr>
        <w:t>在消费电子业务领域，公司精准判断市场走向，全面深化与厂商、渠道和客户的合作，进一步加强精细化管理水平，完</w:t>
      </w:r>
      <w:r>
        <w:rPr/>
        <w:t> 成了从品牌到品类的业务组织架构调整，有效抓住增量机会。在</w:t>
      </w:r>
      <w:r>
        <w:rPr>
          <w:spacing w:val="7"/>
        </w:rPr>
        <w:t> </w:t>
      </w:r>
      <w:r>
        <w:rPr>
          <w:rFonts w:ascii="宋体" w:hAnsi="宋体" w:cs="宋体" w:eastAsia="宋体" w:hint="default"/>
        </w:rPr>
        <w:t>PC</w:t>
      </w:r>
      <w:r>
        <w:rPr/>
        <w:t>、手机、配件等领域均保持快速增长，绝大部分厂商份 额保持或扩大领先优势；</w:t>
      </w:r>
      <w:r>
        <w:rPr>
          <w:rFonts w:ascii="宋体" w:hAnsi="宋体" w:cs="宋体" w:eastAsia="宋体" w:hint="default"/>
        </w:rPr>
        <w:t>PC</w:t>
      </w:r>
      <w:r>
        <w:rPr>
          <w:rFonts w:ascii="宋体" w:hAnsi="宋体" w:cs="宋体" w:eastAsia="宋体" w:hint="default"/>
          <w:spacing w:val="7"/>
        </w:rPr>
        <w:t> </w:t>
      </w:r>
      <w:r>
        <w:rPr/>
        <w:t>业务建立复合化的销售组织结构，主力厂商份额继续提升；积极拓展智能终端业务，加强智能 </w:t>
      </w:r>
      <w:r>
        <w:rPr>
          <w:spacing w:val="-2"/>
        </w:rPr>
        <w:t>终端行业布局，引入科大讯飞等厂商；物联网业务新产品布局和解决方案落地取得新进展；华为终端业务保持快速增长，厂</w:t>
      </w:r>
      <w:r>
        <w:rPr>
          <w:spacing w:val="-66"/>
        </w:rPr>
        <w:t> </w:t>
      </w:r>
      <w:r>
        <w:rPr>
          <w:spacing w:val="-66"/>
        </w:rPr>
      </w:r>
      <w:r>
        <w:rPr/>
        <w:t>商份额连续三年稳步提升；英特尔计算单元业务从传统分销模式迈向行业应用，进一步激发业务潜力和价值。</w:t>
      </w:r>
    </w:p>
    <w:p>
      <w:pPr>
        <w:pStyle w:val="BodyText"/>
        <w:spacing w:line="273" w:lineRule="auto" w:before="46"/>
        <w:ind w:right="1041" w:firstLine="360"/>
        <w:jc w:val="left"/>
      </w:pPr>
      <w:r>
        <w:rPr>
          <w:spacing w:val="-2"/>
        </w:rPr>
        <w:t>在企业级分销和增值服务业务领域，公司进一步强化了绝对领先优势。公司是国内企业级增值分销领域覆盖产品和品牌</w:t>
      </w:r>
      <w:r>
        <w:rPr/>
        <w:t> </w:t>
      </w:r>
      <w:r>
        <w:rPr>
          <w:spacing w:val="-2"/>
        </w:rPr>
        <w:t>范围最广、技术能力最全面、营收规模具有绝对优势的分销商，连续多年蝉联＂中国</w:t>
      </w:r>
      <w:r>
        <w:rPr>
          <w:rFonts w:ascii="宋体" w:hAnsi="宋体" w:cs="宋体" w:eastAsia="宋体" w:hint="default"/>
          <w:spacing w:val="-2"/>
        </w:rPr>
        <w:t>IT</w:t>
      </w:r>
      <w:r>
        <w:rPr>
          <w:spacing w:val="-2"/>
        </w:rPr>
        <w:t>增值分销商十强＂榜首。在保持全面</w:t>
      </w:r>
      <w:r>
        <w:rPr>
          <w:spacing w:val="-64"/>
        </w:rPr>
        <w:t> </w:t>
      </w:r>
      <w:r>
        <w:rPr>
          <w:spacing w:val="-64"/>
        </w:rPr>
      </w:r>
      <w:r>
        <w:rPr>
          <w:spacing w:val="-5"/>
        </w:rPr>
        <w:t>和多元化产品布局的同时，公司全面深化和国内外顶级厂商的合作，推动企业级业务稳健成长；华为企业级业务同比增长</w:t>
      </w:r>
      <w:r>
        <w:rPr>
          <w:rFonts w:ascii="宋体" w:hAnsi="宋体" w:cs="宋体" w:eastAsia="宋体" w:hint="default"/>
          <w:spacing w:val="-5"/>
        </w:rPr>
        <w:t>35%</w:t>
      </w:r>
      <w:r>
        <w:rPr>
          <w:spacing w:val="-5"/>
        </w:rPr>
        <w:t>，</w:t>
      </w:r>
      <w:r>
        <w:rPr>
          <w:spacing w:val="-69"/>
        </w:rPr>
        <w:t> </w:t>
      </w:r>
      <w:r>
        <w:rPr/>
        <w:t>延续了近几年迅猛的增长趋势，厂商份额持续提升；</w:t>
      </w:r>
      <w:r>
        <w:rPr>
          <w:rFonts w:ascii="宋体" w:hAnsi="宋体" w:cs="宋体" w:eastAsia="宋体" w:hint="default"/>
        </w:rPr>
        <w:t>IBM</w:t>
      </w:r>
      <w:r>
        <w:rPr/>
        <w:t>、思科、</w:t>
      </w:r>
      <w:r>
        <w:rPr>
          <w:rFonts w:ascii="宋体" w:hAnsi="宋体" w:cs="宋体" w:eastAsia="宋体" w:hint="default"/>
        </w:rPr>
        <w:t>Oracle</w:t>
      </w:r>
      <w:r>
        <w:rPr/>
        <w:t>、</w:t>
      </w:r>
      <w:r>
        <w:rPr>
          <w:rFonts w:ascii="宋体" w:hAnsi="宋体" w:cs="宋体" w:eastAsia="宋体" w:hint="default"/>
        </w:rPr>
        <w:t>F5</w:t>
      </w:r>
      <w:r>
        <w:rPr/>
        <w:t>、</w:t>
      </w:r>
      <w:r>
        <w:rPr>
          <w:rFonts w:ascii="宋体" w:hAnsi="宋体" w:cs="宋体" w:eastAsia="宋体" w:hint="default"/>
        </w:rPr>
        <w:t>VMware</w:t>
      </w:r>
      <w:r>
        <w:rPr/>
        <w:t>、</w:t>
      </w:r>
      <w:r>
        <w:rPr>
          <w:rFonts w:ascii="宋体" w:hAnsi="宋体" w:cs="宋体" w:eastAsia="宋体" w:hint="default"/>
        </w:rPr>
        <w:t>DELL</w:t>
      </w:r>
      <w:r>
        <w:rPr>
          <w:rFonts w:ascii="宋体" w:hAnsi="宋体" w:cs="宋体" w:eastAsia="宋体" w:hint="default"/>
          <w:spacing w:val="-58"/>
        </w:rPr>
        <w:t> </w:t>
      </w:r>
      <w:r>
        <w:rPr>
          <w:rFonts w:ascii="宋体" w:hAnsi="宋体" w:cs="宋体" w:eastAsia="宋体" w:hint="default"/>
        </w:rPr>
        <w:t>EMC</w:t>
      </w:r>
      <w:r>
        <w:rPr/>
        <w:t>、</w:t>
      </w:r>
      <w:r>
        <w:rPr>
          <w:rFonts w:ascii="宋体" w:hAnsi="宋体" w:cs="宋体" w:eastAsia="宋体" w:hint="default"/>
        </w:rPr>
        <w:t>Veritas</w:t>
      </w:r>
      <w:r>
        <w:rPr/>
        <w:t>等业务保持厂商 </w:t>
      </w:r>
      <w:r>
        <w:rPr>
          <w:spacing w:val="-2"/>
        </w:rPr>
        <w:t>份额绝对领先；在工业应用软件领域加强布局，围绕制造业全产业流程签约引进新产品，全力打造闭环的制造全流程解决方</w:t>
      </w:r>
      <w:r>
        <w:rPr>
          <w:spacing w:val="-66"/>
        </w:rPr>
        <w:t> </w:t>
      </w:r>
      <w:r>
        <w:rPr>
          <w:spacing w:val="-66"/>
        </w:rPr>
      </w:r>
      <w:r>
        <w:rPr>
          <w:spacing w:val="-2"/>
        </w:rPr>
        <w:t>案，全年收入同比强劲增长</w:t>
      </w:r>
      <w:r>
        <w:rPr>
          <w:rFonts w:ascii="宋体" w:hAnsi="宋体" w:cs="宋体" w:eastAsia="宋体" w:hint="default"/>
          <w:spacing w:val="-2"/>
        </w:rPr>
        <w:t>44%</w:t>
      </w:r>
      <w:r>
        <w:rPr>
          <w:spacing w:val="-2"/>
        </w:rPr>
        <w:t>；打造和拓展基于</w:t>
      </w:r>
      <w:r>
        <w:rPr>
          <w:rFonts w:ascii="宋体" w:hAnsi="宋体" w:cs="宋体" w:eastAsia="宋体" w:hint="default"/>
          <w:spacing w:val="-2"/>
        </w:rPr>
        <w:t>F5</w:t>
      </w:r>
      <w:r>
        <w:rPr>
          <w:spacing w:val="-2"/>
        </w:rPr>
        <w:t>和</w:t>
      </w:r>
      <w:r>
        <w:rPr>
          <w:rFonts w:ascii="宋体" w:hAnsi="宋体" w:cs="宋体" w:eastAsia="宋体" w:hint="default"/>
          <w:spacing w:val="-2"/>
        </w:rPr>
        <w:t>HDS</w:t>
      </w:r>
      <w:r>
        <w:rPr>
          <w:spacing w:val="-2"/>
        </w:rPr>
        <w:t>等产品线的自主可控业务，整合形成自有品牌超融合解决方案；加</w:t>
      </w:r>
      <w:r>
        <w:rPr>
          <w:spacing w:val="-58"/>
        </w:rPr>
        <w:t> </w:t>
      </w:r>
      <w:r>
        <w:rPr>
          <w:spacing w:val="-58"/>
        </w:rPr>
      </w:r>
      <w:r>
        <w:rPr/>
        <w:t>强</w:t>
      </w:r>
      <w:r>
        <w:rPr>
          <w:rFonts w:ascii="宋体" w:hAnsi="宋体" w:cs="宋体" w:eastAsia="宋体" w:hint="default"/>
        </w:rPr>
        <w:t>call center</w:t>
      </w:r>
      <w:r>
        <w:rPr/>
        <w:t>领域的大数据应用，在企业应用解决方案上形成了突破。</w:t>
      </w:r>
    </w:p>
    <w:p>
      <w:pPr>
        <w:spacing w:line="240" w:lineRule="auto" w:before="11"/>
        <w:rPr>
          <w:rFonts w:ascii="宋体" w:hAnsi="宋体" w:cs="宋体" w:eastAsia="宋体" w:hint="default"/>
          <w:sz w:val="22"/>
          <w:szCs w:val="22"/>
        </w:rPr>
      </w:pPr>
    </w:p>
    <w:p>
      <w:pPr>
        <w:pStyle w:val="Heading2"/>
        <w:spacing w:line="240" w:lineRule="auto"/>
        <w:ind w:right="0"/>
        <w:jc w:val="left"/>
        <w:rPr>
          <w:b w:val="0"/>
          <w:bCs w:val="0"/>
        </w:rPr>
      </w:pPr>
      <w:bookmarkStart w:name="二、主营业务分析" w:id="26"/>
      <w:bookmarkEnd w:id="26"/>
      <w:r>
        <w:rPr>
          <w:b w:val="0"/>
          <w:bCs w:val="0"/>
        </w:rPr>
      </w:r>
      <w:r>
        <w:rPr/>
        <w:t>二、主营业务分析</w:t>
      </w:r>
      <w:r>
        <w:rPr>
          <w:b w:val="0"/>
          <w:bCs w:val="0"/>
        </w:rPr>
      </w:r>
    </w:p>
    <w:p>
      <w:pPr>
        <w:spacing w:line="240" w:lineRule="auto" w:before="1"/>
        <w:rPr>
          <w:rFonts w:ascii="宋体" w:hAnsi="宋体" w:cs="宋体" w:eastAsia="宋体" w:hint="default"/>
          <w:b/>
          <w:bCs/>
          <w:sz w:val="23"/>
          <w:szCs w:val="23"/>
        </w:rPr>
      </w:pPr>
    </w:p>
    <w:p>
      <w:pPr>
        <w:spacing w:line="494" w:lineRule="auto" w:before="0"/>
        <w:ind w:left="154" w:right="6472" w:firstLine="0"/>
        <w:jc w:val="left"/>
        <w:rPr>
          <w:rFonts w:ascii="宋体" w:hAnsi="宋体" w:cs="宋体" w:eastAsia="宋体" w:hint="default"/>
          <w:sz w:val="21"/>
          <w:szCs w:val="21"/>
        </w:rPr>
      </w:pPr>
      <w:bookmarkStart w:name="1、概述" w:id="27"/>
      <w:bookmarkEnd w:id="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8"/>
      <w:bookmarkEnd w:id="28"/>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36"/>
        <w:ind w:right="0"/>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0" w:right="1130"/>
        <w:jc w:val="right"/>
      </w:pPr>
      <w:r>
        <w:rPr/>
        <w:t>单位：元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23"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24"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6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81,858,054,493.23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62,215,950,458.56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31.57%</w:t>
            </w:r>
          </w:p>
        </w:tc>
      </w:tr>
      <w:tr>
        <w:trPr>
          <w:trHeight w:val="32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32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分销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80,757,174,190.44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98.66%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61,618,917,107.07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99.04%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31.06%</w:t>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自主品牌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509,690,539.22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387,684,084.24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31.47%</w:t>
            </w:r>
          </w:p>
        </w:tc>
      </w:tr>
      <w:tr>
        <w:trPr>
          <w:trHeight w:val="32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云服务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581,044,426.22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202,168,996.96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187.41%</w:t>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10,145,337.35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7,180,270.29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41.29%</w:t>
            </w:r>
          </w:p>
        </w:tc>
      </w:tr>
      <w:tr>
        <w:trPr>
          <w:trHeight w:val="32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消费电子业务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54,460,383,362.52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66.54%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38,799,914,177.57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62.36%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40.36%</w:t>
            </w:r>
          </w:p>
        </w:tc>
      </w:tr>
      <w:tr>
        <w:trPr>
          <w:trHeight w:val="32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企业增值业务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26,296,790,827.92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32.12%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22,819,002,929.50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36.68%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15.24%</w:t>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自主品牌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509,690,539.22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387,684,084.24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31.47%</w:t>
            </w:r>
          </w:p>
        </w:tc>
      </w:tr>
      <w:tr>
        <w:trPr>
          <w:trHeight w:val="32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云服务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581,044,426.22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202,168,996.96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187.41%</w:t>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10,145,337.35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7,180,270.29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41.29%</w:t>
            </w:r>
          </w:p>
        </w:tc>
      </w:tr>
      <w:tr>
        <w:trPr>
          <w:trHeight w:val="324"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32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76,926,517,290.45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93.98%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58,562,095,611.03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94.13%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31.36%</w:t>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外销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4,931,537,202.78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6.02%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3,653,854,847.53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5.87%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34.97%</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8"/>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1910" w:h="16840"/>
          <w:pgMar w:header="0" w:footer="979" w:top="1100" w:bottom="1160" w:left="980" w:right="0"/>
        </w:sectPr>
      </w:pPr>
    </w:p>
    <w:p>
      <w:pPr>
        <w:pStyle w:val="BodyText"/>
        <w:spacing w:line="271"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53" w:right="0"/>
        <w:jc w:val="left"/>
      </w:pPr>
      <w:r>
        <w:rPr/>
        <w:t>单位：元</w:t>
      </w:r>
    </w:p>
    <w:p>
      <w:pPr>
        <w:spacing w:after="0" w:line="240" w:lineRule="auto"/>
        <w:jc w:val="left"/>
        <w:sectPr>
          <w:type w:val="continuous"/>
          <w:pgSz w:w="11910" w:h="16840"/>
          <w:pgMar w:top="1580" w:bottom="700" w:left="980" w:right="0"/>
          <w:cols w:num="2" w:equalWidth="0">
            <w:col w:w="3215" w:space="5705"/>
            <w:col w:w="2010"/>
          </w:cols>
        </w:sectPr>
      </w:pPr>
    </w:p>
    <w:p>
      <w:pPr>
        <w:spacing w:line="240" w:lineRule="auto" w:before="3"/>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1376"/>
        <w:gridCol w:w="1405"/>
        <w:gridCol w:w="1407"/>
        <w:gridCol w:w="1375"/>
        <w:gridCol w:w="1375"/>
        <w:gridCol w:w="1377"/>
        <w:gridCol w:w="1380"/>
      </w:tblGrid>
      <w:tr>
        <w:trPr>
          <w:trHeight w:val="557" w:hRule="exact"/>
        </w:trPr>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11"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22" w:right="50"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24" w:right="51"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13" w:right="54"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323" w:hRule="exact"/>
        </w:trPr>
        <w:tc>
          <w:tcPr>
            <w:tcW w:w="969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323" w:hRule="exact"/>
        </w:trPr>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分销</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80,757,174,190.44</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77,733,138,593.93</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3.74%</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31.06%</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32.01%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-0.70%</w:t>
            </w:r>
          </w:p>
        </w:tc>
      </w:tr>
      <w:tr>
        <w:trPr>
          <w:trHeight w:val="323" w:hRule="exact"/>
        </w:trPr>
        <w:tc>
          <w:tcPr>
            <w:tcW w:w="969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324" w:hRule="exact"/>
        </w:trPr>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消费电子业务</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54,460,383,362.52</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53,221,350,609.57</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2.28%</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40.36%</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41.08%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-0.49%</w:t>
            </w:r>
          </w:p>
        </w:tc>
      </w:tr>
      <w:tr>
        <w:trPr>
          <w:trHeight w:val="323" w:hRule="exact"/>
        </w:trPr>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企业增值业务</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26,296,790,827.92</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Times New Roman" w:hAnsi="Times New Roman" w:cs="Times New Roman" w:eastAsia="Times New Roman" w:hint="default"/>
                <w:sz w:val="18"/>
                <w:szCs w:val="18"/>
              </w:rPr>
            </w:pPr>
            <w:r>
              <w:rPr>
                <w:rFonts w:ascii="Times New Roman"/>
                <w:sz w:val="18"/>
              </w:rPr>
              <w:t>24,511,787,984.36</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6.79%</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15.24%</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15.84%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-0.48%</w:t>
            </w:r>
          </w:p>
        </w:tc>
      </w:tr>
      <w:tr>
        <w:trPr>
          <w:trHeight w:val="324" w:hRule="exact"/>
        </w:trPr>
        <w:tc>
          <w:tcPr>
            <w:tcW w:w="969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323" w:hRule="exact"/>
        </w:trPr>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内销</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76,926,517,290.45</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73,786,921,260.42</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4.08%</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31.36%</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32.77%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-1.02%</w:t>
            </w:r>
          </w:p>
        </w:tc>
      </w:tr>
    </w:tbl>
    <w:p>
      <w:pPr>
        <w:pStyle w:val="BodyText"/>
        <w:spacing w:line="240" w:lineRule="auto" w:before="10"/>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2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2"/>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2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分销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销售额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80,757,174,190.44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61,618,917,107.07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31.06%</w:t>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自主品牌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销售额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509,690,539.22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387,684,084.24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31.47%</w:t>
            </w:r>
          </w:p>
        </w:tc>
      </w:tr>
      <w:tr>
        <w:trPr>
          <w:trHeight w:val="32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云服务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581,044,426.22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202,168,996.96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187.41%</w:t>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10,145,337.35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7,180,270.29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41.29%</w:t>
            </w:r>
          </w:p>
        </w:tc>
      </w:tr>
    </w:tbl>
    <w:p>
      <w:pPr>
        <w:pStyle w:val="BodyText"/>
        <w:spacing w:line="240" w:lineRule="auto" w:before="10"/>
        <w:ind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64" w:lineRule="auto" w:before="23"/>
        <w:ind w:left="514"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在</w:t>
      </w:r>
      <w:r>
        <w:rPr>
          <w:rFonts w:ascii="宋体" w:hAnsi="宋体" w:cs="宋体" w:eastAsia="宋体" w:hint="default"/>
          <w:spacing w:val="-2"/>
        </w:rPr>
        <w:t>IT</w:t>
      </w:r>
      <w:r>
        <w:rPr>
          <w:spacing w:val="-2"/>
        </w:rPr>
        <w:t>分销业务领域，</w:t>
      </w:r>
      <w:r>
        <w:rPr>
          <w:rFonts w:ascii="宋体" w:hAnsi="宋体" w:cs="宋体" w:eastAsia="宋体" w:hint="default"/>
          <w:spacing w:val="-2"/>
        </w:rPr>
        <w:t>PC</w:t>
      </w:r>
      <w:r>
        <w:rPr>
          <w:spacing w:val="-2"/>
        </w:rPr>
        <w:t>、手机、配件及华为企业级业务保持快速增长且绝大部分厂商份额保持或扩大领先优势。自主品</w:t>
      </w:r>
    </w:p>
    <w:p>
      <w:pPr>
        <w:pStyle w:val="BodyText"/>
        <w:spacing w:line="273" w:lineRule="auto" w:before="15"/>
        <w:ind w:right="0"/>
        <w:jc w:val="left"/>
      </w:pPr>
      <w:r>
        <w:rPr>
          <w:spacing w:val="-2"/>
        </w:rPr>
        <w:t>牌业务在保持原有业务稳定增长的基础上拓展销售渠道、升级产品结构，推动销售额稳定增长。在云服务业务领域，积极与</w:t>
      </w:r>
      <w:r>
        <w:rPr>
          <w:spacing w:val="-66"/>
        </w:rPr>
        <w:t> </w:t>
      </w:r>
      <w:r>
        <w:rPr>
          <w:spacing w:val="-66"/>
        </w:rPr>
      </w:r>
      <w:r>
        <w:rPr/>
        <w:t>主流云厂商建立深度合作关系，云资源转售业务收入增长较快。</w:t>
      </w:r>
    </w:p>
    <w:p>
      <w:pPr>
        <w:spacing w:line="240" w:lineRule="auto" w:before="2"/>
        <w:rPr>
          <w:rFonts w:ascii="宋体" w:hAnsi="宋体" w:cs="宋体" w:eastAsia="宋体" w:hint="default"/>
          <w:sz w:val="23"/>
          <w:szCs w:val="23"/>
        </w:rPr>
      </w:pPr>
    </w:p>
    <w:p>
      <w:pPr>
        <w:pStyle w:val="Heading3"/>
        <w:spacing w:line="240" w:lineRule="auto"/>
        <w:ind w:right="0"/>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right="0"/>
        <w:jc w:val="left"/>
      </w:pPr>
      <w:r>
        <w:rPr/>
        <w:t>行业和产品分类</w:t>
      </w:r>
    </w:p>
    <w:p>
      <w:pPr>
        <w:pStyle w:val="BodyText"/>
        <w:spacing w:line="240" w:lineRule="auto" w:before="38"/>
        <w:ind w:left="0" w:right="1130"/>
        <w:jc w:val="right"/>
      </w:pPr>
      <w:r>
        <w:rPr/>
        <w:t>单位：元</w:t>
      </w:r>
    </w:p>
    <w:p>
      <w:pPr>
        <w:spacing w:line="240" w:lineRule="auto" w:before="3"/>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1378"/>
        <w:gridCol w:w="1376"/>
        <w:gridCol w:w="1406"/>
        <w:gridCol w:w="1376"/>
        <w:gridCol w:w="1406"/>
        <w:gridCol w:w="1376"/>
        <w:gridCol w:w="1376"/>
      </w:tblGrid>
      <w:tr>
        <w:trPr>
          <w:trHeight w:val="323" w:hRule="exact"/>
        </w:trPr>
        <w:tc>
          <w:tcPr>
            <w:tcW w:w="13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23" w:hRule="exact"/>
        </w:trPr>
        <w:tc>
          <w:tcPr>
            <w:tcW w:w="1378" w:type="dxa"/>
            <w:vMerge/>
            <w:tcBorders>
              <w:left w:val="single" w:sz="4" w:space="0" w:color="000000"/>
              <w:bottom w:val="single" w:sz="4" w:space="0" w:color="000000"/>
              <w:right w:val="single" w:sz="4" w:space="0" w:color="000000"/>
            </w:tcBorders>
            <w:shd w:val="clear" w:color="auto" w:fill="D2D2D2"/>
          </w:tcPr>
          <w:p>
            <w:pPr/>
          </w:p>
        </w:tc>
        <w:tc>
          <w:tcPr>
            <w:tcW w:w="1376" w:type="dxa"/>
            <w:vMerge/>
            <w:tcBorders>
              <w:left w:val="single" w:sz="4" w:space="0" w:color="000000"/>
              <w:bottom w:val="single" w:sz="4" w:space="0" w:color="000000"/>
              <w:right w:val="single" w:sz="4" w:space="0" w:color="000000"/>
            </w:tcBorders>
            <w:shd w:val="clear" w:color="auto" w:fill="D2D2D2"/>
          </w:tcPr>
          <w:p>
            <w:pPr/>
          </w:p>
        </w:tc>
        <w:tc>
          <w:tcPr>
            <w:tcW w:w="1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50"/>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51"/>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76"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分销</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77,733,138,593.93</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98.94%</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58,884,656,587.92</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99.31%</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32.01%</w:t>
            </w:r>
          </w:p>
        </w:tc>
      </w:tr>
      <w:tr>
        <w:trPr>
          <w:trHeight w:val="323"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自主品牌</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374,750,003.74</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0.48%</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265,702,880.37</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0.45%</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41.04%</w:t>
            </w:r>
          </w:p>
        </w:tc>
      </w:tr>
      <w:tr>
        <w:trPr>
          <w:trHeight w:val="324"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云服务</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448,058,666.45</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0.57%</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134,824,638.69</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0.23%</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232.33%</w:t>
            </w:r>
          </w:p>
        </w:tc>
      </w:tr>
      <w:tr>
        <w:trPr>
          <w:trHeight w:val="324"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5,638,640.87</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0.01%</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5,638,640.87</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0.01%</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700" w:left="980" w:right="0"/>
        </w:sectPr>
      </w:pPr>
    </w:p>
    <w:p>
      <w:pPr>
        <w:spacing w:line="240" w:lineRule="auto" w:before="11"/>
        <w:rPr>
          <w:rFonts w:ascii="宋体" w:hAnsi="宋体" w:cs="宋体" w:eastAsia="宋体" w:hint="default"/>
          <w:sz w:val="18"/>
          <w:szCs w:val="18"/>
        </w:rPr>
      </w:pPr>
    </w:p>
    <w:p>
      <w:pPr>
        <w:pStyle w:val="BodyText"/>
        <w:spacing w:line="240" w:lineRule="auto" w:before="44"/>
        <w:ind w:left="0" w:right="1130"/>
        <w:jc w:val="right"/>
      </w:pPr>
      <w:r>
        <w:rPr/>
        <w:t>单位：元</w:t>
      </w:r>
    </w:p>
    <w:p>
      <w:pPr>
        <w:spacing w:line="240" w:lineRule="auto" w:before="2"/>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1378"/>
        <w:gridCol w:w="1376"/>
        <w:gridCol w:w="1406"/>
        <w:gridCol w:w="1376"/>
        <w:gridCol w:w="1406"/>
        <w:gridCol w:w="1376"/>
        <w:gridCol w:w="1376"/>
      </w:tblGrid>
      <w:tr>
        <w:trPr>
          <w:trHeight w:val="323" w:hRule="exact"/>
        </w:trPr>
        <w:tc>
          <w:tcPr>
            <w:tcW w:w="13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23" w:hRule="exact"/>
        </w:trPr>
        <w:tc>
          <w:tcPr>
            <w:tcW w:w="1378" w:type="dxa"/>
            <w:vMerge/>
            <w:tcBorders>
              <w:left w:val="single" w:sz="4" w:space="0" w:color="000000"/>
              <w:bottom w:val="single" w:sz="4" w:space="0" w:color="000000"/>
              <w:right w:val="single" w:sz="4" w:space="0" w:color="000000"/>
            </w:tcBorders>
            <w:shd w:val="clear" w:color="auto" w:fill="D2D2D2"/>
          </w:tcPr>
          <w:p>
            <w:pPr/>
          </w:p>
        </w:tc>
        <w:tc>
          <w:tcPr>
            <w:tcW w:w="1376" w:type="dxa"/>
            <w:vMerge/>
            <w:tcBorders>
              <w:left w:val="single" w:sz="4" w:space="0" w:color="000000"/>
              <w:bottom w:val="single" w:sz="4" w:space="0" w:color="000000"/>
              <w:right w:val="single" w:sz="4" w:space="0" w:color="000000"/>
            </w:tcBorders>
            <w:shd w:val="clear" w:color="auto" w:fill="D2D2D2"/>
          </w:tcPr>
          <w:p>
            <w:pPr/>
          </w:p>
        </w:tc>
        <w:tc>
          <w:tcPr>
            <w:tcW w:w="1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50"/>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51"/>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76"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消费电子业务</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53,221,350,609.57</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67.74%</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37,724,251,328.94</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63.62%</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41.08%</w:t>
            </w:r>
          </w:p>
        </w:tc>
      </w:tr>
      <w:tr>
        <w:trPr>
          <w:trHeight w:val="324"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企业增值业务</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24,511,787,984.36</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31.20%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21,160,405,258.98</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35.69%</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15.84%</w:t>
            </w:r>
          </w:p>
        </w:tc>
      </w:tr>
      <w:tr>
        <w:trPr>
          <w:trHeight w:val="324"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自主品牌</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374,750,003.74</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0.48%</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265,702,880.37</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0.45%</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41.04%</w:t>
            </w:r>
          </w:p>
        </w:tc>
      </w:tr>
      <w:tr>
        <w:trPr>
          <w:trHeight w:val="323"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云服务</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448,058,666.45</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0.57%</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134,824,638.69</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0.23%</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232.33%</w:t>
            </w:r>
          </w:p>
        </w:tc>
      </w:tr>
      <w:tr>
        <w:trPr>
          <w:trHeight w:val="324"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5,638,640.87</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0.01%</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5,638,640.87</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0.01%</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59" w:lineRule="auto" w:before="24"/>
        <w:ind w:right="1131" w:firstLine="360"/>
        <w:jc w:val="both"/>
      </w:pPr>
      <w:r>
        <w:rPr>
          <w:spacing w:val="-2"/>
        </w:rPr>
        <w:t>本集团合并财务报表范围包括本公司、神码中国、神码上海、神码广州信息等</w:t>
      </w:r>
      <w:r>
        <w:rPr>
          <w:rFonts w:ascii="Times New Roman" w:hAnsi="Times New Roman" w:cs="Times New Roman" w:eastAsia="Times New Roman" w:hint="default"/>
          <w:spacing w:val="-2"/>
        </w:rPr>
        <w:t>44</w:t>
      </w:r>
      <w:r>
        <w:rPr>
          <w:spacing w:val="-2"/>
        </w:rPr>
        <w:t>家公司。与上年相比，本年因非同一控</w:t>
      </w:r>
      <w:r>
        <w:rPr/>
        <w:t> 制下企业合并增加智慧神州（北京）投资管理有限公司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智慧神州</w:t>
      </w:r>
      <w:r>
        <w:rPr>
          <w:rFonts w:ascii="Times New Roman" w:hAnsi="Times New Roman" w:cs="Times New Roman" w:eastAsia="Times New Roman" w:hint="default"/>
        </w:rPr>
        <w:t>”</w:t>
      </w:r>
      <w:r>
        <w:rPr>
          <w:rFonts w:ascii="Times New Roman" w:hAnsi="Times New Roman" w:cs="Times New Roman" w:eastAsia="Times New Roman" w:hint="default"/>
        </w:rPr>
        <w:t>)</w:t>
      </w:r>
      <w:r>
        <w:rPr/>
        <w:t>，因设立新增深圳神州数码电商服务有限公司</w:t>
      </w:r>
      <w:r>
        <w:rPr>
          <w:w w:val="99"/>
        </w:rPr>
        <w:t> </w:t>
      </w:r>
      <w:r>
        <w:rPr/>
        <w:t>及</w:t>
      </w:r>
      <w:r>
        <w:rPr>
          <w:rFonts w:ascii="Times New Roman" w:hAnsi="Times New Roman" w:cs="Times New Roman" w:eastAsia="Times New Roman" w:hint="default"/>
        </w:rPr>
        <w:t>Digital China Technology (Malaysia)</w:t>
      </w:r>
      <w:r>
        <w:rPr>
          <w:rFonts w:ascii="Times New Roman" w:hAnsi="Times New Roman" w:cs="Times New Roman" w:eastAsia="Times New Roman" w:hint="default"/>
          <w:spacing w:val="-8"/>
        </w:rPr>
        <w:t> </w:t>
      </w:r>
      <w:r>
        <w:rPr>
          <w:rFonts w:ascii="Times New Roman" w:hAnsi="Times New Roman" w:cs="Times New Roman" w:eastAsia="Times New Roman" w:hint="default"/>
        </w:rPr>
        <w:t>Sdn.Bhd</w:t>
      </w:r>
      <w:r>
        <w:rPr/>
        <w:t>。</w:t>
      </w:r>
    </w:p>
    <w:p>
      <w:pPr>
        <w:pStyle w:val="BodyText"/>
        <w:spacing w:line="240" w:lineRule="auto" w:before="3"/>
        <w:ind w:left="514" w:right="0"/>
        <w:jc w:val="left"/>
      </w:pPr>
      <w:r>
        <w:rPr/>
        <w:t>详见第十一节、附注</w:t>
      </w:r>
      <w:r>
        <w:rPr>
          <w:rFonts w:ascii="Times New Roman" w:hAnsi="Times New Roman" w:cs="Times New Roman" w:eastAsia="Times New Roman" w:hint="default"/>
        </w:rPr>
        <w:t>“</w:t>
      </w:r>
      <w:r>
        <w:rPr/>
        <w:t>八、合并范围的变化</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及附注</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相关内容。</w:t>
      </w:r>
    </w:p>
    <w:p>
      <w:pPr>
        <w:spacing w:line="240" w:lineRule="auto" w:before="1"/>
        <w:rPr>
          <w:rFonts w:ascii="宋体" w:hAnsi="宋体" w:cs="宋体" w:eastAsia="宋体" w:hint="default"/>
          <w:sz w:val="24"/>
          <w:szCs w:val="24"/>
        </w:rPr>
      </w:pPr>
    </w:p>
    <w:p>
      <w:pPr>
        <w:pStyle w:val="Heading3"/>
        <w:spacing w:line="240" w:lineRule="auto"/>
        <w:ind w:right="0"/>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right="0"/>
        <w:jc w:val="left"/>
      </w:pPr>
      <w:r>
        <w:rPr/>
        <w:t>公司主要销售客户情况</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6052"/>
        <w:gridCol w:w="3516"/>
      </w:tblGrid>
      <w:tr>
        <w:trPr>
          <w:trHeight w:val="323" w:hRule="exact"/>
        </w:trPr>
        <w:tc>
          <w:tcPr>
            <w:tcW w:w="6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35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33,900,078,181.07</w:t>
            </w:r>
          </w:p>
        </w:tc>
      </w:tr>
      <w:tr>
        <w:trPr>
          <w:trHeight w:val="323" w:hRule="exact"/>
        </w:trPr>
        <w:tc>
          <w:tcPr>
            <w:tcW w:w="6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35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41.41%</w:t>
            </w:r>
          </w:p>
        </w:tc>
      </w:tr>
      <w:tr>
        <w:trPr>
          <w:trHeight w:val="323" w:hRule="exact"/>
        </w:trPr>
        <w:tc>
          <w:tcPr>
            <w:tcW w:w="6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35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1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779"/>
        <w:gridCol w:w="3313"/>
        <w:gridCol w:w="2322"/>
        <w:gridCol w:w="3143"/>
      </w:tblGrid>
      <w:tr>
        <w:trPr>
          <w:trHeight w:val="32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32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29,783,480,745.01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36.38%</w:t>
            </w:r>
          </w:p>
        </w:tc>
      </w:tr>
      <w:tr>
        <w:trPr>
          <w:trHeight w:val="32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2,138,793,653.40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2.61%</w:t>
            </w:r>
          </w:p>
        </w:tc>
      </w:tr>
      <w:tr>
        <w:trPr>
          <w:trHeight w:val="32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713,860,773.54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0.87%</w:t>
            </w:r>
          </w:p>
        </w:tc>
      </w:tr>
      <w:tr>
        <w:trPr>
          <w:trHeight w:val="32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709,494,399.23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0.87%</w:t>
            </w:r>
          </w:p>
        </w:tc>
      </w:tr>
      <w:tr>
        <w:trPr>
          <w:trHeight w:val="33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5" w:space="0" w:color="D2D2D2"/>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554,448,609.89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0.68%</w:t>
            </w:r>
          </w:p>
        </w:tc>
      </w:tr>
      <w:tr>
        <w:trPr>
          <w:trHeight w:val="31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2"/>
              <w:jc w:val="right"/>
              <w:rPr>
                <w:rFonts w:ascii="Times New Roman" w:hAnsi="Times New Roman" w:cs="Times New Roman" w:eastAsia="Times New Roman" w:hint="default"/>
                <w:sz w:val="18"/>
                <w:szCs w:val="18"/>
              </w:rPr>
            </w:pPr>
            <w:r>
              <w:rPr>
                <w:rFonts w:ascii="Times New Roman"/>
                <w:spacing w:val="-1"/>
                <w:sz w:val="18"/>
              </w:rPr>
              <w:t>33,900,078,181.07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9"/>
              <w:jc w:val="right"/>
              <w:rPr>
                <w:rFonts w:ascii="Times New Roman" w:hAnsi="Times New Roman" w:cs="Times New Roman" w:eastAsia="Times New Roman" w:hint="default"/>
                <w:sz w:val="18"/>
                <w:szCs w:val="18"/>
              </w:rPr>
            </w:pPr>
            <w:r>
              <w:rPr>
                <w:rFonts w:ascii="Times New Roman"/>
                <w:sz w:val="18"/>
              </w:rPr>
              <w:t>41.41%</w:t>
            </w:r>
          </w:p>
        </w:tc>
      </w:tr>
    </w:tbl>
    <w:p>
      <w:pPr>
        <w:pStyle w:val="BodyText"/>
        <w:spacing w:line="240" w:lineRule="auto" w:before="17"/>
        <w:ind w:right="0"/>
        <w:jc w:val="left"/>
      </w:pPr>
      <w:r>
        <w:rPr/>
        <w:t>主要客户其他情况说明</w:t>
      </w:r>
    </w:p>
    <w:p>
      <w:pPr>
        <w:pStyle w:val="BodyText"/>
        <w:spacing w:line="501" w:lineRule="auto" w:before="37"/>
        <w:ind w:right="9132"/>
        <w:jc w:val="left"/>
      </w:pPr>
      <w:r>
        <w:rPr/>
        <w:pict>
          <v:shape style="position:absolute;margin-left:56.459999pt;margin-top:43.081741pt;width:479.2pt;height:60.7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8"/>
                    <w:gridCol w:w="5311"/>
                  </w:tblGrid>
                  <w:tr>
                    <w:trPr>
                      <w:trHeight w:val="32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53,873,875,781.34</w:t>
                        </w:r>
                      </w:p>
                    </w:tc>
                  </w:tr>
                  <w:tr>
                    <w:trPr>
                      <w:trHeight w:val="32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69.01%</w:t>
                        </w:r>
                      </w:p>
                    </w:tc>
                  </w:tr>
                  <w:tr>
                    <w:trPr>
                      <w:trHeight w:val="557"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pStyle w:val="BodyText"/>
        <w:spacing w:line="240" w:lineRule="auto" w:before="44"/>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924"/>
        <w:gridCol w:w="3180"/>
        <w:gridCol w:w="2322"/>
        <w:gridCol w:w="3143"/>
      </w:tblGrid>
      <w:tr>
        <w:trPr>
          <w:trHeight w:val="324" w:hRule="exact"/>
        </w:trPr>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8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324" w:hRule="exact"/>
        </w:trPr>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38" w:right="0"/>
              <w:jc w:val="left"/>
              <w:rPr>
                <w:rFonts w:ascii="Times New Roman" w:hAnsi="Times New Roman" w:cs="Times New Roman" w:eastAsia="Times New Roman" w:hint="default"/>
                <w:sz w:val="18"/>
                <w:szCs w:val="18"/>
              </w:rPr>
            </w:pPr>
            <w:r>
              <w:rPr>
                <w:rFonts w:ascii="Times New Roman"/>
                <w:sz w:val="18"/>
              </w:rPr>
              <w:t>27,190,404,845.99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34.83%</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32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11,405,441,071.35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14.61%</w:t>
            </w:r>
          </w:p>
        </w:tc>
      </w:tr>
      <w:tr>
        <w:trPr>
          <w:trHeight w:val="32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5,871,460,736.67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7.52%</w:t>
            </w:r>
          </w:p>
        </w:tc>
      </w:tr>
      <w:tr>
        <w:trPr>
          <w:trHeight w:val="32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5,417,582,884.45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6.94%</w:t>
            </w:r>
          </w:p>
        </w:tc>
      </w:tr>
      <w:tr>
        <w:trPr>
          <w:trHeight w:val="32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9" w:space="0" w:color="D2D2D2"/>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3,988,986,242.88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2"/>
                <w:sz w:val="18"/>
              </w:rPr>
              <w:t>5.11%</w:t>
            </w:r>
          </w:p>
        </w:tc>
      </w:tr>
      <w:tr>
        <w:trPr>
          <w:trHeight w:val="32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53,873,875,781.34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69.01%</w:t>
            </w:r>
          </w:p>
        </w:tc>
      </w:tr>
    </w:tbl>
    <w:p>
      <w:pPr>
        <w:pStyle w:val="BodyText"/>
        <w:spacing w:line="240" w:lineRule="auto" w:before="10"/>
        <w:ind w:right="0"/>
        <w:jc w:val="left"/>
      </w:pPr>
      <w:r>
        <w:rPr/>
        <w:t>主要供应商其他情况说明</w:t>
      </w:r>
    </w:p>
    <w:p>
      <w:pPr>
        <w:pStyle w:val="BodyText"/>
        <w:spacing w:line="240" w:lineRule="auto" w:before="3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单位：元</w:t>
      </w:r>
    </w:p>
    <w:p>
      <w:pPr>
        <w:spacing w:line="240" w:lineRule="auto" w:before="2"/>
        <w:rPr>
          <w:rFonts w:ascii="宋体" w:hAnsi="宋体" w:cs="宋体" w:eastAsia="宋体" w:hint="default"/>
          <w:sz w:val="5"/>
          <w:szCs w:val="5"/>
        </w:rPr>
      </w:pPr>
    </w:p>
    <w:tbl>
      <w:tblPr>
        <w:tblW w:w="0" w:type="auto"/>
        <w:jc w:val="left"/>
        <w:tblInd w:w="183" w:type="dxa"/>
        <w:tblLayout w:type="fixed"/>
        <w:tblCellMar>
          <w:top w:w="0" w:type="dxa"/>
          <w:left w:w="0" w:type="dxa"/>
          <w:bottom w:w="0" w:type="dxa"/>
          <w:right w:w="0" w:type="dxa"/>
        </w:tblCellMar>
        <w:tblLook w:val="01E0"/>
      </w:tblPr>
      <w:tblGrid>
        <w:gridCol w:w="1916"/>
        <w:gridCol w:w="1637"/>
        <w:gridCol w:w="1637"/>
        <w:gridCol w:w="1462"/>
        <w:gridCol w:w="2919"/>
      </w:tblGrid>
      <w:tr>
        <w:trPr>
          <w:trHeight w:val="32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2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1,633,915,868.48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1,612,968,660.32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1.30%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259,433,119.44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279,227,717.59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-7.09%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22"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73" w:right="0"/>
              <w:jc w:val="left"/>
              <w:rPr>
                <w:rFonts w:ascii="Times New Roman" w:hAnsi="Times New Roman" w:cs="Times New Roman" w:eastAsia="Times New Roman" w:hint="default"/>
                <w:sz w:val="18"/>
                <w:szCs w:val="18"/>
              </w:rPr>
            </w:pPr>
            <w:r>
              <w:rPr>
                <w:rFonts w:ascii="Times New Roman"/>
                <w:sz w:val="18"/>
              </w:rPr>
              <w:t>674,283,209.44</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243,584,256.74</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84" w:right="0"/>
              <w:jc w:val="left"/>
              <w:rPr>
                <w:rFonts w:ascii="Times New Roman" w:hAnsi="Times New Roman" w:cs="Times New Roman" w:eastAsia="Times New Roman" w:hint="default"/>
                <w:sz w:val="18"/>
                <w:szCs w:val="18"/>
              </w:rPr>
            </w:pPr>
            <w:r>
              <w:rPr>
                <w:rFonts w:ascii="Times New Roman"/>
                <w:sz w:val="18"/>
              </w:rPr>
              <w:t>176.82%</w:t>
            </w:r>
          </w:p>
        </w:tc>
        <w:tc>
          <w:tcPr>
            <w:tcW w:w="2919" w:type="dxa"/>
            <w:vMerge w:val="restart"/>
            <w:tcBorders>
              <w:top w:val="single" w:sz="4" w:space="0" w:color="000000"/>
              <w:left w:val="single" w:sz="4" w:space="0" w:color="000000"/>
              <w:right w:val="single" w:sz="4" w:space="0" w:color="000000"/>
            </w:tcBorders>
          </w:tcPr>
          <w:p>
            <w:pPr>
              <w:pStyle w:val="TableParagraph"/>
              <w:spacing w:line="240" w:lineRule="auto" w:before="9"/>
              <w:ind w:left="22" w:right="22"/>
              <w:jc w:val="left"/>
              <w:rPr>
                <w:rFonts w:ascii="宋体" w:hAnsi="宋体" w:cs="宋体" w:eastAsia="宋体" w:hint="default"/>
                <w:sz w:val="18"/>
                <w:szCs w:val="18"/>
              </w:rPr>
            </w:pPr>
            <w:r>
              <w:rPr>
                <w:rFonts w:ascii="宋体" w:hAnsi="宋体" w:cs="宋体" w:eastAsia="宋体" w:hint="default"/>
                <w:spacing w:val="-2"/>
                <w:sz w:val="18"/>
                <w:szCs w:val="18"/>
              </w:rPr>
              <w:t>主要是本报告期人民币贬值，因美元</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负债形成汇兑亏损</w:t>
            </w:r>
          </w:p>
        </w:tc>
      </w:tr>
      <w:tr>
        <w:trPr>
          <w:trHeight w:val="434"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32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96,764,852.25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88,729,229.48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9.06%</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pStyle w:val="Heading3"/>
        <w:spacing w:line="240" w:lineRule="auto" w:before="35"/>
        <w:ind w:right="0"/>
        <w:jc w:val="both"/>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0"/>
        <w:rPr>
          <w:rFonts w:ascii="宋体" w:hAnsi="宋体" w:cs="宋体" w:eastAsia="宋体" w:hint="default"/>
          <w:b/>
          <w:bCs/>
          <w:sz w:val="22"/>
          <w:szCs w:val="22"/>
        </w:rPr>
      </w:pPr>
    </w:p>
    <w:p>
      <w:pPr>
        <w:pStyle w:val="BodyText"/>
        <w:spacing w:line="264" w:lineRule="auto"/>
        <w:ind w:left="514" w:right="1127"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宋体" w:hAnsi="宋体" w:cs="宋体" w:eastAsia="宋体" w:hint="default"/>
          <w:spacing w:val="-5"/>
        </w:rPr>
        <w:t>2018</w:t>
      </w:r>
      <w:r>
        <w:rPr>
          <w:spacing w:val="-5"/>
        </w:rPr>
        <w:t>年公司持续加大研发投入，技术实力不断增强，在解决方案产品化方面取得了积极的进展。公司通过为零售、快消、</w:t>
      </w:r>
    </w:p>
    <w:p>
      <w:pPr>
        <w:pStyle w:val="BodyText"/>
        <w:spacing w:line="273" w:lineRule="auto" w:before="14"/>
        <w:ind w:right="1131"/>
        <w:jc w:val="both"/>
      </w:pPr>
      <w:r>
        <w:rPr>
          <w:spacing w:val="-2"/>
        </w:rPr>
        <w:t>汽车等行业世界五百强企业在内的广大客户提供以物联网、大数据、人工智能等技术为基础的数字化解决方案，为行业顶端</w:t>
      </w:r>
      <w:r>
        <w:rPr>
          <w:spacing w:val="-66"/>
        </w:rPr>
        <w:t> </w:t>
      </w:r>
      <w:r>
        <w:rPr>
          <w:spacing w:val="-66"/>
        </w:rPr>
      </w:r>
      <w:r>
        <w:rPr/>
        <w:t>客户形成了可复制性较高的数字化解决方案，包括</w:t>
      </w:r>
      <w:r>
        <w:rPr>
          <w:rFonts w:ascii="宋体" w:hAnsi="宋体" w:cs="宋体" w:eastAsia="宋体" w:hint="default"/>
        </w:rPr>
        <w:t>Imcloud</w:t>
      </w:r>
      <w:r>
        <w:rPr/>
        <w:t>智能管理云平台、神州视讯云服务、云科易服和零售行业大数据</w:t>
      </w:r>
      <w:r>
        <w:rPr>
          <w:spacing w:val="-83"/>
        </w:rPr>
        <w:t> </w:t>
      </w:r>
      <w:r>
        <w:rPr>
          <w:spacing w:val="-83"/>
        </w:rPr>
      </w:r>
      <w:r>
        <w:rPr/>
        <w:t>解决方案等。报告期内，公司与研发有关的支出共计</w:t>
      </w:r>
      <w:r>
        <w:rPr>
          <w:rFonts w:ascii="宋体" w:hAnsi="宋体" w:cs="宋体" w:eastAsia="宋体" w:hint="default"/>
        </w:rPr>
        <w:t>11,669.19</w:t>
      </w:r>
      <w:r>
        <w:rPr/>
        <w:t>万元，占公司营业收入的</w:t>
      </w:r>
      <w:r>
        <w:rPr>
          <w:rFonts w:ascii="宋体" w:hAnsi="宋体" w:cs="宋体" w:eastAsia="宋体" w:hint="default"/>
        </w:rPr>
        <w:t>0.14%</w:t>
      </w:r>
      <w:r>
        <w:rPr/>
        <w:t>。</w:t>
      </w:r>
    </w:p>
    <w:p>
      <w:pPr>
        <w:spacing w:line="240" w:lineRule="auto" w:before="7"/>
        <w:rPr>
          <w:rFonts w:ascii="宋体" w:hAnsi="宋体" w:cs="宋体" w:eastAsia="宋体" w:hint="default"/>
          <w:sz w:val="19"/>
          <w:szCs w:val="19"/>
        </w:rPr>
      </w:pPr>
    </w:p>
    <w:p>
      <w:pPr>
        <w:pStyle w:val="BodyText"/>
        <w:spacing w:line="240" w:lineRule="auto"/>
        <w:ind w:right="0"/>
        <w:jc w:val="both"/>
      </w:pPr>
      <w:r>
        <w:rPr/>
        <w:t>公司研发投入情况</w:t>
      </w:r>
    </w:p>
    <w:p>
      <w:pPr>
        <w:spacing w:line="240" w:lineRule="auto" w:before="2"/>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4056"/>
        <w:gridCol w:w="2138"/>
        <w:gridCol w:w="1702"/>
        <w:gridCol w:w="1662"/>
      </w:tblGrid>
      <w:tr>
        <w:trPr>
          <w:trHeight w:val="324" w:hRule="exact"/>
        </w:trPr>
        <w:tc>
          <w:tcPr>
            <w:tcW w:w="40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5" w:right="0"/>
              <w:jc w:val="left"/>
              <w:rPr>
                <w:rFonts w:ascii="宋体" w:hAnsi="宋体" w:cs="宋体" w:eastAsia="宋体" w:hint="default"/>
                <w:sz w:val="18"/>
                <w:szCs w:val="18"/>
              </w:rPr>
            </w:pPr>
            <w:r>
              <w:rPr>
                <w:rFonts w:ascii="宋体" w:hAnsi="宋体" w:cs="宋体" w:eastAsia="宋体" w:hint="default"/>
                <w:sz w:val="18"/>
                <w:szCs w:val="18"/>
              </w:rPr>
              <w:t>变动比例</w:t>
            </w:r>
          </w:p>
        </w:tc>
      </w:tr>
      <w:tr>
        <w:trPr>
          <w:trHeight w:val="323" w:hRule="exact"/>
        </w:trPr>
        <w:tc>
          <w:tcPr>
            <w:tcW w:w="4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225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209</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7.66%</w:t>
            </w:r>
          </w:p>
        </w:tc>
      </w:tr>
      <w:tr>
        <w:trPr>
          <w:trHeight w:val="323" w:hRule="exact"/>
        </w:trPr>
        <w:tc>
          <w:tcPr>
            <w:tcW w:w="4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5.32%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4.66%</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0.66%</w:t>
            </w:r>
          </w:p>
        </w:tc>
      </w:tr>
      <w:tr>
        <w:trPr>
          <w:trHeight w:val="323" w:hRule="exact"/>
        </w:trPr>
        <w:tc>
          <w:tcPr>
            <w:tcW w:w="4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116,691,899.03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99,082,135.85</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17.77%</w:t>
            </w:r>
          </w:p>
        </w:tc>
      </w:tr>
      <w:tr>
        <w:trPr>
          <w:trHeight w:val="323" w:hRule="exact"/>
        </w:trPr>
        <w:tc>
          <w:tcPr>
            <w:tcW w:w="4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0.14%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0.16%</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-0.02%</w:t>
            </w:r>
          </w:p>
        </w:tc>
      </w:tr>
      <w:tr>
        <w:trPr>
          <w:trHeight w:val="323" w:hRule="exact"/>
        </w:trPr>
        <w:tc>
          <w:tcPr>
            <w:tcW w:w="4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10,352,906.37</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323" w:hRule="exact"/>
        </w:trPr>
        <w:tc>
          <w:tcPr>
            <w:tcW w:w="4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10.45%</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-10.45%</w:t>
            </w:r>
          </w:p>
        </w:tc>
      </w:tr>
    </w:tbl>
    <w:p>
      <w:pPr>
        <w:pStyle w:val="BodyText"/>
        <w:spacing w:line="240" w:lineRule="auto" w:before="10"/>
        <w:ind w:right="0"/>
        <w:jc w:val="left"/>
      </w:pPr>
      <w:r>
        <w:rPr/>
        <w:t>研发投入总额占营业收入的比重较上年发生显著变化的原因</w:t>
      </w:r>
    </w:p>
    <w:p>
      <w:pPr>
        <w:pStyle w:val="BodyText"/>
        <w:spacing w:line="261" w:lineRule="auto" w:before="38"/>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2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24"/>
        <w:ind w:right="0"/>
        <w:jc w:val="left"/>
      </w:pPr>
      <w:r>
        <w:rPr/>
        <w:t>本报告期</w:t>
      </w:r>
      <w:r>
        <w:rPr>
          <w:spacing w:val="-47"/>
        </w:rPr>
        <w:t> </w:t>
      </w:r>
      <w:r>
        <w:rPr>
          <w:rFonts w:ascii="Times New Roman" w:hAnsi="Times New Roman" w:cs="Times New Roman" w:eastAsia="Times New Roman" w:hint="default"/>
        </w:rPr>
        <w:t>Imcloud</w:t>
      </w:r>
      <w:r>
        <w:rPr>
          <w:rFonts w:ascii="Times New Roman" w:hAnsi="Times New Roman" w:cs="Times New Roman" w:eastAsia="Times New Roman" w:hint="default"/>
          <w:spacing w:val="-2"/>
        </w:rPr>
        <w:t> </w:t>
      </w:r>
      <w:r>
        <w:rPr/>
        <w:t>智能管理云平台、云科易服等处于研发投入期。</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单位：元</w:t>
      </w:r>
    </w:p>
    <w:p>
      <w:pPr>
        <w:spacing w:line="240" w:lineRule="auto" w:before="2"/>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914"/>
        <w:gridCol w:w="2139"/>
        <w:gridCol w:w="1984"/>
        <w:gridCol w:w="1520"/>
      </w:tblGrid>
      <w:tr>
        <w:trPr>
          <w:trHeight w:val="324" w:hRule="exact"/>
        </w:trPr>
        <w:tc>
          <w:tcPr>
            <w:tcW w:w="3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94"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23" w:hRule="exact"/>
        </w:trPr>
        <w:tc>
          <w:tcPr>
            <w:tcW w:w="3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743" w:right="0"/>
              <w:jc w:val="left"/>
              <w:rPr>
                <w:rFonts w:ascii="Times New Roman" w:hAnsi="Times New Roman" w:cs="Times New Roman" w:eastAsia="Times New Roman" w:hint="default"/>
                <w:sz w:val="18"/>
                <w:szCs w:val="18"/>
              </w:rPr>
            </w:pPr>
            <w:r>
              <w:rPr>
                <w:rFonts w:ascii="Times New Roman"/>
                <w:sz w:val="18"/>
              </w:rPr>
              <w:t>91,543,692,647.72</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69,477,836,125.40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31.76%</w:t>
            </w:r>
          </w:p>
        </w:tc>
      </w:tr>
      <w:tr>
        <w:trPr>
          <w:trHeight w:val="323" w:hRule="exact"/>
        </w:trPr>
        <w:tc>
          <w:tcPr>
            <w:tcW w:w="3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743" w:right="0"/>
              <w:jc w:val="left"/>
              <w:rPr>
                <w:rFonts w:ascii="Times New Roman" w:hAnsi="Times New Roman" w:cs="Times New Roman" w:eastAsia="Times New Roman" w:hint="default"/>
                <w:sz w:val="18"/>
                <w:szCs w:val="18"/>
              </w:rPr>
            </w:pPr>
            <w:r>
              <w:rPr>
                <w:rFonts w:ascii="Times New Roman"/>
                <w:sz w:val="18"/>
              </w:rPr>
              <w:t>91,183,153,030.18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69,769,636,416.45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30.69%</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3914"/>
        <w:gridCol w:w="2139"/>
        <w:gridCol w:w="1984"/>
        <w:gridCol w:w="1520"/>
      </w:tblGrid>
      <w:tr>
        <w:trPr>
          <w:trHeight w:val="324" w:hRule="exact"/>
        </w:trPr>
        <w:tc>
          <w:tcPr>
            <w:tcW w:w="3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94"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23" w:hRule="exact"/>
        </w:trPr>
        <w:tc>
          <w:tcPr>
            <w:tcW w:w="3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360,539,617.54</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-291,800,291.05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223.56%</w:t>
            </w:r>
          </w:p>
        </w:tc>
      </w:tr>
      <w:tr>
        <w:trPr>
          <w:trHeight w:val="324" w:hRule="exact"/>
        </w:trPr>
        <w:tc>
          <w:tcPr>
            <w:tcW w:w="3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136,931,998.95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1,232,376,626.88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-88.89%</w:t>
            </w:r>
          </w:p>
        </w:tc>
      </w:tr>
      <w:tr>
        <w:trPr>
          <w:trHeight w:val="323" w:hRule="exact"/>
        </w:trPr>
        <w:tc>
          <w:tcPr>
            <w:tcW w:w="3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1,644,694,045.66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3,607,028,807.57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-54.40%</w:t>
            </w:r>
          </w:p>
        </w:tc>
      </w:tr>
      <w:tr>
        <w:trPr>
          <w:trHeight w:val="324" w:hRule="exact"/>
        </w:trPr>
        <w:tc>
          <w:tcPr>
            <w:tcW w:w="3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-1,507,762,046.71</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-2,374,652,180.69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36.51%</w:t>
            </w:r>
          </w:p>
        </w:tc>
      </w:tr>
      <w:tr>
        <w:trPr>
          <w:trHeight w:val="323" w:hRule="exact"/>
        </w:trPr>
        <w:tc>
          <w:tcPr>
            <w:tcW w:w="3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17,040,458,676.91</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14,050,813,054.59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21.28%</w:t>
            </w:r>
          </w:p>
        </w:tc>
      </w:tr>
      <w:tr>
        <w:trPr>
          <w:trHeight w:val="323" w:hRule="exact"/>
        </w:trPr>
        <w:tc>
          <w:tcPr>
            <w:tcW w:w="3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16,378,354,002.44</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10,980,456,592.12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49.16%</w:t>
            </w:r>
          </w:p>
        </w:tc>
      </w:tr>
      <w:tr>
        <w:trPr>
          <w:trHeight w:val="323" w:hRule="exact"/>
        </w:trPr>
        <w:tc>
          <w:tcPr>
            <w:tcW w:w="3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662,104,674.47</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3,070,356,462.47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-78.44%</w:t>
            </w:r>
          </w:p>
        </w:tc>
      </w:tr>
      <w:tr>
        <w:trPr>
          <w:trHeight w:val="323" w:hRule="exact"/>
        </w:trPr>
        <w:tc>
          <w:tcPr>
            <w:tcW w:w="3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-492,123,259.02</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397,829,837.72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w w:val="95"/>
                <w:sz w:val="18"/>
              </w:rPr>
              <w:t>-223.70%</w:t>
            </w:r>
            <w:r>
              <w:rPr>
                <w:rFonts w:ascii="Times New Roman"/>
                <w:sz w:val="18"/>
              </w:rPr>
            </w:r>
          </w:p>
        </w:tc>
      </w:tr>
    </w:tbl>
    <w:p>
      <w:pPr>
        <w:pStyle w:val="BodyText"/>
        <w:spacing w:line="240" w:lineRule="auto" w:before="10"/>
        <w:ind w:right="0"/>
        <w:jc w:val="left"/>
      </w:pPr>
      <w:r>
        <w:rPr/>
        <w:t>相关数据同比发生重大变动的主要影响因素说明</w:t>
      </w:r>
    </w:p>
    <w:p>
      <w:pPr>
        <w:pStyle w:val="BodyText"/>
        <w:spacing w:line="240" w:lineRule="auto" w:before="3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2" w:lineRule="exact" w:before="24"/>
        <w:ind w:left="514" w:right="0"/>
        <w:jc w:val="left"/>
      </w:pPr>
      <w:r>
        <w:rPr>
          <w:rFonts w:ascii="Times New Roman" w:hAnsi="Times New Roman" w:cs="Times New Roman" w:eastAsia="Times New Roman" w:hint="default"/>
        </w:rPr>
        <w:t>1</w:t>
      </w:r>
      <w:r>
        <w:rPr/>
        <w:t>）经营活动产生的现金流量净额同比增加</w:t>
      </w:r>
      <w:r>
        <w:rPr>
          <w:rFonts w:ascii="Times New Roman" w:hAnsi="Times New Roman" w:cs="Times New Roman" w:eastAsia="Times New Roman" w:hint="default"/>
        </w:rPr>
        <w:t>223.56%</w:t>
      </w:r>
      <w:r>
        <w:rPr/>
        <w:t>，主要是本年销售商品，提供服务收到的现金增加所致。</w:t>
      </w:r>
    </w:p>
    <w:p>
      <w:pPr>
        <w:pStyle w:val="BodyText"/>
        <w:spacing w:line="232" w:lineRule="exact" w:before="17"/>
        <w:ind w:right="0" w:firstLine="360"/>
        <w:jc w:val="left"/>
      </w:pPr>
      <w:r>
        <w:rPr>
          <w:rFonts w:ascii="Times New Roman" w:hAnsi="Times New Roman" w:cs="Times New Roman" w:eastAsia="Times New Roman" w:hint="default"/>
          <w:spacing w:val="-1"/>
        </w:rPr>
        <w:t>2</w:t>
      </w:r>
      <w:r>
        <w:rPr>
          <w:spacing w:val="-1"/>
        </w:rPr>
        <w:t>）投资活动产生的现金流量净额同比增加</w:t>
      </w:r>
      <w:r>
        <w:rPr>
          <w:rFonts w:ascii="Times New Roman" w:hAnsi="Times New Roman" w:cs="Times New Roman" w:eastAsia="Times New Roman" w:hint="default"/>
          <w:spacing w:val="-1"/>
        </w:rPr>
        <w:t>36.51%</w:t>
      </w:r>
      <w:r>
        <w:rPr>
          <w:spacing w:val="-1"/>
        </w:rPr>
        <w:t>，主要是本年无重大投资项目，投资活动产生的现金流流出减少，去</w:t>
      </w:r>
      <w:r>
        <w:rPr/>
        <w:t> 年同期投资迪信通支付对价</w:t>
      </w:r>
      <w:r>
        <w:rPr>
          <w:rFonts w:ascii="Times New Roman" w:hAnsi="Times New Roman" w:cs="Times New Roman" w:eastAsia="Times New Roman" w:hint="default"/>
        </w:rPr>
        <w:t>4.41</w:t>
      </w:r>
      <w:r>
        <w:rPr/>
        <w:t>亿，投资上海云角净现金流出</w:t>
      </w:r>
      <w:r>
        <w:rPr>
          <w:rFonts w:ascii="Times New Roman" w:hAnsi="Times New Roman" w:cs="Times New Roman" w:eastAsia="Times New Roman" w:hint="default"/>
        </w:rPr>
        <w:t>3.55</w:t>
      </w:r>
      <w:r>
        <w:rPr/>
        <w:t>亿。</w:t>
      </w:r>
    </w:p>
    <w:p>
      <w:pPr>
        <w:pStyle w:val="BodyText"/>
        <w:spacing w:line="232" w:lineRule="exact" w:before="2"/>
        <w:ind w:right="1118" w:firstLine="360"/>
        <w:jc w:val="left"/>
      </w:pPr>
      <w:r>
        <w:rPr>
          <w:rFonts w:ascii="Times New Roman" w:hAnsi="Times New Roman" w:cs="Times New Roman" w:eastAsia="Times New Roman" w:hint="default"/>
          <w:spacing w:val="-1"/>
        </w:rPr>
        <w:t>3</w:t>
      </w:r>
      <w:r>
        <w:rPr>
          <w:spacing w:val="-1"/>
        </w:rPr>
        <w:t>）筹资活动产生的现金流量净额同比减少</w:t>
      </w:r>
      <w:r>
        <w:rPr>
          <w:rFonts w:ascii="Times New Roman" w:hAnsi="Times New Roman" w:cs="Times New Roman" w:eastAsia="Times New Roman" w:hint="default"/>
          <w:spacing w:val="-1"/>
        </w:rPr>
        <w:t>78.44%</w:t>
      </w:r>
      <w:r>
        <w:rPr>
          <w:spacing w:val="-1"/>
        </w:rPr>
        <w:t>，主要是本报告期营运资金需求量较上年同期减少，相应筹资需求减</w:t>
      </w:r>
      <w:r>
        <w:rPr/>
        <w:t> 少。</w:t>
      </w:r>
    </w:p>
    <w:p>
      <w:pPr>
        <w:spacing w:line="240" w:lineRule="auto" w:before="2"/>
        <w:rPr>
          <w:rFonts w:ascii="宋体" w:hAnsi="宋体" w:cs="宋体" w:eastAsia="宋体" w:hint="default"/>
          <w:sz w:val="17"/>
          <w:szCs w:val="17"/>
        </w:rPr>
      </w:pPr>
    </w:p>
    <w:p>
      <w:pPr>
        <w:pStyle w:val="BodyText"/>
        <w:spacing w:line="240" w:lineRule="auto"/>
        <w:ind w:right="0"/>
        <w:jc w:val="left"/>
      </w:pPr>
      <w:r>
        <w:rPr/>
        <w:t>报告期内公司经营活动产生的现金净流量与本年度净利润存在重大差异的原因说明</w:t>
      </w:r>
    </w:p>
    <w:p>
      <w:pPr>
        <w:pStyle w:val="BodyText"/>
        <w:spacing w:line="240" w:lineRule="auto" w:before="3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0"/>
          <w:szCs w:val="20"/>
        </w:rPr>
      </w:pPr>
    </w:p>
    <w:p>
      <w:pPr>
        <w:pStyle w:val="Heading2"/>
        <w:spacing w:line="240" w:lineRule="auto"/>
        <w:ind w:right="0"/>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2"/>
        <w:rPr>
          <w:rFonts w:ascii="宋体" w:hAnsi="宋体" w:cs="宋体" w:eastAsia="宋体" w:hint="default"/>
          <w:b/>
          <w:bCs/>
          <w:sz w:val="20"/>
          <w:szCs w:val="20"/>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23"/>
        <w:ind w:left="0" w:right="1130"/>
        <w:jc w:val="right"/>
      </w:pPr>
      <w:r>
        <w:rPr/>
        <w:t>单位：元</w:t>
      </w:r>
    </w:p>
    <w:p>
      <w:pPr>
        <w:spacing w:line="240" w:lineRule="auto" w:before="3"/>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3"/>
        <w:gridCol w:w="3018"/>
        <w:gridCol w:w="1488"/>
      </w:tblGrid>
      <w:tr>
        <w:trPr>
          <w:trHeight w:val="427"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3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964"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是否具有可持续</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性</w:t>
            </w:r>
          </w:p>
        </w:tc>
      </w:tr>
      <w:tr>
        <w:trPr>
          <w:trHeight w:val="389"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50" w:space="0" w:color="D2D2D2"/>
              <w:left w:val="single" w:sz="13" w:space="0" w:color="D2D2D2"/>
              <w:bottom w:val="single" w:sz="4" w:space="0" w:color="000000"/>
              <w:right w:val="single" w:sz="4" w:space="0" w:color="000000"/>
            </w:tcBorders>
          </w:tcPr>
          <w:p>
            <w:pPr>
              <w:pStyle w:val="TableParagraph"/>
              <w:spacing w:line="240" w:lineRule="auto" w:before="57"/>
              <w:ind w:right="21"/>
              <w:jc w:val="right"/>
              <w:rPr>
                <w:rFonts w:ascii="Times New Roman" w:hAnsi="Times New Roman" w:cs="Times New Roman" w:eastAsia="Times New Roman" w:hint="default"/>
                <w:sz w:val="18"/>
                <w:szCs w:val="18"/>
              </w:rPr>
            </w:pPr>
            <w:r>
              <w:rPr>
                <w:rFonts w:ascii="Times New Roman"/>
                <w:spacing w:val="-1"/>
                <w:sz w:val="18"/>
              </w:rPr>
              <w:t>59,165,681.72</w:t>
            </w:r>
          </w:p>
        </w:tc>
        <w:tc>
          <w:tcPr>
            <w:tcW w:w="1623" w:type="dxa"/>
            <w:tcBorders>
              <w:top w:val="single" w:sz="50" w:space="0" w:color="D2D2D2"/>
              <w:left w:val="single" w:sz="4" w:space="0" w:color="000000"/>
              <w:bottom w:val="single" w:sz="4" w:space="0" w:color="000000"/>
              <w:right w:val="single" w:sz="4" w:space="0" w:color="000000"/>
            </w:tcBorders>
          </w:tcPr>
          <w:p>
            <w:pPr>
              <w:pStyle w:val="TableParagraph"/>
              <w:spacing w:line="240" w:lineRule="auto" w:before="57"/>
              <w:ind w:right="19"/>
              <w:jc w:val="right"/>
              <w:rPr>
                <w:rFonts w:ascii="Times New Roman" w:hAnsi="Times New Roman" w:cs="Times New Roman" w:eastAsia="Times New Roman" w:hint="default"/>
                <w:sz w:val="18"/>
                <w:szCs w:val="18"/>
              </w:rPr>
            </w:pPr>
            <w:r>
              <w:rPr>
                <w:rFonts w:ascii="Times New Roman"/>
                <w:sz w:val="18"/>
              </w:rPr>
              <w:t>8.94%</w:t>
            </w:r>
          </w:p>
        </w:tc>
        <w:tc>
          <w:tcPr>
            <w:tcW w:w="3018" w:type="dxa"/>
            <w:tcBorders>
              <w:top w:val="single" w:sz="50" w:space="0" w:color="D2D2D2"/>
              <w:left w:val="single" w:sz="4" w:space="0" w:color="000000"/>
              <w:bottom w:val="single" w:sz="4" w:space="0" w:color="000000"/>
              <w:right w:val="single" w:sz="13" w:space="0" w:color="D2D2D2"/>
            </w:tcBorders>
          </w:tcPr>
          <w:p>
            <w:pPr>
              <w:pStyle w:val="TableParagraph"/>
              <w:spacing w:line="240" w:lineRule="auto" w:before="18"/>
              <w:ind w:left="23" w:right="0"/>
              <w:jc w:val="left"/>
              <w:rPr>
                <w:rFonts w:ascii="宋体" w:hAnsi="宋体" w:cs="宋体" w:eastAsia="宋体" w:hint="default"/>
                <w:sz w:val="18"/>
                <w:szCs w:val="18"/>
              </w:rPr>
            </w:pPr>
            <w:r>
              <w:rPr>
                <w:rFonts w:ascii="宋体" w:hAnsi="宋体" w:cs="宋体" w:eastAsia="宋体" w:hint="default"/>
                <w:sz w:val="18"/>
                <w:szCs w:val="18"/>
              </w:rPr>
              <w:t>主要是对联营企业的投资收益</w:t>
            </w:r>
          </w:p>
        </w:tc>
        <w:tc>
          <w:tcPr>
            <w:tcW w:w="148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3,000,955.82</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0.45%</w:t>
            </w:r>
          </w:p>
        </w:tc>
        <w:tc>
          <w:tcPr>
            <w:tcW w:w="301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16,658,750.08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2.52%</w:t>
            </w:r>
          </w:p>
        </w:tc>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主要是存货跌价准备</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21" w:hRule="exact"/>
        </w:trPr>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3" w:space="0" w:color="D2D2D2"/>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36" w:right="0"/>
              <w:jc w:val="left"/>
              <w:rPr>
                <w:rFonts w:ascii="Times New Roman" w:hAnsi="Times New Roman" w:cs="Times New Roman" w:eastAsia="Times New Roman" w:hint="default"/>
                <w:sz w:val="18"/>
                <w:szCs w:val="18"/>
              </w:rPr>
            </w:pPr>
            <w:r>
              <w:rPr>
                <w:rFonts w:ascii="Times New Roman"/>
                <w:sz w:val="18"/>
              </w:rPr>
              <w:t>28,420,841.95</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4.30%</w:t>
            </w:r>
          </w:p>
        </w:tc>
        <w:tc>
          <w:tcPr>
            <w:tcW w:w="3018" w:type="dxa"/>
            <w:vMerge w:val="restart"/>
            <w:tcBorders>
              <w:top w:val="single" w:sz="4" w:space="0" w:color="000000"/>
              <w:left w:val="single" w:sz="4" w:space="0" w:color="000000"/>
              <w:right w:val="single" w:sz="4" w:space="0" w:color="000000"/>
            </w:tcBorders>
          </w:tcPr>
          <w:p>
            <w:pPr>
              <w:pStyle w:val="TableParagraph"/>
              <w:spacing w:line="240" w:lineRule="auto" w:before="9"/>
              <w:ind w:left="23" w:right="102"/>
              <w:jc w:val="left"/>
              <w:rPr>
                <w:rFonts w:ascii="宋体" w:hAnsi="宋体" w:cs="宋体" w:eastAsia="宋体" w:hint="default"/>
                <w:sz w:val="18"/>
                <w:szCs w:val="18"/>
              </w:rPr>
            </w:pPr>
            <w:r>
              <w:rPr>
                <w:rFonts w:ascii="宋体" w:hAnsi="宋体" w:cs="宋体" w:eastAsia="宋体" w:hint="default"/>
                <w:sz w:val="18"/>
                <w:szCs w:val="18"/>
              </w:rPr>
              <w:t>主要是与日常经营活动无关的政府补 助</w:t>
            </w:r>
          </w:p>
        </w:tc>
        <w:tc>
          <w:tcPr>
            <w:tcW w:w="1488" w:type="dxa"/>
            <w:vMerge w:val="restart"/>
            <w:tcBorders>
              <w:top w:val="single" w:sz="4" w:space="0" w:color="000000"/>
              <w:left w:val="single" w:sz="4" w:space="0" w:color="000000"/>
              <w:right w:val="single" w:sz="4" w:space="0" w:color="000000"/>
            </w:tcBorders>
          </w:tcPr>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36" w:hRule="exact"/>
        </w:trPr>
        <w:tc>
          <w:tcPr>
            <w:tcW w:w="152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vMerge/>
            <w:tcBorders>
              <w:left w:val="single" w:sz="13"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3018" w:type="dxa"/>
            <w:vMerge/>
            <w:tcBorders>
              <w:left w:val="single" w:sz="4" w:space="0" w:color="000000"/>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r>
      <w:tr>
        <w:trPr>
          <w:trHeight w:val="122" w:hRule="exact"/>
        </w:trPr>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3" w:space="0" w:color="D2D2D2"/>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26" w:right="0"/>
              <w:jc w:val="left"/>
              <w:rPr>
                <w:rFonts w:ascii="Times New Roman" w:hAnsi="Times New Roman" w:cs="Times New Roman" w:eastAsia="Times New Roman" w:hint="default"/>
                <w:sz w:val="18"/>
                <w:szCs w:val="18"/>
              </w:rPr>
            </w:pPr>
            <w:r>
              <w:rPr>
                <w:rFonts w:ascii="Times New Roman"/>
                <w:sz w:val="18"/>
              </w:rPr>
              <w:t>8,278,416.43</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1.25%</w:t>
            </w:r>
          </w:p>
        </w:tc>
        <w:tc>
          <w:tcPr>
            <w:tcW w:w="3018" w:type="dxa"/>
            <w:vMerge w:val="restart"/>
            <w:tcBorders>
              <w:top w:val="single" w:sz="4" w:space="0" w:color="000000"/>
              <w:left w:val="single" w:sz="4" w:space="0" w:color="000000"/>
              <w:right w:val="single" w:sz="4" w:space="0" w:color="000000"/>
            </w:tcBorders>
          </w:tcPr>
          <w:p>
            <w:pPr>
              <w:pStyle w:val="TableParagraph"/>
              <w:spacing w:line="240" w:lineRule="auto" w:before="9"/>
              <w:ind w:left="23" w:right="102"/>
              <w:jc w:val="left"/>
              <w:rPr>
                <w:rFonts w:ascii="宋体" w:hAnsi="宋体" w:cs="宋体" w:eastAsia="宋体" w:hint="default"/>
                <w:sz w:val="18"/>
                <w:szCs w:val="18"/>
              </w:rPr>
            </w:pPr>
            <w:r>
              <w:rPr>
                <w:rFonts w:ascii="宋体" w:hAnsi="宋体" w:cs="宋体" w:eastAsia="宋体" w:hint="default"/>
                <w:sz w:val="18"/>
                <w:szCs w:val="18"/>
              </w:rPr>
              <w:t>主要是非流动资产到期报废损失和捐 赠</w:t>
            </w:r>
          </w:p>
        </w:tc>
        <w:tc>
          <w:tcPr>
            <w:tcW w:w="1488" w:type="dxa"/>
            <w:vMerge w:val="restart"/>
            <w:tcBorders>
              <w:top w:val="single" w:sz="4" w:space="0" w:color="000000"/>
              <w:left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34" w:hRule="exact"/>
        </w:trPr>
        <w:tc>
          <w:tcPr>
            <w:tcW w:w="152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vMerge/>
            <w:tcBorders>
              <w:left w:val="single" w:sz="13"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3018" w:type="dxa"/>
            <w:vMerge/>
            <w:tcBorders>
              <w:left w:val="single" w:sz="4" w:space="0" w:color="000000"/>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r>
      <w:tr>
        <w:trPr>
          <w:trHeight w:val="557" w:hRule="exact"/>
        </w:trPr>
        <w:tc>
          <w:tcPr>
            <w:tcW w:w="1523" w:type="dxa"/>
            <w:tcBorders>
              <w:top w:val="single" w:sz="50" w:space="0" w:color="D2D2D2"/>
              <w:left w:val="single" w:sz="4" w:space="0" w:color="000000"/>
              <w:bottom w:val="single" w:sz="4" w:space="0" w:color="000000"/>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45,044,709.71</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6.81%</w:t>
            </w:r>
          </w:p>
        </w:tc>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102"/>
              <w:jc w:val="left"/>
              <w:rPr>
                <w:rFonts w:ascii="宋体" w:hAnsi="宋体" w:cs="宋体" w:eastAsia="宋体" w:hint="default"/>
                <w:sz w:val="18"/>
                <w:szCs w:val="18"/>
              </w:rPr>
            </w:pPr>
            <w:r>
              <w:rPr>
                <w:rFonts w:ascii="宋体" w:hAnsi="宋体" w:cs="宋体" w:eastAsia="宋体" w:hint="default"/>
                <w:sz w:val="18"/>
                <w:szCs w:val="18"/>
              </w:rPr>
              <w:t>主要是与日常经营活动相关的政府补 助</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2"/>
        <w:rPr>
          <w:rFonts w:ascii="宋体" w:hAnsi="宋体" w:cs="宋体" w:eastAsia="宋体" w:hint="default"/>
          <w:sz w:val="17"/>
          <w:szCs w:val="17"/>
        </w:rPr>
      </w:pPr>
    </w:p>
    <w:p>
      <w:pPr>
        <w:pStyle w:val="Heading2"/>
        <w:spacing w:line="240" w:lineRule="auto" w:before="26"/>
        <w:ind w:right="0"/>
        <w:jc w:val="left"/>
        <w:rPr>
          <w:b w:val="0"/>
          <w:bCs w:val="0"/>
        </w:rPr>
      </w:pPr>
      <w:bookmarkStart w:name="四、资产及负债状况" w:id="41"/>
      <w:bookmarkEnd w:id="41"/>
      <w:r>
        <w:rPr>
          <w:b w:val="0"/>
          <w:bCs w:val="0"/>
        </w:rPr>
      </w:r>
      <w:r>
        <w:rPr/>
        <w:t>四、资产及负债状况</w:t>
      </w:r>
      <w:r>
        <w:rPr>
          <w:b w:val="0"/>
          <w:bCs w:val="0"/>
        </w:rPr>
      </w:r>
    </w:p>
    <w:p>
      <w:pPr>
        <w:spacing w:line="240" w:lineRule="auto" w:before="2"/>
        <w:rPr>
          <w:rFonts w:ascii="宋体" w:hAnsi="宋体" w:cs="宋体" w:eastAsia="宋体" w:hint="default"/>
          <w:b/>
          <w:bCs/>
          <w:sz w:val="23"/>
          <w:szCs w:val="23"/>
        </w:rPr>
      </w:pPr>
    </w:p>
    <w:p>
      <w:pPr>
        <w:pStyle w:val="Heading3"/>
        <w:spacing w:line="240" w:lineRule="auto"/>
        <w:ind w:right="0"/>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单位：元</w:t>
      </w:r>
    </w:p>
    <w:p>
      <w:pPr>
        <w:spacing w:line="240" w:lineRule="auto" w:before="3"/>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1338"/>
        <w:gridCol w:w="1315"/>
        <w:gridCol w:w="1031"/>
        <w:gridCol w:w="1316"/>
        <w:gridCol w:w="1031"/>
        <w:gridCol w:w="760"/>
        <w:gridCol w:w="2904"/>
      </w:tblGrid>
      <w:tr>
        <w:trPr>
          <w:trHeight w:val="323" w:hRule="exact"/>
        </w:trPr>
        <w:tc>
          <w:tcPr>
            <w:tcW w:w="1338" w:type="dxa"/>
            <w:vMerge w:val="restart"/>
            <w:tcBorders>
              <w:top w:val="single" w:sz="4" w:space="0" w:color="000000"/>
              <w:left w:val="single" w:sz="4" w:space="0" w:color="000000"/>
              <w:right w:val="single" w:sz="4" w:space="0" w:color="000000"/>
            </w:tcBorders>
            <w:shd w:val="clear" w:color="auto" w:fill="D2D2D2"/>
          </w:tcPr>
          <w:p>
            <w:pPr/>
          </w:p>
        </w:tc>
        <w:tc>
          <w:tcPr>
            <w:tcW w:w="23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3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4" w:right="103"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29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90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557" w:hRule="exact"/>
        </w:trPr>
        <w:tc>
          <w:tcPr>
            <w:tcW w:w="1338" w:type="dxa"/>
            <w:vMerge/>
            <w:tcBorders>
              <w:left w:val="single" w:sz="4" w:space="0" w:color="000000"/>
              <w:bottom w:val="single" w:sz="4" w:space="0" w:color="000000"/>
              <w:right w:val="single" w:sz="4" w:space="0" w:color="000000"/>
            </w:tcBorders>
            <w:shd w:val="clear" w:color="auto" w:fill="D2D2D2"/>
          </w:tcPr>
          <w:p>
            <w:pP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21" w:right="59"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21" w:right="59"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60" w:type="dxa"/>
            <w:vMerge/>
            <w:tcBorders>
              <w:left w:val="single" w:sz="4" w:space="0" w:color="000000"/>
              <w:bottom w:val="single" w:sz="4" w:space="0" w:color="000000"/>
              <w:right w:val="single" w:sz="4" w:space="0" w:color="000000"/>
            </w:tcBorders>
            <w:shd w:val="clear" w:color="auto" w:fill="D2D2D2"/>
          </w:tcPr>
          <w:p>
            <w:pPr/>
          </w:p>
        </w:tc>
        <w:tc>
          <w:tcPr>
            <w:tcW w:w="2904" w:type="dxa"/>
            <w:vMerge/>
            <w:tcBorders>
              <w:left w:val="single" w:sz="4" w:space="0" w:color="000000"/>
              <w:bottom w:val="single" w:sz="4" w:space="0" w:color="000000"/>
              <w:right w:val="single" w:sz="4" w:space="0" w:color="000000"/>
            </w:tcBorders>
            <w:shd w:val="clear" w:color="auto" w:fill="D2D2D2"/>
          </w:tcPr>
          <w:p>
            <w:pPr/>
          </w:p>
        </w:tc>
      </w:tr>
      <w:tr>
        <w:trPr>
          <w:trHeight w:val="557" w:hRule="exact"/>
        </w:trPr>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6,507,068,213.06</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6,755,992,516.21</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27.83%</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-2.79%</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171"/>
              <w:jc w:val="left"/>
              <w:rPr>
                <w:rFonts w:ascii="宋体" w:hAnsi="宋体" w:cs="宋体" w:eastAsia="宋体" w:hint="default"/>
                <w:sz w:val="18"/>
                <w:szCs w:val="18"/>
              </w:rPr>
            </w:pPr>
            <w:r>
              <w:rPr>
                <w:rFonts w:ascii="宋体" w:hAnsi="宋体" w:cs="宋体" w:eastAsia="宋体" w:hint="default"/>
                <w:sz w:val="18"/>
                <w:szCs w:val="18"/>
              </w:rPr>
              <w:t>主要是本报告期实现销售，库存减 少；</w:t>
            </w:r>
          </w:p>
        </w:tc>
      </w:tr>
      <w:tr>
        <w:trPr>
          <w:trHeight w:val="558" w:hRule="exact"/>
        </w:trPr>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314,493,973.34</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51,946,662.31</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0.21%</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171"/>
              <w:jc w:val="left"/>
              <w:rPr>
                <w:rFonts w:ascii="宋体" w:hAnsi="宋体" w:cs="宋体" w:eastAsia="宋体" w:hint="default"/>
                <w:sz w:val="18"/>
                <w:szCs w:val="18"/>
              </w:rPr>
            </w:pPr>
            <w:r>
              <w:rPr>
                <w:rFonts w:ascii="宋体" w:hAnsi="宋体" w:cs="宋体" w:eastAsia="宋体" w:hint="default"/>
                <w:sz w:val="18"/>
                <w:szCs w:val="18"/>
              </w:rPr>
              <w:t>主要是本报告期深圳土地项目工程 投入增加；</w:t>
            </w:r>
          </w:p>
        </w:tc>
      </w:tr>
    </w:tbl>
    <w:p>
      <w:pPr>
        <w:spacing w:after="0" w:line="232" w:lineRule="exact"/>
        <w:jc w:val="left"/>
        <w:rPr>
          <w:rFonts w:ascii="宋体" w:hAnsi="宋体" w:cs="宋体" w:eastAsia="宋体" w:hint="default"/>
          <w:sz w:val="18"/>
          <w:szCs w:val="18"/>
        </w:rPr>
        <w:sectPr>
          <w:pgSz w:w="11910" w:h="16840"/>
          <w:pgMar w:header="0"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338"/>
        <w:gridCol w:w="1315"/>
        <w:gridCol w:w="1031"/>
        <w:gridCol w:w="1316"/>
        <w:gridCol w:w="1031"/>
        <w:gridCol w:w="760"/>
        <w:gridCol w:w="2904"/>
      </w:tblGrid>
      <w:tr>
        <w:trPr>
          <w:trHeight w:val="324" w:hRule="exact"/>
        </w:trPr>
        <w:tc>
          <w:tcPr>
            <w:tcW w:w="1338" w:type="dxa"/>
            <w:vMerge w:val="restart"/>
            <w:tcBorders>
              <w:top w:val="single" w:sz="4" w:space="0" w:color="000000"/>
              <w:left w:val="single" w:sz="4" w:space="0" w:color="000000"/>
              <w:right w:val="single" w:sz="4" w:space="0" w:color="000000"/>
            </w:tcBorders>
            <w:shd w:val="clear" w:color="auto" w:fill="D2D2D2"/>
          </w:tcPr>
          <w:p>
            <w:pPr/>
          </w:p>
        </w:tc>
        <w:tc>
          <w:tcPr>
            <w:tcW w:w="23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3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4" w:right="103"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29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90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557" w:hRule="exact"/>
        </w:trPr>
        <w:tc>
          <w:tcPr>
            <w:tcW w:w="1338" w:type="dxa"/>
            <w:vMerge/>
            <w:tcBorders>
              <w:left w:val="single" w:sz="4" w:space="0" w:color="000000"/>
              <w:bottom w:val="single" w:sz="4" w:space="0" w:color="000000"/>
              <w:right w:val="single" w:sz="4" w:space="0" w:color="000000"/>
            </w:tcBorders>
            <w:shd w:val="clear" w:color="auto" w:fill="D2D2D2"/>
          </w:tcPr>
          <w:p>
            <w:pP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21" w:right="59"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21" w:right="59"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60" w:type="dxa"/>
            <w:vMerge/>
            <w:tcBorders>
              <w:left w:val="single" w:sz="4" w:space="0" w:color="000000"/>
              <w:bottom w:val="single" w:sz="4" w:space="0" w:color="000000"/>
              <w:right w:val="single" w:sz="4" w:space="0" w:color="000000"/>
            </w:tcBorders>
            <w:shd w:val="clear" w:color="auto" w:fill="D2D2D2"/>
          </w:tcPr>
          <w:p>
            <w:pPr/>
          </w:p>
        </w:tc>
        <w:tc>
          <w:tcPr>
            <w:tcW w:w="2904"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1,710,000,000.00</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6.58%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1,160,000,000.00</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4.78%</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1.80%</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9"/>
              <w:jc w:val="left"/>
              <w:rPr>
                <w:rFonts w:ascii="宋体" w:hAnsi="宋体" w:cs="宋体" w:eastAsia="宋体" w:hint="default"/>
                <w:sz w:val="18"/>
                <w:szCs w:val="18"/>
              </w:rPr>
            </w:pPr>
            <w:r>
              <w:rPr>
                <w:rFonts w:ascii="宋体" w:hAnsi="宋体" w:cs="宋体" w:eastAsia="宋体" w:hint="default"/>
                <w:sz w:val="18"/>
                <w:szCs w:val="18"/>
              </w:rPr>
              <w:t>主要是本报告期新增长期银行借款；</w:t>
            </w:r>
          </w:p>
        </w:tc>
      </w:tr>
      <w:tr>
        <w:trPr>
          <w:trHeight w:val="557" w:hRule="exact"/>
        </w:trPr>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45"/>
              <w:jc w:val="left"/>
              <w:rPr>
                <w:rFonts w:ascii="宋体" w:hAnsi="宋体" w:cs="宋体" w:eastAsia="宋体" w:hint="default"/>
                <w:sz w:val="18"/>
                <w:szCs w:val="18"/>
              </w:rPr>
            </w:pPr>
            <w:r>
              <w:rPr>
                <w:rFonts w:ascii="宋体" w:hAnsi="宋体" w:cs="宋体" w:eastAsia="宋体" w:hint="default"/>
                <w:sz w:val="18"/>
                <w:szCs w:val="18"/>
              </w:rPr>
              <w:t>应收票据及应收 账款</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9,808,599,645.57</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37.75%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8,370,246,168.01</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34.48%</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3.27%</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2"/>
              <w:jc w:val="left"/>
              <w:rPr>
                <w:rFonts w:ascii="宋体" w:hAnsi="宋体" w:cs="宋体" w:eastAsia="宋体" w:hint="default"/>
                <w:sz w:val="18"/>
                <w:szCs w:val="18"/>
              </w:rPr>
            </w:pPr>
            <w:r>
              <w:rPr>
                <w:rFonts w:ascii="宋体" w:hAnsi="宋体" w:cs="宋体" w:eastAsia="宋体" w:hint="default"/>
                <w:spacing w:val="-3"/>
                <w:sz w:val="18"/>
                <w:szCs w:val="18"/>
              </w:rPr>
              <w:t>主要原因是本报告期收入增长，相应</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应收账款增长；</w:t>
            </w:r>
          </w:p>
        </w:tc>
      </w:tr>
      <w:tr>
        <w:trPr>
          <w:trHeight w:val="557" w:hRule="exact"/>
        </w:trPr>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45"/>
              <w:jc w:val="left"/>
              <w:rPr>
                <w:rFonts w:ascii="宋体" w:hAnsi="宋体" w:cs="宋体" w:eastAsia="宋体" w:hint="default"/>
                <w:sz w:val="18"/>
                <w:szCs w:val="18"/>
              </w:rPr>
            </w:pPr>
            <w:r>
              <w:rPr>
                <w:rFonts w:ascii="宋体" w:hAnsi="宋体" w:cs="宋体" w:eastAsia="宋体" w:hint="default"/>
                <w:sz w:val="18"/>
                <w:szCs w:val="18"/>
              </w:rPr>
              <w:t>应付票据及应付 账款</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8,618,714,469.17</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33.17%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7,419,100,754.98</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30.57%</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2.60%</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171"/>
              <w:jc w:val="left"/>
              <w:rPr>
                <w:rFonts w:ascii="宋体" w:hAnsi="宋体" w:cs="宋体" w:eastAsia="宋体" w:hint="default"/>
                <w:sz w:val="18"/>
                <w:szCs w:val="18"/>
              </w:rPr>
            </w:pPr>
            <w:r>
              <w:rPr>
                <w:rFonts w:ascii="宋体" w:hAnsi="宋体" w:cs="宋体" w:eastAsia="宋体" w:hint="default"/>
                <w:sz w:val="18"/>
                <w:szCs w:val="18"/>
              </w:rPr>
              <w:t>主要是本报告期公司采购量增长带 来的应付账款增长；</w:t>
            </w:r>
          </w:p>
        </w:tc>
      </w:tr>
      <w:tr>
        <w:trPr>
          <w:trHeight w:val="558" w:hRule="exact"/>
        </w:trPr>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619,533,656.42</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2,047,415,091.31</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8.43%</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-6.05%</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169"/>
              <w:jc w:val="left"/>
              <w:rPr>
                <w:rFonts w:ascii="宋体" w:hAnsi="宋体" w:cs="宋体" w:eastAsia="宋体" w:hint="default"/>
                <w:sz w:val="18"/>
                <w:szCs w:val="18"/>
              </w:rPr>
            </w:pPr>
            <w:r>
              <w:rPr>
                <w:rFonts w:ascii="宋体" w:hAnsi="宋体" w:cs="宋体" w:eastAsia="宋体" w:hint="default"/>
                <w:sz w:val="18"/>
                <w:szCs w:val="18"/>
              </w:rPr>
              <w:t>主要是本报告期已支付深圳土地项 目地价款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23"/>
        <w:ind w:left="0" w:right="1130"/>
        <w:jc w:val="right"/>
      </w:pPr>
      <w:r>
        <w:rPr/>
        <w:t>单位：元</w:t>
      </w:r>
    </w:p>
    <w:p>
      <w:pPr>
        <w:spacing w:line="240" w:lineRule="auto" w:before="3"/>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1211"/>
        <w:gridCol w:w="1245"/>
        <w:gridCol w:w="1223"/>
        <w:gridCol w:w="1228"/>
        <w:gridCol w:w="1222"/>
        <w:gridCol w:w="1235"/>
        <w:gridCol w:w="1229"/>
        <w:gridCol w:w="1091"/>
      </w:tblGrid>
      <w:tr>
        <w:trPr>
          <w:trHeight w:val="122" w:hRule="exact"/>
        </w:trPr>
        <w:tc>
          <w:tcPr>
            <w:tcW w:w="1211" w:type="dxa"/>
            <w:vMerge w:val="restart"/>
            <w:tcBorders>
              <w:top w:val="single" w:sz="4" w:space="0" w:color="000000"/>
              <w:left w:val="single" w:sz="4" w:space="0" w:color="000000"/>
              <w:right w:val="single" w:sz="4" w:space="0" w:color="000000"/>
            </w:tcBorders>
            <w:shd w:val="clear" w:color="auto" w:fill="D2D2D2"/>
          </w:tcPr>
          <w:p>
            <w:pPr/>
          </w:p>
        </w:tc>
        <w:tc>
          <w:tcPr>
            <w:tcW w:w="1245" w:type="dxa"/>
            <w:vMerge w:val="restart"/>
            <w:tcBorders>
              <w:top w:val="single" w:sz="4" w:space="0" w:color="000000"/>
              <w:left w:val="single" w:sz="4" w:space="0" w:color="000000"/>
              <w:right w:val="single" w:sz="4" w:space="0" w:color="000000"/>
            </w:tcBorders>
            <w:shd w:val="clear" w:color="auto" w:fill="D2D2D2"/>
          </w:tcPr>
          <w:p>
            <w:pPr/>
          </w:p>
        </w:tc>
        <w:tc>
          <w:tcPr>
            <w:tcW w:w="12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28"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12"/>
              <w:ind w:left="69" w:right="67"/>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22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35" w:type="dxa"/>
            <w:vMerge w:val="restart"/>
            <w:tcBorders>
              <w:top w:val="single" w:sz="4" w:space="0" w:color="000000"/>
              <w:left w:val="single" w:sz="4" w:space="0" w:color="000000"/>
              <w:right w:val="single" w:sz="4" w:space="0" w:color="000000"/>
            </w:tcBorders>
            <w:shd w:val="clear" w:color="auto" w:fill="D2D2D2"/>
          </w:tcPr>
          <w:p>
            <w:pPr/>
          </w:p>
        </w:tc>
        <w:tc>
          <w:tcPr>
            <w:tcW w:w="1229" w:type="dxa"/>
            <w:vMerge w:val="restart"/>
            <w:tcBorders>
              <w:top w:val="single" w:sz="4" w:space="0" w:color="000000"/>
              <w:left w:val="single" w:sz="4" w:space="0" w:color="000000"/>
              <w:right w:val="single" w:sz="4" w:space="0" w:color="000000"/>
            </w:tcBorders>
            <w:shd w:val="clear" w:color="auto" w:fill="D2D2D2"/>
          </w:tcPr>
          <w:p>
            <w:pPr/>
          </w:p>
        </w:tc>
        <w:tc>
          <w:tcPr>
            <w:tcW w:w="1091" w:type="dxa"/>
            <w:vMerge w:val="restart"/>
            <w:tcBorders>
              <w:top w:val="single" w:sz="4" w:space="0" w:color="000000"/>
              <w:left w:val="single" w:sz="4" w:space="0" w:color="000000"/>
              <w:right w:val="single" w:sz="4" w:space="0" w:color="000000"/>
            </w:tcBorders>
            <w:shd w:val="clear" w:color="auto" w:fill="D2D2D2"/>
          </w:tcPr>
          <w:p>
            <w:pPr/>
          </w:p>
        </w:tc>
      </w:tr>
      <w:tr>
        <w:trPr>
          <w:trHeight w:val="116" w:hRule="exact"/>
        </w:trPr>
        <w:tc>
          <w:tcPr>
            <w:tcW w:w="1211" w:type="dxa"/>
            <w:vMerge/>
            <w:tcBorders>
              <w:left w:val="single" w:sz="4" w:space="0" w:color="000000"/>
              <w:bottom w:val="nil" w:sz="6" w:space="0" w:color="auto"/>
              <w:right w:val="single" w:sz="4" w:space="0" w:color="000000"/>
            </w:tcBorders>
            <w:shd w:val="clear" w:color="auto" w:fill="D2D2D2"/>
          </w:tcPr>
          <w:p>
            <w:pPr/>
          </w:p>
        </w:tc>
        <w:tc>
          <w:tcPr>
            <w:tcW w:w="1245" w:type="dxa"/>
            <w:vMerge/>
            <w:tcBorders>
              <w:left w:val="single" w:sz="4" w:space="0" w:color="000000"/>
              <w:bottom w:val="nil" w:sz="6" w:space="0" w:color="auto"/>
              <w:right w:val="single" w:sz="4" w:space="0" w:color="000000"/>
            </w:tcBorders>
            <w:shd w:val="clear" w:color="auto" w:fill="D2D2D2"/>
          </w:tcPr>
          <w:p>
            <w:pPr/>
          </w:p>
        </w:tc>
        <w:tc>
          <w:tcPr>
            <w:tcW w:w="12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43" w:right="67"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228" w:type="dxa"/>
            <w:vMerge/>
            <w:tcBorders>
              <w:left w:val="single" w:sz="4" w:space="0" w:color="000000"/>
              <w:right w:val="single" w:sz="4" w:space="0" w:color="000000"/>
            </w:tcBorders>
            <w:shd w:val="clear" w:color="auto" w:fill="D2D2D2"/>
          </w:tcPr>
          <w:p>
            <w:pPr/>
          </w:p>
        </w:tc>
        <w:tc>
          <w:tcPr>
            <w:tcW w:w="12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518" w:right="61" w:hanging="450"/>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35" w:type="dxa"/>
            <w:vMerge/>
            <w:tcBorders>
              <w:left w:val="single" w:sz="4" w:space="0" w:color="000000"/>
              <w:bottom w:val="nil" w:sz="6" w:space="0" w:color="auto"/>
              <w:right w:val="single" w:sz="4" w:space="0" w:color="000000"/>
            </w:tcBorders>
            <w:shd w:val="clear" w:color="auto" w:fill="D2D2D2"/>
          </w:tcPr>
          <w:p>
            <w:pPr/>
          </w:p>
        </w:tc>
        <w:tc>
          <w:tcPr>
            <w:tcW w:w="1229"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r>
      <w:tr>
        <w:trPr>
          <w:trHeight w:val="313" w:hRule="exact"/>
        </w:trPr>
        <w:tc>
          <w:tcPr>
            <w:tcW w:w="12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34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23" w:type="dxa"/>
            <w:vMerge/>
            <w:tcBorders>
              <w:left w:val="single" w:sz="4" w:space="0" w:color="000000"/>
              <w:right w:val="single" w:sz="4" w:space="0" w:color="000000"/>
            </w:tcBorders>
            <w:shd w:val="clear" w:color="auto" w:fill="D2D2D2"/>
          </w:tcPr>
          <w:p>
            <w:pPr/>
          </w:p>
        </w:tc>
        <w:tc>
          <w:tcPr>
            <w:tcW w:w="1228" w:type="dxa"/>
            <w:vMerge/>
            <w:tcBorders>
              <w:left w:val="single" w:sz="4" w:space="0" w:color="000000"/>
              <w:right w:val="single" w:sz="4" w:space="0" w:color="000000"/>
            </w:tcBorders>
            <w:shd w:val="clear" w:color="auto" w:fill="D2D2D2"/>
          </w:tcPr>
          <w:p>
            <w:pPr/>
          </w:p>
        </w:tc>
        <w:tc>
          <w:tcPr>
            <w:tcW w:w="1222" w:type="dxa"/>
            <w:vMerge/>
            <w:tcBorders>
              <w:left w:val="single" w:sz="4" w:space="0" w:color="000000"/>
              <w:right w:val="single" w:sz="4" w:space="0" w:color="000000"/>
            </w:tcBorders>
            <w:shd w:val="clear" w:color="auto" w:fill="D2D2D2"/>
          </w:tcPr>
          <w:p>
            <w:pPr/>
          </w:p>
        </w:tc>
        <w:tc>
          <w:tcPr>
            <w:tcW w:w="1235" w:type="dxa"/>
            <w:tcBorders>
              <w:top w:val="nil" w:sz="6" w:space="0" w:color="auto"/>
              <w:left w:val="single" w:sz="10" w:space="0" w:color="D2D2D2"/>
              <w:bottom w:val="nil" w:sz="6" w:space="0" w:color="auto"/>
              <w:right w:val="single" w:sz="9" w:space="0" w:color="D2D2D2"/>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2D2D2" w:color="auto" w:val="clear"/>
              </w:rPr>
              <w:t> </w:t>
            </w:r>
            <w:r>
              <w:rPr>
                <w:rFonts w:ascii="宋体" w:hAnsi="宋体" w:cs="宋体" w:eastAsia="宋体" w:hint="default"/>
                <w:sz w:val="18"/>
                <w:szCs w:val="18"/>
                <w:shd w:fill="D2D2D2" w:color="auto" w:val="clear"/>
              </w:rPr>
              <w:t>本期购买金额</w:t>
            </w:r>
            <w:r>
              <w:rPr>
                <w:rFonts w:ascii="宋体" w:hAnsi="宋体" w:cs="宋体" w:eastAsia="宋体" w:hint="default"/>
                <w:sz w:val="18"/>
                <w:szCs w:val="18"/>
              </w:rPr>
            </w:r>
          </w:p>
        </w:tc>
        <w:tc>
          <w:tcPr>
            <w:tcW w:w="12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68"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0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7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245" w:hRule="exact"/>
        </w:trPr>
        <w:tc>
          <w:tcPr>
            <w:tcW w:w="12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23" w:type="dxa"/>
            <w:vMerge/>
            <w:tcBorders>
              <w:left w:val="single" w:sz="4" w:space="0" w:color="000000"/>
              <w:bottom w:val="single" w:sz="4" w:space="0" w:color="000000"/>
              <w:right w:val="single" w:sz="4" w:space="0" w:color="000000"/>
            </w:tcBorders>
            <w:shd w:val="clear" w:color="auto" w:fill="D2D2D2"/>
          </w:tcPr>
          <w:p>
            <w:pPr/>
          </w:p>
        </w:tc>
        <w:tc>
          <w:tcPr>
            <w:tcW w:w="1228" w:type="dxa"/>
            <w:vMerge/>
            <w:tcBorders>
              <w:left w:val="single" w:sz="4" w:space="0" w:color="000000"/>
              <w:bottom w:val="single" w:sz="4" w:space="0" w:color="000000"/>
              <w:right w:val="single" w:sz="4" w:space="0" w:color="000000"/>
            </w:tcBorders>
            <w:shd w:val="clear" w:color="auto" w:fill="D2D2D2"/>
          </w:tcPr>
          <w:p>
            <w:pPr/>
          </w:p>
        </w:tc>
        <w:tc>
          <w:tcPr>
            <w:tcW w:w="1222" w:type="dxa"/>
            <w:vMerge/>
            <w:tcBorders>
              <w:left w:val="single" w:sz="4" w:space="0" w:color="000000"/>
              <w:bottom w:val="single" w:sz="4" w:space="0" w:color="000000"/>
              <w:right w:val="single" w:sz="4" w:space="0" w:color="000000"/>
            </w:tcBorders>
            <w:shd w:val="clear" w:color="auto" w:fill="D2D2D2"/>
          </w:tcPr>
          <w:p>
            <w:pPr/>
          </w:p>
        </w:tc>
        <w:tc>
          <w:tcPr>
            <w:tcW w:w="123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0"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472"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6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40"/>
              <w:ind w:left="11"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衍生金融资 产</w:t>
            </w:r>
          </w:p>
        </w:tc>
        <w:tc>
          <w:tcPr>
            <w:tcW w:w="1245" w:type="dxa"/>
            <w:tcBorders>
              <w:top w:val="single" w:sz="5" w:space="0" w:color="D2D2D2"/>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0.00</w:t>
            </w:r>
          </w:p>
        </w:tc>
        <w:tc>
          <w:tcPr>
            <w:tcW w:w="1223" w:type="dxa"/>
            <w:tcBorders>
              <w:top w:val="single" w:sz="5" w:space="0" w:color="D2D2D2"/>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397,002.56</w:t>
            </w:r>
          </w:p>
        </w:tc>
        <w:tc>
          <w:tcPr>
            <w:tcW w:w="1228" w:type="dxa"/>
            <w:tcBorders>
              <w:top w:val="single" w:sz="5" w:space="0" w:color="D2D2D2"/>
              <w:left w:val="single" w:sz="4" w:space="0" w:color="000000"/>
              <w:bottom w:val="single" w:sz="4" w:space="0" w:color="000000"/>
              <w:right w:val="single" w:sz="4" w:space="0" w:color="000000"/>
            </w:tcBorders>
          </w:tcPr>
          <w:p>
            <w:pPr/>
          </w:p>
        </w:tc>
        <w:tc>
          <w:tcPr>
            <w:tcW w:w="1222" w:type="dxa"/>
            <w:tcBorders>
              <w:top w:val="single" w:sz="5" w:space="0" w:color="D2D2D2"/>
              <w:left w:val="single" w:sz="4" w:space="0" w:color="000000"/>
              <w:bottom w:val="single" w:sz="4" w:space="0" w:color="000000"/>
              <w:right w:val="single" w:sz="4" w:space="0" w:color="000000"/>
            </w:tcBorders>
          </w:tcPr>
          <w:p>
            <w:pPr/>
          </w:p>
        </w:tc>
        <w:tc>
          <w:tcPr>
            <w:tcW w:w="1235" w:type="dxa"/>
            <w:tcBorders>
              <w:top w:val="single" w:sz="5" w:space="0" w:color="D2D2D2"/>
              <w:left w:val="single" w:sz="4" w:space="0" w:color="000000"/>
              <w:bottom w:val="single" w:sz="4" w:space="0" w:color="000000"/>
              <w:right w:val="single" w:sz="4" w:space="0" w:color="000000"/>
            </w:tcBorders>
          </w:tcPr>
          <w:p>
            <w:pPr/>
          </w:p>
        </w:tc>
        <w:tc>
          <w:tcPr>
            <w:tcW w:w="1229" w:type="dxa"/>
            <w:tcBorders>
              <w:top w:val="single" w:sz="5" w:space="0" w:color="D2D2D2"/>
              <w:left w:val="single" w:sz="4" w:space="0" w:color="000000"/>
              <w:bottom w:val="single" w:sz="4" w:space="0" w:color="000000"/>
              <w:right w:val="single" w:sz="4" w:space="0" w:color="000000"/>
            </w:tcBorders>
          </w:tcPr>
          <w:p>
            <w:pPr/>
          </w:p>
        </w:tc>
        <w:tc>
          <w:tcPr>
            <w:tcW w:w="1091" w:type="dxa"/>
            <w:tcBorders>
              <w:top w:val="single" w:sz="5" w:space="0" w:color="D2D2D2"/>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397,002.56</w:t>
            </w:r>
          </w:p>
        </w:tc>
      </w:tr>
      <w:tr>
        <w:trPr>
          <w:trHeight w:val="55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3"/>
              <w:ind w:left="11"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 融资产</w:t>
            </w:r>
          </w:p>
        </w:tc>
        <w:tc>
          <w:tcPr>
            <w:tcW w:w="12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33,572,076.75</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-9,777,002.25</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-10,844,655.07</w:t>
            </w:r>
          </w:p>
        </w:tc>
        <w:tc>
          <w:tcPr>
            <w:tcW w:w="1222" w:type="dxa"/>
            <w:tcBorders>
              <w:top w:val="single" w:sz="4" w:space="0" w:color="000000"/>
              <w:left w:val="single" w:sz="4" w:space="0" w:color="000000"/>
              <w:bottom w:val="single" w:sz="4" w:space="0" w:color="000000"/>
              <w:right w:val="single" w:sz="4" w:space="0" w:color="000000"/>
            </w:tcBorders>
          </w:tcPr>
          <w:p>
            <w:pPr/>
          </w:p>
        </w:tc>
        <w:tc>
          <w:tcPr>
            <w:tcW w:w="1235"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23,795,074.50</w:t>
            </w:r>
          </w:p>
        </w:tc>
      </w:tr>
      <w:tr>
        <w:trPr>
          <w:trHeight w:val="32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2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6"/>
              <w:jc w:val="right"/>
              <w:rPr>
                <w:rFonts w:ascii="Times New Roman" w:hAnsi="Times New Roman" w:cs="Times New Roman" w:eastAsia="Times New Roman" w:hint="default"/>
                <w:sz w:val="18"/>
                <w:szCs w:val="18"/>
              </w:rPr>
            </w:pPr>
            <w:r>
              <w:rPr>
                <w:rFonts w:ascii="Times New Roman"/>
                <w:spacing w:val="-1"/>
                <w:sz w:val="18"/>
              </w:rPr>
              <w:t>33,572,076.75</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-9,379,999.69</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-10,844,655.07</w:t>
            </w:r>
          </w:p>
        </w:tc>
        <w:tc>
          <w:tcPr>
            <w:tcW w:w="1222" w:type="dxa"/>
            <w:tcBorders>
              <w:top w:val="single" w:sz="4" w:space="0" w:color="000000"/>
              <w:left w:val="single" w:sz="4" w:space="0" w:color="000000"/>
              <w:bottom w:val="single" w:sz="4" w:space="0" w:color="000000"/>
              <w:right w:val="single" w:sz="4" w:space="0" w:color="000000"/>
            </w:tcBorders>
          </w:tcPr>
          <w:p>
            <w:pPr/>
          </w:p>
        </w:tc>
        <w:tc>
          <w:tcPr>
            <w:tcW w:w="1235"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24,192,077.06</w:t>
            </w:r>
          </w:p>
        </w:tc>
      </w:tr>
      <w:tr>
        <w:trPr>
          <w:trHeight w:val="324"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6"/>
              <w:jc w:val="right"/>
              <w:rPr>
                <w:rFonts w:ascii="Times New Roman" w:hAnsi="Times New Roman" w:cs="Times New Roman" w:eastAsia="Times New Roman" w:hint="default"/>
                <w:sz w:val="18"/>
                <w:szCs w:val="18"/>
              </w:rPr>
            </w:pPr>
            <w:r>
              <w:rPr>
                <w:rFonts w:ascii="Times New Roman"/>
                <w:spacing w:val="-1"/>
                <w:sz w:val="18"/>
              </w:rPr>
              <w:t>33,572,076.75</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-9,379,999.69</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-10,844,655.07</w:t>
            </w:r>
          </w:p>
        </w:tc>
        <w:tc>
          <w:tcPr>
            <w:tcW w:w="1222" w:type="dxa"/>
            <w:tcBorders>
              <w:top w:val="single" w:sz="4" w:space="0" w:color="000000"/>
              <w:left w:val="single" w:sz="4" w:space="0" w:color="000000"/>
              <w:bottom w:val="single" w:sz="4" w:space="0" w:color="000000"/>
              <w:right w:val="single" w:sz="4" w:space="0" w:color="000000"/>
            </w:tcBorders>
          </w:tcPr>
          <w:p>
            <w:pPr/>
          </w:p>
        </w:tc>
        <w:tc>
          <w:tcPr>
            <w:tcW w:w="1235"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24,192,077.06</w:t>
            </w:r>
          </w:p>
        </w:tc>
      </w:tr>
      <w:tr>
        <w:trPr>
          <w:trHeight w:val="32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7"/>
              <w:jc w:val="right"/>
              <w:rPr>
                <w:rFonts w:ascii="Times New Roman" w:hAnsi="Times New Roman" w:cs="Times New Roman" w:eastAsia="Times New Roman" w:hint="default"/>
                <w:sz w:val="18"/>
                <w:szCs w:val="18"/>
              </w:rPr>
            </w:pPr>
            <w:r>
              <w:rPr>
                <w:rFonts w:ascii="Times New Roman"/>
                <w:spacing w:val="-1"/>
                <w:sz w:val="18"/>
              </w:rPr>
              <w:t>23,695,894.11</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-2,603,953.26</w:t>
            </w:r>
          </w:p>
        </w:tc>
        <w:tc>
          <w:tcPr>
            <w:tcW w:w="1228"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35"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21,091,940.85</w:t>
            </w:r>
          </w:p>
        </w:tc>
      </w:tr>
    </w:tbl>
    <w:p>
      <w:pPr>
        <w:pStyle w:val="BodyText"/>
        <w:spacing w:line="240" w:lineRule="auto" w:before="10"/>
        <w:ind w:right="0"/>
        <w:jc w:val="left"/>
      </w:pPr>
      <w:r>
        <w:rPr/>
        <w:t>报告期内公司主要资产计量属性是否发生重大变化</w:t>
      </w:r>
    </w:p>
    <w:p>
      <w:pPr>
        <w:pStyle w:val="BodyText"/>
        <w:spacing w:line="240" w:lineRule="auto" w:before="38"/>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left="514" w:right="0"/>
        <w:jc w:val="left"/>
      </w:pPr>
      <w:r>
        <w:rPr>
          <w:rFonts w:ascii="Times New Roman" w:hAnsi="Times New Roman" w:cs="Times New Roman" w:eastAsia="Times New Roman" w:hint="default"/>
        </w:rPr>
        <w:t>1</w:t>
      </w:r>
      <w:r>
        <w:rPr/>
        <w:t>、因未决诉讼被冻结的货币资金、保函保证金、信用证保证金、银行承兑汇票保证金以及受限制定期存款合计</w:t>
      </w:r>
    </w:p>
    <w:p>
      <w:pPr>
        <w:pStyle w:val="BodyText"/>
        <w:spacing w:line="240" w:lineRule="auto" w:before="19"/>
        <w:ind w:right="0"/>
        <w:jc w:val="left"/>
      </w:pPr>
      <w:r>
        <w:rPr>
          <w:rFonts w:ascii="Times New Roman" w:hAnsi="Times New Roman" w:cs="Times New Roman" w:eastAsia="Times New Roman" w:hint="default"/>
        </w:rPr>
        <w:t>648,534,773.63</w:t>
      </w:r>
      <w:r>
        <w:rPr/>
        <w:t>元。详情见本报告</w:t>
      </w:r>
      <w:r>
        <w:rPr>
          <w:rFonts w:ascii="Times New Roman" w:hAnsi="Times New Roman" w:cs="Times New Roman" w:eastAsia="Times New Roman" w:hint="default"/>
        </w:rPr>
        <w:t>“</w:t>
      </w:r>
      <w:r>
        <w:rPr/>
        <w:t>第十一节财务报告、七、合并财务报表项目注释、</w:t>
      </w:r>
      <w:r>
        <w:rPr>
          <w:rFonts w:ascii="Times New Roman" w:hAnsi="Times New Roman" w:cs="Times New Roman" w:eastAsia="Times New Roman" w:hint="default"/>
        </w:rPr>
        <w:t>1</w:t>
      </w:r>
      <w:r>
        <w:rPr/>
        <w:t>、货币资金</w:t>
      </w:r>
      <w:r>
        <w:rPr>
          <w:rFonts w:ascii="Times New Roman" w:hAnsi="Times New Roman" w:cs="Times New Roman" w:eastAsia="Times New Roman" w:hint="default"/>
        </w:rPr>
        <w:t>”</w:t>
      </w:r>
      <w:r>
        <w:rPr/>
        <w:t>。</w:t>
      </w:r>
    </w:p>
    <w:p>
      <w:pPr>
        <w:pStyle w:val="BodyText"/>
        <w:spacing w:line="259" w:lineRule="auto" w:before="18"/>
        <w:ind w:right="1132" w:firstLine="360"/>
        <w:jc w:val="left"/>
      </w:pPr>
      <w:r>
        <w:rPr>
          <w:rFonts w:ascii="Times New Roman" w:hAnsi="Times New Roman" w:cs="Times New Roman" w:eastAsia="Times New Roman" w:hint="default"/>
        </w:rPr>
        <w:t>2</w:t>
      </w:r>
      <w:r>
        <w:rPr/>
        <w:t>、本公司为购买神州控股下属</w:t>
      </w:r>
      <w:r>
        <w:rPr>
          <w:rFonts w:ascii="Times New Roman" w:hAnsi="Times New Roman" w:cs="Times New Roman" w:eastAsia="Times New Roman" w:hint="default"/>
        </w:rPr>
        <w:t>IT</w:t>
      </w:r>
      <w:r>
        <w:rPr/>
        <w:t>分销业务公司，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月自北京银行股份有限公司中关村科技园支行借入的</w:t>
      </w:r>
      <w:r>
        <w:rPr>
          <w:rFonts w:ascii="Times New Roman" w:hAnsi="Times New Roman" w:cs="Times New Roman" w:eastAsia="Times New Roman" w:hint="default"/>
        </w:rPr>
        <w:t>5</w:t>
      </w:r>
      <w:r>
        <w:rPr/>
        <w:t>年期长 期借款，本公司以持有的神码中国</w:t>
      </w:r>
      <w:r>
        <w:rPr>
          <w:rFonts w:ascii="Times New Roman" w:hAnsi="Times New Roman" w:cs="Times New Roman" w:eastAsia="Times New Roman" w:hint="default"/>
        </w:rPr>
        <w:t>100%</w:t>
      </w:r>
      <w:r>
        <w:rPr/>
        <w:t>股权、神码上海</w:t>
      </w:r>
      <w:r>
        <w:rPr>
          <w:rFonts w:ascii="Times New Roman" w:hAnsi="Times New Roman" w:cs="Times New Roman" w:eastAsia="Times New Roman" w:hint="default"/>
        </w:rPr>
        <w:t>100%</w:t>
      </w:r>
      <w:r>
        <w:rPr/>
        <w:t>股权、神码广州</w:t>
      </w:r>
      <w:r>
        <w:rPr>
          <w:rFonts w:ascii="Times New Roman" w:hAnsi="Times New Roman" w:cs="Times New Roman" w:eastAsia="Times New Roman" w:hint="default"/>
        </w:rPr>
        <w:t>100%</w:t>
      </w:r>
      <w:r>
        <w:rPr/>
        <w:t>股权进行质押。</w:t>
      </w:r>
    </w:p>
    <w:p>
      <w:pPr>
        <w:pStyle w:val="BodyText"/>
        <w:spacing w:line="259" w:lineRule="auto" w:before="3"/>
        <w:ind w:right="0" w:firstLine="360"/>
        <w:jc w:val="left"/>
      </w:pPr>
      <w:r>
        <w:rPr>
          <w:rFonts w:ascii="Times New Roman" w:hAnsi="Times New Roman" w:cs="Times New Roman" w:eastAsia="Times New Roman" w:hint="default"/>
          <w:spacing w:val="-2"/>
        </w:rPr>
        <w:t>3</w:t>
      </w:r>
      <w:r>
        <w:rPr>
          <w:spacing w:val="-2"/>
        </w:rPr>
        <w:t>、本公司之子公司神码深圳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月自平安银行股份有限公司深圳分行借入的</w:t>
      </w:r>
      <w:r>
        <w:rPr>
          <w:rFonts w:ascii="Times New Roman" w:hAnsi="Times New Roman" w:cs="Times New Roman" w:eastAsia="Times New Roman" w:hint="default"/>
          <w:spacing w:val="-2"/>
        </w:rPr>
        <w:t>3</w:t>
      </w:r>
      <w:r>
        <w:rPr>
          <w:spacing w:val="-2"/>
        </w:rPr>
        <w:t>年期长期借款，本公司以深圳土地使</w:t>
      </w:r>
      <w:r>
        <w:rPr/>
        <w:t> 用权进行抵押。</w:t>
      </w:r>
    </w:p>
    <w:p>
      <w:pPr>
        <w:spacing w:line="240" w:lineRule="auto" w:before="8"/>
        <w:rPr>
          <w:rFonts w:ascii="宋体" w:hAnsi="宋体" w:cs="宋体" w:eastAsia="宋体" w:hint="default"/>
          <w:sz w:val="23"/>
          <w:szCs w:val="23"/>
        </w:rPr>
      </w:pPr>
    </w:p>
    <w:p>
      <w:pPr>
        <w:pStyle w:val="Heading2"/>
        <w:spacing w:line="240" w:lineRule="auto"/>
        <w:ind w:right="0"/>
        <w:jc w:val="left"/>
        <w:rPr>
          <w:b w:val="0"/>
          <w:bCs w:val="0"/>
        </w:rPr>
      </w:pPr>
      <w:bookmarkStart w:name="五、投资状况" w:id="45"/>
      <w:bookmarkEnd w:id="45"/>
      <w:r>
        <w:rPr>
          <w:b w:val="0"/>
          <w:bCs w:val="0"/>
        </w:rPr>
      </w:r>
      <w:r>
        <w:rPr/>
        <w:t>五、投资状况</w:t>
      </w:r>
      <w:r>
        <w:rPr>
          <w:b w:val="0"/>
          <w:bCs w:val="0"/>
        </w:rPr>
      </w:r>
    </w:p>
    <w:p>
      <w:pPr>
        <w:spacing w:line="240" w:lineRule="auto" w:before="2"/>
        <w:rPr>
          <w:rFonts w:ascii="宋体" w:hAnsi="宋体" w:cs="宋体" w:eastAsia="宋体" w:hint="default"/>
          <w:b/>
          <w:bCs/>
          <w:sz w:val="23"/>
          <w:szCs w:val="23"/>
        </w:rPr>
      </w:pPr>
    </w:p>
    <w:p>
      <w:pPr>
        <w:pStyle w:val="Heading3"/>
        <w:spacing w:line="240" w:lineRule="auto"/>
        <w:ind w:right="0"/>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2"/>
        <w:rPr>
          <w:rFonts w:ascii="宋体" w:hAnsi="宋体" w:cs="宋体" w:eastAsia="宋体" w:hint="default"/>
          <w:sz w:val="4"/>
          <w:szCs w:val="4"/>
        </w:rPr>
      </w:pPr>
    </w:p>
    <w:tbl>
      <w:tblPr>
        <w:tblW w:w="0" w:type="auto"/>
        <w:jc w:val="left"/>
        <w:tblInd w:w="121" w:type="dxa"/>
        <w:tblLayout w:type="fixed"/>
        <w:tblCellMar>
          <w:top w:w="0" w:type="dxa"/>
          <w:left w:w="0" w:type="dxa"/>
          <w:bottom w:w="0" w:type="dxa"/>
          <w:right w:w="0" w:type="dxa"/>
        </w:tblCellMar>
        <w:tblLook w:val="01E0"/>
      </w:tblPr>
      <w:tblGrid>
        <w:gridCol w:w="3230"/>
        <w:gridCol w:w="3233"/>
        <w:gridCol w:w="3232"/>
      </w:tblGrid>
      <w:tr>
        <w:trPr>
          <w:trHeight w:val="323" w:hRule="exact"/>
        </w:trPr>
        <w:tc>
          <w:tcPr>
            <w:tcW w:w="3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9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1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298"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937" w:right="0"/>
              <w:jc w:val="left"/>
              <w:rPr>
                <w:rFonts w:ascii="Times New Roman" w:hAnsi="Times New Roman" w:cs="Times New Roman" w:eastAsia="Times New Roman" w:hint="default"/>
                <w:sz w:val="18"/>
                <w:szCs w:val="18"/>
              </w:rPr>
            </w:pPr>
            <w:r>
              <w:rPr>
                <w:rFonts w:ascii="Times New Roman"/>
                <w:sz w:val="18"/>
              </w:rPr>
              <w:t>1,054,524,805.32</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076" w:right="0"/>
              <w:jc w:val="left"/>
              <w:rPr>
                <w:rFonts w:ascii="Times New Roman" w:hAnsi="Times New Roman" w:cs="Times New Roman" w:eastAsia="Times New Roman" w:hint="default"/>
                <w:sz w:val="18"/>
                <w:szCs w:val="18"/>
              </w:rPr>
            </w:pPr>
            <w:r>
              <w:rPr>
                <w:rFonts w:ascii="Times New Roman"/>
                <w:sz w:val="18"/>
              </w:rPr>
              <w:t>842,784,725.90</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18"/>
                <w:szCs w:val="18"/>
              </w:rPr>
            </w:pPr>
            <w:r>
              <w:rPr>
                <w:rFonts w:ascii="Times New Roman"/>
                <w:sz w:val="18"/>
              </w:rPr>
              <w:t>25.12%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pStyle w:val="Heading3"/>
        <w:spacing w:line="240" w:lineRule="auto" w:before="31"/>
        <w:ind w:left="860" w:right="0"/>
        <w:jc w:val="left"/>
        <w:rPr>
          <w:b w:val="0"/>
          <w:bCs w:val="0"/>
        </w:rPr>
      </w:pPr>
      <w:r>
        <w:rPr/>
        <w:pict>
          <v:group style="position:absolute;margin-left:70.5pt;margin-top:2.233667pt;width:701pt;height:.1pt;mso-position-horizontal-relative:page;mso-position-vertical-relative:paragraph;z-index:-1466320" coordorigin="1410,45" coordsize="14020,2">
            <v:shape style="position:absolute;left:1410;top:45;width:14020;height:2" coordorigin="1410,45" coordsize="14020,0" path="m1410,45l15430,45e" filled="false" stroked="true" strokeweight=".72pt" strokecolor="#000000">
              <v:path arrowok="t"/>
            </v:shape>
            <w10:wrap type="none"/>
          </v:group>
        </w:pict>
      </w: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86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1"/>
          <w:szCs w:val="21"/>
        </w:rPr>
      </w:pPr>
    </w:p>
    <w:p>
      <w:pPr>
        <w:pStyle w:val="Heading3"/>
        <w:spacing w:line="240" w:lineRule="auto"/>
        <w:ind w:left="860" w:right="0"/>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86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24"/>
        <w:ind w:left="0" w:right="656"/>
        <w:jc w:val="right"/>
      </w:pPr>
      <w:r>
        <w:rPr/>
        <w:t>单位：元</w:t>
      </w:r>
    </w:p>
    <w:p>
      <w:pPr>
        <w:spacing w:line="240" w:lineRule="auto" w:before="3"/>
        <w:rPr>
          <w:rFonts w:ascii="宋体" w:hAnsi="宋体" w:cs="宋体" w:eastAsia="宋体" w:hint="default"/>
          <w:sz w:val="5"/>
          <w:szCs w:val="5"/>
        </w:rPr>
      </w:pPr>
    </w:p>
    <w:tbl>
      <w:tblPr>
        <w:tblW w:w="0" w:type="auto"/>
        <w:jc w:val="left"/>
        <w:tblInd w:w="827" w:type="dxa"/>
        <w:tblLayout w:type="fixed"/>
        <w:tblCellMar>
          <w:top w:w="0" w:type="dxa"/>
          <w:left w:w="0" w:type="dxa"/>
          <w:bottom w:w="0" w:type="dxa"/>
          <w:right w:w="0" w:type="dxa"/>
        </w:tblCellMar>
        <w:tblLook w:val="01E0"/>
      </w:tblPr>
      <w:tblGrid>
        <w:gridCol w:w="1030"/>
        <w:gridCol w:w="1036"/>
        <w:gridCol w:w="1034"/>
        <w:gridCol w:w="1036"/>
        <w:gridCol w:w="1324"/>
        <w:gridCol w:w="1324"/>
        <w:gridCol w:w="1036"/>
        <w:gridCol w:w="1033"/>
        <w:gridCol w:w="1034"/>
        <w:gridCol w:w="1034"/>
        <w:gridCol w:w="1033"/>
        <w:gridCol w:w="1035"/>
        <w:gridCol w:w="1026"/>
      </w:tblGrid>
      <w:tr>
        <w:trPr>
          <w:trHeight w:val="791" w:hRule="exact"/>
        </w:trPr>
        <w:tc>
          <w:tcPr>
            <w:tcW w:w="1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52" w:right="0"/>
              <w:jc w:val="left"/>
              <w:rPr>
                <w:rFonts w:ascii="宋体" w:hAnsi="宋体" w:cs="宋体" w:eastAsia="宋体" w:hint="default"/>
                <w:sz w:val="18"/>
                <w:szCs w:val="18"/>
              </w:rPr>
            </w:pPr>
            <w:r>
              <w:rPr>
                <w:rFonts w:ascii="宋体" w:hAnsi="宋体" w:cs="宋体" w:eastAsia="宋体" w:hint="default"/>
                <w:sz w:val="18"/>
                <w:szCs w:val="18"/>
              </w:rPr>
              <w:t>投资方式</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52" w:right="60" w:hanging="90"/>
              <w:jc w:val="left"/>
              <w:rPr>
                <w:rFonts w:ascii="宋体" w:hAnsi="宋体" w:cs="宋体" w:eastAsia="宋体" w:hint="default"/>
                <w:sz w:val="18"/>
                <w:szCs w:val="18"/>
              </w:rPr>
            </w:pPr>
            <w:r>
              <w:rPr>
                <w:rFonts w:ascii="宋体" w:hAnsi="宋体" w:cs="宋体" w:eastAsia="宋体" w:hint="default"/>
                <w:sz w:val="18"/>
                <w:szCs w:val="18"/>
              </w:rPr>
              <w:t>是否为固定 资产投资</w:t>
            </w:r>
          </w:p>
        </w:tc>
        <w:tc>
          <w:tcPr>
            <w:tcW w:w="1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42" w:right="61" w:hanging="180"/>
              <w:jc w:val="left"/>
              <w:rPr>
                <w:rFonts w:ascii="宋体" w:hAnsi="宋体" w:cs="宋体" w:eastAsia="宋体" w:hint="default"/>
                <w:sz w:val="18"/>
                <w:szCs w:val="18"/>
              </w:rPr>
            </w:pPr>
            <w:r>
              <w:rPr>
                <w:rFonts w:ascii="宋体" w:hAnsi="宋体" w:cs="宋体" w:eastAsia="宋体" w:hint="default"/>
                <w:sz w:val="18"/>
                <w:szCs w:val="18"/>
              </w:rPr>
              <w:t>投资项目涉 及行业</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566" w:right="25" w:hanging="540"/>
              <w:jc w:val="left"/>
              <w:rPr>
                <w:rFonts w:ascii="宋体" w:hAnsi="宋体" w:cs="宋体" w:eastAsia="宋体" w:hint="default"/>
                <w:sz w:val="18"/>
                <w:szCs w:val="18"/>
              </w:rPr>
            </w:pPr>
            <w:r>
              <w:rPr>
                <w:rFonts w:ascii="宋体" w:hAnsi="宋体" w:cs="宋体" w:eastAsia="宋体" w:hint="default"/>
                <w:sz w:val="18"/>
                <w:szCs w:val="18"/>
              </w:rPr>
              <w:t>本报告期投入金 额</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6" w:right="25"/>
              <w:jc w:val="left"/>
              <w:rPr>
                <w:rFonts w:ascii="宋体" w:hAnsi="宋体" w:cs="宋体" w:eastAsia="宋体" w:hint="default"/>
                <w:sz w:val="18"/>
                <w:szCs w:val="18"/>
              </w:rPr>
            </w:pPr>
            <w:r>
              <w:rPr>
                <w:rFonts w:ascii="宋体" w:hAnsi="宋体" w:cs="宋体" w:eastAsia="宋体" w:hint="default"/>
                <w:sz w:val="18"/>
                <w:szCs w:val="18"/>
              </w:rPr>
              <w:t>截至报告期末累 计实际投入金额</w:t>
            </w:r>
          </w:p>
        </w:tc>
        <w:tc>
          <w:tcPr>
            <w:tcW w:w="1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52"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1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项目进度</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52" w:right="0"/>
              <w:jc w:val="left"/>
              <w:rPr>
                <w:rFonts w:ascii="宋体" w:hAnsi="宋体" w:cs="宋体" w:eastAsia="宋体" w:hint="default"/>
                <w:sz w:val="18"/>
                <w:szCs w:val="18"/>
              </w:rPr>
            </w:pPr>
            <w:r>
              <w:rPr>
                <w:rFonts w:ascii="宋体" w:hAnsi="宋体" w:cs="宋体" w:eastAsia="宋体" w:hint="default"/>
                <w:sz w:val="18"/>
                <w:szCs w:val="18"/>
              </w:rPr>
              <w:t>预计收益</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61" w:right="61"/>
              <w:jc w:val="center"/>
              <w:rPr>
                <w:rFonts w:ascii="宋体" w:hAnsi="宋体" w:cs="宋体" w:eastAsia="宋体" w:hint="default"/>
                <w:sz w:val="18"/>
                <w:szCs w:val="18"/>
              </w:rPr>
            </w:pPr>
            <w:r>
              <w:rPr>
                <w:rFonts w:ascii="宋体" w:hAnsi="宋体" w:cs="宋体" w:eastAsia="宋体" w:hint="default"/>
                <w:sz w:val="18"/>
                <w:szCs w:val="18"/>
              </w:rPr>
              <w:t>截止报告期 末累计实现 的收益</w:t>
            </w:r>
          </w:p>
        </w:tc>
        <w:tc>
          <w:tcPr>
            <w:tcW w:w="1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61" w:right="60"/>
              <w:jc w:val="both"/>
              <w:rPr>
                <w:rFonts w:ascii="宋体" w:hAnsi="宋体" w:cs="宋体" w:eastAsia="宋体" w:hint="default"/>
                <w:sz w:val="18"/>
                <w:szCs w:val="18"/>
              </w:rPr>
            </w:pPr>
            <w:r>
              <w:rPr>
                <w:rFonts w:ascii="宋体" w:hAnsi="宋体" w:cs="宋体" w:eastAsia="宋体" w:hint="default"/>
                <w:sz w:val="18"/>
                <w:szCs w:val="18"/>
              </w:rPr>
              <w:t>未达到计划 进度和预计 收益的原因</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127"/>
              <w:ind w:left="152"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35" w:lineRule="exact"/>
              <w:ind w:left="15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1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127"/>
              <w:ind w:left="147" w:right="0"/>
              <w:jc w:val="left"/>
              <w:rPr>
                <w:rFonts w:ascii="宋体" w:hAnsi="宋体" w:cs="宋体" w:eastAsia="宋体" w:hint="default"/>
                <w:sz w:val="18"/>
                <w:szCs w:val="18"/>
              </w:rPr>
            </w:pPr>
            <w:r>
              <w:rPr>
                <w:rFonts w:ascii="宋体" w:hAnsi="宋体" w:cs="宋体" w:eastAsia="宋体" w:hint="default"/>
                <w:sz w:val="18"/>
                <w:szCs w:val="18"/>
              </w:rPr>
              <w:t>披露索引</w:t>
            </w:r>
          </w:p>
          <w:p>
            <w:pPr>
              <w:pStyle w:val="TableParagraph"/>
              <w:spacing w:line="235" w:lineRule="exact"/>
              <w:ind w:left="147" w:right="0"/>
              <w:jc w:val="left"/>
              <w:rPr>
                <w:rFonts w:ascii="宋体" w:hAnsi="宋体" w:cs="宋体" w:eastAsia="宋体" w:hint="default"/>
                <w:sz w:val="18"/>
                <w:szCs w:val="18"/>
              </w:rPr>
            </w:pPr>
            <w:r>
              <w:rPr>
                <w:rFonts w:ascii="宋体" w:hAnsi="宋体" w:cs="宋体" w:eastAsia="宋体" w:hint="default"/>
                <w:sz w:val="18"/>
                <w:szCs w:val="18"/>
              </w:rPr>
              <w:t>（如有）</w:t>
            </w:r>
          </w:p>
        </w:tc>
      </w:tr>
      <w:tr>
        <w:trPr>
          <w:trHeight w:val="1004"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9"/>
              <w:ind w:left="22" w:right="95"/>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深圳湾超级 总部基地 </w:t>
            </w:r>
            <w:r>
              <w:rPr>
                <w:rFonts w:ascii="Times New Roman" w:hAnsi="Times New Roman" w:cs="Times New Roman" w:eastAsia="Times New Roman" w:hint="default"/>
                <w:sz w:val="18"/>
                <w:szCs w:val="18"/>
              </w:rPr>
              <w:t>T207-0052</w:t>
            </w:r>
          </w:p>
          <w:p>
            <w:pPr>
              <w:pStyle w:val="TableParagraph"/>
              <w:spacing w:line="203" w:lineRule="exact"/>
              <w:ind w:left="22" w:right="0"/>
              <w:jc w:val="left"/>
              <w:rPr>
                <w:rFonts w:ascii="宋体" w:hAnsi="宋体" w:cs="宋体" w:eastAsia="宋体" w:hint="default"/>
                <w:sz w:val="18"/>
                <w:szCs w:val="18"/>
              </w:rPr>
            </w:pPr>
            <w:r>
              <w:rPr>
                <w:rFonts w:ascii="宋体" w:hAnsi="宋体" w:cs="宋体" w:eastAsia="宋体" w:hint="default"/>
                <w:sz w:val="18"/>
                <w:szCs w:val="18"/>
              </w:rPr>
              <w:t>地块</w:t>
            </w:r>
          </w:p>
        </w:tc>
        <w:tc>
          <w:tcPr>
            <w:tcW w:w="1036"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1034"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36"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2" w:right="101"/>
              <w:jc w:val="left"/>
              <w:rPr>
                <w:rFonts w:ascii="宋体" w:hAnsi="宋体" w:cs="宋体" w:eastAsia="宋体" w:hint="default"/>
                <w:sz w:val="18"/>
                <w:szCs w:val="18"/>
              </w:rPr>
            </w:pPr>
            <w:r>
              <w:rPr>
                <w:rFonts w:ascii="宋体" w:hAnsi="宋体" w:cs="宋体" w:eastAsia="宋体" w:hint="default"/>
                <w:sz w:val="18"/>
                <w:szCs w:val="18"/>
              </w:rPr>
              <w:t>自建总部基 地</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2,210,985,131.61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7" w:right="0"/>
              <w:jc w:val="center"/>
              <w:rPr>
                <w:rFonts w:ascii="Times New Roman" w:hAnsi="Times New Roman" w:cs="Times New Roman" w:eastAsia="Times New Roman" w:hint="default"/>
                <w:sz w:val="18"/>
                <w:szCs w:val="18"/>
              </w:rPr>
            </w:pPr>
            <w:r>
              <w:rPr>
                <w:rFonts w:ascii="Times New Roman"/>
                <w:sz w:val="18"/>
              </w:rPr>
              <w:t>4,033,897,201.72</w:t>
            </w:r>
          </w:p>
        </w:tc>
        <w:tc>
          <w:tcPr>
            <w:tcW w:w="1036"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1033"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670" w:right="0"/>
              <w:jc w:val="left"/>
              <w:rPr>
                <w:rFonts w:ascii="Times New Roman" w:hAnsi="Times New Roman" w:cs="Times New Roman" w:eastAsia="Times New Roman" w:hint="default"/>
                <w:sz w:val="18"/>
                <w:szCs w:val="18"/>
              </w:rPr>
            </w:pPr>
            <w:r>
              <w:rPr>
                <w:rFonts w:ascii="Times New Roman"/>
                <w:sz w:val="18"/>
              </w:rPr>
              <w:t>52%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z w:val="18"/>
              </w:rPr>
              <w:t>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z w:val="18"/>
              </w:rPr>
              <w:t>0.00</w:t>
            </w:r>
          </w:p>
        </w:tc>
        <w:tc>
          <w:tcPr>
            <w:tcW w:w="1033"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35"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6"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68"/>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10" w:hRule="exact"/>
        </w:trPr>
        <w:tc>
          <w:tcPr>
            <w:tcW w:w="1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w:t>
            </w:r>
          </w:p>
        </w:tc>
        <w:tc>
          <w:tcPr>
            <w:tcW w:w="1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1"/>
              <w:jc w:val="center"/>
              <w:rPr>
                <w:rFonts w:ascii="Times New Roman" w:hAnsi="Times New Roman" w:cs="Times New Roman" w:eastAsia="Times New Roman" w:hint="default"/>
                <w:sz w:val="18"/>
                <w:szCs w:val="18"/>
              </w:rPr>
            </w:pPr>
            <w:r>
              <w:rPr>
                <w:rFonts w:ascii="Times New Roman"/>
                <w:sz w:val="18"/>
              </w:rPr>
              <w:t>--</w:t>
            </w:r>
          </w:p>
        </w:tc>
        <w:tc>
          <w:tcPr>
            <w:tcW w:w="13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2"/>
              <w:ind w:right="21"/>
              <w:jc w:val="right"/>
              <w:rPr>
                <w:rFonts w:ascii="Times New Roman" w:hAnsi="Times New Roman" w:cs="Times New Roman" w:eastAsia="Times New Roman" w:hint="default"/>
                <w:sz w:val="18"/>
                <w:szCs w:val="18"/>
              </w:rPr>
            </w:pPr>
            <w:r>
              <w:rPr>
                <w:rFonts w:ascii="Times New Roman"/>
                <w:spacing w:val="-1"/>
                <w:sz w:val="18"/>
              </w:rPr>
              <w:t>2,210,985,131.61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7" w:right="0"/>
              <w:jc w:val="center"/>
              <w:rPr>
                <w:rFonts w:ascii="Times New Roman" w:hAnsi="Times New Roman" w:cs="Times New Roman" w:eastAsia="Times New Roman" w:hint="default"/>
                <w:sz w:val="18"/>
                <w:szCs w:val="18"/>
              </w:rPr>
            </w:pPr>
            <w:r>
              <w:rPr>
                <w:rFonts w:ascii="Times New Roman"/>
                <w:sz w:val="18"/>
              </w:rPr>
              <w:t>4,033,897,201.72</w:t>
            </w:r>
          </w:p>
        </w:tc>
        <w:tc>
          <w:tcPr>
            <w:tcW w:w="1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w:t>
            </w:r>
          </w:p>
        </w:tc>
        <w:tc>
          <w:tcPr>
            <w:tcW w:w="1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1"/>
              <w:jc w:val="center"/>
              <w:rPr>
                <w:rFonts w:ascii="Times New Roman" w:hAnsi="Times New Roman" w:cs="Times New Roman" w:eastAsia="Times New Roman" w:hint="default"/>
                <w:sz w:val="18"/>
                <w:szCs w:val="18"/>
              </w:rPr>
            </w:pPr>
            <w:r>
              <w:rPr>
                <w:rFonts w:ascii="Times New Roman"/>
                <w:sz w:val="18"/>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9"/>
              <w:jc w:val="right"/>
              <w:rPr>
                <w:rFonts w:ascii="Times New Roman" w:hAnsi="Times New Roman" w:cs="Times New Roman" w:eastAsia="Times New Roman" w:hint="default"/>
                <w:sz w:val="18"/>
                <w:szCs w:val="18"/>
              </w:rPr>
            </w:pPr>
            <w:r>
              <w:rPr>
                <w:rFonts w:ascii="Times New Roman"/>
                <w:sz w:val="18"/>
              </w:rPr>
              <w:t>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1"/>
              <w:jc w:val="right"/>
              <w:rPr>
                <w:rFonts w:ascii="Times New Roman" w:hAnsi="Times New Roman" w:cs="Times New Roman" w:eastAsia="Times New Roman" w:hint="default"/>
                <w:sz w:val="18"/>
                <w:szCs w:val="18"/>
              </w:rPr>
            </w:pPr>
            <w:r>
              <w:rPr>
                <w:rFonts w:ascii="Times New Roman"/>
                <w:sz w:val="18"/>
              </w:rPr>
              <w:t>0.00</w:t>
            </w:r>
          </w:p>
        </w:tc>
        <w:tc>
          <w:tcPr>
            <w:tcW w:w="1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1"/>
              <w:jc w:val="center"/>
              <w:rPr>
                <w:rFonts w:ascii="Times New Roman" w:hAnsi="Times New Roman" w:cs="Times New Roman" w:eastAsia="Times New Roman" w:hint="default"/>
                <w:sz w:val="18"/>
                <w:szCs w:val="18"/>
              </w:rPr>
            </w:pPr>
            <w:r>
              <w:rPr>
                <w:rFonts w:ascii="Times New Roman"/>
                <w:sz w:val="18"/>
              </w:rPr>
              <w:t>--</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w:t>
            </w:r>
          </w:p>
        </w:tc>
        <w:tc>
          <w:tcPr>
            <w:tcW w:w="1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3"/>
        <w:spacing w:line="240" w:lineRule="auto" w:before="35"/>
        <w:ind w:left="860" w:right="0"/>
        <w:jc w:val="left"/>
        <w:rPr>
          <w:b w:val="0"/>
          <w:bCs w:val="0"/>
        </w:rPr>
      </w:pPr>
      <w:bookmarkStart w:name="4、金融资产投资" w:id="49"/>
      <w:bookmarkEnd w:id="49"/>
      <w:r>
        <w:rPr>
          <w:b w:val="0"/>
          <w:bCs w:val="0"/>
        </w:rPr>
      </w:r>
      <w:r>
        <w:rPr>
          <w:rFonts w:ascii="Times New Roman" w:hAnsi="Times New Roman" w:cs="Times New Roman" w:eastAsia="Times New Roman" w:hint="default"/>
        </w:rPr>
        <w:t>4</w:t>
      </w:r>
      <w:r>
        <w:rPr/>
        <w:t>、金融资产投资</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left="860" w:right="0"/>
        <w:jc w:val="left"/>
        <w:rPr>
          <w:b w:val="0"/>
          <w:bCs w:val="0"/>
        </w:rPr>
      </w:pPr>
      <w:bookmarkStart w:name="（1）证券投资情况" w:id="50"/>
      <w:bookmarkEnd w:id="50"/>
      <w:r>
        <w:rPr>
          <w:b w:val="0"/>
          <w:bCs w:val="0"/>
        </w:rPr>
      </w:r>
      <w:r>
        <w:rPr/>
        <w:t>（</w:t>
      </w:r>
      <w:r>
        <w:rPr>
          <w:rFonts w:ascii="Times New Roman" w:hAnsi="Times New Roman" w:cs="Times New Roman" w:eastAsia="Times New Roman" w:hint="default"/>
        </w:rPr>
        <w:t>1</w:t>
      </w:r>
      <w:r>
        <w:rPr/>
        <w:t>）证券投资情况</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86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24"/>
        <w:ind w:left="0" w:right="656"/>
        <w:jc w:val="right"/>
      </w:pPr>
      <w:r>
        <w:rPr/>
        <w:t>单位：元</w:t>
      </w: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713"/>
        <w:gridCol w:w="1140"/>
        <w:gridCol w:w="1006"/>
        <w:gridCol w:w="1271"/>
        <w:gridCol w:w="1144"/>
        <w:gridCol w:w="1140"/>
        <w:gridCol w:w="1140"/>
        <w:gridCol w:w="1283"/>
        <w:gridCol w:w="1140"/>
        <w:gridCol w:w="1280"/>
        <w:gridCol w:w="1140"/>
        <w:gridCol w:w="1289"/>
        <w:gridCol w:w="844"/>
        <w:gridCol w:w="710"/>
      </w:tblGrid>
      <w:tr>
        <w:trPr>
          <w:trHeight w:val="791" w:hRule="exact"/>
        </w:trPr>
        <w:tc>
          <w:tcPr>
            <w:tcW w:w="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61" w:right="79" w:hanging="180"/>
              <w:jc w:val="left"/>
              <w:rPr>
                <w:rFonts w:ascii="宋体" w:hAnsi="宋体" w:cs="宋体" w:eastAsia="宋体" w:hint="default"/>
                <w:sz w:val="18"/>
                <w:szCs w:val="18"/>
              </w:rPr>
            </w:pPr>
            <w:r>
              <w:rPr>
                <w:rFonts w:ascii="宋体" w:hAnsi="宋体" w:cs="宋体" w:eastAsia="宋体" w:hint="default"/>
                <w:sz w:val="18"/>
                <w:szCs w:val="18"/>
              </w:rPr>
              <w:t>证券品 种</w:t>
            </w:r>
          </w:p>
        </w:tc>
        <w:tc>
          <w:tcPr>
            <w:tcW w:w="1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证券代码</w:t>
            </w:r>
          </w:p>
        </w:tc>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证券简称</w:t>
            </w:r>
          </w:p>
        </w:tc>
        <w:tc>
          <w:tcPr>
            <w:tcW w:w="1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最初投资成本</w:t>
            </w:r>
          </w:p>
        </w:tc>
        <w:tc>
          <w:tcPr>
            <w:tcW w:w="1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会计计量模式</w:t>
            </w:r>
          </w:p>
        </w:tc>
        <w:tc>
          <w:tcPr>
            <w:tcW w:w="1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期初账面价值</w:t>
            </w:r>
          </w:p>
        </w:tc>
        <w:tc>
          <w:tcPr>
            <w:tcW w:w="1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04" w:right="24"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96" w:right="95"/>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hAnsi="宋体" w:cs="宋体" w:eastAsia="宋体" w:hint="default"/>
                <w:sz w:val="18"/>
                <w:szCs w:val="18"/>
              </w:rPr>
              <w:t>本期购买金额</w:t>
            </w:r>
          </w:p>
        </w:tc>
        <w:tc>
          <w:tcPr>
            <w:tcW w:w="1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报告期损益</w:t>
            </w:r>
          </w:p>
        </w:tc>
        <w:tc>
          <w:tcPr>
            <w:tcW w:w="12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36" w:right="55"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60" w:right="78"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557"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38"/>
              <w:jc w:val="left"/>
              <w:rPr>
                <w:rFonts w:ascii="宋体" w:hAnsi="宋体" w:cs="宋体" w:eastAsia="宋体" w:hint="default"/>
                <w:sz w:val="18"/>
                <w:szCs w:val="18"/>
              </w:rPr>
            </w:pPr>
            <w:r>
              <w:rPr>
                <w:rFonts w:ascii="宋体" w:hAnsi="宋体" w:cs="宋体" w:eastAsia="宋体" w:hint="default"/>
                <w:sz w:val="18"/>
                <w:szCs w:val="18"/>
              </w:rPr>
              <w:t>境内外 股票</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00861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神州控股</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29,220,402.41</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公允价值计量</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33,572,076.75</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-9,777,002.25</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-10,844,655.07</w:t>
            </w:r>
          </w:p>
        </w:tc>
        <w:tc>
          <w:tcPr>
            <w:tcW w:w="114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23,795,074.50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89"/>
              <w:jc w:val="left"/>
              <w:rPr>
                <w:rFonts w:ascii="宋体" w:hAnsi="宋体" w:cs="宋体" w:eastAsia="宋体" w:hint="default"/>
                <w:sz w:val="18"/>
                <w:szCs w:val="18"/>
              </w:rPr>
            </w:pPr>
            <w:r>
              <w:rPr>
                <w:rFonts w:ascii="宋体" w:hAnsi="宋体" w:cs="宋体" w:eastAsia="宋体" w:hint="default"/>
                <w:sz w:val="18"/>
                <w:szCs w:val="18"/>
              </w:rPr>
              <w:t>可供出售 金融资产</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 w:right="134"/>
              <w:jc w:val="left"/>
              <w:rPr>
                <w:rFonts w:ascii="宋体" w:hAnsi="宋体" w:cs="宋体" w:eastAsia="宋体" w:hint="default"/>
                <w:sz w:val="18"/>
                <w:szCs w:val="18"/>
              </w:rPr>
            </w:pPr>
            <w:r>
              <w:rPr>
                <w:rFonts w:ascii="宋体" w:hAnsi="宋体" w:cs="宋体" w:eastAsia="宋体" w:hint="default"/>
                <w:sz w:val="18"/>
                <w:szCs w:val="18"/>
              </w:rPr>
              <w:t>自有资 金</w:t>
            </w:r>
          </w:p>
        </w:tc>
      </w:tr>
      <w:tr>
        <w:trPr>
          <w:trHeight w:val="557"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231147031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天添利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成本法计量</w:t>
            </w:r>
          </w:p>
        </w:tc>
        <w:tc>
          <w:tcPr>
            <w:tcW w:w="114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8,589.04</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其他资产</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 w:right="134"/>
              <w:jc w:val="left"/>
              <w:rPr>
                <w:rFonts w:ascii="宋体" w:hAnsi="宋体" w:cs="宋体" w:eastAsia="宋体" w:hint="default"/>
                <w:sz w:val="18"/>
                <w:szCs w:val="18"/>
              </w:rPr>
            </w:pPr>
            <w:r>
              <w:rPr>
                <w:rFonts w:ascii="宋体" w:hAnsi="宋体" w:cs="宋体" w:eastAsia="宋体" w:hint="default"/>
                <w:sz w:val="18"/>
                <w:szCs w:val="18"/>
              </w:rPr>
              <w:t>自有资 金</w:t>
            </w:r>
          </w:p>
        </w:tc>
      </w:tr>
      <w:tr>
        <w:trPr>
          <w:trHeight w:val="557"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2301177007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71"/>
              <w:jc w:val="left"/>
              <w:rPr>
                <w:rFonts w:ascii="宋体" w:hAnsi="宋体" w:cs="宋体" w:eastAsia="宋体" w:hint="default"/>
                <w:sz w:val="18"/>
                <w:szCs w:val="18"/>
              </w:rPr>
            </w:pPr>
            <w:r>
              <w:rPr>
                <w:rFonts w:ascii="宋体" w:hAnsi="宋体" w:cs="宋体" w:eastAsia="宋体" w:hint="default"/>
                <w:sz w:val="18"/>
                <w:szCs w:val="18"/>
              </w:rPr>
              <w:t>天添利微计 划</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成本法计量</w:t>
            </w:r>
          </w:p>
        </w:tc>
        <w:tc>
          <w:tcPr>
            <w:tcW w:w="114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17,000,000.00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104,223.14</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其他资产</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 w:right="134"/>
              <w:jc w:val="left"/>
              <w:rPr>
                <w:rFonts w:ascii="宋体" w:hAnsi="宋体" w:cs="宋体" w:eastAsia="宋体" w:hint="default"/>
                <w:sz w:val="18"/>
                <w:szCs w:val="18"/>
              </w:rPr>
            </w:pPr>
            <w:r>
              <w:rPr>
                <w:rFonts w:ascii="宋体" w:hAnsi="宋体" w:cs="宋体" w:eastAsia="宋体" w:hint="default"/>
                <w:sz w:val="18"/>
                <w:szCs w:val="18"/>
              </w:rPr>
              <w:t>自有资 金</w:t>
            </w:r>
          </w:p>
        </w:tc>
      </w:tr>
      <w:tr>
        <w:trPr>
          <w:trHeight w:val="557"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38"/>
              <w:jc w:val="left"/>
              <w:rPr>
                <w:rFonts w:ascii="宋体" w:hAnsi="宋体" w:cs="宋体" w:eastAsia="宋体" w:hint="default"/>
                <w:sz w:val="18"/>
                <w:szCs w:val="18"/>
              </w:rPr>
            </w:pPr>
            <w:r>
              <w:rPr>
                <w:rFonts w:ascii="宋体" w:hAnsi="宋体" w:cs="宋体" w:eastAsia="宋体" w:hint="default"/>
                <w:sz w:val="18"/>
                <w:szCs w:val="18"/>
              </w:rPr>
              <w:t>境内外 股票</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000555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神州信息</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1,246,739.00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公允价值计量</w:t>
            </w:r>
          </w:p>
        </w:tc>
        <w:tc>
          <w:tcPr>
            <w:tcW w:w="114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1,246,739.00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1,718,432.00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467,403.34</w:t>
            </w:r>
          </w:p>
        </w:tc>
        <w:tc>
          <w:tcPr>
            <w:tcW w:w="1289"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89"/>
              <w:jc w:val="left"/>
              <w:rPr>
                <w:rFonts w:ascii="宋体" w:hAnsi="宋体" w:cs="宋体" w:eastAsia="宋体" w:hint="default"/>
                <w:sz w:val="18"/>
                <w:szCs w:val="18"/>
              </w:rPr>
            </w:pPr>
            <w:r>
              <w:rPr>
                <w:rFonts w:ascii="宋体" w:hAnsi="宋体" w:cs="宋体" w:eastAsia="宋体" w:hint="default"/>
                <w:sz w:val="18"/>
                <w:szCs w:val="18"/>
              </w:rPr>
              <w:t>交易性金 融资产</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 w:right="134"/>
              <w:jc w:val="left"/>
              <w:rPr>
                <w:rFonts w:ascii="宋体" w:hAnsi="宋体" w:cs="宋体" w:eastAsia="宋体" w:hint="default"/>
                <w:sz w:val="18"/>
                <w:szCs w:val="18"/>
              </w:rPr>
            </w:pPr>
            <w:r>
              <w:rPr>
                <w:rFonts w:ascii="宋体" w:hAnsi="宋体" w:cs="宋体" w:eastAsia="宋体" w:hint="default"/>
                <w:sz w:val="18"/>
                <w:szCs w:val="18"/>
              </w:rPr>
              <w:t>自有资 金</w:t>
            </w:r>
          </w:p>
        </w:tc>
      </w:tr>
    </w:tbl>
    <w:p>
      <w:pPr>
        <w:spacing w:after="0" w:line="240" w:lineRule="auto"/>
        <w:jc w:val="left"/>
        <w:rPr>
          <w:rFonts w:ascii="宋体" w:hAnsi="宋体" w:cs="宋体" w:eastAsia="宋体" w:hint="default"/>
          <w:sz w:val="18"/>
          <w:szCs w:val="18"/>
        </w:rPr>
        <w:sectPr>
          <w:headerReference w:type="default" r:id="rId19"/>
          <w:footerReference w:type="default" r:id="rId20"/>
          <w:pgSz w:w="16840" w:h="11910" w:orient="landscape"/>
          <w:pgMar w:header="867" w:footer="979" w:top="1060" w:bottom="1160" w:left="580" w:right="780"/>
          <w:pgNumType w:start="24"/>
        </w:sectPr>
      </w:pPr>
    </w:p>
    <w:p>
      <w:pPr>
        <w:spacing w:line="240" w:lineRule="auto" w:before="12"/>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713"/>
        <w:gridCol w:w="1140"/>
        <w:gridCol w:w="1006"/>
        <w:gridCol w:w="1271"/>
        <w:gridCol w:w="1144"/>
        <w:gridCol w:w="1140"/>
        <w:gridCol w:w="1140"/>
        <w:gridCol w:w="1283"/>
        <w:gridCol w:w="1140"/>
        <w:gridCol w:w="1280"/>
        <w:gridCol w:w="1140"/>
        <w:gridCol w:w="1289"/>
        <w:gridCol w:w="844"/>
        <w:gridCol w:w="710"/>
      </w:tblGrid>
      <w:tr>
        <w:trPr>
          <w:trHeight w:val="806" w:hRule="exact"/>
        </w:trPr>
        <w:tc>
          <w:tcPr>
            <w:tcW w:w="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34" w:lineRule="exact"/>
              <w:ind w:left="261" w:right="79" w:hanging="180"/>
              <w:jc w:val="left"/>
              <w:rPr>
                <w:rFonts w:ascii="宋体" w:hAnsi="宋体" w:cs="宋体" w:eastAsia="宋体" w:hint="default"/>
                <w:sz w:val="18"/>
                <w:szCs w:val="18"/>
              </w:rPr>
            </w:pPr>
            <w:r>
              <w:rPr>
                <w:rFonts w:ascii="宋体" w:hAnsi="宋体" w:cs="宋体" w:eastAsia="宋体" w:hint="default"/>
                <w:sz w:val="18"/>
                <w:szCs w:val="18"/>
              </w:rPr>
              <w:t>证券品 种</w:t>
            </w:r>
          </w:p>
        </w:tc>
        <w:tc>
          <w:tcPr>
            <w:tcW w:w="114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证券代码</w:t>
            </w:r>
          </w:p>
        </w:tc>
        <w:tc>
          <w:tcPr>
            <w:tcW w:w="100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证券简称</w:t>
            </w:r>
          </w:p>
        </w:tc>
        <w:tc>
          <w:tcPr>
            <w:tcW w:w="127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最初投资成本</w:t>
            </w:r>
          </w:p>
        </w:tc>
        <w:tc>
          <w:tcPr>
            <w:tcW w:w="114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会计计量模式</w:t>
            </w:r>
          </w:p>
        </w:tc>
        <w:tc>
          <w:tcPr>
            <w:tcW w:w="114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期初账面价值</w:t>
            </w:r>
          </w:p>
        </w:tc>
        <w:tc>
          <w:tcPr>
            <w:tcW w:w="114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150"/>
              <w:ind w:left="204" w:right="24"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28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96" w:right="95"/>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4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hAnsi="宋体" w:cs="宋体" w:eastAsia="宋体" w:hint="default"/>
                <w:sz w:val="18"/>
                <w:szCs w:val="18"/>
              </w:rPr>
              <w:t>本期购买金额</w:t>
            </w:r>
          </w:p>
        </w:tc>
        <w:tc>
          <w:tcPr>
            <w:tcW w:w="128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14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报告期损益</w:t>
            </w:r>
          </w:p>
        </w:tc>
        <w:tc>
          <w:tcPr>
            <w:tcW w:w="1289"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84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150"/>
              <w:ind w:left="236" w:right="55"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71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150"/>
              <w:ind w:left="260" w:right="78"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90"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138"/>
              <w:jc w:val="left"/>
              <w:rPr>
                <w:rFonts w:ascii="宋体" w:hAnsi="宋体" w:cs="宋体" w:eastAsia="宋体" w:hint="default"/>
                <w:sz w:val="18"/>
                <w:szCs w:val="18"/>
              </w:rPr>
            </w:pPr>
            <w:r>
              <w:rPr>
                <w:rFonts w:ascii="宋体" w:hAnsi="宋体" w:cs="宋体" w:eastAsia="宋体" w:hint="default"/>
                <w:sz w:val="18"/>
                <w:szCs w:val="18"/>
              </w:rPr>
              <w:t>信托产 品</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7"/>
              <w:ind w:left="22" w:right="116"/>
              <w:jc w:val="left"/>
              <w:rPr>
                <w:rFonts w:ascii="宋体" w:hAnsi="宋体" w:cs="宋体" w:eastAsia="宋体" w:hint="default"/>
                <w:sz w:val="18"/>
                <w:szCs w:val="18"/>
              </w:rPr>
            </w:pPr>
            <w:r>
              <w:rPr>
                <w:rFonts w:ascii="宋体" w:hAnsi="宋体" w:cs="宋体" w:eastAsia="宋体" w:hint="default"/>
                <w:sz w:val="18"/>
                <w:szCs w:val="18"/>
              </w:rPr>
              <w:t>金鹰穗盈 </w:t>
            </w:r>
            <w:r>
              <w:rPr>
                <w:rFonts w:ascii="Times New Roman" w:hAnsi="Times New Roman" w:cs="Times New Roman" w:eastAsia="Times New Roman" w:hint="default"/>
                <w:sz w:val="18"/>
                <w:szCs w:val="18"/>
              </w:rPr>
              <w:t>371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 管理计划</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55,000,000.00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成本法计量</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30,000,000.00</w:t>
            </w:r>
          </w:p>
        </w:tc>
        <w:tc>
          <w:tcPr>
            <w:tcW w:w="1140"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55,000,000.00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694,738.02</w:t>
            </w:r>
          </w:p>
        </w:tc>
        <w:tc>
          <w:tcPr>
            <w:tcW w:w="1289"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66"/>
              <w:jc w:val="center"/>
              <w:rPr>
                <w:rFonts w:ascii="宋体" w:hAnsi="宋体" w:cs="宋体" w:eastAsia="宋体" w:hint="default"/>
                <w:sz w:val="18"/>
                <w:szCs w:val="18"/>
              </w:rPr>
            </w:pPr>
            <w:r>
              <w:rPr>
                <w:rFonts w:ascii="宋体" w:hAnsi="宋体" w:cs="宋体" w:eastAsia="宋体" w:hint="default"/>
                <w:sz w:val="18"/>
                <w:szCs w:val="18"/>
              </w:rPr>
              <w:t>其他资产</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134"/>
              <w:jc w:val="left"/>
              <w:rPr>
                <w:rFonts w:ascii="宋体" w:hAnsi="宋体" w:cs="宋体" w:eastAsia="宋体" w:hint="default"/>
                <w:sz w:val="18"/>
                <w:szCs w:val="18"/>
              </w:rPr>
            </w:pPr>
            <w:r>
              <w:rPr>
                <w:rFonts w:ascii="宋体" w:hAnsi="宋体" w:cs="宋体" w:eastAsia="宋体" w:hint="default"/>
                <w:sz w:val="18"/>
                <w:szCs w:val="18"/>
              </w:rPr>
              <w:t>自有资 金</w:t>
            </w:r>
          </w:p>
        </w:tc>
      </w:tr>
      <w:tr>
        <w:trPr>
          <w:trHeight w:val="557"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2301137337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71"/>
              <w:jc w:val="left"/>
              <w:rPr>
                <w:rFonts w:ascii="宋体" w:hAnsi="宋体" w:cs="宋体" w:eastAsia="宋体" w:hint="default"/>
                <w:sz w:val="18"/>
                <w:szCs w:val="18"/>
              </w:rPr>
            </w:pPr>
            <w:r>
              <w:rPr>
                <w:rFonts w:ascii="宋体" w:hAnsi="宋体" w:cs="宋体" w:eastAsia="宋体" w:hint="default"/>
                <w:sz w:val="18"/>
                <w:szCs w:val="18"/>
              </w:rPr>
              <w:t>财富班车进 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成本法计量</w:t>
            </w:r>
          </w:p>
        </w:tc>
        <w:tc>
          <w:tcPr>
            <w:tcW w:w="114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50,301.37</w:t>
            </w:r>
          </w:p>
        </w:tc>
        <w:tc>
          <w:tcPr>
            <w:tcW w:w="1289"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66"/>
              <w:jc w:val="center"/>
              <w:rPr>
                <w:rFonts w:ascii="宋体" w:hAnsi="宋体" w:cs="宋体" w:eastAsia="宋体" w:hint="default"/>
                <w:sz w:val="18"/>
                <w:szCs w:val="18"/>
              </w:rPr>
            </w:pPr>
            <w:r>
              <w:rPr>
                <w:rFonts w:ascii="宋体" w:hAnsi="宋体" w:cs="宋体" w:eastAsia="宋体" w:hint="default"/>
                <w:sz w:val="18"/>
                <w:szCs w:val="18"/>
              </w:rPr>
              <w:t>其他资产</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4" w:right="134"/>
              <w:jc w:val="left"/>
              <w:rPr>
                <w:rFonts w:ascii="宋体" w:hAnsi="宋体" w:cs="宋体" w:eastAsia="宋体" w:hint="default"/>
                <w:sz w:val="18"/>
                <w:szCs w:val="18"/>
              </w:rPr>
            </w:pPr>
            <w:r>
              <w:rPr>
                <w:rFonts w:ascii="宋体" w:hAnsi="宋体" w:cs="宋体" w:eastAsia="宋体" w:hint="default"/>
                <w:sz w:val="18"/>
                <w:szCs w:val="18"/>
              </w:rPr>
              <w:t>自有资 金</w:t>
            </w:r>
          </w:p>
        </w:tc>
      </w:tr>
      <w:tr>
        <w:trPr>
          <w:trHeight w:val="791"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2301177101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71"/>
              <w:jc w:val="both"/>
              <w:rPr>
                <w:rFonts w:ascii="宋体" w:hAnsi="宋体" w:cs="宋体" w:eastAsia="宋体" w:hint="default"/>
                <w:sz w:val="18"/>
                <w:szCs w:val="18"/>
              </w:rPr>
            </w:pPr>
            <w:r>
              <w:rPr>
                <w:rFonts w:ascii="宋体" w:hAnsi="宋体" w:cs="宋体" w:eastAsia="宋体" w:hint="default"/>
                <w:sz w:val="18"/>
                <w:szCs w:val="18"/>
              </w:rPr>
              <w:t>利多多之步 步高升理财 计划</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22,100,000.00</w:t>
            </w:r>
          </w:p>
        </w:tc>
        <w:tc>
          <w:tcPr>
            <w:tcW w:w="1144"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成本法计量</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11,500,000.00</w:t>
            </w:r>
          </w:p>
        </w:tc>
        <w:tc>
          <w:tcPr>
            <w:tcW w:w="1140"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10,600,000.00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22,100,000.00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216,166.30</w:t>
            </w:r>
          </w:p>
        </w:tc>
        <w:tc>
          <w:tcPr>
            <w:tcW w:w="1289"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66"/>
              <w:jc w:val="center"/>
              <w:rPr>
                <w:rFonts w:ascii="宋体" w:hAnsi="宋体" w:cs="宋体" w:eastAsia="宋体" w:hint="default"/>
                <w:sz w:val="18"/>
                <w:szCs w:val="18"/>
              </w:rPr>
            </w:pPr>
            <w:r>
              <w:rPr>
                <w:rFonts w:ascii="宋体" w:hAnsi="宋体" w:cs="宋体" w:eastAsia="宋体" w:hint="default"/>
                <w:sz w:val="18"/>
                <w:szCs w:val="18"/>
              </w:rPr>
              <w:t>其他资产</w:t>
            </w:r>
          </w:p>
        </w:tc>
        <w:tc>
          <w:tcPr>
            <w:tcW w:w="710"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127"/>
              <w:ind w:left="24" w:right="134"/>
              <w:jc w:val="left"/>
              <w:rPr>
                <w:rFonts w:ascii="宋体" w:hAnsi="宋体" w:cs="宋体" w:eastAsia="宋体" w:hint="default"/>
                <w:sz w:val="18"/>
                <w:szCs w:val="18"/>
              </w:rPr>
            </w:pPr>
            <w:r>
              <w:rPr>
                <w:rFonts w:ascii="宋体" w:hAnsi="宋体" w:cs="宋体" w:eastAsia="宋体" w:hint="default"/>
                <w:sz w:val="18"/>
                <w:szCs w:val="18"/>
              </w:rPr>
              <w:t>自有资 金</w:t>
            </w:r>
          </w:p>
        </w:tc>
      </w:tr>
      <w:tr>
        <w:trPr>
          <w:trHeight w:val="323" w:hRule="exact"/>
        </w:trPr>
        <w:tc>
          <w:tcPr>
            <w:tcW w:w="28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1"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right="13"/>
              <w:jc w:val="right"/>
              <w:rPr>
                <w:rFonts w:ascii="Times New Roman" w:hAnsi="Times New Roman" w:cs="Times New Roman" w:eastAsia="Times New Roman" w:hint="default"/>
                <w:sz w:val="18"/>
                <w:szCs w:val="18"/>
              </w:rPr>
            </w:pPr>
            <w:r>
              <w:rPr>
                <w:rFonts w:ascii="Times New Roman"/>
                <w:spacing w:val="-1"/>
                <w:sz w:val="18"/>
              </w:rPr>
              <w:t>141,567,141.41</w:t>
            </w:r>
          </w:p>
        </w:tc>
        <w:tc>
          <w:tcPr>
            <w:tcW w:w="1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sz w:val="18"/>
              </w:rPr>
              <w:t>--</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 w:right="0"/>
              <w:jc w:val="center"/>
              <w:rPr>
                <w:rFonts w:ascii="Times New Roman" w:hAnsi="Times New Roman" w:cs="Times New Roman" w:eastAsia="Times New Roman" w:hint="default"/>
                <w:sz w:val="18"/>
                <w:szCs w:val="18"/>
              </w:rPr>
            </w:pPr>
            <w:r>
              <w:rPr>
                <w:rFonts w:ascii="Times New Roman"/>
                <w:sz w:val="18"/>
              </w:rPr>
              <w:t>75,072,076.75</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Times New Roman" w:hAnsi="Times New Roman" w:cs="Times New Roman" w:eastAsia="Times New Roman" w:hint="default"/>
                <w:sz w:val="18"/>
                <w:szCs w:val="18"/>
              </w:rPr>
            </w:pPr>
            <w:r>
              <w:rPr>
                <w:rFonts w:ascii="Times New Roman"/>
                <w:sz w:val="18"/>
              </w:rPr>
              <w:t>-9,777,002.25</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6" w:right="0"/>
              <w:jc w:val="left"/>
              <w:rPr>
                <w:rFonts w:ascii="Times New Roman" w:hAnsi="Times New Roman" w:cs="Times New Roman" w:eastAsia="Times New Roman" w:hint="default"/>
                <w:sz w:val="18"/>
                <w:szCs w:val="18"/>
              </w:rPr>
            </w:pPr>
            <w:r>
              <w:rPr>
                <w:rFonts w:ascii="Times New Roman"/>
                <w:sz w:val="18"/>
              </w:rPr>
              <w:t>-10,844,655.07</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70,846,739.00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103,818,432.00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1,541,421.21</w:t>
            </w:r>
          </w:p>
        </w:tc>
        <w:tc>
          <w:tcPr>
            <w:tcW w:w="128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20" w:right="0"/>
              <w:jc w:val="left"/>
              <w:rPr>
                <w:rFonts w:ascii="Times New Roman" w:hAnsi="Times New Roman" w:cs="Times New Roman" w:eastAsia="Times New Roman" w:hint="default"/>
                <w:sz w:val="18"/>
                <w:szCs w:val="18"/>
              </w:rPr>
            </w:pPr>
            <w:r>
              <w:rPr>
                <w:rFonts w:ascii="Times New Roman"/>
                <w:sz w:val="18"/>
              </w:rPr>
              <w:t>32,795,074.50</w:t>
            </w:r>
          </w:p>
        </w:tc>
        <w:tc>
          <w:tcPr>
            <w:tcW w:w="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w:t>
            </w:r>
          </w:p>
        </w:tc>
      </w:tr>
      <w:tr>
        <w:trPr>
          <w:trHeight w:val="324" w:hRule="exact"/>
        </w:trPr>
        <w:tc>
          <w:tcPr>
            <w:tcW w:w="285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证券投资审批董事会公告披露日期</w:t>
            </w:r>
          </w:p>
        </w:tc>
        <w:tc>
          <w:tcPr>
            <w:tcW w:w="12381" w:type="dxa"/>
            <w:gridSpan w:val="11"/>
            <w:tcBorders>
              <w:top w:val="single" w:sz="5" w:space="0" w:color="D2D2D2"/>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3" w:hRule="exact"/>
        </w:trPr>
        <w:tc>
          <w:tcPr>
            <w:tcW w:w="2859" w:type="dxa"/>
            <w:gridSpan w:val="3"/>
            <w:vMerge/>
            <w:tcBorders>
              <w:left w:val="single" w:sz="4" w:space="0" w:color="000000"/>
              <w:right w:val="single" w:sz="4" w:space="0" w:color="000000"/>
            </w:tcBorders>
            <w:shd w:val="clear" w:color="auto" w:fill="D2D2D2"/>
          </w:tcPr>
          <w:p>
            <w:pPr/>
          </w:p>
        </w:tc>
        <w:tc>
          <w:tcPr>
            <w:tcW w:w="1238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4" w:hRule="exact"/>
        </w:trPr>
        <w:tc>
          <w:tcPr>
            <w:tcW w:w="2859" w:type="dxa"/>
            <w:gridSpan w:val="3"/>
            <w:vMerge/>
            <w:tcBorders>
              <w:left w:val="single" w:sz="4" w:space="0" w:color="000000"/>
              <w:bottom w:val="single" w:sz="4" w:space="0" w:color="000000"/>
              <w:right w:val="single" w:sz="4" w:space="0" w:color="000000"/>
            </w:tcBorders>
            <w:shd w:val="clear" w:color="auto" w:fill="D2D2D2"/>
          </w:tcPr>
          <w:p>
            <w:pPr/>
          </w:p>
        </w:tc>
        <w:tc>
          <w:tcPr>
            <w:tcW w:w="1238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3" w:hRule="exact"/>
        </w:trPr>
        <w:tc>
          <w:tcPr>
            <w:tcW w:w="285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证券投资审批股东会公告披露日期</w:t>
            </w:r>
          </w:p>
        </w:tc>
        <w:tc>
          <w:tcPr>
            <w:tcW w:w="1238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4" w:hRule="exact"/>
        </w:trPr>
        <w:tc>
          <w:tcPr>
            <w:tcW w:w="2859" w:type="dxa"/>
            <w:gridSpan w:val="3"/>
            <w:vMerge/>
            <w:tcBorders>
              <w:left w:val="single" w:sz="4" w:space="0" w:color="000000"/>
              <w:right w:val="single" w:sz="4" w:space="0" w:color="000000"/>
            </w:tcBorders>
            <w:shd w:val="clear" w:color="auto" w:fill="D2D2D2"/>
          </w:tcPr>
          <w:p>
            <w:pPr/>
          </w:p>
        </w:tc>
        <w:tc>
          <w:tcPr>
            <w:tcW w:w="1238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4" w:hRule="exact"/>
        </w:trPr>
        <w:tc>
          <w:tcPr>
            <w:tcW w:w="2859" w:type="dxa"/>
            <w:gridSpan w:val="3"/>
            <w:vMerge/>
            <w:tcBorders>
              <w:left w:val="single" w:sz="4" w:space="0" w:color="000000"/>
              <w:bottom w:val="single" w:sz="4" w:space="0" w:color="000000"/>
              <w:right w:val="single" w:sz="4" w:space="0" w:color="000000"/>
            </w:tcBorders>
            <w:shd w:val="clear" w:color="auto" w:fill="D2D2D2"/>
          </w:tcPr>
          <w:p>
            <w:pPr/>
          </w:p>
        </w:tc>
        <w:tc>
          <w:tcPr>
            <w:tcW w:w="1238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7"/>
        <w:rPr>
          <w:rFonts w:ascii="宋体" w:hAnsi="宋体" w:cs="宋体" w:eastAsia="宋体" w:hint="default"/>
          <w:sz w:val="17"/>
          <w:szCs w:val="17"/>
        </w:rPr>
      </w:pPr>
    </w:p>
    <w:p>
      <w:pPr>
        <w:pStyle w:val="Heading3"/>
        <w:spacing w:line="240" w:lineRule="auto" w:before="35"/>
        <w:ind w:left="860" w:right="0"/>
        <w:jc w:val="left"/>
        <w:rPr>
          <w:b w:val="0"/>
          <w:bCs w:val="0"/>
        </w:rPr>
      </w:pPr>
      <w:bookmarkStart w:name="（2）衍生品投资情况" w:id="51"/>
      <w:bookmarkEnd w:id="51"/>
      <w:r>
        <w:rPr>
          <w:b w:val="0"/>
          <w:bCs w:val="0"/>
        </w:rPr>
      </w:r>
      <w:r>
        <w:rPr/>
        <w:t>（</w:t>
      </w:r>
      <w:r>
        <w:rPr>
          <w:rFonts w:ascii="Times New Roman" w:hAnsi="Times New Roman" w:cs="Times New Roman" w:eastAsia="Times New Roman" w:hint="default"/>
        </w:rPr>
        <w:t>2</w:t>
      </w:r>
      <w:r>
        <w:rPr/>
        <w:t>）衍生品投资情况</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86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24"/>
        <w:ind w:left="0" w:right="656"/>
        <w:jc w:val="right"/>
      </w:pPr>
      <w:r>
        <w:rPr/>
        <w:t>单位：万元</w:t>
      </w:r>
    </w:p>
    <w:p>
      <w:pPr>
        <w:spacing w:line="240" w:lineRule="auto" w:before="3"/>
        <w:rPr>
          <w:rFonts w:ascii="宋体" w:hAnsi="宋体" w:cs="宋体" w:eastAsia="宋体" w:hint="default"/>
          <w:sz w:val="5"/>
          <w:szCs w:val="5"/>
        </w:rPr>
      </w:pPr>
    </w:p>
    <w:tbl>
      <w:tblPr>
        <w:tblW w:w="0" w:type="auto"/>
        <w:jc w:val="left"/>
        <w:tblInd w:w="827" w:type="dxa"/>
        <w:tblLayout w:type="fixed"/>
        <w:tblCellMar>
          <w:top w:w="0" w:type="dxa"/>
          <w:left w:w="0" w:type="dxa"/>
          <w:bottom w:w="0" w:type="dxa"/>
          <w:right w:w="0" w:type="dxa"/>
        </w:tblCellMar>
        <w:tblLook w:val="01E0"/>
      </w:tblPr>
      <w:tblGrid>
        <w:gridCol w:w="1014"/>
        <w:gridCol w:w="1014"/>
        <w:gridCol w:w="1014"/>
        <w:gridCol w:w="1084"/>
        <w:gridCol w:w="1015"/>
        <w:gridCol w:w="1015"/>
        <w:gridCol w:w="1012"/>
        <w:gridCol w:w="1015"/>
        <w:gridCol w:w="1012"/>
        <w:gridCol w:w="1013"/>
        <w:gridCol w:w="1012"/>
        <w:gridCol w:w="1015"/>
        <w:gridCol w:w="1012"/>
        <w:gridCol w:w="768"/>
      </w:tblGrid>
      <w:tr>
        <w:trPr>
          <w:trHeight w:val="1024" w:hRule="exact"/>
        </w:trPr>
        <w:tc>
          <w:tcPr>
            <w:tcW w:w="10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51" w:right="50"/>
              <w:jc w:val="left"/>
              <w:rPr>
                <w:rFonts w:ascii="宋体" w:hAnsi="宋体" w:cs="宋体" w:eastAsia="宋体" w:hint="default"/>
                <w:sz w:val="18"/>
                <w:szCs w:val="18"/>
              </w:rPr>
            </w:pPr>
            <w:r>
              <w:rPr>
                <w:rFonts w:ascii="宋体" w:hAnsi="宋体" w:cs="宋体" w:eastAsia="宋体" w:hint="default"/>
                <w:sz w:val="18"/>
                <w:szCs w:val="18"/>
              </w:rPr>
              <w:t>衍生品投资 操作方名称</w:t>
            </w:r>
          </w:p>
        </w:tc>
        <w:tc>
          <w:tcPr>
            <w:tcW w:w="10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41"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11" w:right="50" w:hanging="360"/>
              <w:jc w:val="left"/>
              <w:rPr>
                <w:rFonts w:ascii="宋体" w:hAnsi="宋体" w:cs="宋体" w:eastAsia="宋体" w:hint="default"/>
                <w:sz w:val="18"/>
                <w:szCs w:val="18"/>
              </w:rPr>
            </w:pPr>
            <w:r>
              <w:rPr>
                <w:rFonts w:ascii="宋体" w:hAnsi="宋体" w:cs="宋体" w:eastAsia="宋体" w:hint="default"/>
                <w:sz w:val="18"/>
                <w:szCs w:val="18"/>
              </w:rPr>
              <w:t>是否关联交 易</w:t>
            </w:r>
          </w:p>
        </w:tc>
        <w:tc>
          <w:tcPr>
            <w:tcW w:w="10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56" w:right="85" w:hanging="270"/>
              <w:jc w:val="left"/>
              <w:rPr>
                <w:rFonts w:ascii="宋体" w:hAnsi="宋体" w:cs="宋体" w:eastAsia="宋体" w:hint="default"/>
                <w:sz w:val="18"/>
                <w:szCs w:val="18"/>
              </w:rPr>
            </w:pPr>
            <w:r>
              <w:rPr>
                <w:rFonts w:ascii="宋体" w:hAnsi="宋体" w:cs="宋体" w:eastAsia="宋体" w:hint="default"/>
                <w:sz w:val="18"/>
                <w:szCs w:val="18"/>
              </w:rPr>
              <w:t>衍生品投资 类型</w:t>
            </w:r>
          </w:p>
        </w:tc>
        <w:tc>
          <w:tcPr>
            <w:tcW w:w="1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51" w:right="53"/>
              <w:jc w:val="center"/>
              <w:rPr>
                <w:rFonts w:ascii="宋体" w:hAnsi="宋体" w:cs="宋体" w:eastAsia="宋体" w:hint="default"/>
                <w:sz w:val="18"/>
                <w:szCs w:val="18"/>
              </w:rPr>
            </w:pPr>
            <w:r>
              <w:rPr>
                <w:rFonts w:ascii="宋体" w:hAnsi="宋体" w:cs="宋体" w:eastAsia="宋体" w:hint="default"/>
                <w:sz w:val="18"/>
                <w:szCs w:val="18"/>
              </w:rPr>
              <w:t>衍生品投资 初始投资金 额</w:t>
            </w:r>
          </w:p>
        </w:tc>
        <w:tc>
          <w:tcPr>
            <w:tcW w:w="1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41"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1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40"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1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11" w:right="53" w:hanging="360"/>
              <w:jc w:val="left"/>
              <w:rPr>
                <w:rFonts w:ascii="宋体" w:hAnsi="宋体" w:cs="宋体" w:eastAsia="宋体" w:hint="default"/>
                <w:sz w:val="18"/>
                <w:szCs w:val="18"/>
              </w:rPr>
            </w:pPr>
            <w:r>
              <w:rPr>
                <w:rFonts w:ascii="宋体" w:hAnsi="宋体" w:cs="宋体" w:eastAsia="宋体" w:hint="default"/>
                <w:sz w:val="18"/>
                <w:szCs w:val="18"/>
              </w:rPr>
              <w:t>期初投资金 额</w:t>
            </w:r>
          </w:p>
        </w:tc>
        <w:tc>
          <w:tcPr>
            <w:tcW w:w="1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0" w:right="49" w:hanging="180"/>
              <w:jc w:val="left"/>
              <w:rPr>
                <w:rFonts w:ascii="宋体" w:hAnsi="宋体" w:cs="宋体" w:eastAsia="宋体" w:hint="default"/>
                <w:sz w:val="18"/>
                <w:szCs w:val="18"/>
              </w:rPr>
            </w:pPr>
            <w:r>
              <w:rPr>
                <w:rFonts w:ascii="宋体" w:hAnsi="宋体" w:cs="宋体" w:eastAsia="宋体" w:hint="default"/>
                <w:sz w:val="18"/>
                <w:szCs w:val="18"/>
              </w:rPr>
              <w:t>报告期内购 入金额</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1" w:right="49"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1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50" w:right="49"/>
              <w:jc w:val="center"/>
              <w:rPr>
                <w:rFonts w:ascii="宋体" w:hAnsi="宋体" w:cs="宋体" w:eastAsia="宋体" w:hint="default"/>
                <w:sz w:val="18"/>
                <w:szCs w:val="18"/>
              </w:rPr>
            </w:pPr>
            <w:r>
              <w:rPr>
                <w:rFonts w:ascii="宋体" w:hAnsi="宋体" w:cs="宋体" w:eastAsia="宋体" w:hint="default"/>
                <w:sz w:val="18"/>
                <w:szCs w:val="18"/>
              </w:rPr>
              <w:t>计提减值准 备金额（如 有）</w:t>
            </w:r>
          </w:p>
        </w:tc>
        <w:tc>
          <w:tcPr>
            <w:tcW w:w="1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11" w:right="53" w:hanging="360"/>
              <w:jc w:val="left"/>
              <w:rPr>
                <w:rFonts w:ascii="宋体" w:hAnsi="宋体" w:cs="宋体" w:eastAsia="宋体" w:hint="default"/>
                <w:sz w:val="18"/>
                <w:szCs w:val="18"/>
              </w:rPr>
            </w:pPr>
            <w:r>
              <w:rPr>
                <w:rFonts w:ascii="宋体" w:hAnsi="宋体" w:cs="宋体" w:eastAsia="宋体" w:hint="default"/>
                <w:sz w:val="18"/>
                <w:szCs w:val="18"/>
              </w:rPr>
              <w:t>期末投资金 额</w:t>
            </w:r>
          </w:p>
        </w:tc>
        <w:tc>
          <w:tcPr>
            <w:tcW w:w="1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
              <w:ind w:left="50" w:right="51"/>
              <w:jc w:val="center"/>
              <w:rPr>
                <w:rFonts w:ascii="宋体" w:hAnsi="宋体" w:cs="宋体" w:eastAsia="宋体" w:hint="default"/>
                <w:sz w:val="18"/>
                <w:szCs w:val="18"/>
              </w:rPr>
            </w:pPr>
            <w:r>
              <w:rPr>
                <w:rFonts w:ascii="宋体" w:hAnsi="宋体" w:cs="宋体" w:eastAsia="宋体" w:hint="default"/>
                <w:sz w:val="18"/>
                <w:szCs w:val="18"/>
              </w:rPr>
              <w:t>期末投资金 额占公司报 告期末净资 产比例</w:t>
            </w: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107" w:right="108"/>
              <w:jc w:val="both"/>
              <w:rPr>
                <w:rFonts w:ascii="宋体" w:hAnsi="宋体" w:cs="宋体" w:eastAsia="宋体" w:hint="default"/>
                <w:sz w:val="18"/>
                <w:szCs w:val="18"/>
              </w:rPr>
            </w:pPr>
            <w:r>
              <w:rPr>
                <w:rFonts w:ascii="宋体" w:hAnsi="宋体" w:cs="宋体" w:eastAsia="宋体" w:hint="default"/>
                <w:sz w:val="18"/>
                <w:szCs w:val="18"/>
              </w:rPr>
              <w:t>报告期 实际损 益金额</w:t>
            </w:r>
          </w:p>
        </w:tc>
      </w:tr>
      <w:tr>
        <w:trPr>
          <w:trHeight w:val="557" w:hRule="exact"/>
        </w:trPr>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49"/>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3,463.75</w:t>
            </w:r>
          </w:p>
        </w:tc>
        <w:tc>
          <w:tcPr>
            <w:tcW w:w="1012"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3,463.75</w:t>
            </w:r>
          </w:p>
        </w:tc>
        <w:tc>
          <w:tcPr>
            <w:tcW w:w="101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-4.02</w:t>
            </w:r>
          </w:p>
        </w:tc>
      </w:tr>
      <w:tr>
        <w:trPr>
          <w:trHeight w:val="557" w:hRule="exact"/>
        </w:trPr>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野村国际</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49"/>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3,460</w:t>
            </w:r>
          </w:p>
        </w:tc>
        <w:tc>
          <w:tcPr>
            <w:tcW w:w="1012"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3,460</w:t>
            </w:r>
          </w:p>
        </w:tc>
        <w:tc>
          <w:tcPr>
            <w:tcW w:w="101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-6.03</w:t>
            </w:r>
          </w:p>
        </w:tc>
      </w:tr>
      <w:tr>
        <w:trPr>
          <w:trHeight w:val="557" w:hRule="exact"/>
        </w:trPr>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高盛国际</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49"/>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3,460</w:t>
            </w:r>
          </w:p>
        </w:tc>
        <w:tc>
          <w:tcPr>
            <w:tcW w:w="1012"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3,460</w:t>
            </w:r>
          </w:p>
        </w:tc>
        <w:tc>
          <w:tcPr>
            <w:tcW w:w="101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1.23</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060" w:bottom="1160" w:left="580" w:right="78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014"/>
        <w:gridCol w:w="1014"/>
        <w:gridCol w:w="1014"/>
        <w:gridCol w:w="1084"/>
        <w:gridCol w:w="1015"/>
        <w:gridCol w:w="1015"/>
        <w:gridCol w:w="1012"/>
        <w:gridCol w:w="1015"/>
        <w:gridCol w:w="1012"/>
        <w:gridCol w:w="1013"/>
        <w:gridCol w:w="1012"/>
        <w:gridCol w:w="1015"/>
        <w:gridCol w:w="1012"/>
        <w:gridCol w:w="768"/>
      </w:tblGrid>
      <w:tr>
        <w:trPr>
          <w:trHeight w:val="1038" w:hRule="exact"/>
        </w:trPr>
        <w:tc>
          <w:tcPr>
            <w:tcW w:w="101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51" w:right="50"/>
              <w:jc w:val="left"/>
              <w:rPr>
                <w:rFonts w:ascii="宋体" w:hAnsi="宋体" w:cs="宋体" w:eastAsia="宋体" w:hint="default"/>
                <w:sz w:val="18"/>
                <w:szCs w:val="18"/>
              </w:rPr>
            </w:pPr>
            <w:r>
              <w:rPr>
                <w:rFonts w:ascii="宋体" w:hAnsi="宋体" w:cs="宋体" w:eastAsia="宋体" w:hint="default"/>
                <w:sz w:val="18"/>
                <w:szCs w:val="18"/>
              </w:rPr>
              <w:t>衍生品投资 操作方名称</w:t>
            </w:r>
          </w:p>
        </w:tc>
        <w:tc>
          <w:tcPr>
            <w:tcW w:w="101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41"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1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411" w:right="50" w:hanging="360"/>
              <w:jc w:val="left"/>
              <w:rPr>
                <w:rFonts w:ascii="宋体" w:hAnsi="宋体" w:cs="宋体" w:eastAsia="宋体" w:hint="default"/>
                <w:sz w:val="18"/>
                <w:szCs w:val="18"/>
              </w:rPr>
            </w:pPr>
            <w:r>
              <w:rPr>
                <w:rFonts w:ascii="宋体" w:hAnsi="宋体" w:cs="宋体" w:eastAsia="宋体" w:hint="default"/>
                <w:sz w:val="18"/>
                <w:szCs w:val="18"/>
              </w:rPr>
              <w:t>是否关联交 易</w:t>
            </w:r>
          </w:p>
        </w:tc>
        <w:tc>
          <w:tcPr>
            <w:tcW w:w="108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356" w:right="85" w:hanging="270"/>
              <w:jc w:val="left"/>
              <w:rPr>
                <w:rFonts w:ascii="宋体" w:hAnsi="宋体" w:cs="宋体" w:eastAsia="宋体" w:hint="default"/>
                <w:sz w:val="18"/>
                <w:szCs w:val="18"/>
              </w:rPr>
            </w:pPr>
            <w:r>
              <w:rPr>
                <w:rFonts w:ascii="宋体" w:hAnsi="宋体" w:cs="宋体" w:eastAsia="宋体" w:hint="default"/>
                <w:sz w:val="18"/>
                <w:szCs w:val="18"/>
              </w:rPr>
              <w:t>衍生品投资 类型</w:t>
            </w:r>
          </w:p>
        </w:tc>
        <w:tc>
          <w:tcPr>
            <w:tcW w:w="101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9"/>
              <w:ind w:left="51" w:right="53"/>
              <w:jc w:val="center"/>
              <w:rPr>
                <w:rFonts w:ascii="宋体" w:hAnsi="宋体" w:cs="宋体" w:eastAsia="宋体" w:hint="default"/>
                <w:sz w:val="18"/>
                <w:szCs w:val="18"/>
              </w:rPr>
            </w:pPr>
            <w:r>
              <w:rPr>
                <w:rFonts w:ascii="宋体" w:hAnsi="宋体" w:cs="宋体" w:eastAsia="宋体" w:hint="default"/>
                <w:sz w:val="18"/>
                <w:szCs w:val="18"/>
              </w:rPr>
              <w:t>衍生品投资 初始投资金 额</w:t>
            </w:r>
          </w:p>
        </w:tc>
        <w:tc>
          <w:tcPr>
            <w:tcW w:w="101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41"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101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40"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101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411" w:right="53" w:hanging="360"/>
              <w:jc w:val="left"/>
              <w:rPr>
                <w:rFonts w:ascii="宋体" w:hAnsi="宋体" w:cs="宋体" w:eastAsia="宋体" w:hint="default"/>
                <w:sz w:val="18"/>
                <w:szCs w:val="18"/>
              </w:rPr>
            </w:pPr>
            <w:r>
              <w:rPr>
                <w:rFonts w:ascii="宋体" w:hAnsi="宋体" w:cs="宋体" w:eastAsia="宋体" w:hint="default"/>
                <w:sz w:val="18"/>
                <w:szCs w:val="18"/>
              </w:rPr>
              <w:t>期初投资金 额</w:t>
            </w:r>
          </w:p>
        </w:tc>
        <w:tc>
          <w:tcPr>
            <w:tcW w:w="101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30" w:right="49" w:hanging="180"/>
              <w:jc w:val="left"/>
              <w:rPr>
                <w:rFonts w:ascii="宋体" w:hAnsi="宋体" w:cs="宋体" w:eastAsia="宋体" w:hint="default"/>
                <w:sz w:val="18"/>
                <w:szCs w:val="18"/>
              </w:rPr>
            </w:pPr>
            <w:r>
              <w:rPr>
                <w:rFonts w:ascii="宋体" w:hAnsi="宋体" w:cs="宋体" w:eastAsia="宋体" w:hint="default"/>
                <w:sz w:val="18"/>
                <w:szCs w:val="18"/>
              </w:rPr>
              <w:t>报告期内购 入金额</w:t>
            </w:r>
          </w:p>
        </w:tc>
        <w:tc>
          <w:tcPr>
            <w:tcW w:w="101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31" w:right="49"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101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9"/>
              <w:ind w:left="50" w:right="49"/>
              <w:jc w:val="center"/>
              <w:rPr>
                <w:rFonts w:ascii="宋体" w:hAnsi="宋体" w:cs="宋体" w:eastAsia="宋体" w:hint="default"/>
                <w:sz w:val="18"/>
                <w:szCs w:val="18"/>
              </w:rPr>
            </w:pPr>
            <w:r>
              <w:rPr>
                <w:rFonts w:ascii="宋体" w:hAnsi="宋体" w:cs="宋体" w:eastAsia="宋体" w:hint="default"/>
                <w:sz w:val="18"/>
                <w:szCs w:val="18"/>
              </w:rPr>
              <w:t>计提减值准 备金额（如 有）</w:t>
            </w:r>
          </w:p>
        </w:tc>
        <w:tc>
          <w:tcPr>
            <w:tcW w:w="101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411" w:right="53" w:hanging="360"/>
              <w:jc w:val="left"/>
              <w:rPr>
                <w:rFonts w:ascii="宋体" w:hAnsi="宋体" w:cs="宋体" w:eastAsia="宋体" w:hint="default"/>
                <w:sz w:val="18"/>
                <w:szCs w:val="18"/>
              </w:rPr>
            </w:pPr>
            <w:r>
              <w:rPr>
                <w:rFonts w:ascii="宋体" w:hAnsi="宋体" w:cs="宋体" w:eastAsia="宋体" w:hint="default"/>
                <w:sz w:val="18"/>
                <w:szCs w:val="18"/>
              </w:rPr>
              <w:t>期末投资金 额</w:t>
            </w:r>
          </w:p>
        </w:tc>
        <w:tc>
          <w:tcPr>
            <w:tcW w:w="101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
              <w:ind w:left="50" w:right="51"/>
              <w:jc w:val="center"/>
              <w:rPr>
                <w:rFonts w:ascii="宋体" w:hAnsi="宋体" w:cs="宋体" w:eastAsia="宋体" w:hint="default"/>
                <w:sz w:val="18"/>
                <w:szCs w:val="18"/>
              </w:rPr>
            </w:pPr>
            <w:r>
              <w:rPr>
                <w:rFonts w:ascii="宋体" w:hAnsi="宋体" w:cs="宋体" w:eastAsia="宋体" w:hint="default"/>
                <w:sz w:val="18"/>
                <w:szCs w:val="18"/>
              </w:rPr>
              <w:t>期末投资金 额占公司报 告期末净资 产比例</w:t>
            </w:r>
          </w:p>
        </w:tc>
        <w:tc>
          <w:tcPr>
            <w:tcW w:w="76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9"/>
              <w:ind w:left="107" w:right="108"/>
              <w:jc w:val="both"/>
              <w:rPr>
                <w:rFonts w:ascii="宋体" w:hAnsi="宋体" w:cs="宋体" w:eastAsia="宋体" w:hint="default"/>
                <w:sz w:val="18"/>
                <w:szCs w:val="18"/>
              </w:rPr>
            </w:pPr>
            <w:r>
              <w:rPr>
                <w:rFonts w:ascii="宋体" w:hAnsi="宋体" w:cs="宋体" w:eastAsia="宋体" w:hint="default"/>
                <w:sz w:val="18"/>
                <w:szCs w:val="18"/>
              </w:rPr>
              <w:t>报告期 实际损 益金额</w:t>
            </w:r>
          </w:p>
        </w:tc>
      </w:tr>
      <w:tr>
        <w:trPr>
          <w:trHeight w:val="557" w:hRule="exact"/>
        </w:trPr>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高盛国际</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49"/>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3,447.5</w:t>
            </w:r>
          </w:p>
        </w:tc>
        <w:tc>
          <w:tcPr>
            <w:tcW w:w="1012"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3,447.5</w:t>
            </w:r>
          </w:p>
        </w:tc>
        <w:tc>
          <w:tcPr>
            <w:tcW w:w="101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w:t>
            </w:r>
          </w:p>
        </w:tc>
      </w:tr>
      <w:tr>
        <w:trPr>
          <w:trHeight w:val="557" w:hRule="exact"/>
        </w:trPr>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149"/>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6,800</w:t>
            </w:r>
          </w:p>
        </w:tc>
        <w:tc>
          <w:tcPr>
            <w:tcW w:w="1012"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6,800</w:t>
            </w:r>
          </w:p>
        </w:tc>
        <w:tc>
          <w:tcPr>
            <w:tcW w:w="101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-88.52</w:t>
            </w:r>
          </w:p>
        </w:tc>
      </w:tr>
      <w:tr>
        <w:trPr>
          <w:trHeight w:val="557" w:hRule="exact"/>
        </w:trPr>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野村国际</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149"/>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4,074</w:t>
            </w:r>
          </w:p>
        </w:tc>
        <w:tc>
          <w:tcPr>
            <w:tcW w:w="1012"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4,074</w:t>
            </w:r>
          </w:p>
        </w:tc>
        <w:tc>
          <w:tcPr>
            <w:tcW w:w="101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-103.08</w:t>
            </w:r>
          </w:p>
        </w:tc>
      </w:tr>
      <w:tr>
        <w:trPr>
          <w:trHeight w:val="557" w:hRule="exact"/>
        </w:trPr>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高盛国际</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149"/>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6,952.89</w:t>
            </w:r>
          </w:p>
        </w:tc>
        <w:tc>
          <w:tcPr>
            <w:tcW w:w="1012"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6,952.89</w:t>
            </w:r>
          </w:p>
        </w:tc>
        <w:tc>
          <w:tcPr>
            <w:tcW w:w="101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29.6</w:t>
            </w:r>
          </w:p>
        </w:tc>
      </w:tr>
      <w:tr>
        <w:trPr>
          <w:trHeight w:val="557" w:hRule="exact"/>
        </w:trPr>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高盛国际</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149"/>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16,937.5</w:t>
            </w:r>
          </w:p>
        </w:tc>
        <w:tc>
          <w:tcPr>
            <w:tcW w:w="1012"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16,937.5</w:t>
            </w:r>
          </w:p>
        </w:tc>
        <w:tc>
          <w:tcPr>
            <w:tcW w:w="101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-511.05</w:t>
            </w:r>
          </w:p>
        </w:tc>
      </w:tr>
      <w:tr>
        <w:trPr>
          <w:trHeight w:val="557" w:hRule="exact"/>
        </w:trPr>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野村国际</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149"/>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16,947.5</w:t>
            </w:r>
          </w:p>
        </w:tc>
        <w:tc>
          <w:tcPr>
            <w:tcW w:w="1012"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16,947.5</w:t>
            </w:r>
          </w:p>
        </w:tc>
        <w:tc>
          <w:tcPr>
            <w:tcW w:w="101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-494.78</w:t>
            </w:r>
          </w:p>
        </w:tc>
      </w:tr>
      <w:tr>
        <w:trPr>
          <w:trHeight w:val="558" w:hRule="exact"/>
        </w:trPr>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149"/>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16,563.68</w:t>
            </w:r>
          </w:p>
        </w:tc>
        <w:tc>
          <w:tcPr>
            <w:tcW w:w="1012"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16,563.68</w:t>
            </w:r>
          </w:p>
        </w:tc>
        <w:tc>
          <w:tcPr>
            <w:tcW w:w="101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49"/>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11,556.75</w:t>
            </w:r>
          </w:p>
        </w:tc>
        <w:tc>
          <w:tcPr>
            <w:tcW w:w="1012"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11,556.75</w:t>
            </w:r>
          </w:p>
        </w:tc>
        <w:tc>
          <w:tcPr>
            <w:tcW w:w="101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工商银行</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49"/>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13,360</w:t>
            </w:r>
          </w:p>
        </w:tc>
        <w:tc>
          <w:tcPr>
            <w:tcW w:w="1012"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13,360</w:t>
            </w:r>
          </w:p>
        </w:tc>
        <w:tc>
          <w:tcPr>
            <w:tcW w:w="101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工商银行</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49"/>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17,277.16</w:t>
            </w:r>
          </w:p>
        </w:tc>
        <w:tc>
          <w:tcPr>
            <w:tcW w:w="1012"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17,277.16</w:t>
            </w:r>
          </w:p>
        </w:tc>
        <w:tc>
          <w:tcPr>
            <w:tcW w:w="101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恒生银行</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49"/>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11,959.2</w:t>
            </w:r>
          </w:p>
        </w:tc>
        <w:tc>
          <w:tcPr>
            <w:tcW w:w="1012"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11,959.2</w:t>
            </w:r>
          </w:p>
        </w:tc>
        <w:tc>
          <w:tcPr>
            <w:tcW w:w="101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恒生银行</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49"/>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12,946.05</w:t>
            </w:r>
          </w:p>
        </w:tc>
        <w:tc>
          <w:tcPr>
            <w:tcW w:w="1012"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12,946.05</w:t>
            </w:r>
          </w:p>
        </w:tc>
        <w:tc>
          <w:tcPr>
            <w:tcW w:w="101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49"/>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19,875</w:t>
            </w:r>
          </w:p>
        </w:tc>
        <w:tc>
          <w:tcPr>
            <w:tcW w:w="1012"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19,875</w:t>
            </w:r>
          </w:p>
        </w:tc>
        <w:tc>
          <w:tcPr>
            <w:tcW w:w="101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49"/>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6,605</w:t>
            </w:r>
          </w:p>
        </w:tc>
        <w:tc>
          <w:tcPr>
            <w:tcW w:w="1012"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6,605</w:t>
            </w:r>
          </w:p>
        </w:tc>
        <w:tc>
          <w:tcPr>
            <w:tcW w:w="101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大华银行</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49"/>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13,210</w:t>
            </w:r>
          </w:p>
        </w:tc>
        <w:tc>
          <w:tcPr>
            <w:tcW w:w="1012"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13,210</w:t>
            </w:r>
          </w:p>
        </w:tc>
        <w:tc>
          <w:tcPr>
            <w:tcW w:w="101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014"/>
        <w:gridCol w:w="1014"/>
        <w:gridCol w:w="1014"/>
        <w:gridCol w:w="1084"/>
        <w:gridCol w:w="1015"/>
        <w:gridCol w:w="1015"/>
        <w:gridCol w:w="1012"/>
        <w:gridCol w:w="1015"/>
        <w:gridCol w:w="1012"/>
        <w:gridCol w:w="1013"/>
        <w:gridCol w:w="1012"/>
        <w:gridCol w:w="1015"/>
        <w:gridCol w:w="1012"/>
        <w:gridCol w:w="768"/>
      </w:tblGrid>
      <w:tr>
        <w:trPr>
          <w:trHeight w:val="1038" w:hRule="exact"/>
        </w:trPr>
        <w:tc>
          <w:tcPr>
            <w:tcW w:w="101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51" w:right="50"/>
              <w:jc w:val="left"/>
              <w:rPr>
                <w:rFonts w:ascii="宋体" w:hAnsi="宋体" w:cs="宋体" w:eastAsia="宋体" w:hint="default"/>
                <w:sz w:val="18"/>
                <w:szCs w:val="18"/>
              </w:rPr>
            </w:pPr>
            <w:r>
              <w:rPr>
                <w:rFonts w:ascii="宋体" w:hAnsi="宋体" w:cs="宋体" w:eastAsia="宋体" w:hint="default"/>
                <w:sz w:val="18"/>
                <w:szCs w:val="18"/>
              </w:rPr>
              <w:t>衍生品投资 操作方名称</w:t>
            </w:r>
          </w:p>
        </w:tc>
        <w:tc>
          <w:tcPr>
            <w:tcW w:w="101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41"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1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411" w:right="50" w:hanging="360"/>
              <w:jc w:val="left"/>
              <w:rPr>
                <w:rFonts w:ascii="宋体" w:hAnsi="宋体" w:cs="宋体" w:eastAsia="宋体" w:hint="default"/>
                <w:sz w:val="18"/>
                <w:szCs w:val="18"/>
              </w:rPr>
            </w:pPr>
            <w:r>
              <w:rPr>
                <w:rFonts w:ascii="宋体" w:hAnsi="宋体" w:cs="宋体" w:eastAsia="宋体" w:hint="default"/>
                <w:sz w:val="18"/>
                <w:szCs w:val="18"/>
              </w:rPr>
              <w:t>是否关联交 易</w:t>
            </w:r>
          </w:p>
        </w:tc>
        <w:tc>
          <w:tcPr>
            <w:tcW w:w="108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356" w:right="85" w:hanging="270"/>
              <w:jc w:val="left"/>
              <w:rPr>
                <w:rFonts w:ascii="宋体" w:hAnsi="宋体" w:cs="宋体" w:eastAsia="宋体" w:hint="default"/>
                <w:sz w:val="18"/>
                <w:szCs w:val="18"/>
              </w:rPr>
            </w:pPr>
            <w:r>
              <w:rPr>
                <w:rFonts w:ascii="宋体" w:hAnsi="宋体" w:cs="宋体" w:eastAsia="宋体" w:hint="default"/>
                <w:sz w:val="18"/>
                <w:szCs w:val="18"/>
              </w:rPr>
              <w:t>衍生品投资 类型</w:t>
            </w:r>
          </w:p>
        </w:tc>
        <w:tc>
          <w:tcPr>
            <w:tcW w:w="101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9"/>
              <w:ind w:left="51" w:right="53"/>
              <w:jc w:val="center"/>
              <w:rPr>
                <w:rFonts w:ascii="宋体" w:hAnsi="宋体" w:cs="宋体" w:eastAsia="宋体" w:hint="default"/>
                <w:sz w:val="18"/>
                <w:szCs w:val="18"/>
              </w:rPr>
            </w:pPr>
            <w:r>
              <w:rPr>
                <w:rFonts w:ascii="宋体" w:hAnsi="宋体" w:cs="宋体" w:eastAsia="宋体" w:hint="default"/>
                <w:sz w:val="18"/>
                <w:szCs w:val="18"/>
              </w:rPr>
              <w:t>衍生品投资 初始投资金 额</w:t>
            </w:r>
          </w:p>
        </w:tc>
        <w:tc>
          <w:tcPr>
            <w:tcW w:w="101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41"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101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40"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101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411" w:right="53" w:hanging="360"/>
              <w:jc w:val="left"/>
              <w:rPr>
                <w:rFonts w:ascii="宋体" w:hAnsi="宋体" w:cs="宋体" w:eastAsia="宋体" w:hint="default"/>
                <w:sz w:val="18"/>
                <w:szCs w:val="18"/>
              </w:rPr>
            </w:pPr>
            <w:r>
              <w:rPr>
                <w:rFonts w:ascii="宋体" w:hAnsi="宋体" w:cs="宋体" w:eastAsia="宋体" w:hint="default"/>
                <w:sz w:val="18"/>
                <w:szCs w:val="18"/>
              </w:rPr>
              <w:t>期初投资金 额</w:t>
            </w:r>
          </w:p>
        </w:tc>
        <w:tc>
          <w:tcPr>
            <w:tcW w:w="101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30" w:right="49" w:hanging="180"/>
              <w:jc w:val="left"/>
              <w:rPr>
                <w:rFonts w:ascii="宋体" w:hAnsi="宋体" w:cs="宋体" w:eastAsia="宋体" w:hint="default"/>
                <w:sz w:val="18"/>
                <w:szCs w:val="18"/>
              </w:rPr>
            </w:pPr>
            <w:r>
              <w:rPr>
                <w:rFonts w:ascii="宋体" w:hAnsi="宋体" w:cs="宋体" w:eastAsia="宋体" w:hint="default"/>
                <w:sz w:val="18"/>
                <w:szCs w:val="18"/>
              </w:rPr>
              <w:t>报告期内购 入金额</w:t>
            </w:r>
          </w:p>
        </w:tc>
        <w:tc>
          <w:tcPr>
            <w:tcW w:w="101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31" w:right="49"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101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9"/>
              <w:ind w:left="50" w:right="49"/>
              <w:jc w:val="center"/>
              <w:rPr>
                <w:rFonts w:ascii="宋体" w:hAnsi="宋体" w:cs="宋体" w:eastAsia="宋体" w:hint="default"/>
                <w:sz w:val="18"/>
                <w:szCs w:val="18"/>
              </w:rPr>
            </w:pPr>
            <w:r>
              <w:rPr>
                <w:rFonts w:ascii="宋体" w:hAnsi="宋体" w:cs="宋体" w:eastAsia="宋体" w:hint="default"/>
                <w:sz w:val="18"/>
                <w:szCs w:val="18"/>
              </w:rPr>
              <w:t>计提减值准 备金额（如 有）</w:t>
            </w:r>
          </w:p>
        </w:tc>
        <w:tc>
          <w:tcPr>
            <w:tcW w:w="101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411" w:right="53" w:hanging="360"/>
              <w:jc w:val="left"/>
              <w:rPr>
                <w:rFonts w:ascii="宋体" w:hAnsi="宋体" w:cs="宋体" w:eastAsia="宋体" w:hint="default"/>
                <w:sz w:val="18"/>
                <w:szCs w:val="18"/>
              </w:rPr>
            </w:pPr>
            <w:r>
              <w:rPr>
                <w:rFonts w:ascii="宋体" w:hAnsi="宋体" w:cs="宋体" w:eastAsia="宋体" w:hint="default"/>
                <w:sz w:val="18"/>
                <w:szCs w:val="18"/>
              </w:rPr>
              <w:t>期末投资金 额</w:t>
            </w:r>
          </w:p>
        </w:tc>
        <w:tc>
          <w:tcPr>
            <w:tcW w:w="101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
              <w:ind w:left="50" w:right="51"/>
              <w:jc w:val="center"/>
              <w:rPr>
                <w:rFonts w:ascii="宋体" w:hAnsi="宋体" w:cs="宋体" w:eastAsia="宋体" w:hint="default"/>
                <w:sz w:val="18"/>
                <w:szCs w:val="18"/>
              </w:rPr>
            </w:pPr>
            <w:r>
              <w:rPr>
                <w:rFonts w:ascii="宋体" w:hAnsi="宋体" w:cs="宋体" w:eastAsia="宋体" w:hint="default"/>
                <w:sz w:val="18"/>
                <w:szCs w:val="18"/>
              </w:rPr>
              <w:t>期末投资金 额占公司报 告期末净资 产比例</w:t>
            </w:r>
          </w:p>
        </w:tc>
        <w:tc>
          <w:tcPr>
            <w:tcW w:w="76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9"/>
              <w:ind w:left="107" w:right="108"/>
              <w:jc w:val="both"/>
              <w:rPr>
                <w:rFonts w:ascii="宋体" w:hAnsi="宋体" w:cs="宋体" w:eastAsia="宋体" w:hint="default"/>
                <w:sz w:val="18"/>
                <w:szCs w:val="18"/>
              </w:rPr>
            </w:pPr>
            <w:r>
              <w:rPr>
                <w:rFonts w:ascii="宋体" w:hAnsi="宋体" w:cs="宋体" w:eastAsia="宋体" w:hint="default"/>
                <w:sz w:val="18"/>
                <w:szCs w:val="18"/>
              </w:rPr>
              <w:t>报告期 实际损 益金额</w:t>
            </w:r>
          </w:p>
        </w:tc>
      </w:tr>
      <w:tr>
        <w:trPr>
          <w:trHeight w:val="557" w:hRule="exact"/>
        </w:trPr>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49"/>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51" w:right="0"/>
              <w:jc w:val="left"/>
              <w:rPr>
                <w:rFonts w:ascii="Times New Roman" w:hAnsi="Times New Roman" w:cs="Times New Roman" w:eastAsia="Times New Roman" w:hint="default"/>
                <w:sz w:val="18"/>
                <w:szCs w:val="18"/>
              </w:rPr>
            </w:pPr>
            <w:r>
              <w:rPr>
                <w:rFonts w:ascii="Times New Roman"/>
                <w:sz w:val="18"/>
              </w:rPr>
              <w:t>13,319.8</w:t>
            </w:r>
          </w:p>
        </w:tc>
        <w:tc>
          <w:tcPr>
            <w:tcW w:w="1012"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13,319.8</w:t>
            </w:r>
          </w:p>
        </w:tc>
        <w:tc>
          <w:tcPr>
            <w:tcW w:w="101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149"/>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19,683</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19,683</w:t>
            </w:r>
          </w:p>
        </w:tc>
        <w:tc>
          <w:tcPr>
            <w:tcW w:w="101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大华银行</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149"/>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19,653</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19,653</w:t>
            </w:r>
          </w:p>
        </w:tc>
        <w:tc>
          <w:tcPr>
            <w:tcW w:w="101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149"/>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19,748.1</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19,748.1</w:t>
            </w:r>
          </w:p>
        </w:tc>
        <w:tc>
          <w:tcPr>
            <w:tcW w:w="101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149"/>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13,838</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13,838</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-112.53</w:t>
            </w:r>
          </w:p>
        </w:tc>
      </w:tr>
      <w:tr>
        <w:trPr>
          <w:trHeight w:val="557" w:hRule="exact"/>
        </w:trPr>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野村国际</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149"/>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10,222.5</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10,222.5</w:t>
            </w:r>
          </w:p>
        </w:tc>
        <w:tc>
          <w:tcPr>
            <w:tcW w:w="101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178.5</w:t>
            </w:r>
          </w:p>
        </w:tc>
      </w:tr>
      <w:tr>
        <w:trPr>
          <w:trHeight w:val="558" w:hRule="exact"/>
        </w:trPr>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149"/>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10,239</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10,239</w:t>
            </w:r>
          </w:p>
        </w:tc>
        <w:tc>
          <w:tcPr>
            <w:tcW w:w="101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170.25</w:t>
            </w:r>
          </w:p>
        </w:tc>
      </w:tr>
      <w:tr>
        <w:trPr>
          <w:trHeight w:val="557" w:hRule="exact"/>
        </w:trPr>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东亚银行</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49"/>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9,571.8</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9,571.8</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2.49%</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39.7</w:t>
            </w:r>
          </w:p>
        </w:tc>
      </w:tr>
      <w:tr>
        <w:trPr>
          <w:trHeight w:val="557" w:hRule="exact"/>
        </w:trPr>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大华银行</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49"/>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13,865.8</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13,865.8</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3.61%</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-153.61</w:t>
            </w:r>
          </w:p>
        </w:tc>
      </w:tr>
      <w:tr>
        <w:trPr>
          <w:trHeight w:val="557" w:hRule="exact"/>
        </w:trPr>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大华银行</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49"/>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13,859.6</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13,859.6</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3.61%</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-172.17</w:t>
            </w:r>
          </w:p>
        </w:tc>
      </w:tr>
      <w:tr>
        <w:trPr>
          <w:trHeight w:val="557" w:hRule="exact"/>
        </w:trPr>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49"/>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4,158</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4,158</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1.08%</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-39.11</w:t>
            </w:r>
          </w:p>
        </w:tc>
      </w:tr>
      <w:tr>
        <w:trPr>
          <w:trHeight w:val="557" w:hRule="exact"/>
        </w:trPr>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49"/>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13,862</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13,862</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3.61%</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-199.83</w:t>
            </w:r>
          </w:p>
        </w:tc>
      </w:tr>
      <w:tr>
        <w:trPr>
          <w:trHeight w:val="557" w:hRule="exact"/>
        </w:trPr>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49"/>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15,215.2</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15,215.2</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3.96%</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-119.33</w:t>
            </w:r>
          </w:p>
        </w:tc>
      </w:tr>
      <w:tr>
        <w:trPr>
          <w:trHeight w:val="557" w:hRule="exact"/>
        </w:trPr>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49"/>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20,890.5</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20,890.5</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5.44%</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-349.15</w:t>
            </w:r>
          </w:p>
        </w:tc>
      </w:tr>
      <w:tr>
        <w:trPr>
          <w:trHeight w:val="557" w:hRule="exact"/>
        </w:trPr>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49"/>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13,893</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13,893</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3.62%</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-231.75</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060" w:bottom="1160" w:left="1300" w:right="1300"/>
        </w:sectPr>
      </w:pPr>
    </w:p>
    <w:p>
      <w:pPr>
        <w:spacing w:line="240" w:lineRule="auto" w:before="0"/>
        <w:rPr>
          <w:rFonts w:ascii="Times New Roman" w:hAnsi="Times New Roman" w:cs="Times New Roman" w:eastAsia="Times New Roman" w:hint="default"/>
          <w:sz w:val="20"/>
          <w:szCs w:val="20"/>
        </w:rPr>
      </w:pPr>
      <w:r>
        <w:rPr/>
        <w:pict>
          <v:shape style="position:absolute;margin-left:70.379997pt;margin-top:55.260006pt;width:701.5pt;height:476.35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14"/>
                    <w:gridCol w:w="1014"/>
                    <w:gridCol w:w="1014"/>
                    <w:gridCol w:w="1084"/>
                    <w:gridCol w:w="1015"/>
                    <w:gridCol w:w="1015"/>
                    <w:gridCol w:w="1012"/>
                    <w:gridCol w:w="1015"/>
                    <w:gridCol w:w="1012"/>
                    <w:gridCol w:w="1013"/>
                    <w:gridCol w:w="1012"/>
                    <w:gridCol w:w="1015"/>
                    <w:gridCol w:w="1012"/>
                    <w:gridCol w:w="768"/>
                  </w:tblGrid>
                  <w:tr>
                    <w:trPr>
                      <w:trHeight w:val="1038" w:hRule="exact"/>
                    </w:trPr>
                    <w:tc>
                      <w:tcPr>
                        <w:tcW w:w="101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51" w:right="50"/>
                          <w:jc w:val="left"/>
                          <w:rPr>
                            <w:rFonts w:ascii="宋体" w:hAnsi="宋体" w:cs="宋体" w:eastAsia="宋体" w:hint="default"/>
                            <w:sz w:val="18"/>
                            <w:szCs w:val="18"/>
                          </w:rPr>
                        </w:pPr>
                        <w:r>
                          <w:rPr>
                            <w:rFonts w:ascii="宋体" w:hAnsi="宋体" w:cs="宋体" w:eastAsia="宋体" w:hint="default"/>
                            <w:sz w:val="18"/>
                            <w:szCs w:val="18"/>
                          </w:rPr>
                          <w:t>衍生品投资 操作方名称</w:t>
                        </w:r>
                      </w:p>
                    </w:tc>
                    <w:tc>
                      <w:tcPr>
                        <w:tcW w:w="101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41"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1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11" w:right="50" w:hanging="360"/>
                          <w:jc w:val="left"/>
                          <w:rPr>
                            <w:rFonts w:ascii="宋体" w:hAnsi="宋体" w:cs="宋体" w:eastAsia="宋体" w:hint="default"/>
                            <w:sz w:val="18"/>
                            <w:szCs w:val="18"/>
                          </w:rPr>
                        </w:pPr>
                        <w:r>
                          <w:rPr>
                            <w:rFonts w:ascii="宋体" w:hAnsi="宋体" w:cs="宋体" w:eastAsia="宋体" w:hint="default"/>
                            <w:sz w:val="18"/>
                            <w:szCs w:val="18"/>
                          </w:rPr>
                          <w:t>是否关联交 易</w:t>
                        </w:r>
                      </w:p>
                    </w:tc>
                    <w:tc>
                      <w:tcPr>
                        <w:tcW w:w="108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56" w:right="85" w:hanging="270"/>
                          <w:jc w:val="left"/>
                          <w:rPr>
                            <w:rFonts w:ascii="宋体" w:hAnsi="宋体" w:cs="宋体" w:eastAsia="宋体" w:hint="default"/>
                            <w:sz w:val="18"/>
                            <w:szCs w:val="18"/>
                          </w:rPr>
                        </w:pPr>
                        <w:r>
                          <w:rPr>
                            <w:rFonts w:ascii="宋体" w:hAnsi="宋体" w:cs="宋体" w:eastAsia="宋体" w:hint="default"/>
                            <w:sz w:val="18"/>
                            <w:szCs w:val="18"/>
                          </w:rPr>
                          <w:t>衍生品投资 类型</w:t>
                        </w:r>
                      </w:p>
                    </w:tc>
                    <w:tc>
                      <w:tcPr>
                        <w:tcW w:w="101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9"/>
                          <w:ind w:left="51" w:right="53"/>
                          <w:jc w:val="center"/>
                          <w:rPr>
                            <w:rFonts w:ascii="宋体" w:hAnsi="宋体" w:cs="宋体" w:eastAsia="宋体" w:hint="default"/>
                            <w:sz w:val="18"/>
                            <w:szCs w:val="18"/>
                          </w:rPr>
                        </w:pPr>
                        <w:r>
                          <w:rPr>
                            <w:rFonts w:ascii="宋体" w:hAnsi="宋体" w:cs="宋体" w:eastAsia="宋体" w:hint="default"/>
                            <w:sz w:val="18"/>
                            <w:szCs w:val="18"/>
                          </w:rPr>
                          <w:t>衍生品投资 初始投资金 额</w:t>
                        </w:r>
                      </w:p>
                    </w:tc>
                    <w:tc>
                      <w:tcPr>
                        <w:tcW w:w="101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起始日期</w:t>
                        </w:r>
                      </w:p>
                    </w:tc>
                    <w:tc>
                      <w:tcPr>
                        <w:tcW w:w="101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终止日期</w:t>
                        </w:r>
                      </w:p>
                    </w:tc>
                    <w:tc>
                      <w:tcPr>
                        <w:tcW w:w="101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11" w:right="53" w:hanging="360"/>
                          <w:jc w:val="left"/>
                          <w:rPr>
                            <w:rFonts w:ascii="宋体" w:hAnsi="宋体" w:cs="宋体" w:eastAsia="宋体" w:hint="default"/>
                            <w:sz w:val="18"/>
                            <w:szCs w:val="18"/>
                          </w:rPr>
                        </w:pPr>
                        <w:r>
                          <w:rPr>
                            <w:rFonts w:ascii="宋体" w:hAnsi="宋体" w:cs="宋体" w:eastAsia="宋体" w:hint="default"/>
                            <w:sz w:val="18"/>
                            <w:szCs w:val="18"/>
                          </w:rPr>
                          <w:t>期初投资金 额</w:t>
                        </w:r>
                      </w:p>
                    </w:tc>
                    <w:tc>
                      <w:tcPr>
                        <w:tcW w:w="101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30" w:right="49" w:hanging="180"/>
                          <w:jc w:val="left"/>
                          <w:rPr>
                            <w:rFonts w:ascii="宋体" w:hAnsi="宋体" w:cs="宋体" w:eastAsia="宋体" w:hint="default"/>
                            <w:sz w:val="18"/>
                            <w:szCs w:val="18"/>
                          </w:rPr>
                        </w:pPr>
                        <w:r>
                          <w:rPr>
                            <w:rFonts w:ascii="宋体" w:hAnsi="宋体" w:cs="宋体" w:eastAsia="宋体" w:hint="default"/>
                            <w:sz w:val="18"/>
                            <w:szCs w:val="18"/>
                          </w:rPr>
                          <w:t>报告期内购 入金额</w:t>
                        </w:r>
                      </w:p>
                    </w:tc>
                    <w:tc>
                      <w:tcPr>
                        <w:tcW w:w="101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31" w:right="49"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101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9"/>
                          <w:ind w:left="50" w:right="49"/>
                          <w:jc w:val="center"/>
                          <w:rPr>
                            <w:rFonts w:ascii="宋体" w:hAnsi="宋体" w:cs="宋体" w:eastAsia="宋体" w:hint="default"/>
                            <w:sz w:val="18"/>
                            <w:szCs w:val="18"/>
                          </w:rPr>
                        </w:pPr>
                        <w:r>
                          <w:rPr>
                            <w:rFonts w:ascii="宋体" w:hAnsi="宋体" w:cs="宋体" w:eastAsia="宋体" w:hint="default"/>
                            <w:sz w:val="18"/>
                            <w:szCs w:val="18"/>
                          </w:rPr>
                          <w:t>计提减值准 备金额（如 有）</w:t>
                        </w:r>
                      </w:p>
                    </w:tc>
                    <w:tc>
                      <w:tcPr>
                        <w:tcW w:w="101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11" w:right="53" w:hanging="360"/>
                          <w:jc w:val="left"/>
                          <w:rPr>
                            <w:rFonts w:ascii="宋体" w:hAnsi="宋体" w:cs="宋体" w:eastAsia="宋体" w:hint="default"/>
                            <w:sz w:val="18"/>
                            <w:szCs w:val="18"/>
                          </w:rPr>
                        </w:pPr>
                        <w:r>
                          <w:rPr>
                            <w:rFonts w:ascii="宋体" w:hAnsi="宋体" w:cs="宋体" w:eastAsia="宋体" w:hint="default"/>
                            <w:sz w:val="18"/>
                            <w:szCs w:val="18"/>
                          </w:rPr>
                          <w:t>期末投资金 额</w:t>
                        </w:r>
                      </w:p>
                    </w:tc>
                    <w:tc>
                      <w:tcPr>
                        <w:tcW w:w="101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
                          <w:ind w:left="50" w:right="51"/>
                          <w:jc w:val="center"/>
                          <w:rPr>
                            <w:rFonts w:ascii="宋体" w:hAnsi="宋体" w:cs="宋体" w:eastAsia="宋体" w:hint="default"/>
                            <w:sz w:val="18"/>
                            <w:szCs w:val="18"/>
                          </w:rPr>
                        </w:pPr>
                        <w:r>
                          <w:rPr>
                            <w:rFonts w:ascii="宋体" w:hAnsi="宋体" w:cs="宋体" w:eastAsia="宋体" w:hint="default"/>
                            <w:sz w:val="18"/>
                            <w:szCs w:val="18"/>
                          </w:rPr>
                          <w:t>期末投资金 额占公司报 告期末净资 产比例</w:t>
                        </w:r>
                      </w:p>
                    </w:tc>
                    <w:tc>
                      <w:tcPr>
                        <w:tcW w:w="76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9"/>
                          <w:ind w:left="107" w:right="108"/>
                          <w:jc w:val="both"/>
                          <w:rPr>
                            <w:rFonts w:ascii="宋体" w:hAnsi="宋体" w:cs="宋体" w:eastAsia="宋体" w:hint="default"/>
                            <w:sz w:val="18"/>
                            <w:szCs w:val="18"/>
                          </w:rPr>
                        </w:pPr>
                        <w:r>
                          <w:rPr>
                            <w:rFonts w:ascii="宋体" w:hAnsi="宋体" w:cs="宋体" w:eastAsia="宋体" w:hint="default"/>
                            <w:sz w:val="18"/>
                            <w:szCs w:val="18"/>
                          </w:rPr>
                          <w:t>报告期 实际损 益金额</w:t>
                        </w:r>
                      </w:p>
                    </w:tc>
                  </w:tr>
                  <w:tr>
                    <w:trPr>
                      <w:trHeight w:val="557" w:hRule="exact"/>
                    </w:trPr>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中信银行</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49"/>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9,249.53</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9,249.53</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2.41%</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-149.5</w:t>
                        </w:r>
                      </w:p>
                    </w:tc>
                  </w:tr>
                  <w:tr>
                    <w:trPr>
                      <w:trHeight w:val="557" w:hRule="exact"/>
                    </w:trPr>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大华银行</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149"/>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17,233.25</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17,233.25</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4.49%</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-140.3</w:t>
                        </w:r>
                      </w:p>
                    </w:tc>
                  </w:tr>
                  <w:tr>
                    <w:trPr>
                      <w:trHeight w:val="557" w:hRule="exact"/>
                    </w:trPr>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149"/>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17,271.25</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17,271.25</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-117.12</w:t>
                        </w:r>
                      </w:p>
                    </w:tc>
                  </w:tr>
                  <w:tr>
                    <w:trPr>
                      <w:trHeight w:val="557" w:hRule="exact"/>
                    </w:trPr>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149"/>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17,273.75</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17,273.75</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-145.69</w:t>
                        </w:r>
                      </w:p>
                    </w:tc>
                  </w:tr>
                  <w:tr>
                    <w:trPr>
                      <w:trHeight w:val="558" w:hRule="exact"/>
                    </w:trPr>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149"/>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10" w:space="0" w:color="D2D2D2"/>
                          <w:right w:val="single" w:sz="4" w:space="0" w:color="000000"/>
                        </w:tcBorders>
                      </w:tcPr>
                      <w:p>
                        <w:pPr>
                          <w:pStyle w:val="TableParagraph"/>
                          <w:spacing w:line="242"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2" w:type="dxa"/>
                        <w:tcBorders>
                          <w:top w:val="single" w:sz="4" w:space="0" w:color="000000"/>
                          <w:left w:val="single" w:sz="4" w:space="0" w:color="000000"/>
                          <w:bottom w:val="single" w:sz="10" w:space="0" w:color="D2D2D2"/>
                          <w:right w:val="single" w:sz="4" w:space="0" w:color="000000"/>
                        </w:tcBorders>
                      </w:tcPr>
                      <w:p>
                        <w:pPr>
                          <w:pStyle w:val="TableParagraph"/>
                          <w:spacing w:line="242"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17,240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17,240</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4.49%</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-179.09</w:t>
                        </w:r>
                      </w:p>
                    </w:tc>
                  </w:tr>
                  <w:tr>
                    <w:trPr>
                      <w:trHeight w:val="323" w:hRule="exact"/>
                    </w:trPr>
                    <w:tc>
                      <w:tcPr>
                        <w:tcW w:w="412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1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w:t>
                        </w:r>
                      </w:p>
                    </w:tc>
                    <w:tc>
                      <w:tcPr>
                        <w:tcW w:w="1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w:t>
                        </w:r>
                      </w:p>
                    </w:tc>
                    <w:tc>
                      <w:tcPr>
                        <w:tcW w:w="10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60" w:right="0"/>
                          <w:jc w:val="left"/>
                          <w:rPr>
                            <w:rFonts w:ascii="Times New Roman" w:hAnsi="Times New Roman" w:cs="Times New Roman" w:eastAsia="Times New Roman" w:hint="default"/>
                            <w:sz w:val="18"/>
                            <w:szCs w:val="18"/>
                          </w:rPr>
                        </w:pPr>
                        <w:r>
                          <w:rPr>
                            <w:rFonts w:ascii="Times New Roman"/>
                            <w:sz w:val="18"/>
                          </w:rPr>
                          <w:t>202,215.78</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276,967.28</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0" w:right="0"/>
                          <w:jc w:val="left"/>
                          <w:rPr>
                            <w:rFonts w:ascii="Times New Roman" w:hAnsi="Times New Roman" w:cs="Times New Roman" w:eastAsia="Times New Roman" w:hint="default"/>
                            <w:sz w:val="18"/>
                            <w:szCs w:val="18"/>
                          </w:rPr>
                        </w:pPr>
                        <w:r>
                          <w:rPr>
                            <w:rFonts w:ascii="Times New Roman"/>
                            <w:sz w:val="18"/>
                          </w:rPr>
                          <w:t>281,761.38</w:t>
                        </w:r>
                      </w:p>
                    </w:tc>
                    <w:tc>
                      <w:tcPr>
                        <w:tcW w:w="101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197,421.68</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51.41%</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-2,896.33</w:t>
                        </w:r>
                        <w:r>
                          <w:rPr>
                            <w:rFonts w:ascii="Times New Roman"/>
                            <w:sz w:val="18"/>
                          </w:rPr>
                        </w:r>
                      </w:p>
                    </w:tc>
                  </w:tr>
                  <w:tr>
                    <w:trPr>
                      <w:trHeight w:val="323" w:hRule="exact"/>
                    </w:trPr>
                    <w:tc>
                      <w:tcPr>
                        <w:tcW w:w="412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衍生品投资资金来源</w:t>
                        </w:r>
                      </w:p>
                    </w:tc>
                    <w:tc>
                      <w:tcPr>
                        <w:tcW w:w="9889" w:type="dxa"/>
                        <w:gridSpan w:val="10"/>
                        <w:tcBorders>
                          <w:top w:val="single" w:sz="5" w:space="0" w:color="D2D2D2"/>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324" w:hRule="exact"/>
                    </w:trPr>
                    <w:tc>
                      <w:tcPr>
                        <w:tcW w:w="412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988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未涉诉</w:t>
                        </w:r>
                      </w:p>
                    </w:tc>
                  </w:tr>
                  <w:tr>
                    <w:trPr>
                      <w:trHeight w:val="324" w:hRule="exact"/>
                    </w:trPr>
                    <w:tc>
                      <w:tcPr>
                        <w:tcW w:w="4126"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衍生品投资审批董事会公告披露日期（如有</w:t>
                        </w:r>
                        <w:r>
                          <w:rPr>
                            <w:rFonts w:ascii="Times New Roman" w:hAnsi="Times New Roman" w:cs="Times New Roman" w:eastAsia="Times New Roman" w:hint="default"/>
                            <w:sz w:val="18"/>
                            <w:szCs w:val="18"/>
                          </w:rPr>
                          <w:t>)</w:t>
                        </w:r>
                      </w:p>
                    </w:tc>
                    <w:tc>
                      <w:tcPr>
                        <w:tcW w:w="988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3" w:hRule="exact"/>
                    </w:trPr>
                    <w:tc>
                      <w:tcPr>
                        <w:tcW w:w="4126" w:type="dxa"/>
                        <w:gridSpan w:val="4"/>
                        <w:vMerge/>
                        <w:tcBorders>
                          <w:left w:val="single" w:sz="4" w:space="0" w:color="000000"/>
                          <w:bottom w:val="single" w:sz="4" w:space="0" w:color="000000"/>
                          <w:right w:val="single" w:sz="4" w:space="0" w:color="000000"/>
                        </w:tcBorders>
                        <w:shd w:val="clear" w:color="auto" w:fill="D2D2D2"/>
                      </w:tcPr>
                      <w:p>
                        <w:pPr/>
                      </w:p>
                    </w:tc>
                    <w:tc>
                      <w:tcPr>
                        <w:tcW w:w="988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4" w:hRule="exact"/>
                    </w:trPr>
                    <w:tc>
                      <w:tcPr>
                        <w:tcW w:w="4126"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衍生品投资审批股东会公告披露日期（如有</w:t>
                        </w:r>
                        <w:r>
                          <w:rPr>
                            <w:rFonts w:ascii="Times New Roman" w:hAnsi="Times New Roman" w:cs="Times New Roman" w:eastAsia="Times New Roman" w:hint="default"/>
                            <w:sz w:val="18"/>
                            <w:szCs w:val="18"/>
                          </w:rPr>
                          <w:t>)</w:t>
                        </w:r>
                      </w:p>
                    </w:tc>
                    <w:tc>
                      <w:tcPr>
                        <w:tcW w:w="988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3" w:hRule="exact"/>
                    </w:trPr>
                    <w:tc>
                      <w:tcPr>
                        <w:tcW w:w="4126" w:type="dxa"/>
                        <w:gridSpan w:val="4"/>
                        <w:vMerge/>
                        <w:tcBorders>
                          <w:left w:val="single" w:sz="4" w:space="0" w:color="000000"/>
                          <w:bottom w:val="single" w:sz="4" w:space="0" w:color="000000"/>
                          <w:right w:val="single" w:sz="4" w:space="0" w:color="000000"/>
                        </w:tcBorders>
                        <w:shd w:val="clear" w:color="auto" w:fill="D2D2D2"/>
                      </w:tcPr>
                      <w:p>
                        <w:pPr/>
                      </w:p>
                    </w:tc>
                    <w:tc>
                      <w:tcPr>
                        <w:tcW w:w="988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2625" w:hRule="exact"/>
                    </w:trPr>
                    <w:tc>
                      <w:tcPr>
                        <w:tcW w:w="412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37" w:lineRule="auto"/>
                          <w:ind w:left="22" w:right="20"/>
                          <w:jc w:val="both"/>
                          <w:rPr>
                            <w:rFonts w:ascii="宋体" w:hAnsi="宋体" w:cs="宋体" w:eastAsia="宋体" w:hint="default"/>
                            <w:sz w:val="18"/>
                            <w:szCs w:val="18"/>
                          </w:rPr>
                        </w:pPr>
                        <w:r>
                          <w:rPr>
                            <w:rFonts w:ascii="宋体" w:hAnsi="宋体" w:cs="宋体" w:eastAsia="宋体" w:hint="default"/>
                            <w:spacing w:val="-4"/>
                            <w:sz w:val="18"/>
                            <w:szCs w:val="18"/>
                          </w:rPr>
                          <w:t>报告期衍生品持仓的风险分析及控制措施说明（包括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但不限于市场风险、流动性风险、信用风险、操作风</w:t>
                        </w:r>
                        <w:r>
                          <w:rPr>
                            <w:rFonts w:ascii="宋体" w:hAnsi="宋体" w:cs="宋体" w:eastAsia="宋体" w:hint="default"/>
                            <w:sz w:val="18"/>
                            <w:szCs w:val="18"/>
                          </w:rPr>
                          <w:t> 险、法律风险等）</w:t>
                        </w:r>
                      </w:p>
                    </w:tc>
                    <w:tc>
                      <w:tcPr>
                        <w:tcW w:w="988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年度公司开展了保值型衍生品投资，主要风险分析及控制措施如下：</w:t>
                        </w:r>
                      </w:p>
                      <w:p>
                        <w:pPr>
                          <w:pStyle w:val="TableParagraph"/>
                          <w:spacing w:line="232" w:lineRule="exact" w:before="49"/>
                          <w:ind w:left="22" w:right="4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、市场风险：保值衍生品投资合约汇率与到期日实际汇率的差异将产生投资损益；在衍生品的存续期内，每一会计期间将产 生重估损益，至到期日重估损益的累计值等于投资损益；</w:t>
                        </w:r>
                      </w:p>
                      <w:p>
                        <w:pPr>
                          <w:pStyle w:val="TableParagraph"/>
                          <w:spacing w:line="234" w:lineRule="exact" w:before="40"/>
                          <w:ind w:left="22" w:right="4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、流动性风险：保值衍生品以公司外汇收支预算为依据，与实际外汇收支相匹配，以保证在交割时拥有足额资金供清算，或 选择净额交割衍生品，以减少到期日现金流需求；</w:t>
                        </w:r>
                      </w:p>
                      <w:p>
                        <w:pPr>
                          <w:pStyle w:val="TableParagraph"/>
                          <w:spacing w:line="240" w:lineRule="auto" w:before="1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、信用风险：公司进行的衍生品投资交易对手均为信用良好且与公司已建立长期业务往来的银行，基本不存在履约风险；</w:t>
                        </w:r>
                      </w:p>
                      <w:p>
                        <w:pPr>
                          <w:pStyle w:val="TableParagraph"/>
                          <w:spacing w:line="234" w:lineRule="exact" w:before="47"/>
                          <w:ind w:left="22" w:right="4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、其它风险：在开展业务时，如操作人员未按规定程序进行衍生品投资操作或未充分理解衍生品信息，将带来操作风险；如 交易合同条款的不明确，将可能面临法律风险。</w:t>
                        </w:r>
                      </w:p>
                      <w:p>
                        <w:pPr>
                          <w:pStyle w:val="TableParagraph"/>
                          <w:spacing w:line="232" w:lineRule="exact" w:before="41"/>
                          <w:ind w:left="22" w:right="111"/>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、控制措施：公司已制定《衍生品投资风险控制及信息披露制度》，对公司进行衍生品投资的风险控制、审批程序和信息披露</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后续管理和信息披露等进行明确规定，以有效规范衍生品投资行为，控制衍生品投资风险。</w:t>
                        </w:r>
                      </w:p>
                    </w:tc>
                  </w:tr>
                  <w:tr>
                    <w:trPr>
                      <w:trHeight w:val="791" w:hRule="exact"/>
                    </w:trPr>
                    <w:tc>
                      <w:tcPr>
                        <w:tcW w:w="412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21"/>
                          <w:jc w:val="left"/>
                          <w:rPr>
                            <w:rFonts w:ascii="宋体" w:hAnsi="宋体" w:cs="宋体" w:eastAsia="宋体" w:hint="default"/>
                            <w:sz w:val="18"/>
                            <w:szCs w:val="18"/>
                          </w:rPr>
                        </w:pPr>
                        <w:r>
                          <w:rPr>
                            <w:rFonts w:ascii="宋体" w:hAnsi="宋体" w:cs="宋体" w:eastAsia="宋体" w:hint="default"/>
                            <w:sz w:val="18"/>
                            <w:szCs w:val="18"/>
                          </w:rPr>
                          <w:t>已投资衍生品报告期内市场价格或产品公允价值变 </w:t>
                        </w:r>
                        <w:r>
                          <w:rPr>
                            <w:rFonts w:ascii="宋体" w:hAnsi="宋体" w:cs="宋体" w:eastAsia="宋体" w:hint="default"/>
                            <w:spacing w:val="-4"/>
                            <w:sz w:val="18"/>
                            <w:szCs w:val="18"/>
                          </w:rPr>
                          <w:t>动的情况，对衍生品公允价值的分析应披露具体使用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的方法及相关假设与参数的设定</w:t>
                        </w:r>
                      </w:p>
                    </w:tc>
                    <w:tc>
                      <w:tcPr>
                        <w:tcW w:w="988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21"/>
                          <w:jc w:val="left"/>
                          <w:rPr>
                            <w:rFonts w:ascii="宋体" w:hAnsi="宋体" w:cs="宋体" w:eastAsia="宋体" w:hint="default"/>
                            <w:sz w:val="18"/>
                            <w:szCs w:val="18"/>
                          </w:rPr>
                        </w:pPr>
                        <w:r>
                          <w:rPr>
                            <w:rFonts w:ascii="宋体" w:hAnsi="宋体" w:cs="宋体" w:eastAsia="宋体" w:hint="default"/>
                            <w:spacing w:val="-2"/>
                            <w:sz w:val="18"/>
                            <w:szCs w:val="18"/>
                          </w:rPr>
                          <w:t>公司对报告期内衍生品损益情况进行了确认，公允价值计算以上述产品资产负债表日的市场价格为基准，报告期内确认公允价</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值变动收益为人民币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5"/>
          <w:szCs w:val="15"/>
        </w:rPr>
      </w:pPr>
    </w:p>
    <w:p>
      <w:pPr>
        <w:pStyle w:val="BodyText"/>
        <w:spacing w:line="240" w:lineRule="auto"/>
        <w:ind w:left="0" w:right="107"/>
        <w:jc w:val="right"/>
      </w:pPr>
      <w:r>
        <w:rPr/>
        <w:t>、</w:t>
      </w:r>
    </w:p>
    <w:p>
      <w:pPr>
        <w:spacing w:after="0" w:line="240" w:lineRule="auto"/>
        <w:jc w:val="right"/>
        <w:sectPr>
          <w:pgSz w:w="16840" w:h="11910" w:orient="landscape"/>
          <w:pgMar w:header="867" w:footer="979" w:top="1060" w:bottom="1260" w:left="1300" w:right="1240"/>
        </w:sectPr>
      </w:pPr>
    </w:p>
    <w:p>
      <w:pPr>
        <w:spacing w:line="240" w:lineRule="auto" w:before="12"/>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003"/>
        <w:gridCol w:w="1026"/>
        <w:gridCol w:w="1003"/>
        <w:gridCol w:w="1084"/>
        <w:gridCol w:w="1003"/>
        <w:gridCol w:w="1027"/>
        <w:gridCol w:w="1023"/>
        <w:gridCol w:w="1004"/>
        <w:gridCol w:w="1012"/>
        <w:gridCol w:w="1024"/>
        <w:gridCol w:w="988"/>
        <w:gridCol w:w="1039"/>
        <w:gridCol w:w="1001"/>
        <w:gridCol w:w="768"/>
      </w:tblGrid>
      <w:tr>
        <w:trPr>
          <w:trHeight w:val="137" w:hRule="exact"/>
        </w:trPr>
        <w:tc>
          <w:tcPr>
            <w:tcW w:w="1003" w:type="dxa"/>
            <w:vMerge w:val="restart"/>
            <w:tcBorders>
              <w:top w:val="single" w:sz="15" w:space="0" w:color="000000"/>
              <w:left w:val="single" w:sz="4" w:space="0" w:color="000000"/>
              <w:right w:val="single" w:sz="4" w:space="0" w:color="000000"/>
            </w:tcBorders>
            <w:shd w:val="clear" w:color="auto" w:fill="D2D2D2"/>
          </w:tcPr>
          <w:p>
            <w:pPr/>
          </w:p>
        </w:tc>
        <w:tc>
          <w:tcPr>
            <w:tcW w:w="1026" w:type="dxa"/>
            <w:vMerge w:val="restart"/>
            <w:tcBorders>
              <w:top w:val="single" w:sz="15" w:space="0" w:color="000000"/>
              <w:left w:val="single" w:sz="4" w:space="0" w:color="000000"/>
              <w:right w:val="single" w:sz="4" w:space="0" w:color="000000"/>
            </w:tcBorders>
            <w:shd w:val="clear" w:color="auto" w:fill="D2D2D2"/>
          </w:tcPr>
          <w:p>
            <w:pPr/>
          </w:p>
        </w:tc>
        <w:tc>
          <w:tcPr>
            <w:tcW w:w="1003" w:type="dxa"/>
            <w:vMerge w:val="restart"/>
            <w:tcBorders>
              <w:top w:val="single" w:sz="15" w:space="0" w:color="000000"/>
              <w:left w:val="single" w:sz="4" w:space="0" w:color="000000"/>
              <w:right w:val="single" w:sz="4" w:space="0" w:color="000000"/>
            </w:tcBorders>
            <w:shd w:val="clear" w:color="auto" w:fill="D2D2D2"/>
          </w:tcPr>
          <w:p>
            <w:pPr/>
          </w:p>
        </w:tc>
        <w:tc>
          <w:tcPr>
            <w:tcW w:w="1084" w:type="dxa"/>
            <w:vMerge w:val="restart"/>
            <w:tcBorders>
              <w:top w:val="single" w:sz="15" w:space="0" w:color="000000"/>
              <w:left w:val="single" w:sz="4" w:space="0" w:color="000000"/>
              <w:right w:val="single" w:sz="4" w:space="0" w:color="000000"/>
            </w:tcBorders>
            <w:shd w:val="clear" w:color="auto" w:fill="D2D2D2"/>
          </w:tcPr>
          <w:p>
            <w:pPr/>
          </w:p>
        </w:tc>
        <w:tc>
          <w:tcPr>
            <w:tcW w:w="1003" w:type="dxa"/>
            <w:tcBorders>
              <w:top w:val="single" w:sz="15" w:space="0" w:color="000000"/>
              <w:left w:val="single" w:sz="4" w:space="0" w:color="000000"/>
              <w:bottom w:val="nil" w:sz="6" w:space="0" w:color="auto"/>
              <w:right w:val="single" w:sz="4" w:space="0" w:color="000000"/>
            </w:tcBorders>
            <w:shd w:val="clear" w:color="auto" w:fill="D2D2D2"/>
          </w:tcPr>
          <w:p>
            <w:pPr/>
          </w:p>
        </w:tc>
        <w:tc>
          <w:tcPr>
            <w:tcW w:w="1027" w:type="dxa"/>
            <w:vMerge w:val="restart"/>
            <w:tcBorders>
              <w:top w:val="single" w:sz="15" w:space="0" w:color="000000"/>
              <w:left w:val="single" w:sz="4" w:space="0" w:color="000000"/>
              <w:right w:val="single" w:sz="4" w:space="0" w:color="000000"/>
            </w:tcBorders>
            <w:shd w:val="clear" w:color="auto" w:fill="D2D2D2"/>
          </w:tcPr>
          <w:p>
            <w:pPr/>
          </w:p>
        </w:tc>
        <w:tc>
          <w:tcPr>
            <w:tcW w:w="1023" w:type="dxa"/>
            <w:vMerge w:val="restart"/>
            <w:tcBorders>
              <w:top w:val="single" w:sz="15" w:space="0" w:color="000000"/>
              <w:left w:val="single" w:sz="4" w:space="0" w:color="000000"/>
              <w:right w:val="single" w:sz="4" w:space="0" w:color="000000"/>
            </w:tcBorders>
            <w:shd w:val="clear" w:color="auto" w:fill="D2D2D2"/>
          </w:tcPr>
          <w:p>
            <w:pPr/>
          </w:p>
        </w:tc>
        <w:tc>
          <w:tcPr>
            <w:tcW w:w="1004" w:type="dxa"/>
            <w:vMerge w:val="restart"/>
            <w:tcBorders>
              <w:top w:val="single" w:sz="15" w:space="0" w:color="000000"/>
              <w:left w:val="single" w:sz="4" w:space="0" w:color="000000"/>
              <w:right w:val="single" w:sz="4" w:space="0" w:color="000000"/>
            </w:tcBorders>
            <w:shd w:val="clear" w:color="auto" w:fill="D2D2D2"/>
          </w:tcPr>
          <w:p>
            <w:pPr/>
          </w:p>
        </w:tc>
        <w:tc>
          <w:tcPr>
            <w:tcW w:w="1012" w:type="dxa"/>
            <w:vMerge w:val="restart"/>
            <w:tcBorders>
              <w:top w:val="single" w:sz="15" w:space="0" w:color="000000"/>
              <w:left w:val="single" w:sz="4" w:space="0" w:color="000000"/>
              <w:right w:val="single" w:sz="4" w:space="0" w:color="000000"/>
            </w:tcBorders>
            <w:shd w:val="clear" w:color="auto" w:fill="D2D2D2"/>
          </w:tcPr>
          <w:p>
            <w:pPr/>
          </w:p>
        </w:tc>
        <w:tc>
          <w:tcPr>
            <w:tcW w:w="1024" w:type="dxa"/>
            <w:vMerge w:val="restart"/>
            <w:tcBorders>
              <w:top w:val="single" w:sz="15" w:space="0" w:color="000000"/>
              <w:left w:val="single" w:sz="4" w:space="0" w:color="000000"/>
              <w:right w:val="single" w:sz="4" w:space="0" w:color="000000"/>
            </w:tcBorders>
            <w:shd w:val="clear" w:color="auto" w:fill="D2D2D2"/>
          </w:tcPr>
          <w:p>
            <w:pPr/>
          </w:p>
        </w:tc>
        <w:tc>
          <w:tcPr>
            <w:tcW w:w="988" w:type="dxa"/>
            <w:tcBorders>
              <w:top w:val="single" w:sz="15" w:space="0" w:color="000000"/>
              <w:left w:val="single" w:sz="4" w:space="0" w:color="000000"/>
              <w:bottom w:val="nil" w:sz="6" w:space="0" w:color="auto"/>
              <w:right w:val="single" w:sz="4" w:space="0" w:color="000000"/>
            </w:tcBorders>
            <w:shd w:val="clear" w:color="auto" w:fill="D2D2D2"/>
          </w:tcPr>
          <w:p>
            <w:pPr/>
          </w:p>
        </w:tc>
        <w:tc>
          <w:tcPr>
            <w:tcW w:w="1039" w:type="dxa"/>
            <w:vMerge w:val="restart"/>
            <w:tcBorders>
              <w:top w:val="single" w:sz="15" w:space="0" w:color="000000"/>
              <w:left w:val="single" w:sz="4" w:space="0" w:color="000000"/>
              <w:right w:val="single" w:sz="4" w:space="0" w:color="000000"/>
            </w:tcBorders>
            <w:shd w:val="clear" w:color="auto" w:fill="D2D2D2"/>
          </w:tcPr>
          <w:p>
            <w:pPr/>
          </w:p>
        </w:tc>
        <w:tc>
          <w:tcPr>
            <w:tcW w:w="1001" w:type="dxa"/>
            <w:vMerge w:val="restart"/>
            <w:tcBorders>
              <w:top w:val="single" w:sz="15" w:space="0" w:color="000000"/>
              <w:left w:val="single" w:sz="4" w:space="0" w:color="000000"/>
              <w:right w:val="single" w:sz="4" w:space="0" w:color="000000"/>
            </w:tcBorders>
            <w:shd w:val="clear" w:color="auto" w:fill="D2D2D2"/>
          </w:tcPr>
          <w:p>
            <w:pPr>
              <w:pStyle w:val="TableParagraph"/>
              <w:spacing w:line="237" w:lineRule="auto" w:before="11"/>
              <w:ind w:left="39" w:right="51"/>
              <w:jc w:val="center"/>
              <w:rPr>
                <w:rFonts w:ascii="宋体" w:hAnsi="宋体" w:cs="宋体" w:eastAsia="宋体" w:hint="default"/>
                <w:sz w:val="18"/>
                <w:szCs w:val="18"/>
              </w:rPr>
            </w:pPr>
            <w:r>
              <w:rPr>
                <w:rFonts w:ascii="宋体" w:hAnsi="宋体" w:cs="宋体" w:eastAsia="宋体" w:hint="default"/>
                <w:sz w:val="18"/>
                <w:szCs w:val="18"/>
              </w:rPr>
              <w:t>期末投资金 额占公司报 告期末净资 产比例</w:t>
            </w:r>
          </w:p>
        </w:tc>
        <w:tc>
          <w:tcPr>
            <w:tcW w:w="768" w:type="dxa"/>
            <w:tcBorders>
              <w:top w:val="single" w:sz="15" w:space="0" w:color="000000"/>
              <w:left w:val="single" w:sz="4" w:space="0" w:color="000000"/>
              <w:bottom w:val="nil" w:sz="6" w:space="0" w:color="auto"/>
              <w:right w:val="single" w:sz="4" w:space="0" w:color="000000"/>
            </w:tcBorders>
            <w:shd w:val="clear" w:color="auto" w:fill="D2D2D2"/>
          </w:tcPr>
          <w:p>
            <w:pPr/>
          </w:p>
        </w:tc>
      </w:tr>
      <w:tr>
        <w:trPr>
          <w:trHeight w:val="116" w:hRule="exact"/>
        </w:trPr>
        <w:tc>
          <w:tcPr>
            <w:tcW w:w="1003" w:type="dxa"/>
            <w:vMerge/>
            <w:tcBorders>
              <w:left w:val="single" w:sz="4" w:space="0" w:color="000000"/>
              <w:bottom w:val="nil" w:sz="6" w:space="0" w:color="auto"/>
              <w:right w:val="single" w:sz="4" w:space="0" w:color="000000"/>
            </w:tcBorders>
            <w:shd w:val="clear" w:color="auto" w:fill="D2D2D2"/>
          </w:tcPr>
          <w:p>
            <w:pPr/>
          </w:p>
        </w:tc>
        <w:tc>
          <w:tcPr>
            <w:tcW w:w="1026" w:type="dxa"/>
            <w:vMerge/>
            <w:tcBorders>
              <w:left w:val="single" w:sz="4" w:space="0" w:color="000000"/>
              <w:right w:val="single" w:sz="4" w:space="0" w:color="000000"/>
            </w:tcBorders>
            <w:shd w:val="clear" w:color="auto" w:fill="D2D2D2"/>
          </w:tcPr>
          <w:p>
            <w:pPr/>
          </w:p>
        </w:tc>
        <w:tc>
          <w:tcPr>
            <w:tcW w:w="1003" w:type="dxa"/>
            <w:vMerge/>
            <w:tcBorders>
              <w:left w:val="single" w:sz="4" w:space="0" w:color="000000"/>
              <w:bottom w:val="nil" w:sz="6" w:space="0" w:color="auto"/>
              <w:right w:val="single" w:sz="4" w:space="0" w:color="000000"/>
            </w:tcBorders>
            <w:shd w:val="clear" w:color="auto" w:fill="D2D2D2"/>
          </w:tcPr>
          <w:p>
            <w:pPr/>
          </w:p>
        </w:tc>
        <w:tc>
          <w:tcPr>
            <w:tcW w:w="1084" w:type="dxa"/>
            <w:vMerge/>
            <w:tcBorders>
              <w:left w:val="single" w:sz="4" w:space="0" w:color="000000"/>
              <w:bottom w:val="nil" w:sz="6" w:space="0" w:color="auto"/>
              <w:right w:val="single" w:sz="4" w:space="0" w:color="000000"/>
            </w:tcBorders>
            <w:shd w:val="clear" w:color="auto" w:fill="D2D2D2"/>
          </w:tcPr>
          <w:p>
            <w:pPr/>
          </w:p>
        </w:tc>
        <w:tc>
          <w:tcPr>
            <w:tcW w:w="1003" w:type="dxa"/>
            <w:vMerge w:val="restart"/>
            <w:tcBorders>
              <w:top w:val="nil" w:sz="6" w:space="0" w:color="auto"/>
              <w:left w:val="single" w:sz="4" w:space="0" w:color="000000"/>
              <w:right w:val="single" w:sz="4" w:space="0" w:color="000000"/>
            </w:tcBorders>
            <w:shd w:val="clear" w:color="auto" w:fill="D2D2D2"/>
          </w:tcPr>
          <w:p>
            <w:pPr>
              <w:pStyle w:val="TableParagraph"/>
              <w:spacing w:line="237" w:lineRule="auto" w:before="11"/>
              <w:ind w:left="51" w:right="41"/>
              <w:jc w:val="center"/>
              <w:rPr>
                <w:rFonts w:ascii="宋体" w:hAnsi="宋体" w:cs="宋体" w:eastAsia="宋体" w:hint="default"/>
                <w:sz w:val="18"/>
                <w:szCs w:val="18"/>
              </w:rPr>
            </w:pPr>
            <w:r>
              <w:rPr>
                <w:rFonts w:ascii="宋体" w:hAnsi="宋体" w:cs="宋体" w:eastAsia="宋体" w:hint="default"/>
                <w:sz w:val="18"/>
                <w:szCs w:val="18"/>
              </w:rPr>
              <w:t>衍生品投资 初始投资金 额</w:t>
            </w:r>
          </w:p>
        </w:tc>
        <w:tc>
          <w:tcPr>
            <w:tcW w:w="1027" w:type="dxa"/>
            <w:vMerge/>
            <w:tcBorders>
              <w:left w:val="single" w:sz="4" w:space="0" w:color="000000"/>
              <w:right w:val="single" w:sz="4" w:space="0" w:color="000000"/>
            </w:tcBorders>
            <w:shd w:val="clear" w:color="auto" w:fill="D2D2D2"/>
          </w:tcPr>
          <w:p>
            <w:pPr/>
          </w:p>
        </w:tc>
        <w:tc>
          <w:tcPr>
            <w:tcW w:w="1023" w:type="dxa"/>
            <w:vMerge/>
            <w:tcBorders>
              <w:left w:val="single" w:sz="4" w:space="0" w:color="000000"/>
              <w:right w:val="single" w:sz="4" w:space="0" w:color="000000"/>
            </w:tcBorders>
            <w:shd w:val="clear" w:color="auto" w:fill="D2D2D2"/>
          </w:tcPr>
          <w:p>
            <w:pPr/>
          </w:p>
        </w:tc>
        <w:tc>
          <w:tcPr>
            <w:tcW w:w="1004" w:type="dxa"/>
            <w:vMerge/>
            <w:tcBorders>
              <w:left w:val="single" w:sz="4" w:space="0" w:color="000000"/>
              <w:bottom w:val="nil" w:sz="6" w:space="0" w:color="auto"/>
              <w:right w:val="single" w:sz="4" w:space="0" w:color="000000"/>
            </w:tcBorders>
            <w:shd w:val="clear" w:color="auto" w:fill="D2D2D2"/>
          </w:tcPr>
          <w:p>
            <w:pPr/>
          </w:p>
        </w:tc>
        <w:tc>
          <w:tcPr>
            <w:tcW w:w="1012" w:type="dxa"/>
            <w:vMerge/>
            <w:tcBorders>
              <w:left w:val="single" w:sz="4" w:space="0" w:color="000000"/>
              <w:bottom w:val="nil" w:sz="6" w:space="0" w:color="auto"/>
              <w:right w:val="single" w:sz="4" w:space="0" w:color="000000"/>
            </w:tcBorders>
            <w:shd w:val="clear" w:color="auto" w:fill="D2D2D2"/>
          </w:tcPr>
          <w:p>
            <w:pPr/>
          </w:p>
        </w:tc>
        <w:tc>
          <w:tcPr>
            <w:tcW w:w="1024" w:type="dxa"/>
            <w:vMerge/>
            <w:tcBorders>
              <w:left w:val="single" w:sz="4" w:space="0" w:color="000000"/>
              <w:bottom w:val="nil" w:sz="6" w:space="0" w:color="auto"/>
              <w:right w:val="single" w:sz="4" w:space="0" w:color="000000"/>
            </w:tcBorders>
            <w:shd w:val="clear" w:color="auto" w:fill="D2D2D2"/>
          </w:tcPr>
          <w:p>
            <w:pPr/>
          </w:p>
        </w:tc>
        <w:tc>
          <w:tcPr>
            <w:tcW w:w="988" w:type="dxa"/>
            <w:vMerge w:val="restart"/>
            <w:tcBorders>
              <w:top w:val="nil" w:sz="6" w:space="0" w:color="auto"/>
              <w:left w:val="single" w:sz="4" w:space="0" w:color="000000"/>
              <w:right w:val="single" w:sz="4" w:space="0" w:color="000000"/>
            </w:tcBorders>
            <w:shd w:val="clear" w:color="auto" w:fill="D2D2D2"/>
          </w:tcPr>
          <w:p>
            <w:pPr>
              <w:pStyle w:val="TableParagraph"/>
              <w:spacing w:line="237" w:lineRule="auto" w:before="11"/>
              <w:ind w:left="38" w:right="37"/>
              <w:jc w:val="center"/>
              <w:rPr>
                <w:rFonts w:ascii="宋体" w:hAnsi="宋体" w:cs="宋体" w:eastAsia="宋体" w:hint="default"/>
                <w:sz w:val="18"/>
                <w:szCs w:val="18"/>
              </w:rPr>
            </w:pPr>
            <w:r>
              <w:rPr>
                <w:rFonts w:ascii="宋体" w:hAnsi="宋体" w:cs="宋体" w:eastAsia="宋体" w:hint="default"/>
                <w:sz w:val="18"/>
                <w:szCs w:val="18"/>
              </w:rPr>
              <w:t>计提减值准 备金额（如 有）</w:t>
            </w:r>
          </w:p>
        </w:tc>
        <w:tc>
          <w:tcPr>
            <w:tcW w:w="1039" w:type="dxa"/>
            <w:vMerge/>
            <w:tcBorders>
              <w:left w:val="single" w:sz="4" w:space="0" w:color="000000"/>
              <w:bottom w:val="nil" w:sz="6" w:space="0" w:color="auto"/>
              <w:right w:val="single" w:sz="4" w:space="0" w:color="000000"/>
            </w:tcBorders>
            <w:shd w:val="clear" w:color="auto" w:fill="D2D2D2"/>
          </w:tcPr>
          <w:p>
            <w:pPr/>
          </w:p>
        </w:tc>
        <w:tc>
          <w:tcPr>
            <w:tcW w:w="1001" w:type="dxa"/>
            <w:vMerge/>
            <w:tcBorders>
              <w:left w:val="single" w:sz="4" w:space="0" w:color="000000"/>
              <w:right w:val="single" w:sz="4" w:space="0" w:color="000000"/>
            </w:tcBorders>
            <w:shd w:val="clear" w:color="auto" w:fill="D2D2D2"/>
          </w:tcPr>
          <w:p>
            <w:pPr/>
          </w:p>
        </w:tc>
        <w:tc>
          <w:tcPr>
            <w:tcW w:w="768" w:type="dxa"/>
            <w:vMerge w:val="restart"/>
            <w:tcBorders>
              <w:top w:val="nil" w:sz="6" w:space="0" w:color="auto"/>
              <w:left w:val="single" w:sz="4" w:space="0" w:color="000000"/>
              <w:right w:val="single" w:sz="4" w:space="0" w:color="000000"/>
            </w:tcBorders>
            <w:shd w:val="clear" w:color="auto" w:fill="D2D2D2"/>
          </w:tcPr>
          <w:p>
            <w:pPr>
              <w:pStyle w:val="TableParagraph"/>
              <w:spacing w:line="237" w:lineRule="auto" w:before="11"/>
              <w:ind w:left="107" w:right="108"/>
              <w:jc w:val="both"/>
              <w:rPr>
                <w:rFonts w:ascii="宋体" w:hAnsi="宋体" w:cs="宋体" w:eastAsia="宋体" w:hint="default"/>
                <w:sz w:val="18"/>
                <w:szCs w:val="18"/>
              </w:rPr>
            </w:pPr>
            <w:r>
              <w:rPr>
                <w:rFonts w:ascii="宋体" w:hAnsi="宋体" w:cs="宋体" w:eastAsia="宋体" w:hint="default"/>
                <w:sz w:val="18"/>
                <w:szCs w:val="18"/>
              </w:rPr>
              <w:t>报告期 实际损 益金额</w:t>
            </w:r>
          </w:p>
        </w:tc>
      </w:tr>
      <w:tr>
        <w:trPr>
          <w:trHeight w:val="116" w:hRule="exact"/>
        </w:trPr>
        <w:tc>
          <w:tcPr>
            <w:tcW w:w="10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40" w:right="50"/>
              <w:jc w:val="left"/>
              <w:rPr>
                <w:rFonts w:ascii="宋体" w:hAnsi="宋体" w:cs="宋体" w:eastAsia="宋体" w:hint="default"/>
                <w:sz w:val="18"/>
                <w:szCs w:val="18"/>
              </w:rPr>
            </w:pPr>
            <w:r>
              <w:rPr>
                <w:rFonts w:ascii="宋体" w:hAnsi="宋体" w:cs="宋体" w:eastAsia="宋体" w:hint="default"/>
                <w:sz w:val="18"/>
                <w:szCs w:val="18"/>
              </w:rPr>
              <w:t>衍生品投资 操作方名称</w:t>
            </w:r>
          </w:p>
        </w:tc>
        <w:tc>
          <w:tcPr>
            <w:tcW w:w="1026" w:type="dxa"/>
            <w:vMerge/>
            <w:tcBorders>
              <w:left w:val="single" w:sz="4" w:space="0" w:color="000000"/>
              <w:bottom w:val="nil" w:sz="6" w:space="0" w:color="auto"/>
              <w:right w:val="single" w:sz="4" w:space="0" w:color="000000"/>
            </w:tcBorders>
            <w:shd w:val="clear" w:color="auto" w:fill="D2D2D2"/>
          </w:tcPr>
          <w:p>
            <w:pPr/>
          </w:p>
        </w:tc>
        <w:tc>
          <w:tcPr>
            <w:tcW w:w="10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400" w:right="50" w:hanging="360"/>
              <w:jc w:val="left"/>
              <w:rPr>
                <w:rFonts w:ascii="宋体" w:hAnsi="宋体" w:cs="宋体" w:eastAsia="宋体" w:hint="default"/>
                <w:sz w:val="18"/>
                <w:szCs w:val="18"/>
              </w:rPr>
            </w:pPr>
            <w:r>
              <w:rPr>
                <w:rFonts w:ascii="宋体" w:hAnsi="宋体" w:cs="宋体" w:eastAsia="宋体" w:hint="default"/>
                <w:sz w:val="18"/>
                <w:szCs w:val="18"/>
              </w:rPr>
              <w:t>是否关联交 易</w:t>
            </w:r>
          </w:p>
        </w:tc>
        <w:tc>
          <w:tcPr>
            <w:tcW w:w="10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356" w:right="85" w:hanging="270"/>
              <w:jc w:val="left"/>
              <w:rPr>
                <w:rFonts w:ascii="宋体" w:hAnsi="宋体" w:cs="宋体" w:eastAsia="宋体" w:hint="default"/>
                <w:sz w:val="18"/>
                <w:szCs w:val="18"/>
              </w:rPr>
            </w:pPr>
            <w:r>
              <w:rPr>
                <w:rFonts w:ascii="宋体" w:hAnsi="宋体" w:cs="宋体" w:eastAsia="宋体" w:hint="default"/>
                <w:sz w:val="18"/>
                <w:szCs w:val="18"/>
              </w:rPr>
              <w:t>衍生品投资 类型</w:t>
            </w:r>
          </w:p>
        </w:tc>
        <w:tc>
          <w:tcPr>
            <w:tcW w:w="1003" w:type="dxa"/>
            <w:vMerge/>
            <w:tcBorders>
              <w:left w:val="single" w:sz="4" w:space="0" w:color="000000"/>
              <w:right w:val="single" w:sz="4" w:space="0" w:color="000000"/>
            </w:tcBorders>
            <w:shd w:val="clear" w:color="auto" w:fill="D2D2D2"/>
          </w:tcPr>
          <w:p>
            <w:pPr/>
          </w:p>
        </w:tc>
        <w:tc>
          <w:tcPr>
            <w:tcW w:w="1027" w:type="dxa"/>
            <w:vMerge/>
            <w:tcBorders>
              <w:left w:val="single" w:sz="4" w:space="0" w:color="000000"/>
              <w:bottom w:val="nil" w:sz="6" w:space="0" w:color="auto"/>
              <w:right w:val="single" w:sz="4" w:space="0" w:color="000000"/>
            </w:tcBorders>
            <w:shd w:val="clear" w:color="auto" w:fill="D2D2D2"/>
          </w:tcPr>
          <w:p>
            <w:pPr/>
          </w:p>
        </w:tc>
        <w:tc>
          <w:tcPr>
            <w:tcW w:w="1023" w:type="dxa"/>
            <w:vMerge/>
            <w:tcBorders>
              <w:left w:val="single" w:sz="4" w:space="0" w:color="000000"/>
              <w:bottom w:val="nil" w:sz="6" w:space="0" w:color="auto"/>
              <w:right w:val="single" w:sz="4" w:space="0" w:color="000000"/>
            </w:tcBorders>
            <w:shd w:val="clear" w:color="auto" w:fill="D2D2D2"/>
          </w:tcPr>
          <w:p>
            <w:pPr/>
          </w:p>
        </w:tc>
        <w:tc>
          <w:tcPr>
            <w:tcW w:w="10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400" w:right="53" w:hanging="360"/>
              <w:jc w:val="left"/>
              <w:rPr>
                <w:rFonts w:ascii="宋体" w:hAnsi="宋体" w:cs="宋体" w:eastAsia="宋体" w:hint="default"/>
                <w:sz w:val="18"/>
                <w:szCs w:val="18"/>
              </w:rPr>
            </w:pPr>
            <w:r>
              <w:rPr>
                <w:rFonts w:ascii="宋体" w:hAnsi="宋体" w:cs="宋体" w:eastAsia="宋体" w:hint="default"/>
                <w:sz w:val="18"/>
                <w:szCs w:val="18"/>
              </w:rPr>
              <w:t>期初投资金 额</w:t>
            </w:r>
          </w:p>
        </w:tc>
        <w:tc>
          <w:tcPr>
            <w:tcW w:w="10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30" w:right="49" w:hanging="180"/>
              <w:jc w:val="left"/>
              <w:rPr>
                <w:rFonts w:ascii="宋体" w:hAnsi="宋体" w:cs="宋体" w:eastAsia="宋体" w:hint="default"/>
                <w:sz w:val="18"/>
                <w:szCs w:val="18"/>
              </w:rPr>
            </w:pPr>
            <w:r>
              <w:rPr>
                <w:rFonts w:ascii="宋体" w:hAnsi="宋体" w:cs="宋体" w:eastAsia="宋体" w:hint="default"/>
                <w:sz w:val="18"/>
                <w:szCs w:val="18"/>
              </w:rPr>
              <w:t>报告期内购 入金额</w:t>
            </w:r>
          </w:p>
        </w:tc>
        <w:tc>
          <w:tcPr>
            <w:tcW w:w="10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31" w:right="62"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988" w:type="dxa"/>
            <w:vMerge/>
            <w:tcBorders>
              <w:left w:val="single" w:sz="4" w:space="0" w:color="000000"/>
              <w:right w:val="single" w:sz="4" w:space="0" w:color="000000"/>
            </w:tcBorders>
            <w:shd w:val="clear" w:color="auto" w:fill="D2D2D2"/>
          </w:tcPr>
          <w:p>
            <w:pPr/>
          </w:p>
        </w:tc>
        <w:tc>
          <w:tcPr>
            <w:tcW w:w="103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423" w:right="63" w:hanging="360"/>
              <w:jc w:val="left"/>
              <w:rPr>
                <w:rFonts w:ascii="宋体" w:hAnsi="宋体" w:cs="宋体" w:eastAsia="宋体" w:hint="default"/>
                <w:sz w:val="18"/>
                <w:szCs w:val="18"/>
              </w:rPr>
            </w:pPr>
            <w:r>
              <w:rPr>
                <w:rFonts w:ascii="宋体" w:hAnsi="宋体" w:cs="宋体" w:eastAsia="宋体" w:hint="default"/>
                <w:sz w:val="18"/>
                <w:szCs w:val="18"/>
              </w:rPr>
              <w:t>期末投资金 额</w:t>
            </w:r>
          </w:p>
        </w:tc>
        <w:tc>
          <w:tcPr>
            <w:tcW w:w="1001" w:type="dxa"/>
            <w:vMerge/>
            <w:tcBorders>
              <w:left w:val="single" w:sz="4" w:space="0" w:color="000000"/>
              <w:right w:val="single" w:sz="4" w:space="0" w:color="000000"/>
            </w:tcBorders>
            <w:shd w:val="clear" w:color="auto" w:fill="D2D2D2"/>
          </w:tcPr>
          <w:p>
            <w:pPr/>
          </w:p>
        </w:tc>
        <w:tc>
          <w:tcPr>
            <w:tcW w:w="768" w:type="dxa"/>
            <w:vMerge/>
            <w:tcBorders>
              <w:left w:val="single" w:sz="4" w:space="0" w:color="000000"/>
              <w:right w:val="single" w:sz="4" w:space="0" w:color="000000"/>
            </w:tcBorders>
            <w:shd w:val="clear" w:color="auto" w:fill="D2D2D2"/>
          </w:tcPr>
          <w:p>
            <w:pPr/>
          </w:p>
        </w:tc>
      </w:tr>
      <w:tr>
        <w:trPr>
          <w:trHeight w:val="314" w:hRule="exact"/>
        </w:trPr>
        <w:tc>
          <w:tcPr>
            <w:tcW w:w="1003" w:type="dxa"/>
            <w:vMerge/>
            <w:tcBorders>
              <w:left w:val="single" w:sz="4" w:space="0" w:color="000000"/>
              <w:right w:val="single" w:sz="4" w:space="0" w:color="000000"/>
            </w:tcBorders>
            <w:shd w:val="clear" w:color="auto" w:fill="D2D2D2"/>
          </w:tcPr>
          <w:p>
            <w:pPr/>
          </w:p>
        </w:tc>
        <w:tc>
          <w:tcPr>
            <w:tcW w:w="10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left="141"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03" w:type="dxa"/>
            <w:vMerge/>
            <w:tcBorders>
              <w:left w:val="single" w:sz="4" w:space="0" w:color="000000"/>
              <w:right w:val="single" w:sz="4" w:space="0" w:color="000000"/>
            </w:tcBorders>
            <w:shd w:val="clear" w:color="auto" w:fill="D2D2D2"/>
          </w:tcPr>
          <w:p>
            <w:pPr/>
          </w:p>
        </w:tc>
        <w:tc>
          <w:tcPr>
            <w:tcW w:w="1084" w:type="dxa"/>
            <w:vMerge/>
            <w:tcBorders>
              <w:left w:val="single" w:sz="4" w:space="0" w:color="000000"/>
              <w:right w:val="single" w:sz="4" w:space="0" w:color="000000"/>
            </w:tcBorders>
            <w:shd w:val="clear" w:color="auto" w:fill="D2D2D2"/>
          </w:tcPr>
          <w:p>
            <w:pPr/>
          </w:p>
        </w:tc>
        <w:tc>
          <w:tcPr>
            <w:tcW w:w="1003" w:type="dxa"/>
            <w:vMerge/>
            <w:tcBorders>
              <w:left w:val="single" w:sz="4" w:space="0" w:color="000000"/>
              <w:right w:val="single" w:sz="4" w:space="0" w:color="000000"/>
            </w:tcBorders>
            <w:shd w:val="clear" w:color="auto" w:fill="D2D2D2"/>
          </w:tcPr>
          <w:p>
            <w:pPr/>
          </w:p>
        </w:tc>
        <w:tc>
          <w:tcPr>
            <w:tcW w:w="10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left="153"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10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left="140"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1004" w:type="dxa"/>
            <w:vMerge/>
            <w:tcBorders>
              <w:left w:val="single" w:sz="4" w:space="0" w:color="000000"/>
              <w:right w:val="single" w:sz="4" w:space="0" w:color="000000"/>
            </w:tcBorders>
            <w:shd w:val="clear" w:color="auto" w:fill="D2D2D2"/>
          </w:tcPr>
          <w:p>
            <w:pPr/>
          </w:p>
        </w:tc>
        <w:tc>
          <w:tcPr>
            <w:tcW w:w="1012" w:type="dxa"/>
            <w:vMerge/>
            <w:tcBorders>
              <w:left w:val="single" w:sz="4" w:space="0" w:color="000000"/>
              <w:right w:val="single" w:sz="4" w:space="0" w:color="000000"/>
            </w:tcBorders>
            <w:shd w:val="clear" w:color="auto" w:fill="D2D2D2"/>
          </w:tcPr>
          <w:p>
            <w:pPr/>
          </w:p>
        </w:tc>
        <w:tc>
          <w:tcPr>
            <w:tcW w:w="1024" w:type="dxa"/>
            <w:vMerge/>
            <w:tcBorders>
              <w:left w:val="single" w:sz="4" w:space="0" w:color="000000"/>
              <w:right w:val="single" w:sz="4" w:space="0" w:color="000000"/>
            </w:tcBorders>
            <w:shd w:val="clear" w:color="auto" w:fill="D2D2D2"/>
          </w:tcPr>
          <w:p>
            <w:pPr/>
          </w:p>
        </w:tc>
        <w:tc>
          <w:tcPr>
            <w:tcW w:w="988" w:type="dxa"/>
            <w:vMerge/>
            <w:tcBorders>
              <w:left w:val="single" w:sz="4" w:space="0" w:color="000000"/>
              <w:right w:val="single" w:sz="4" w:space="0" w:color="000000"/>
            </w:tcBorders>
            <w:shd w:val="clear" w:color="auto" w:fill="D2D2D2"/>
          </w:tcPr>
          <w:p>
            <w:pPr/>
          </w:p>
        </w:tc>
        <w:tc>
          <w:tcPr>
            <w:tcW w:w="1039" w:type="dxa"/>
            <w:vMerge/>
            <w:tcBorders>
              <w:left w:val="single" w:sz="4" w:space="0" w:color="000000"/>
              <w:right w:val="single" w:sz="4" w:space="0" w:color="000000"/>
            </w:tcBorders>
            <w:shd w:val="clear" w:color="auto" w:fill="D2D2D2"/>
          </w:tcPr>
          <w:p>
            <w:pPr/>
          </w:p>
        </w:tc>
        <w:tc>
          <w:tcPr>
            <w:tcW w:w="1001" w:type="dxa"/>
            <w:vMerge/>
            <w:tcBorders>
              <w:left w:val="single" w:sz="4" w:space="0" w:color="000000"/>
              <w:right w:val="single" w:sz="4" w:space="0" w:color="000000"/>
            </w:tcBorders>
            <w:shd w:val="clear" w:color="auto" w:fill="D2D2D2"/>
          </w:tcPr>
          <w:p>
            <w:pPr/>
          </w:p>
        </w:tc>
        <w:tc>
          <w:tcPr>
            <w:tcW w:w="768" w:type="dxa"/>
            <w:vMerge/>
            <w:tcBorders>
              <w:left w:val="single" w:sz="4" w:space="0" w:color="000000"/>
              <w:right w:val="single" w:sz="4" w:space="0" w:color="000000"/>
            </w:tcBorders>
            <w:shd w:val="clear" w:color="auto" w:fill="D2D2D2"/>
          </w:tcPr>
          <w:p>
            <w:pPr/>
          </w:p>
        </w:tc>
      </w:tr>
      <w:tr>
        <w:trPr>
          <w:trHeight w:val="118" w:hRule="exact"/>
        </w:trPr>
        <w:tc>
          <w:tcPr>
            <w:tcW w:w="1003" w:type="dxa"/>
            <w:vMerge/>
            <w:tcBorders>
              <w:left w:val="single" w:sz="4" w:space="0" w:color="000000"/>
              <w:bottom w:val="nil" w:sz="6" w:space="0" w:color="auto"/>
              <w:right w:val="single" w:sz="4" w:space="0" w:color="000000"/>
            </w:tcBorders>
            <w:shd w:val="clear" w:color="auto" w:fill="D2D2D2"/>
          </w:tcPr>
          <w:p>
            <w:pPr/>
          </w:p>
        </w:tc>
        <w:tc>
          <w:tcPr>
            <w:tcW w:w="1026" w:type="dxa"/>
            <w:vMerge w:val="restart"/>
            <w:tcBorders>
              <w:top w:val="nil" w:sz="6" w:space="0" w:color="auto"/>
              <w:left w:val="single" w:sz="4" w:space="0" w:color="000000"/>
              <w:right w:val="single" w:sz="4" w:space="0" w:color="000000"/>
            </w:tcBorders>
            <w:shd w:val="clear" w:color="auto" w:fill="D2D2D2"/>
          </w:tcPr>
          <w:p>
            <w:pPr/>
          </w:p>
        </w:tc>
        <w:tc>
          <w:tcPr>
            <w:tcW w:w="1003" w:type="dxa"/>
            <w:vMerge/>
            <w:tcBorders>
              <w:left w:val="single" w:sz="4" w:space="0" w:color="000000"/>
              <w:bottom w:val="nil" w:sz="6" w:space="0" w:color="auto"/>
              <w:right w:val="single" w:sz="4" w:space="0" w:color="000000"/>
            </w:tcBorders>
            <w:shd w:val="clear" w:color="auto" w:fill="D2D2D2"/>
          </w:tcPr>
          <w:p>
            <w:pPr/>
          </w:p>
        </w:tc>
        <w:tc>
          <w:tcPr>
            <w:tcW w:w="1084" w:type="dxa"/>
            <w:vMerge/>
            <w:tcBorders>
              <w:left w:val="single" w:sz="4" w:space="0" w:color="000000"/>
              <w:bottom w:val="nil" w:sz="6" w:space="0" w:color="auto"/>
              <w:right w:val="single" w:sz="4" w:space="0" w:color="000000"/>
            </w:tcBorders>
            <w:shd w:val="clear" w:color="auto" w:fill="D2D2D2"/>
          </w:tcPr>
          <w:p>
            <w:pPr/>
          </w:p>
        </w:tc>
        <w:tc>
          <w:tcPr>
            <w:tcW w:w="1003" w:type="dxa"/>
            <w:vMerge/>
            <w:tcBorders>
              <w:left w:val="single" w:sz="4" w:space="0" w:color="000000"/>
              <w:right w:val="single" w:sz="4" w:space="0" w:color="000000"/>
            </w:tcBorders>
            <w:shd w:val="clear" w:color="auto" w:fill="D2D2D2"/>
          </w:tcPr>
          <w:p>
            <w:pPr/>
          </w:p>
        </w:tc>
        <w:tc>
          <w:tcPr>
            <w:tcW w:w="1027" w:type="dxa"/>
            <w:vMerge w:val="restart"/>
            <w:tcBorders>
              <w:top w:val="nil" w:sz="6" w:space="0" w:color="auto"/>
              <w:left w:val="single" w:sz="4" w:space="0" w:color="000000"/>
              <w:right w:val="single" w:sz="4" w:space="0" w:color="000000"/>
            </w:tcBorders>
            <w:shd w:val="clear" w:color="auto" w:fill="D2D2D2"/>
          </w:tcPr>
          <w:p>
            <w:pPr/>
          </w:p>
        </w:tc>
        <w:tc>
          <w:tcPr>
            <w:tcW w:w="1023" w:type="dxa"/>
            <w:vMerge w:val="restart"/>
            <w:tcBorders>
              <w:top w:val="nil" w:sz="6" w:space="0" w:color="auto"/>
              <w:left w:val="single" w:sz="4" w:space="0" w:color="000000"/>
              <w:right w:val="single" w:sz="4" w:space="0" w:color="000000"/>
            </w:tcBorders>
            <w:shd w:val="clear" w:color="auto" w:fill="D2D2D2"/>
          </w:tcPr>
          <w:p>
            <w:pPr/>
          </w:p>
        </w:tc>
        <w:tc>
          <w:tcPr>
            <w:tcW w:w="1004" w:type="dxa"/>
            <w:vMerge/>
            <w:tcBorders>
              <w:left w:val="single" w:sz="4" w:space="0" w:color="000000"/>
              <w:bottom w:val="nil" w:sz="6" w:space="0" w:color="auto"/>
              <w:right w:val="single" w:sz="4" w:space="0" w:color="000000"/>
            </w:tcBorders>
            <w:shd w:val="clear" w:color="auto" w:fill="D2D2D2"/>
          </w:tcPr>
          <w:p>
            <w:pPr/>
          </w:p>
        </w:tc>
        <w:tc>
          <w:tcPr>
            <w:tcW w:w="1012" w:type="dxa"/>
            <w:vMerge/>
            <w:tcBorders>
              <w:left w:val="single" w:sz="4" w:space="0" w:color="000000"/>
              <w:bottom w:val="nil" w:sz="6" w:space="0" w:color="auto"/>
              <w:right w:val="single" w:sz="4" w:space="0" w:color="000000"/>
            </w:tcBorders>
            <w:shd w:val="clear" w:color="auto" w:fill="D2D2D2"/>
          </w:tcPr>
          <w:p>
            <w:pPr/>
          </w:p>
        </w:tc>
        <w:tc>
          <w:tcPr>
            <w:tcW w:w="1024" w:type="dxa"/>
            <w:vMerge/>
            <w:tcBorders>
              <w:left w:val="single" w:sz="4" w:space="0" w:color="000000"/>
              <w:bottom w:val="nil" w:sz="6" w:space="0" w:color="auto"/>
              <w:right w:val="single" w:sz="4" w:space="0" w:color="000000"/>
            </w:tcBorders>
            <w:shd w:val="clear" w:color="auto" w:fill="D2D2D2"/>
          </w:tcPr>
          <w:p>
            <w:pPr/>
          </w:p>
        </w:tc>
        <w:tc>
          <w:tcPr>
            <w:tcW w:w="988" w:type="dxa"/>
            <w:vMerge/>
            <w:tcBorders>
              <w:left w:val="single" w:sz="4" w:space="0" w:color="000000"/>
              <w:right w:val="single" w:sz="4" w:space="0" w:color="000000"/>
            </w:tcBorders>
            <w:shd w:val="clear" w:color="auto" w:fill="D2D2D2"/>
          </w:tcPr>
          <w:p>
            <w:pPr/>
          </w:p>
        </w:tc>
        <w:tc>
          <w:tcPr>
            <w:tcW w:w="1039" w:type="dxa"/>
            <w:vMerge/>
            <w:tcBorders>
              <w:left w:val="single" w:sz="4" w:space="0" w:color="000000"/>
              <w:bottom w:val="nil" w:sz="6" w:space="0" w:color="auto"/>
              <w:right w:val="single" w:sz="4" w:space="0" w:color="000000"/>
            </w:tcBorders>
            <w:shd w:val="clear" w:color="auto" w:fill="D2D2D2"/>
          </w:tcPr>
          <w:p>
            <w:pPr/>
          </w:p>
        </w:tc>
        <w:tc>
          <w:tcPr>
            <w:tcW w:w="1001" w:type="dxa"/>
            <w:vMerge/>
            <w:tcBorders>
              <w:left w:val="single" w:sz="4" w:space="0" w:color="000000"/>
              <w:right w:val="single" w:sz="4" w:space="0" w:color="000000"/>
            </w:tcBorders>
            <w:shd w:val="clear" w:color="auto" w:fill="D2D2D2"/>
          </w:tcPr>
          <w:p>
            <w:pPr/>
          </w:p>
        </w:tc>
        <w:tc>
          <w:tcPr>
            <w:tcW w:w="768" w:type="dxa"/>
            <w:vMerge/>
            <w:tcBorders>
              <w:left w:val="single" w:sz="4" w:space="0" w:color="000000"/>
              <w:right w:val="single" w:sz="4" w:space="0" w:color="000000"/>
            </w:tcBorders>
            <w:shd w:val="clear" w:color="auto" w:fill="D2D2D2"/>
          </w:tcPr>
          <w:p>
            <w:pPr/>
          </w:p>
        </w:tc>
      </w:tr>
      <w:tr>
        <w:trPr>
          <w:trHeight w:val="238" w:hRule="exact"/>
        </w:trPr>
        <w:tc>
          <w:tcPr>
            <w:tcW w:w="10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26" w:type="dxa"/>
            <w:vMerge/>
            <w:tcBorders>
              <w:left w:val="single" w:sz="4" w:space="0" w:color="000000"/>
              <w:bottom w:val="single" w:sz="4" w:space="0" w:color="000000"/>
              <w:right w:val="single" w:sz="4" w:space="0" w:color="000000"/>
            </w:tcBorders>
            <w:shd w:val="clear" w:color="auto" w:fill="D2D2D2"/>
          </w:tcPr>
          <w:p>
            <w:pPr/>
          </w:p>
        </w:tc>
        <w:tc>
          <w:tcPr>
            <w:tcW w:w="10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c>
          <w:tcPr>
            <w:tcW w:w="1027" w:type="dxa"/>
            <w:vMerge/>
            <w:tcBorders>
              <w:left w:val="single" w:sz="4" w:space="0" w:color="000000"/>
              <w:bottom w:val="single" w:sz="4" w:space="0" w:color="000000"/>
              <w:right w:val="single" w:sz="4" w:space="0" w:color="000000"/>
            </w:tcBorders>
            <w:shd w:val="clear" w:color="auto" w:fill="D2D2D2"/>
          </w:tcPr>
          <w:p>
            <w:pPr/>
          </w:p>
        </w:tc>
        <w:tc>
          <w:tcPr>
            <w:tcW w:w="1023" w:type="dxa"/>
            <w:vMerge/>
            <w:tcBorders>
              <w:left w:val="single" w:sz="4" w:space="0" w:color="000000"/>
              <w:bottom w:val="single" w:sz="4" w:space="0" w:color="000000"/>
              <w:right w:val="single" w:sz="4" w:space="0" w:color="000000"/>
            </w:tcBorders>
            <w:shd w:val="clear" w:color="auto" w:fill="D2D2D2"/>
          </w:tcPr>
          <w:p>
            <w:pPr/>
          </w:p>
        </w:tc>
        <w:tc>
          <w:tcPr>
            <w:tcW w:w="10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24" w:type="dxa"/>
            <w:tcBorders>
              <w:top w:val="nil" w:sz="6" w:space="0" w:color="auto"/>
              <w:left w:val="single" w:sz="4" w:space="0" w:color="000000"/>
              <w:bottom w:val="single" w:sz="4" w:space="0" w:color="000000"/>
              <w:right w:val="single" w:sz="4" w:space="0" w:color="000000"/>
            </w:tcBorders>
            <w:shd w:val="clear" w:color="auto" w:fill="D2D2D2"/>
          </w:tcPr>
          <w:p>
            <w:pPr/>
          </w:p>
        </w:tc>
        <w:tc>
          <w:tcPr>
            <w:tcW w:w="988" w:type="dxa"/>
            <w:vMerge/>
            <w:tcBorders>
              <w:left w:val="single" w:sz="4" w:space="0" w:color="000000"/>
              <w:bottom w:val="single" w:sz="4" w:space="0" w:color="000000"/>
              <w:right w:val="single" w:sz="4" w:space="0" w:color="000000"/>
            </w:tcBorders>
            <w:shd w:val="clear" w:color="auto" w:fill="D2D2D2"/>
          </w:tcPr>
          <w:p>
            <w:pPr/>
          </w:p>
        </w:tc>
        <w:tc>
          <w:tcPr>
            <w:tcW w:w="103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c>
          <w:tcPr>
            <w:tcW w:w="768" w:type="dxa"/>
            <w:vMerge/>
            <w:tcBorders>
              <w:left w:val="single" w:sz="4" w:space="0" w:color="000000"/>
              <w:bottom w:val="single" w:sz="4" w:space="0" w:color="000000"/>
              <w:right w:val="single" w:sz="4" w:space="0" w:color="000000"/>
            </w:tcBorders>
            <w:shd w:val="clear" w:color="auto" w:fill="D2D2D2"/>
          </w:tcPr>
          <w:p>
            <w:pPr/>
          </w:p>
        </w:tc>
      </w:tr>
      <w:tr>
        <w:trPr>
          <w:trHeight w:val="557" w:hRule="exact"/>
        </w:trPr>
        <w:tc>
          <w:tcPr>
            <w:tcW w:w="411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131"/>
              <w:jc w:val="left"/>
              <w:rPr>
                <w:rFonts w:ascii="宋体" w:hAnsi="宋体" w:cs="宋体" w:eastAsia="宋体" w:hint="default"/>
                <w:sz w:val="18"/>
                <w:szCs w:val="18"/>
              </w:rPr>
            </w:pPr>
            <w:r>
              <w:rPr>
                <w:rFonts w:ascii="宋体" w:hAnsi="宋体" w:cs="宋体" w:eastAsia="宋体" w:hint="default"/>
                <w:sz w:val="18"/>
                <w:szCs w:val="18"/>
              </w:rPr>
              <w:t>报告期公司衍生品的会计政策及会计核算具体原则 与上一报告期相比是否发生重大变化的说明</w:t>
            </w:r>
          </w:p>
        </w:tc>
        <w:tc>
          <w:tcPr>
            <w:tcW w:w="9889" w:type="dxa"/>
            <w:gridSpan w:val="10"/>
            <w:tcBorders>
              <w:top w:val="single" w:sz="50" w:space="0" w:color="D2D2D2"/>
              <w:left w:val="single" w:sz="13" w:space="0" w:color="D2D2D2"/>
              <w:bottom w:val="single" w:sz="4" w:space="0" w:color="000000"/>
              <w:right w:val="single" w:sz="4" w:space="0" w:color="000000"/>
            </w:tcBorders>
          </w:tcPr>
          <w:p>
            <w:pPr>
              <w:pStyle w:val="TableParagraph"/>
              <w:spacing w:line="240" w:lineRule="auto" w:before="70"/>
              <w:ind w:left="11" w:right="0"/>
              <w:jc w:val="left"/>
              <w:rPr>
                <w:rFonts w:ascii="宋体" w:hAnsi="宋体" w:cs="宋体" w:eastAsia="宋体" w:hint="default"/>
                <w:sz w:val="18"/>
                <w:szCs w:val="18"/>
              </w:rPr>
            </w:pPr>
            <w:r>
              <w:rPr>
                <w:rFonts w:ascii="宋体" w:hAnsi="宋体" w:cs="宋体" w:eastAsia="宋体" w:hint="default"/>
                <w:sz w:val="18"/>
                <w:szCs w:val="18"/>
              </w:rPr>
              <w:t>报告期内，公司衍生品的会计政策及会计核算具体原则与上一报告期比较没有重大变化。</w:t>
            </w:r>
          </w:p>
        </w:tc>
      </w:tr>
      <w:tr>
        <w:trPr>
          <w:trHeight w:val="558" w:hRule="exact"/>
        </w:trPr>
        <w:tc>
          <w:tcPr>
            <w:tcW w:w="411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1" w:right="131"/>
              <w:jc w:val="left"/>
              <w:rPr>
                <w:rFonts w:ascii="宋体" w:hAnsi="宋体" w:cs="宋体" w:eastAsia="宋体" w:hint="default"/>
                <w:sz w:val="18"/>
                <w:szCs w:val="18"/>
              </w:rPr>
            </w:pPr>
            <w:r>
              <w:rPr>
                <w:rFonts w:ascii="宋体" w:hAnsi="宋体" w:cs="宋体" w:eastAsia="宋体" w:hint="default"/>
                <w:sz w:val="18"/>
                <w:szCs w:val="18"/>
              </w:rPr>
              <w:t>独立董事对公司衍生品投资及风险控制情况的专项 意见</w:t>
            </w:r>
          </w:p>
        </w:tc>
        <w:tc>
          <w:tcPr>
            <w:tcW w:w="9889"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32" w:lineRule="exact" w:before="35"/>
              <w:ind w:left="11" w:right="-45"/>
              <w:jc w:val="left"/>
              <w:rPr>
                <w:rFonts w:ascii="宋体" w:hAnsi="宋体" w:cs="宋体" w:eastAsia="宋体" w:hint="default"/>
                <w:sz w:val="18"/>
                <w:szCs w:val="18"/>
              </w:rPr>
            </w:pPr>
            <w:r>
              <w:rPr>
                <w:rFonts w:ascii="宋体" w:hAnsi="宋体" w:cs="宋体" w:eastAsia="宋体" w:hint="default"/>
                <w:sz w:val="18"/>
                <w:szCs w:val="18"/>
              </w:rPr>
              <w:t>公司的独立董事认为公司开展的衍生品业务与日常经营需求紧密相关，业务可行风险可控，符合有关法律、法规的有关规定， 同意公司及下属控股子公司开展衍生品投资业务。</w:t>
            </w:r>
          </w:p>
        </w:tc>
      </w:tr>
    </w:tbl>
    <w:p>
      <w:pPr>
        <w:spacing w:line="240" w:lineRule="auto" w:before="7"/>
        <w:rPr>
          <w:rFonts w:ascii="宋体" w:hAnsi="宋体" w:cs="宋体" w:eastAsia="宋体" w:hint="default"/>
          <w:sz w:val="17"/>
          <w:szCs w:val="17"/>
        </w:rPr>
      </w:pPr>
    </w:p>
    <w:p>
      <w:pPr>
        <w:pStyle w:val="Heading3"/>
        <w:spacing w:line="240" w:lineRule="auto" w:before="35"/>
        <w:ind w:left="140" w:right="11378"/>
        <w:jc w:val="left"/>
        <w:rPr>
          <w:b w:val="0"/>
          <w:bCs w:val="0"/>
        </w:rPr>
      </w:pPr>
      <w:bookmarkStart w:name="5、募集资金使用情况" w:id="52"/>
      <w:bookmarkEnd w:id="52"/>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12"/>
        <w:rPr>
          <w:rFonts w:ascii="宋体" w:hAnsi="宋体" w:cs="宋体" w:eastAsia="宋体" w:hint="default"/>
          <w:b/>
          <w:bCs/>
          <w:sz w:val="21"/>
          <w:szCs w:val="21"/>
        </w:rPr>
      </w:pPr>
    </w:p>
    <w:p>
      <w:pPr>
        <w:pStyle w:val="BodyText"/>
        <w:spacing w:line="264" w:lineRule="auto"/>
        <w:ind w:left="140" w:right="1137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公司报告期无募集资金使用情况。</w:t>
      </w:r>
    </w:p>
    <w:p>
      <w:pPr>
        <w:spacing w:line="240" w:lineRule="auto" w:before="10"/>
        <w:rPr>
          <w:rFonts w:ascii="宋体" w:hAnsi="宋体" w:cs="宋体" w:eastAsia="宋体" w:hint="default"/>
          <w:sz w:val="20"/>
          <w:szCs w:val="20"/>
        </w:rPr>
      </w:pPr>
    </w:p>
    <w:p>
      <w:pPr>
        <w:pStyle w:val="Heading2"/>
        <w:spacing w:line="240" w:lineRule="auto"/>
        <w:ind w:left="140" w:right="11378"/>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left="140" w:right="11378"/>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0"/>
        <w:rPr>
          <w:rFonts w:ascii="宋体" w:hAnsi="宋体" w:cs="宋体" w:eastAsia="宋体" w:hint="default"/>
          <w:b/>
          <w:bCs/>
          <w:sz w:val="22"/>
          <w:szCs w:val="22"/>
        </w:rPr>
      </w:pPr>
    </w:p>
    <w:p>
      <w:pPr>
        <w:pStyle w:val="BodyText"/>
        <w:spacing w:line="264" w:lineRule="auto"/>
        <w:ind w:left="140" w:right="1173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1"/>
        <w:rPr>
          <w:rFonts w:ascii="宋体" w:hAnsi="宋体" w:cs="宋体" w:eastAsia="宋体" w:hint="default"/>
          <w:sz w:val="21"/>
          <w:szCs w:val="21"/>
        </w:rPr>
      </w:pPr>
    </w:p>
    <w:p>
      <w:pPr>
        <w:pStyle w:val="Heading3"/>
        <w:spacing w:line="240" w:lineRule="auto"/>
        <w:ind w:left="140" w:right="11378"/>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140" w:right="1137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1"/>
          <w:szCs w:val="21"/>
        </w:rPr>
      </w:pPr>
    </w:p>
    <w:p>
      <w:pPr>
        <w:pStyle w:val="Heading2"/>
        <w:spacing w:line="240" w:lineRule="auto"/>
        <w:ind w:left="140" w:right="0"/>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2"/>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6840" w:h="11910" w:orient="landscape"/>
          <w:pgMar w:header="867" w:footer="979" w:top="1060" w:bottom="1160" w:left="1300" w:right="1300"/>
        </w:sectPr>
      </w:pPr>
    </w:p>
    <w:p>
      <w:pPr>
        <w:pStyle w:val="BodyText"/>
        <w:spacing w:line="240" w:lineRule="auto" w:before="44"/>
        <w:ind w:left="140"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23"/>
        <w:ind w:left="140"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pStyle w:val="BodyText"/>
        <w:spacing w:line="240" w:lineRule="auto" w:before="119"/>
        <w:ind w:left="140" w:right="0"/>
        <w:jc w:val="left"/>
      </w:pPr>
      <w:r>
        <w:rPr/>
        <w:t>单位：元</w:t>
      </w:r>
    </w:p>
    <w:p>
      <w:pPr>
        <w:spacing w:after="0" w:line="240" w:lineRule="auto"/>
        <w:jc w:val="left"/>
        <w:sectPr>
          <w:type w:val="continuous"/>
          <w:pgSz w:w="16840" w:h="11910" w:orient="landscape"/>
          <w:pgMar w:top="1580" w:bottom="700" w:left="1300" w:right="1300"/>
          <w:cols w:num="2" w:equalWidth="0">
            <w:col w:w="4835" w:space="8404"/>
            <w:col w:w="1001"/>
          </w:cols>
        </w:sectPr>
      </w:pPr>
    </w:p>
    <w:p>
      <w:pPr>
        <w:spacing w:line="240" w:lineRule="auto" w:before="3"/>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1420"/>
        <w:gridCol w:w="1280"/>
        <w:gridCol w:w="1849"/>
        <w:gridCol w:w="1428"/>
        <w:gridCol w:w="1566"/>
        <w:gridCol w:w="1710"/>
        <w:gridCol w:w="1710"/>
        <w:gridCol w:w="1567"/>
        <w:gridCol w:w="1484"/>
      </w:tblGrid>
      <w:tr>
        <w:trPr>
          <w:trHeight w:val="324" w:hRule="exact"/>
        </w:trPr>
        <w:tc>
          <w:tcPr>
            <w:tcW w:w="1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74"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59"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4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0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9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1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6"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323"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7"/>
              <w:jc w:val="center"/>
              <w:rPr>
                <w:rFonts w:ascii="宋体" w:hAnsi="宋体" w:cs="宋体" w:eastAsia="宋体" w:hint="default"/>
                <w:sz w:val="18"/>
                <w:szCs w:val="18"/>
              </w:rPr>
            </w:pPr>
            <w:r>
              <w:rPr>
                <w:rFonts w:ascii="宋体" w:hAnsi="宋体" w:cs="宋体" w:eastAsia="宋体" w:hint="default"/>
                <w:sz w:val="18"/>
                <w:szCs w:val="18"/>
              </w:rPr>
              <w:t>神码中国（注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业务</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1,042,722,250.00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23,120,431,957.89</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3,906,117,173.97</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72,579,515,754.60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676,980,474.21</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549,862,246.89</w:t>
            </w:r>
          </w:p>
        </w:tc>
      </w:tr>
      <w:tr>
        <w:trPr>
          <w:trHeight w:val="324"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7"/>
              <w:jc w:val="center"/>
              <w:rPr>
                <w:rFonts w:ascii="宋体" w:hAnsi="宋体" w:cs="宋体" w:eastAsia="宋体" w:hint="default"/>
                <w:sz w:val="18"/>
                <w:szCs w:val="18"/>
              </w:rPr>
            </w:pPr>
            <w:r>
              <w:rPr>
                <w:rFonts w:ascii="宋体" w:hAnsi="宋体" w:cs="宋体" w:eastAsia="宋体" w:hint="default"/>
                <w:sz w:val="18"/>
                <w:szCs w:val="18"/>
              </w:rPr>
              <w:t>神码上海（注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业务</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231,051,150.00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1,575,869,927.23</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475,933,390.41</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5,551,970,314.89</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61,901,704.03</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52,263,657.01</w:t>
            </w:r>
          </w:p>
        </w:tc>
      </w:tr>
    </w:tbl>
    <w:p>
      <w:pPr>
        <w:spacing w:after="0" w:line="240" w:lineRule="auto"/>
        <w:jc w:val="right"/>
        <w:rPr>
          <w:rFonts w:ascii="Times New Roman" w:hAnsi="Times New Roman" w:cs="Times New Roman" w:eastAsia="Times New Roman" w:hint="default"/>
          <w:sz w:val="18"/>
          <w:szCs w:val="18"/>
        </w:rPr>
        <w:sectPr>
          <w:type w:val="continuous"/>
          <w:pgSz w:w="16840" w:h="11910" w:orient="landscape"/>
          <w:pgMar w:top="1580" w:bottom="700" w:left="1300" w:right="1300"/>
        </w:sectPr>
      </w:pPr>
    </w:p>
    <w:p>
      <w:pPr>
        <w:spacing w:line="240" w:lineRule="auto" w:before="12"/>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420"/>
        <w:gridCol w:w="1280"/>
        <w:gridCol w:w="1849"/>
        <w:gridCol w:w="1428"/>
        <w:gridCol w:w="1566"/>
        <w:gridCol w:w="1710"/>
        <w:gridCol w:w="1710"/>
        <w:gridCol w:w="1567"/>
        <w:gridCol w:w="1484"/>
      </w:tblGrid>
      <w:tr>
        <w:trPr>
          <w:trHeight w:val="572" w:hRule="exact"/>
        </w:trPr>
        <w:tc>
          <w:tcPr>
            <w:tcW w:w="142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
              <w:ind w:left="22" w:right="125"/>
              <w:jc w:val="left"/>
              <w:rPr>
                <w:rFonts w:ascii="宋体" w:hAnsi="宋体" w:cs="宋体" w:eastAsia="宋体" w:hint="default"/>
                <w:sz w:val="18"/>
                <w:szCs w:val="18"/>
              </w:rPr>
            </w:pPr>
            <w:r>
              <w:rPr>
                <w:rFonts w:ascii="宋体" w:hAnsi="宋体" w:cs="宋体" w:eastAsia="宋体" w:hint="default"/>
                <w:sz w:val="18"/>
                <w:szCs w:val="18"/>
              </w:rPr>
              <w:t>北京迪信通商贸 股份有限公司</w:t>
            </w:r>
          </w:p>
        </w:tc>
        <w:tc>
          <w:tcPr>
            <w:tcW w:w="128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84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
              <w:ind w:left="22" w:right="194"/>
              <w:jc w:val="left"/>
              <w:rPr>
                <w:rFonts w:ascii="宋体" w:hAnsi="宋体" w:cs="宋体" w:eastAsia="宋体" w:hint="default"/>
                <w:sz w:val="18"/>
                <w:szCs w:val="18"/>
              </w:rPr>
            </w:pPr>
            <w:r>
              <w:rPr>
                <w:rFonts w:ascii="宋体" w:hAnsi="宋体" w:cs="宋体" w:eastAsia="宋体" w:hint="default"/>
                <w:sz w:val="18"/>
                <w:szCs w:val="18"/>
              </w:rPr>
              <w:t>移动通讯设备及配件 零售及提供相关服务</w:t>
            </w:r>
          </w:p>
        </w:tc>
        <w:tc>
          <w:tcPr>
            <w:tcW w:w="142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95" w:right="0"/>
              <w:jc w:val="left"/>
              <w:rPr>
                <w:rFonts w:ascii="Times New Roman" w:hAnsi="Times New Roman" w:cs="Times New Roman" w:eastAsia="Times New Roman" w:hint="default"/>
                <w:sz w:val="18"/>
                <w:szCs w:val="18"/>
              </w:rPr>
            </w:pPr>
            <w:r>
              <w:rPr>
                <w:rFonts w:ascii="Times New Roman"/>
                <w:sz w:val="18"/>
              </w:rPr>
              <w:t>666,667,000</w:t>
            </w:r>
          </w:p>
        </w:tc>
        <w:tc>
          <w:tcPr>
            <w:tcW w:w="156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8,037,888,331.75</w:t>
            </w:r>
          </w:p>
        </w:tc>
        <w:tc>
          <w:tcPr>
            <w:tcW w:w="171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17" w:right="0"/>
              <w:jc w:val="left"/>
              <w:rPr>
                <w:rFonts w:ascii="Times New Roman" w:hAnsi="Times New Roman" w:cs="Times New Roman" w:eastAsia="Times New Roman" w:hint="default"/>
                <w:sz w:val="18"/>
                <w:szCs w:val="18"/>
              </w:rPr>
            </w:pPr>
            <w:r>
              <w:rPr>
                <w:rFonts w:ascii="Times New Roman"/>
                <w:sz w:val="18"/>
              </w:rPr>
              <w:t>3,806,176,304.95</w:t>
            </w:r>
          </w:p>
        </w:tc>
        <w:tc>
          <w:tcPr>
            <w:tcW w:w="171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27" w:right="0"/>
              <w:jc w:val="left"/>
              <w:rPr>
                <w:rFonts w:ascii="Times New Roman" w:hAnsi="Times New Roman" w:cs="Times New Roman" w:eastAsia="Times New Roman" w:hint="default"/>
                <w:sz w:val="18"/>
                <w:szCs w:val="18"/>
              </w:rPr>
            </w:pPr>
            <w:r>
              <w:rPr>
                <w:rFonts w:ascii="Times New Roman"/>
                <w:sz w:val="18"/>
              </w:rPr>
              <w:t>15,078,397,037.89</w:t>
            </w:r>
          </w:p>
        </w:tc>
        <w:tc>
          <w:tcPr>
            <w:tcW w:w="156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10" w:right="0"/>
              <w:jc w:val="left"/>
              <w:rPr>
                <w:rFonts w:ascii="Times New Roman" w:hAnsi="Times New Roman" w:cs="Times New Roman" w:eastAsia="Times New Roman" w:hint="default"/>
                <w:sz w:val="18"/>
                <w:szCs w:val="18"/>
              </w:rPr>
            </w:pPr>
            <w:r>
              <w:rPr>
                <w:rFonts w:ascii="Times New Roman"/>
                <w:sz w:val="18"/>
              </w:rPr>
              <w:t>333,583,647.86</w:t>
            </w:r>
          </w:p>
        </w:tc>
        <w:tc>
          <w:tcPr>
            <w:tcW w:w="148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309,497,065.72</w:t>
            </w:r>
          </w:p>
        </w:tc>
      </w:tr>
    </w:tbl>
    <w:p>
      <w:pPr>
        <w:pStyle w:val="BodyText"/>
        <w:spacing w:line="240" w:lineRule="auto" w:before="10"/>
        <w:ind w:left="140" w:right="0"/>
        <w:jc w:val="left"/>
      </w:pPr>
      <w:r>
        <w:rPr/>
        <w:t>报告期内取得和处置子公司的情况</w:t>
      </w:r>
    </w:p>
    <w:p>
      <w:pPr>
        <w:pStyle w:val="BodyText"/>
        <w:spacing w:line="261" w:lineRule="auto" w:before="38"/>
        <w:ind w:left="140" w:right="119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主要控股参股公司情况说明</w:t>
      </w:r>
    </w:p>
    <w:p>
      <w:pPr>
        <w:pStyle w:val="BodyText"/>
        <w:spacing w:line="259" w:lineRule="auto" w:before="22"/>
        <w:ind w:left="140" w:right="138" w:firstLine="360"/>
        <w:jc w:val="both"/>
      </w:pPr>
      <w:r>
        <w:rPr/>
        <w:t>注</w:t>
      </w:r>
      <w:r>
        <w:rPr>
          <w:spacing w:val="-51"/>
        </w:rPr>
        <w:t> </w:t>
      </w:r>
      <w:r>
        <w:rPr>
          <w:rFonts w:ascii="Times New Roman" w:hAnsi="Times New Roman" w:cs="Times New Roman" w:eastAsia="Times New Roman" w:hint="default"/>
        </w:rPr>
        <w:t>1</w:t>
      </w:r>
      <w:r>
        <w:rPr/>
        <w:t>：本公司之子公司神码中国本报告期实现营业收入</w:t>
      </w:r>
      <w:r>
        <w:rPr>
          <w:spacing w:val="-51"/>
        </w:rPr>
        <w:t> </w:t>
      </w:r>
      <w:r>
        <w:rPr>
          <w:rFonts w:ascii="Times New Roman" w:hAnsi="Times New Roman" w:cs="Times New Roman" w:eastAsia="Times New Roman" w:hint="default"/>
        </w:rPr>
        <w:t>7,257,951.58</w:t>
      </w:r>
      <w:r>
        <w:rPr>
          <w:rFonts w:ascii="Times New Roman" w:hAnsi="Times New Roman" w:cs="Times New Roman" w:eastAsia="Times New Roman" w:hint="default"/>
          <w:spacing w:val="-5"/>
        </w:rPr>
        <w:t> </w:t>
      </w:r>
      <w:r>
        <w:rPr>
          <w:spacing w:val="-3"/>
        </w:rPr>
        <w:t>万元，较上年同期</w:t>
      </w:r>
      <w:r>
        <w:rPr>
          <w:spacing w:val="-51"/>
        </w:rPr>
        <w:t> </w:t>
      </w:r>
      <w:r>
        <w:rPr>
          <w:rFonts w:ascii="Times New Roman" w:hAnsi="Times New Roman" w:cs="Times New Roman" w:eastAsia="Times New Roman" w:hint="default"/>
        </w:rPr>
        <w:t>5,269,310.60</w:t>
      </w:r>
      <w:r>
        <w:rPr>
          <w:rFonts w:ascii="Times New Roman" w:hAnsi="Times New Roman" w:cs="Times New Roman" w:eastAsia="Times New Roman" w:hint="default"/>
          <w:spacing w:val="-5"/>
        </w:rPr>
        <w:t> </w:t>
      </w:r>
      <w:r>
        <w:rPr/>
        <w:t>万元增长</w:t>
      </w:r>
      <w:r>
        <w:rPr>
          <w:spacing w:val="-51"/>
        </w:rPr>
        <w:t> </w:t>
      </w:r>
      <w:r>
        <w:rPr>
          <w:rFonts w:ascii="Times New Roman" w:hAnsi="Times New Roman" w:cs="Times New Roman" w:eastAsia="Times New Roman" w:hint="default"/>
          <w:spacing w:val="-3"/>
        </w:rPr>
        <w:t>37.74%</w:t>
      </w:r>
      <w:r>
        <w:rPr>
          <w:spacing w:val="-3"/>
        </w:rPr>
        <w:t>，主要系</w:t>
      </w:r>
      <w:r>
        <w:rPr>
          <w:spacing w:val="-51"/>
        </w:rPr>
        <w:t> </w:t>
      </w:r>
      <w:r>
        <w:rPr>
          <w:rFonts w:ascii="Times New Roman" w:hAnsi="Times New Roman" w:cs="Times New Roman" w:eastAsia="Times New Roman" w:hint="default"/>
        </w:rPr>
        <w:t>IT</w:t>
      </w:r>
      <w:r>
        <w:rPr>
          <w:rFonts w:ascii="Times New Roman" w:hAnsi="Times New Roman" w:cs="Times New Roman" w:eastAsia="Times New Roman" w:hint="default"/>
          <w:spacing w:val="-6"/>
        </w:rPr>
        <w:t> </w:t>
      </w:r>
      <w:r>
        <w:rPr/>
        <w:t>分销及增值服务业务增长拉动所致。本报告期 净利润</w:t>
      </w:r>
      <w:r>
        <w:rPr>
          <w:spacing w:val="-45"/>
        </w:rPr>
        <w:t> </w:t>
      </w:r>
      <w:r>
        <w:rPr>
          <w:rFonts w:ascii="Times New Roman" w:hAnsi="Times New Roman" w:cs="Times New Roman" w:eastAsia="Times New Roman" w:hint="default"/>
        </w:rPr>
        <w:t>54,986.22 </w:t>
      </w:r>
      <w:r>
        <w:rPr>
          <w:spacing w:val="-3"/>
        </w:rPr>
        <w:t>万元，较上年同期</w:t>
      </w:r>
      <w:r>
        <w:rPr>
          <w:spacing w:val="-45"/>
        </w:rPr>
        <w:t> </w:t>
      </w:r>
      <w:r>
        <w:rPr>
          <w:rFonts w:ascii="Times New Roman" w:hAnsi="Times New Roman" w:cs="Times New Roman" w:eastAsia="Times New Roman" w:hint="default"/>
        </w:rPr>
        <w:t>83,973.55 </w:t>
      </w:r>
      <w:r>
        <w:rPr/>
        <w:t>万元下降</w:t>
      </w:r>
      <w:r>
        <w:rPr>
          <w:spacing w:val="-45"/>
        </w:rPr>
        <w:t> </w:t>
      </w:r>
      <w:r>
        <w:rPr>
          <w:rFonts w:ascii="Times New Roman" w:hAnsi="Times New Roman" w:cs="Times New Roman" w:eastAsia="Times New Roman" w:hint="default"/>
          <w:spacing w:val="-3"/>
        </w:rPr>
        <w:t>34.52%</w:t>
      </w:r>
      <w:r>
        <w:rPr>
          <w:spacing w:val="-3"/>
        </w:rPr>
        <w:t>，主要系如下两个事项：</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2017</w:t>
      </w:r>
      <w:r>
        <w:rPr>
          <w:rFonts w:ascii="Times New Roman" w:hAnsi="Times New Roman" w:cs="Times New Roman" w:eastAsia="Times New Roman" w:hint="default"/>
        </w:rPr>
        <w:t> </w:t>
      </w:r>
      <w:r>
        <w:rPr/>
        <w:t>年本公司之子公司</w:t>
      </w:r>
      <w:r>
        <w:rPr>
          <w:spacing w:val="-45"/>
        </w:rPr>
        <w:t> </w:t>
      </w:r>
      <w:r>
        <w:rPr>
          <w:rFonts w:ascii="Times New Roman" w:hAnsi="Times New Roman" w:cs="Times New Roman" w:eastAsia="Times New Roman" w:hint="default"/>
        </w:rPr>
        <w:t>Digital</w:t>
      </w:r>
      <w:r>
        <w:rPr>
          <w:rFonts w:ascii="Times New Roman" w:hAnsi="Times New Roman" w:cs="Times New Roman" w:eastAsia="Times New Roman" w:hint="default"/>
          <w:spacing w:val="1"/>
        </w:rPr>
        <w:t> </w:t>
      </w:r>
      <w:r>
        <w:rPr>
          <w:rFonts w:ascii="Times New Roman" w:hAnsi="Times New Roman" w:cs="Times New Roman" w:eastAsia="Times New Roman" w:hint="default"/>
        </w:rPr>
        <w:t>China(HK)limited</w:t>
      </w:r>
      <w:r>
        <w:rPr>
          <w:rFonts w:ascii="Times New Roman" w:hAnsi="Times New Roman" w:cs="Times New Roman" w:eastAsia="Times New Roman" w:hint="default"/>
          <w:spacing w:val="1"/>
        </w:rPr>
        <w:t> </w:t>
      </w:r>
      <w:r>
        <w:rPr/>
        <w:t>对北京迪信通商贸股份有限公司的长期</w:t>
      </w:r>
      <w:r>
        <w:rPr>
          <w:w w:val="99"/>
        </w:rPr>
        <w:t> </w:t>
      </w:r>
      <w:r>
        <w:rPr/>
        <w:t>股权投资初始投资成本小于应享有可辨认净资产公允价值的差额</w:t>
      </w:r>
      <w:r>
        <w:rPr>
          <w:spacing w:val="-43"/>
        </w:rPr>
        <w:t> </w:t>
      </w:r>
      <w:r>
        <w:rPr>
          <w:rFonts w:ascii="Times New Roman" w:hAnsi="Times New Roman" w:cs="Times New Roman" w:eastAsia="Times New Roman" w:hint="default"/>
        </w:rPr>
        <w:t>34,172.29</w:t>
      </w:r>
      <w:r>
        <w:rPr>
          <w:rFonts w:ascii="Times New Roman" w:hAnsi="Times New Roman" w:cs="Times New Roman" w:eastAsia="Times New Roman" w:hint="default"/>
          <w:spacing w:val="2"/>
        </w:rPr>
        <w:t> </w:t>
      </w:r>
      <w:r>
        <w:rPr>
          <w:spacing w:val="-2"/>
        </w:rPr>
        <w:t>万元计入营业外收入，本报告期无此事项。</w:t>
      </w:r>
      <w:r>
        <w:rPr>
          <w:rFonts w:ascii="Times New Roman" w:hAnsi="Times New Roman" w:cs="Times New Roman" w:eastAsia="Times New Roman" w:hint="default"/>
          <w:spacing w:val="-2"/>
        </w:rPr>
        <w:t>2</w:t>
      </w:r>
      <w:r>
        <w:rPr>
          <w:spacing w:val="-2"/>
        </w:rPr>
        <w:t>、本报告期因人民币贬值形成汇兑亏损。扣除上述原因，本</w:t>
      </w:r>
      <w:r>
        <w:rPr>
          <w:w w:val="99"/>
        </w:rPr>
        <w:t> </w:t>
      </w:r>
      <w:r>
        <w:rPr/>
        <w:t>报告期净利润较上年同期增长</w:t>
      </w:r>
      <w:r>
        <w:rPr>
          <w:spacing w:val="-47"/>
        </w:rPr>
        <w:t> </w:t>
      </w:r>
      <w:r>
        <w:rPr>
          <w:rFonts w:ascii="Times New Roman" w:hAnsi="Times New Roman" w:cs="Times New Roman" w:eastAsia="Times New Roman" w:hint="default"/>
        </w:rPr>
        <w:t>37.14%</w:t>
      </w:r>
      <w:r>
        <w:rPr/>
        <w:t>。</w:t>
      </w:r>
    </w:p>
    <w:p>
      <w:pPr>
        <w:pStyle w:val="BodyText"/>
        <w:spacing w:line="259" w:lineRule="auto" w:before="42"/>
        <w:ind w:left="140" w:right="137" w:firstLine="360"/>
        <w:jc w:val="both"/>
      </w:pPr>
      <w:r>
        <w:rPr/>
        <w:t>注</w:t>
      </w:r>
      <w:r>
        <w:rPr>
          <w:spacing w:val="-51"/>
        </w:rPr>
        <w:t> </w:t>
      </w:r>
      <w:r>
        <w:rPr>
          <w:rFonts w:ascii="Times New Roman" w:hAnsi="Times New Roman" w:cs="Times New Roman" w:eastAsia="Times New Roman" w:hint="default"/>
        </w:rPr>
        <w:t>2</w:t>
      </w:r>
      <w:r>
        <w:rPr/>
        <w:t>：本公司之子公司神码上海本报告期净利润</w:t>
      </w:r>
      <w:r>
        <w:rPr>
          <w:spacing w:val="-51"/>
        </w:rPr>
        <w:t> </w:t>
      </w:r>
      <w:r>
        <w:rPr>
          <w:rFonts w:ascii="Times New Roman" w:hAnsi="Times New Roman" w:cs="Times New Roman" w:eastAsia="Times New Roman" w:hint="default"/>
        </w:rPr>
        <w:t>5,226.37</w:t>
      </w:r>
      <w:r>
        <w:rPr>
          <w:rFonts w:ascii="Times New Roman" w:hAnsi="Times New Roman" w:cs="Times New Roman" w:eastAsia="Times New Roman" w:hint="default"/>
          <w:spacing w:val="-6"/>
        </w:rPr>
        <w:t> </w:t>
      </w:r>
      <w:r>
        <w:rPr/>
        <w:t>万元，较上年同期</w:t>
      </w:r>
      <w:r>
        <w:rPr>
          <w:spacing w:val="-51"/>
        </w:rPr>
        <w:t> </w:t>
      </w:r>
      <w:r>
        <w:rPr>
          <w:rFonts w:ascii="Times New Roman" w:hAnsi="Times New Roman" w:cs="Times New Roman" w:eastAsia="Times New Roman" w:hint="default"/>
        </w:rPr>
        <w:t>3,950.99</w:t>
      </w:r>
      <w:r>
        <w:rPr>
          <w:rFonts w:ascii="Times New Roman" w:hAnsi="Times New Roman" w:cs="Times New Roman" w:eastAsia="Times New Roman" w:hint="default"/>
          <w:spacing w:val="-6"/>
        </w:rPr>
        <w:t> </w:t>
      </w:r>
      <w:r>
        <w:rPr/>
        <w:t>万元增长</w:t>
      </w:r>
      <w:r>
        <w:rPr>
          <w:spacing w:val="-51"/>
        </w:rPr>
        <w:t> </w:t>
      </w:r>
      <w:r>
        <w:rPr>
          <w:rFonts w:ascii="Times New Roman" w:hAnsi="Times New Roman" w:cs="Times New Roman" w:eastAsia="Times New Roman" w:hint="default"/>
        </w:rPr>
        <w:t>32.28%</w:t>
      </w:r>
      <w:r>
        <w:rPr/>
        <w:t>，主要系本报告期其参股公司神码北京宣告派发股息</w:t>
      </w:r>
      <w:r>
        <w:rPr>
          <w:spacing w:val="-51"/>
        </w:rPr>
        <w:t> </w:t>
      </w:r>
      <w:r>
        <w:rPr>
          <w:rFonts w:ascii="Times New Roman" w:hAnsi="Times New Roman" w:cs="Times New Roman" w:eastAsia="Times New Roman" w:hint="default"/>
        </w:rPr>
        <w:t>2105.26</w:t>
      </w:r>
      <w:r>
        <w:rPr>
          <w:rFonts w:ascii="Times New Roman" w:hAnsi="Times New Roman" w:cs="Times New Roman" w:eastAsia="Times New Roman" w:hint="default"/>
          <w:spacing w:val="-5"/>
        </w:rPr>
        <w:t> </w:t>
      </w:r>
      <w:r>
        <w:rPr>
          <w:spacing w:val="-3"/>
        </w:rPr>
        <w:t>万元，计入</w:t>
      </w:r>
      <w:r>
        <w:rPr/>
        <w:t> 投资收益。</w:t>
      </w:r>
    </w:p>
    <w:p>
      <w:pPr>
        <w:spacing w:after="0" w:line="259" w:lineRule="auto"/>
        <w:jc w:val="both"/>
        <w:sectPr>
          <w:pgSz w:w="16840" w:h="11910" w:orient="landscape"/>
          <w:pgMar w:header="867" w:footer="979" w:top="1060" w:bottom="1160" w:left="1300" w:right="1300"/>
        </w:sectPr>
      </w:pPr>
    </w:p>
    <w:p>
      <w:pPr>
        <w:spacing w:line="240" w:lineRule="auto" w:before="7"/>
        <w:rPr>
          <w:rFonts w:ascii="宋体" w:hAnsi="宋体" w:cs="宋体" w:eastAsia="宋体" w:hint="default"/>
          <w:sz w:val="19"/>
          <w:szCs w:val="19"/>
        </w:rPr>
      </w:pPr>
    </w:p>
    <w:p>
      <w:pPr>
        <w:pStyle w:val="Heading2"/>
        <w:spacing w:line="240" w:lineRule="auto" w:before="26"/>
        <w:ind w:right="0"/>
        <w:jc w:val="left"/>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2"/>
        <w:rPr>
          <w:rFonts w:ascii="宋体" w:hAnsi="宋体" w:cs="宋体" w:eastAsia="宋体" w:hint="default"/>
          <w:sz w:val="21"/>
          <w:szCs w:val="21"/>
        </w:rPr>
      </w:pPr>
    </w:p>
    <w:p>
      <w:pPr>
        <w:pStyle w:val="Heading2"/>
        <w:spacing w:line="240" w:lineRule="auto"/>
        <w:ind w:right="0"/>
        <w:jc w:val="left"/>
        <w:rPr>
          <w:b w:val="0"/>
          <w:bCs w:val="0"/>
        </w:rPr>
      </w:pPr>
      <w:bookmarkStart w:name="九、公司未来发展的展望" w:id="58"/>
      <w:bookmarkEnd w:id="58"/>
      <w:r>
        <w:rPr>
          <w:b w:val="0"/>
          <w:bCs w:val="0"/>
        </w:rPr>
      </w:r>
      <w:r>
        <w:rPr/>
        <w:t>九、公司未来发展的展望</w:t>
      </w:r>
      <w:r>
        <w:rPr>
          <w:b w:val="0"/>
          <w:bCs w:val="0"/>
        </w:rPr>
      </w:r>
    </w:p>
    <w:p>
      <w:pPr>
        <w:pStyle w:val="BodyText"/>
        <w:spacing w:line="440" w:lineRule="atLeast" w:before="102"/>
        <w:ind w:left="514" w:right="0" w:hanging="6"/>
        <w:jc w:val="left"/>
      </w:pPr>
      <w:r>
        <w:rPr>
          <w:rFonts w:ascii="宋体" w:hAnsi="宋体" w:cs="宋体" w:eastAsia="宋体" w:hint="default"/>
          <w:b/>
          <w:bCs/>
        </w:rPr>
        <w:t>（一）经营环境展望</w:t>
      </w:r>
      <w:r>
        <w:rPr>
          <w:rFonts w:ascii="宋体" w:hAnsi="宋体" w:cs="宋体" w:eastAsia="宋体" w:hint="default"/>
          <w:b/>
          <w:bCs/>
          <w:w w:val="99"/>
        </w:rPr>
        <w:t> </w:t>
      </w:r>
      <w:r>
        <w:rPr>
          <w:rFonts w:ascii="宋体" w:hAnsi="宋体" w:cs="宋体" w:eastAsia="宋体" w:hint="default"/>
          <w:spacing w:val="-3"/>
          <w:w w:val="99"/>
        </w:rPr>
        <w:t>1</w:t>
      </w:r>
      <w:r>
        <w:rPr>
          <w:spacing w:val="-3"/>
          <w:w w:val="99"/>
        </w:rPr>
        <w:t>、云计算和数字化转型行业景气度继续维持高位。</w:t>
      </w:r>
      <w:r>
        <w:rPr>
          <w:rFonts w:ascii="Times New Roman" w:hAnsi="Times New Roman" w:cs="Times New Roman" w:eastAsia="Times New Roman" w:hint="default"/>
          <w:spacing w:val="-3"/>
          <w:w w:val="99"/>
        </w:rPr>
        <w:t>IDC</w:t>
      </w:r>
      <w:r>
        <w:rPr>
          <w:spacing w:val="-3"/>
          <w:w w:val="99"/>
        </w:rPr>
        <w:t>预测</w:t>
      </w:r>
      <w:r>
        <w:rPr>
          <w:rFonts w:ascii="Times New Roman" w:hAnsi="Times New Roman" w:cs="Times New Roman" w:eastAsia="Times New Roman" w:hint="default"/>
          <w:spacing w:val="-3"/>
          <w:w w:val="99"/>
        </w:rPr>
        <w:t>2021</w:t>
      </w:r>
      <w:r>
        <w:rPr>
          <w:spacing w:val="-3"/>
          <w:w w:val="99"/>
        </w:rPr>
        <w:t>年中国数字经济的比例将由目前的</w:t>
      </w:r>
      <w:r>
        <w:rPr>
          <w:rFonts w:ascii="Times New Roman" w:hAnsi="Times New Roman" w:cs="Times New Roman" w:eastAsia="Times New Roman" w:hint="default"/>
          <w:spacing w:val="-3"/>
          <w:w w:val="99"/>
        </w:rPr>
        <w:t>32%</w:t>
      </w:r>
      <w:r>
        <w:rPr>
          <w:spacing w:val="-3"/>
          <w:w w:val="99"/>
        </w:rPr>
        <w:t>提升至</w:t>
      </w:r>
      <w:r>
        <w:rPr>
          <w:rFonts w:ascii="Times New Roman" w:hAnsi="Times New Roman" w:cs="Times New Roman" w:eastAsia="Times New Roman" w:hint="default"/>
          <w:spacing w:val="-3"/>
          <w:w w:val="99"/>
        </w:rPr>
        <w:t>55%</w:t>
      </w:r>
      <w:r>
        <w:rPr>
          <w:spacing w:val="-3"/>
          <w:w w:val="99"/>
        </w:rPr>
        <w:t>以上，</w:t>
      </w:r>
    </w:p>
    <w:p>
      <w:pPr>
        <w:pStyle w:val="BodyText"/>
        <w:spacing w:line="261" w:lineRule="auto" w:before="19"/>
        <w:ind w:right="951"/>
        <w:jc w:val="left"/>
      </w:pPr>
      <w:r>
        <w:rPr/>
        <w:t>数字经济进入爆发的临界点。另据中国信息通信研究院的数据，</w:t>
      </w:r>
      <w:r>
        <w:rPr>
          <w:rFonts w:ascii="Times New Roman" w:hAnsi="Times New Roman" w:cs="Times New Roman" w:eastAsia="Times New Roman" w:hint="default"/>
        </w:rPr>
        <w:t>2021</w:t>
      </w:r>
      <w:r>
        <w:rPr/>
        <w:t>年国内公有云市场规模有望达到</w:t>
      </w:r>
      <w:r>
        <w:rPr>
          <w:rFonts w:ascii="Times New Roman" w:hAnsi="Times New Roman" w:cs="Times New Roman" w:eastAsia="Times New Roman" w:hint="default"/>
        </w:rPr>
        <w:t>902.6</w:t>
      </w:r>
      <w:r>
        <w:rPr/>
        <w:t>亿元，</w:t>
      </w:r>
      <w:r>
        <w:rPr>
          <w:rFonts w:ascii="Times New Roman" w:hAnsi="Times New Roman" w:cs="Times New Roman" w:eastAsia="Times New Roman" w:hint="default"/>
        </w:rPr>
        <w:t>2017-2021 </w:t>
      </w:r>
      <w:r>
        <w:rPr>
          <w:spacing w:val="-2"/>
        </w:rPr>
        <w:t>年均复合增长率</w:t>
      </w:r>
      <w:r>
        <w:rPr>
          <w:rFonts w:ascii="Times New Roman" w:hAnsi="Times New Roman" w:cs="Times New Roman" w:eastAsia="Times New Roman" w:hint="default"/>
          <w:spacing w:val="-2"/>
        </w:rPr>
        <w:t>36%</w:t>
      </w:r>
      <w:r>
        <w:rPr>
          <w:spacing w:val="-2"/>
        </w:rPr>
        <w:t>；</w:t>
      </w:r>
      <w:r>
        <w:rPr>
          <w:rFonts w:ascii="Times New Roman" w:hAnsi="Times New Roman" w:cs="Times New Roman" w:eastAsia="Times New Roman" w:hint="default"/>
          <w:spacing w:val="-2"/>
        </w:rPr>
        <w:t>2021</w:t>
      </w:r>
      <w:r>
        <w:rPr>
          <w:spacing w:val="-2"/>
        </w:rPr>
        <w:t>年国内私有云市场规模预计为</w:t>
      </w:r>
      <w:r>
        <w:rPr>
          <w:rFonts w:ascii="Times New Roman" w:hAnsi="Times New Roman" w:cs="Times New Roman" w:eastAsia="Times New Roman" w:hint="default"/>
          <w:spacing w:val="-2"/>
        </w:rPr>
        <w:t>955.7</w:t>
      </w:r>
      <w:r>
        <w:rPr>
          <w:spacing w:val="-2"/>
        </w:rPr>
        <w:t>亿元，</w:t>
      </w:r>
      <w:r>
        <w:rPr>
          <w:rFonts w:ascii="Times New Roman" w:hAnsi="Times New Roman" w:cs="Times New Roman" w:eastAsia="Times New Roman" w:hint="default"/>
          <w:spacing w:val="-2"/>
        </w:rPr>
        <w:t>2017-2021</w:t>
      </w:r>
      <w:r>
        <w:rPr>
          <w:spacing w:val="-2"/>
        </w:rPr>
        <w:t>年均复合增长率</w:t>
      </w:r>
      <w:r>
        <w:rPr>
          <w:rFonts w:ascii="Times New Roman" w:hAnsi="Times New Roman" w:cs="Times New Roman" w:eastAsia="Times New Roman" w:hint="default"/>
          <w:spacing w:val="-2"/>
        </w:rPr>
        <w:t>22%</w:t>
      </w:r>
      <w:r>
        <w:rPr>
          <w:spacing w:val="-2"/>
        </w:rPr>
        <w:t>。在企业云架构选择上，</w:t>
      </w:r>
      <w:r>
        <w:rPr>
          <w:spacing w:val="-86"/>
        </w:rPr>
        <w:t> </w:t>
      </w:r>
      <w:r>
        <w:rPr>
          <w:spacing w:val="-86"/>
        </w:rPr>
      </w:r>
      <w:r>
        <w:rPr>
          <w:spacing w:val="-2"/>
        </w:rPr>
        <w:t>由于混合云解决方案在部署互联网化应用并提供最佳性能的同时，还可以保障私有云本地数据中心所具备的安全性和可靠性，</w:t>
      </w:r>
      <w:r>
        <w:rPr>
          <w:spacing w:val="-62"/>
        </w:rPr>
        <w:t> </w:t>
      </w:r>
      <w:r>
        <w:rPr>
          <w:spacing w:val="-62"/>
        </w:rPr>
      </w:r>
      <w:r>
        <w:rPr/>
        <w:t>混合云将在未来相当长的时间内成为企业的主流选择。与此同时，云计算的发展将带动大数据、</w:t>
      </w:r>
      <w:r>
        <w:rPr>
          <w:rFonts w:ascii="Times New Roman" w:hAnsi="Times New Roman" w:cs="Times New Roman" w:eastAsia="Times New Roman" w:hint="default"/>
        </w:rPr>
        <w:t>AI</w:t>
      </w:r>
      <w:r>
        <w:rPr/>
        <w:t>、</w:t>
      </w:r>
      <w:r>
        <w:rPr>
          <w:rFonts w:ascii="Times New Roman" w:hAnsi="Times New Roman" w:cs="Times New Roman" w:eastAsia="Times New Roman" w:hint="default"/>
        </w:rPr>
        <w:t>IoT</w:t>
      </w:r>
      <w:r>
        <w:rPr/>
        <w:t>等在云上的广泛应</w:t>
      </w:r>
      <w:r>
        <w:rPr>
          <w:spacing w:val="-84"/>
        </w:rPr>
        <w:t> </w:t>
      </w:r>
      <w:r>
        <w:rPr/>
        <w:t>用，整体推动数字化转型产业蓬勃向前。</w:t>
      </w:r>
    </w:p>
    <w:p>
      <w:pPr>
        <w:spacing w:line="240" w:lineRule="auto" w:before="2"/>
        <w:rPr>
          <w:rFonts w:ascii="宋体" w:hAnsi="宋体" w:cs="宋体" w:eastAsia="宋体" w:hint="default"/>
          <w:sz w:val="13"/>
          <w:szCs w:val="13"/>
        </w:rPr>
      </w:pPr>
    </w:p>
    <w:p>
      <w:pPr>
        <w:pStyle w:val="BodyText"/>
        <w:spacing w:line="271" w:lineRule="auto"/>
        <w:ind w:right="1041" w:firstLine="420"/>
        <w:jc w:val="left"/>
      </w:pPr>
      <w:r>
        <w:rPr>
          <w:rFonts w:ascii="宋体" w:hAnsi="宋体" w:cs="宋体" w:eastAsia="宋体" w:hint="default"/>
        </w:rPr>
        <w:t>2</w:t>
      </w:r>
      <w:r>
        <w:rPr/>
        <w:t>、行业龙头聚集效应显著。作为连续</w:t>
      </w:r>
      <w:r>
        <w:rPr>
          <w:rFonts w:ascii="宋体" w:hAnsi="宋体" w:cs="宋体" w:eastAsia="宋体" w:hint="default"/>
        </w:rPr>
        <w:t>20</w:t>
      </w:r>
      <w:r>
        <w:rPr/>
        <w:t>多年国内最大的</w:t>
      </w:r>
      <w:r>
        <w:rPr>
          <w:rFonts w:ascii="宋体" w:hAnsi="宋体" w:cs="宋体" w:eastAsia="宋体" w:hint="default"/>
        </w:rPr>
        <w:t>IT</w:t>
      </w:r>
      <w:r>
        <w:rPr/>
        <w:t>分销和增值服务商，公司已累计为超过</w:t>
      </w:r>
      <w:r>
        <w:rPr>
          <w:rFonts w:ascii="Times New Roman" w:hAnsi="Times New Roman" w:cs="Times New Roman" w:eastAsia="Times New Roman" w:hint="default"/>
        </w:rPr>
        <w:t>100</w:t>
      </w:r>
      <w:r>
        <w:rPr/>
        <w:t>万家中国企业提 供信息化所需的产品、解决方案和服务，客户涵盖绝大部分各行业龙头企业，建立了国内最大、覆盖范围最广的</w:t>
      </w:r>
      <w:r>
        <w:rPr>
          <w:rFonts w:ascii="宋体" w:hAnsi="宋体" w:cs="宋体" w:eastAsia="宋体" w:hint="default"/>
        </w:rPr>
        <w:t>To</w:t>
      </w:r>
      <w:r>
        <w:rPr>
          <w:rFonts w:ascii="宋体" w:hAnsi="宋体" w:cs="宋体" w:eastAsia="宋体" w:hint="default"/>
          <w:spacing w:val="-58"/>
        </w:rPr>
        <w:t> </w:t>
      </w:r>
      <w:r>
        <w:rPr>
          <w:rFonts w:ascii="宋体" w:hAnsi="宋体" w:cs="宋体" w:eastAsia="宋体" w:hint="default"/>
        </w:rPr>
        <w:t>B</w:t>
      </w:r>
      <w:r>
        <w:rPr/>
        <w:t>渠道网 </w:t>
      </w:r>
      <w:r>
        <w:rPr>
          <w:spacing w:val="-2"/>
        </w:rPr>
        <w:t>络，拥有业内最丰富的行业客户资源。过去两年，由于各行业集中度快速提高，公司客户大多为各大行业龙头，其经营表现</w:t>
      </w:r>
      <w:r>
        <w:rPr>
          <w:spacing w:val="-66"/>
        </w:rPr>
        <w:t> </w:t>
      </w:r>
      <w:r>
        <w:rPr>
          <w:spacing w:val="-66"/>
        </w:rPr>
      </w:r>
      <w:r>
        <w:rPr>
          <w:spacing w:val="-4"/>
        </w:rPr>
        <w:t>显著高于行业平均水平。公司传统</w:t>
      </w:r>
      <w:r>
        <w:rPr>
          <w:rFonts w:ascii="宋体" w:hAnsi="宋体" w:cs="宋体" w:eastAsia="宋体" w:hint="default"/>
          <w:spacing w:val="-4"/>
        </w:rPr>
        <w:t>IT</w:t>
      </w:r>
      <w:r>
        <w:rPr>
          <w:spacing w:val="-4"/>
        </w:rPr>
        <w:t>分销及增值服务业务增速明显高于同业公司，云服务和数字化转型业务也呈爆发式增长，</w:t>
      </w:r>
      <w:r>
        <w:rPr>
          <w:spacing w:val="-40"/>
        </w:rPr>
        <w:t> </w:t>
      </w:r>
      <w:r>
        <w:rPr>
          <w:spacing w:val="-40"/>
        </w:rPr>
      </w:r>
      <w:r>
        <w:rPr>
          <w:spacing w:val="-2"/>
        </w:rPr>
        <w:t>公司作为行业龙头的竞争优势更加突出，伴随客户共同成长。未来随着国内企业数字化进程的不断加深，行业龙头聚集效应</w:t>
      </w:r>
      <w:r>
        <w:rPr>
          <w:spacing w:val="-66"/>
        </w:rPr>
        <w:t> </w:t>
      </w:r>
      <w:r>
        <w:rPr>
          <w:spacing w:val="-66"/>
        </w:rPr>
      </w:r>
      <w:r>
        <w:rPr/>
        <w:t>将愈发明显。</w:t>
      </w:r>
    </w:p>
    <w:p>
      <w:pPr>
        <w:spacing w:line="240" w:lineRule="auto" w:before="9"/>
        <w:rPr>
          <w:rFonts w:ascii="宋体" w:hAnsi="宋体" w:cs="宋体" w:eastAsia="宋体" w:hint="default"/>
          <w:sz w:val="12"/>
          <w:szCs w:val="12"/>
        </w:rPr>
      </w:pPr>
    </w:p>
    <w:p>
      <w:pPr>
        <w:pStyle w:val="BodyText"/>
        <w:spacing w:line="273" w:lineRule="auto"/>
        <w:ind w:right="1130" w:firstLine="420"/>
        <w:jc w:val="both"/>
      </w:pPr>
      <w:r>
        <w:rPr>
          <w:rFonts w:ascii="宋体" w:hAnsi="宋体" w:cs="宋体" w:eastAsia="宋体" w:hint="default"/>
          <w:spacing w:val="2"/>
        </w:rPr>
        <w:t>3</w:t>
      </w:r>
      <w:r>
        <w:rPr>
          <w:spacing w:val="2"/>
        </w:rPr>
        <w:t>、融资环境将明显改善。传统分销业务属于资金密集型行业，融资能力和融资成本对于业务发展有较大影响。</w:t>
      </w:r>
      <w:r>
        <w:rPr>
          <w:rFonts w:ascii="宋体" w:hAnsi="宋体" w:cs="宋体" w:eastAsia="宋体" w:hint="default"/>
          <w:spacing w:val="2"/>
        </w:rPr>
        <w:t>2019</w:t>
      </w:r>
      <w:r>
        <w:rPr>
          <w:rFonts w:ascii="宋体" w:hAnsi="宋体" w:cs="宋体" w:eastAsia="宋体" w:hint="default"/>
        </w:rPr>
        <w:t> </w:t>
      </w:r>
      <w:r>
        <w:rPr>
          <w:spacing w:val="-2"/>
        </w:rPr>
        <w:t>年政府工作报告提出，“政府将引导金融机构扩大信贷投放、降低贷款成本，精准有效支持实体经济。执行松紧适度的稳健</w:t>
      </w:r>
      <w:r>
        <w:rPr>
          <w:spacing w:val="-66"/>
        </w:rPr>
        <w:t> </w:t>
      </w:r>
      <w:r>
        <w:rPr>
          <w:spacing w:val="-66"/>
        </w:rPr>
      </w:r>
      <w:r>
        <w:rPr>
          <w:spacing w:val="-2"/>
        </w:rPr>
        <w:t>货币政策，保持流动性合理充裕，有效缓解实体经济特别是民营和小微企业融资难融资贵的问题，切实使中小微企业融资紧</w:t>
      </w:r>
      <w:r>
        <w:rPr>
          <w:spacing w:val="-65"/>
        </w:rPr>
        <w:t> </w:t>
      </w:r>
      <w:r>
        <w:rPr>
          <w:spacing w:val="-65"/>
        </w:rPr>
      </w:r>
      <w:r>
        <w:rPr>
          <w:spacing w:val="-2"/>
        </w:rPr>
        <w:t>张状况有明显改善，综合融资成本必须有明显降低”。融资渠道改善和融资成本降低将有助于激发公司的业务发展动能，扩</w:t>
      </w:r>
      <w:r>
        <w:rPr>
          <w:spacing w:val="-64"/>
        </w:rPr>
        <w:t> </w:t>
      </w:r>
      <w:r>
        <w:rPr>
          <w:spacing w:val="-64"/>
        </w:rPr>
      </w:r>
      <w:r>
        <w:rPr/>
        <w:t>大企业的经营边界、提升企业的盈利能力。</w:t>
      </w:r>
    </w:p>
    <w:p>
      <w:pPr>
        <w:spacing w:line="240" w:lineRule="auto" w:before="7"/>
        <w:rPr>
          <w:rFonts w:ascii="宋体" w:hAnsi="宋体" w:cs="宋体" w:eastAsia="宋体" w:hint="default"/>
          <w:sz w:val="12"/>
          <w:szCs w:val="12"/>
        </w:rPr>
      </w:pPr>
    </w:p>
    <w:p>
      <w:pPr>
        <w:pStyle w:val="Heading5"/>
        <w:spacing w:line="240" w:lineRule="auto" w:before="0"/>
        <w:ind w:left="508" w:right="0"/>
        <w:jc w:val="left"/>
        <w:rPr>
          <w:b w:val="0"/>
          <w:bCs w:val="0"/>
        </w:rPr>
      </w:pPr>
      <w:r>
        <w:rPr/>
        <w:t>（二）业务发展展望</w:t>
      </w:r>
      <w:r>
        <w:rPr>
          <w:b w:val="0"/>
          <w:bCs w:val="0"/>
        </w:rPr>
      </w:r>
    </w:p>
    <w:p>
      <w:pPr>
        <w:spacing w:line="240" w:lineRule="auto" w:before="5"/>
        <w:rPr>
          <w:rFonts w:ascii="宋体" w:hAnsi="宋体" w:cs="宋体" w:eastAsia="宋体" w:hint="default"/>
          <w:b/>
          <w:bCs/>
          <w:sz w:val="14"/>
          <w:szCs w:val="14"/>
        </w:rPr>
      </w:pPr>
    </w:p>
    <w:p>
      <w:pPr>
        <w:pStyle w:val="BodyText"/>
        <w:spacing w:line="273" w:lineRule="auto"/>
        <w:ind w:right="1128" w:firstLine="420"/>
        <w:jc w:val="both"/>
      </w:pPr>
      <w:r>
        <w:rPr/>
        <w:t>公司将继续依托强大的资源整合优势、专业的云服务技术能力和全国最大的</w:t>
      </w:r>
      <w:r>
        <w:rPr>
          <w:rFonts w:ascii="宋体" w:hAnsi="宋体" w:cs="宋体" w:eastAsia="宋体" w:hint="default"/>
        </w:rPr>
        <w:t>To</w:t>
      </w:r>
      <w:r>
        <w:rPr>
          <w:rFonts w:ascii="宋体" w:hAnsi="宋体" w:cs="宋体" w:eastAsia="宋体" w:hint="default"/>
          <w:spacing w:val="30"/>
        </w:rPr>
        <w:t> </w:t>
      </w:r>
      <w:r>
        <w:rPr>
          <w:rFonts w:ascii="宋体" w:hAnsi="宋体" w:cs="宋体" w:eastAsia="宋体" w:hint="default"/>
        </w:rPr>
        <w:t>B</w:t>
      </w:r>
      <w:r>
        <w:rPr/>
        <w:t>营销渠道网络，全力以赴推进云计算 和数字化转型战略落地，为此我们将聚焦以下几个方面的工作：</w:t>
      </w:r>
    </w:p>
    <w:p>
      <w:pPr>
        <w:spacing w:line="240" w:lineRule="auto" w:before="6"/>
        <w:rPr>
          <w:rFonts w:ascii="宋体" w:hAnsi="宋体" w:cs="宋体" w:eastAsia="宋体" w:hint="default"/>
          <w:sz w:val="12"/>
          <w:szCs w:val="12"/>
        </w:rPr>
      </w:pPr>
    </w:p>
    <w:p>
      <w:pPr>
        <w:pStyle w:val="BodyText"/>
        <w:spacing w:line="273" w:lineRule="auto"/>
        <w:ind w:right="1131" w:firstLine="360"/>
        <w:jc w:val="both"/>
      </w:pPr>
      <w:r>
        <w:rPr/>
        <w:t>（</w:t>
      </w:r>
      <w:r>
        <w:rPr>
          <w:rFonts w:ascii="宋体" w:hAnsi="宋体" w:cs="宋体" w:eastAsia="宋体" w:hint="default"/>
        </w:rPr>
        <w:t>1</w:t>
      </w:r>
      <w:r>
        <w:rPr/>
        <w:t>）积极拓宽业务领域。公司将全面加强在混合云和专有云领域的拓展，携手公有云巨头以混合云解决方案发力企业 </w:t>
      </w:r>
      <w:r>
        <w:rPr>
          <w:spacing w:val="-2"/>
        </w:rPr>
        <w:t>级市场，激发和助力更多行业客户的数字化转型，同时争取更多专有云项目在金融等行业的复制和落地，为云业务提供长期</w:t>
      </w:r>
      <w:r>
        <w:rPr>
          <w:spacing w:val="-66"/>
        </w:rPr>
        <w:t> </w:t>
      </w:r>
      <w:r>
        <w:rPr>
          <w:spacing w:val="-66"/>
        </w:rPr>
      </w:r>
      <w:r>
        <w:rPr/>
        <w:t>稳定支撑。</w:t>
      </w:r>
    </w:p>
    <w:p>
      <w:pPr>
        <w:spacing w:line="240" w:lineRule="auto" w:before="6"/>
        <w:rPr>
          <w:rFonts w:ascii="宋体" w:hAnsi="宋体" w:cs="宋体" w:eastAsia="宋体" w:hint="default"/>
          <w:sz w:val="12"/>
          <w:szCs w:val="12"/>
        </w:rPr>
      </w:pPr>
    </w:p>
    <w:p>
      <w:pPr>
        <w:pStyle w:val="BodyText"/>
        <w:spacing w:line="273" w:lineRule="auto"/>
        <w:ind w:right="1132" w:firstLine="420"/>
        <w:jc w:val="both"/>
      </w:pPr>
      <w:r>
        <w:rPr>
          <w:spacing w:val="-2"/>
        </w:rPr>
        <w:t>（</w:t>
      </w:r>
      <w:r>
        <w:rPr>
          <w:rFonts w:ascii="宋体" w:hAnsi="宋体" w:cs="宋体" w:eastAsia="宋体" w:hint="default"/>
          <w:spacing w:val="-2"/>
        </w:rPr>
        <w:t>2</w:t>
      </w:r>
      <w:r>
        <w:rPr>
          <w:spacing w:val="-2"/>
        </w:rPr>
        <w:t>）加强技术能力建设。继续加大研发投入力度，增厚技术和解决方案储备；充分发挥云角实验室在公司技术能力建</w:t>
      </w:r>
      <w:r>
        <w:rPr/>
        <w:t> </w:t>
      </w:r>
      <w:r>
        <w:rPr>
          <w:spacing w:val="-2"/>
        </w:rPr>
        <w:t>设中的重要作用，不断提升项目实施和交付能力；建立和加强云管理中台，加速知识、技术的沉淀和积累，提升技术能力复</w:t>
      </w:r>
      <w:r>
        <w:rPr>
          <w:spacing w:val="-66"/>
        </w:rPr>
        <w:t> </w:t>
      </w:r>
      <w:r>
        <w:rPr>
          <w:spacing w:val="-66"/>
        </w:rPr>
      </w:r>
      <w:r>
        <w:rPr/>
        <w:t>制效率。</w:t>
      </w:r>
    </w:p>
    <w:p>
      <w:pPr>
        <w:spacing w:line="240" w:lineRule="auto" w:before="7"/>
        <w:rPr>
          <w:rFonts w:ascii="宋体" w:hAnsi="宋体" w:cs="宋体" w:eastAsia="宋体" w:hint="default"/>
          <w:sz w:val="12"/>
          <w:szCs w:val="12"/>
        </w:rPr>
      </w:pPr>
    </w:p>
    <w:p>
      <w:pPr>
        <w:pStyle w:val="BodyText"/>
        <w:spacing w:line="273" w:lineRule="auto"/>
        <w:ind w:right="1132" w:firstLine="420"/>
        <w:jc w:val="both"/>
      </w:pPr>
      <w:r>
        <w:rPr>
          <w:spacing w:val="-1"/>
        </w:rPr>
        <w:t>（</w:t>
      </w:r>
      <w:r>
        <w:rPr>
          <w:rFonts w:ascii="宋体" w:hAnsi="宋体" w:cs="宋体" w:eastAsia="宋体" w:hint="default"/>
          <w:spacing w:val="-1"/>
        </w:rPr>
        <w:t>3</w:t>
      </w:r>
      <w:r>
        <w:rPr>
          <w:spacing w:val="-1"/>
        </w:rPr>
        <w:t>）全面壮大技术团队。一方面，以现有的</w:t>
      </w:r>
      <w:r>
        <w:rPr>
          <w:rFonts w:ascii="宋体" w:hAnsi="宋体" w:cs="宋体" w:eastAsia="宋体" w:hint="default"/>
          <w:spacing w:val="-1"/>
        </w:rPr>
        <w:t>1200</w:t>
      </w:r>
      <w:r>
        <w:rPr>
          <w:spacing w:val="-1"/>
        </w:rPr>
        <w:t>名技术人员为基础，建立云技术人员培养基地，通过有效的培训培养</w:t>
      </w:r>
      <w:r>
        <w:rPr/>
        <w:t> </w:t>
      </w:r>
      <w:r>
        <w:rPr>
          <w:spacing w:val="-2"/>
        </w:rPr>
        <w:t>机制，全面推进技术人员向云计算和数字化转型。另一方面，通过有效的激励机制，加速引入外部技术人才，进一步夯实公</w:t>
      </w:r>
      <w:r>
        <w:rPr>
          <w:spacing w:val="-66"/>
        </w:rPr>
        <w:t> </w:t>
      </w:r>
      <w:r>
        <w:rPr>
          <w:spacing w:val="-66"/>
        </w:rPr>
      </w:r>
      <w:r>
        <w:rPr/>
        <w:t>司技术团队。</w:t>
      </w:r>
    </w:p>
    <w:p>
      <w:pPr>
        <w:spacing w:line="240" w:lineRule="auto" w:before="7"/>
        <w:rPr>
          <w:rFonts w:ascii="宋体" w:hAnsi="宋体" w:cs="宋体" w:eastAsia="宋体" w:hint="default"/>
          <w:sz w:val="12"/>
          <w:szCs w:val="12"/>
        </w:rPr>
      </w:pPr>
    </w:p>
    <w:p>
      <w:pPr>
        <w:pStyle w:val="BodyText"/>
        <w:spacing w:line="273" w:lineRule="auto"/>
        <w:ind w:right="1130" w:firstLine="420"/>
        <w:jc w:val="both"/>
      </w:pPr>
      <w:r>
        <w:rPr>
          <w:spacing w:val="-1"/>
        </w:rPr>
        <w:t>（</w:t>
      </w:r>
      <w:r>
        <w:rPr>
          <w:rFonts w:ascii="宋体" w:hAnsi="宋体" w:cs="宋体" w:eastAsia="宋体" w:hint="default"/>
          <w:spacing w:val="-1"/>
        </w:rPr>
        <w:t>4</w:t>
      </w:r>
      <w:r>
        <w:rPr>
          <w:spacing w:val="-1"/>
        </w:rPr>
        <w:t>）进一步加强面向行业和客户的营销体系。公司将依托丰富的头部企业服务经验，以企业云管理服务和数字化解决</w:t>
      </w:r>
      <w:r>
        <w:rPr/>
        <w:t> </w:t>
      </w:r>
      <w:r>
        <w:rPr>
          <w:spacing w:val="-2"/>
        </w:rPr>
        <w:t>方案为抓手，充分整合公司内部的客户营销资源，从数量、广度和深度上不断加强与企业客户的紧密联系，成为客户数字化</w:t>
      </w:r>
      <w:r>
        <w:rPr>
          <w:spacing w:val="-66"/>
        </w:rPr>
        <w:t> </w:t>
      </w:r>
      <w:r>
        <w:rPr>
          <w:spacing w:val="-66"/>
        </w:rPr>
      </w:r>
      <w:r>
        <w:rPr/>
        <w:t>转型的战略合作伙伴。</w:t>
      </w:r>
    </w:p>
    <w:p>
      <w:pPr>
        <w:spacing w:line="240" w:lineRule="auto" w:before="7"/>
        <w:rPr>
          <w:rFonts w:ascii="宋体" w:hAnsi="宋体" w:cs="宋体" w:eastAsia="宋体" w:hint="default"/>
          <w:sz w:val="12"/>
          <w:szCs w:val="12"/>
        </w:rPr>
      </w:pPr>
    </w:p>
    <w:p>
      <w:pPr>
        <w:pStyle w:val="BodyText"/>
        <w:spacing w:line="273" w:lineRule="auto"/>
        <w:ind w:right="1132" w:firstLine="420"/>
        <w:jc w:val="both"/>
      </w:pPr>
      <w:r>
        <w:rPr>
          <w:spacing w:val="-2"/>
        </w:rPr>
        <w:t>（</w:t>
      </w:r>
      <w:r>
        <w:rPr>
          <w:rFonts w:ascii="宋体" w:hAnsi="宋体" w:cs="宋体" w:eastAsia="宋体" w:hint="default"/>
          <w:spacing w:val="-2"/>
        </w:rPr>
        <w:t>5</w:t>
      </w:r>
      <w:r>
        <w:rPr>
          <w:spacing w:val="-2"/>
        </w:rPr>
        <w:t>）构建全新云生态体系。在资源对接方面，公司将进一步深化与国内外云资源厂商的合作模式，探索云资源转售总</w:t>
      </w:r>
      <w:r>
        <w:rPr/>
        <w:t> </w:t>
      </w:r>
      <w:r>
        <w:rPr>
          <w:spacing w:val="-2"/>
        </w:rPr>
        <w:t>代新模式，积极对接新的云资源，加强公司在海量云资源对接上的竞争优势。同时，公司将积极推动传统营销渠道转型，通</w:t>
      </w:r>
      <w:r>
        <w:rPr>
          <w:spacing w:val="-66"/>
        </w:rPr>
        <w:t> </w:t>
      </w:r>
      <w:r>
        <w:rPr>
          <w:spacing w:val="-66"/>
        </w:rPr>
      </w:r>
      <w:r>
        <w:rPr/>
        <w:t>过资源赋能、技术赋能和服务赋能，助力渠道合作伙伴加速数字化转型。</w:t>
      </w:r>
    </w:p>
    <w:p>
      <w:pPr>
        <w:spacing w:line="240" w:lineRule="auto" w:before="7"/>
        <w:rPr>
          <w:rFonts w:ascii="宋体" w:hAnsi="宋体" w:cs="宋体" w:eastAsia="宋体" w:hint="default"/>
          <w:sz w:val="12"/>
          <w:szCs w:val="12"/>
        </w:rPr>
      </w:pPr>
    </w:p>
    <w:p>
      <w:pPr>
        <w:pStyle w:val="BodyText"/>
        <w:spacing w:line="259" w:lineRule="auto"/>
        <w:ind w:right="1129" w:firstLine="360"/>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年，公司将积极把握企业数字化转型不断深入带来的巨大发展机遇，全面调动技术、客户和渠道等优势资源，在 公司整体经营稳定健康增长的基础上，实现云服务和数字化转型业务的高速增长。</w:t>
      </w:r>
    </w:p>
    <w:p>
      <w:pPr>
        <w:spacing w:after="0" w:line="259" w:lineRule="auto"/>
        <w:jc w:val="both"/>
        <w:sectPr>
          <w:headerReference w:type="default" r:id="rId21"/>
          <w:footerReference w:type="default" r:id="rId22"/>
          <w:pgSz w:w="11910" w:h="16840"/>
          <w:pgMar w:header="877" w:footer="979" w:top="1100" w:bottom="1160" w:left="980" w:right="0"/>
          <w:pgNumType w:start="31"/>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5"/>
        <w:spacing w:line="240" w:lineRule="auto"/>
        <w:ind w:right="0"/>
        <w:jc w:val="left"/>
        <w:rPr>
          <w:b w:val="0"/>
          <w:bCs w:val="0"/>
        </w:rPr>
      </w:pPr>
      <w:r>
        <w:rPr/>
        <w:t>公司可能面对的风险：</w:t>
      </w:r>
      <w:r>
        <w:rPr>
          <w:b w:val="0"/>
          <w:bCs w:val="0"/>
        </w:rPr>
      </w:r>
    </w:p>
    <w:p>
      <w:pPr>
        <w:pStyle w:val="BodyText"/>
        <w:spacing w:line="259" w:lineRule="auto" w:before="152"/>
        <w:ind w:right="1133" w:firstLine="360"/>
        <w:jc w:val="both"/>
      </w:pPr>
      <w:r>
        <w:rPr>
          <w:rFonts w:ascii="宋体" w:hAnsi="宋体" w:cs="宋体" w:eastAsia="宋体" w:hint="default"/>
        </w:rPr>
        <w:t>1</w:t>
      </w:r>
      <w:r>
        <w:rPr/>
        <w:t>、</w:t>
      </w:r>
      <w:r>
        <w:rPr>
          <w:rFonts w:ascii="宋体" w:hAnsi="宋体" w:cs="宋体" w:eastAsia="宋体" w:hint="default"/>
          <w:b/>
          <w:bCs/>
        </w:rPr>
        <w:t>市场竞争风险。</w:t>
      </w:r>
      <w:r>
        <w:rPr>
          <w:rFonts w:ascii="Times New Roman" w:hAnsi="Times New Roman" w:cs="Times New Roman" w:eastAsia="Times New Roman" w:hint="default"/>
        </w:rPr>
        <w:t>IT</w:t>
      </w:r>
      <w:r>
        <w:rPr/>
        <w:t>产品和服务行业是成熟且完全竞争的行业，尽管公司具有在业内多年来一直保持的领先优势，但</w:t>
      </w:r>
      <w:r>
        <w:rPr>
          <w:w w:val="99"/>
        </w:rPr>
        <w:t> </w:t>
      </w:r>
      <w:r>
        <w:rPr/>
        <w:t>仍面临行业竞争加剧的风险。公司完成了组织架构调整，全面加强了精细化管理水平，进一步激发了业务动能</w:t>
      </w:r>
    </w:p>
    <w:p>
      <w:pPr>
        <w:pStyle w:val="BodyText"/>
        <w:spacing w:line="273" w:lineRule="auto" w:before="139"/>
        <w:ind w:right="1133" w:firstLine="360"/>
        <w:jc w:val="both"/>
      </w:pPr>
      <w:r>
        <w:rPr>
          <w:rFonts w:ascii="宋体" w:hAnsi="宋体" w:cs="宋体" w:eastAsia="宋体" w:hint="default"/>
        </w:rPr>
        <w:t>2</w:t>
      </w:r>
      <w:r>
        <w:rPr/>
        <w:t>、</w:t>
      </w:r>
      <w:r>
        <w:rPr>
          <w:rFonts w:ascii="宋体" w:hAnsi="宋体" w:cs="宋体" w:eastAsia="宋体" w:hint="default"/>
          <w:b/>
          <w:bCs/>
        </w:rPr>
        <w:t>汇率波动风险。</w:t>
      </w:r>
      <w:r>
        <w:rPr/>
        <w:t>公司的部分采购和销售业务在香港和澳门进行，以港币和澳门币结算；付给境外客户的采购款部分 </w:t>
      </w:r>
      <w:r>
        <w:rPr>
          <w:spacing w:val="-2"/>
        </w:rPr>
        <w:t>以美元进行结算。汇率波动可能会给公司业绩造成一定的风险。公司采用远期外汇合同来对冲汇率风险，日常对风险敞口及</w:t>
      </w:r>
      <w:r>
        <w:rPr>
          <w:spacing w:val="-66"/>
        </w:rPr>
        <w:t> </w:t>
      </w:r>
      <w:r>
        <w:rPr>
          <w:spacing w:val="-66"/>
        </w:rPr>
      </w:r>
      <w:r>
        <w:rPr/>
        <w:t>市场进行实时监控，及时调整对冲策略及对冲比例。</w:t>
      </w:r>
    </w:p>
    <w:p>
      <w:pPr>
        <w:pStyle w:val="BodyText"/>
        <w:spacing w:line="273" w:lineRule="auto" w:before="128"/>
        <w:ind w:right="1132" w:firstLine="360"/>
        <w:jc w:val="both"/>
      </w:pPr>
      <w:r>
        <w:rPr>
          <w:rFonts w:ascii="宋体" w:hAnsi="宋体" w:cs="宋体" w:eastAsia="宋体" w:hint="default"/>
        </w:rPr>
        <w:t>3</w:t>
      </w:r>
      <w:r>
        <w:rPr/>
        <w:t>、</w:t>
      </w:r>
      <w:r>
        <w:rPr>
          <w:rFonts w:ascii="宋体" w:hAnsi="宋体" w:cs="宋体" w:eastAsia="宋体" w:hint="default"/>
          <w:b/>
          <w:bCs/>
        </w:rPr>
        <w:t>应收账款管理风险。</w:t>
      </w:r>
      <w:r>
        <w:rPr/>
        <w:t>应收账款未能及时收回或部分客户发生信用违约，可能会对公司的业绩造成不良影响。公司拥 </w:t>
      </w:r>
      <w:r>
        <w:rPr>
          <w:spacing w:val="-2"/>
        </w:rPr>
        <w:t>有严格的信用管理和应收账款管理政策。在应收账款可能发生超期时，平台销售部门及风险管理部门将及时分析账款延期原</w:t>
      </w:r>
      <w:r>
        <w:rPr>
          <w:spacing w:val="-64"/>
        </w:rPr>
        <w:t> </w:t>
      </w:r>
      <w:r>
        <w:rPr>
          <w:spacing w:val="-64"/>
        </w:rPr>
      </w:r>
      <w:r>
        <w:rPr/>
        <w:t>因，并采取应对措施，减少预期带来的损失。对大额应收账款进行保险，进一步控制应收账款风险。</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十、接待调研、沟通、采访等活动情况" w:id="59"/>
      <w:bookmarkEnd w:id="59"/>
      <w:r>
        <w:rPr>
          <w:b w:val="0"/>
          <w:bCs w:val="0"/>
        </w:rPr>
      </w:r>
      <w:r>
        <w:rPr/>
        <w:t>十、接待调研、沟通、采访等活动情况</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right="0"/>
        <w:jc w:val="left"/>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2"/>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2178"/>
        <w:gridCol w:w="1538"/>
        <w:gridCol w:w="639"/>
        <w:gridCol w:w="2177"/>
        <w:gridCol w:w="3038"/>
      </w:tblGrid>
      <w:tr>
        <w:trPr>
          <w:trHeight w:val="323"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32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询问停牌事宜</w:t>
            </w:r>
          </w:p>
        </w:tc>
      </w:tr>
      <w:tr>
        <w:trPr>
          <w:trHeight w:val="323"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询问停牌事宜</w:t>
            </w:r>
          </w:p>
        </w:tc>
      </w:tr>
      <w:tr>
        <w:trPr>
          <w:trHeight w:val="557"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123"/>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巨潮资讯网神州数码集团股份有限公 司投资者关系活动记录表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20180330</w:t>
            </w:r>
          </w:p>
        </w:tc>
      </w:tr>
      <w:tr>
        <w:trPr>
          <w:trHeight w:val="32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了解业务最新进展</w:t>
            </w:r>
          </w:p>
        </w:tc>
      </w:tr>
      <w:tr>
        <w:trPr>
          <w:trHeight w:val="32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了解业务最新进展</w:t>
            </w:r>
          </w:p>
        </w:tc>
      </w:tr>
      <w:tr>
        <w:trPr>
          <w:trHeight w:val="323"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了解业务最新进展</w:t>
            </w:r>
          </w:p>
        </w:tc>
      </w:tr>
      <w:tr>
        <w:trPr>
          <w:trHeight w:val="32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了解业务最新进展</w:t>
            </w:r>
          </w:p>
        </w:tc>
      </w:tr>
      <w:tr>
        <w:trPr>
          <w:trHeight w:val="323"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询问启行交易进展</w:t>
            </w:r>
          </w:p>
        </w:tc>
      </w:tr>
      <w:tr>
        <w:trPr>
          <w:trHeight w:val="32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了解公司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年上半年业绩情况</w:t>
            </w:r>
          </w:p>
        </w:tc>
      </w:tr>
      <w:tr>
        <w:trPr>
          <w:trHeight w:val="323"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了解公司数字化转型战略进展</w:t>
            </w:r>
          </w:p>
        </w:tc>
      </w:tr>
      <w:tr>
        <w:trPr>
          <w:trHeight w:val="557"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3" w:right="123"/>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巨潮资讯网神州数码集团股份有限公 司投资者关系活动记录表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20180926</w:t>
            </w:r>
          </w:p>
        </w:tc>
      </w:tr>
      <w:tr>
        <w:trPr>
          <w:trHeight w:val="32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了解业务最新进展</w:t>
            </w:r>
          </w:p>
        </w:tc>
      </w:tr>
      <w:tr>
        <w:trPr>
          <w:trHeight w:val="323"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了解业务最新进展</w:t>
            </w:r>
          </w:p>
        </w:tc>
      </w:tr>
      <w:tr>
        <w:trPr>
          <w:trHeight w:val="32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询问云角是否收到科创板表格</w:t>
            </w:r>
          </w:p>
        </w:tc>
      </w:tr>
      <w:tr>
        <w:trPr>
          <w:trHeight w:val="323"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了解业务最新进展</w:t>
            </w:r>
          </w:p>
        </w:tc>
      </w:tr>
      <w:tr>
        <w:trPr>
          <w:trHeight w:val="32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了解业务最新进展</w:t>
            </w:r>
          </w:p>
        </w:tc>
      </w:tr>
      <w:tr>
        <w:trPr>
          <w:trHeight w:val="323"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了解业务最新进展</w:t>
            </w:r>
          </w:p>
        </w:tc>
      </w:tr>
      <w:tr>
        <w:trPr>
          <w:trHeight w:val="324"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接待次数</w:t>
            </w:r>
          </w:p>
        </w:tc>
        <w:tc>
          <w:tcPr>
            <w:tcW w:w="5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17</w:t>
            </w:r>
          </w:p>
        </w:tc>
      </w:tr>
      <w:tr>
        <w:trPr>
          <w:trHeight w:val="323"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接待机构数量</w:t>
            </w:r>
          </w:p>
        </w:tc>
        <w:tc>
          <w:tcPr>
            <w:tcW w:w="5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136</w:t>
            </w:r>
          </w:p>
        </w:tc>
      </w:tr>
      <w:tr>
        <w:trPr>
          <w:trHeight w:val="323"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接待个人数量</w:t>
            </w:r>
          </w:p>
        </w:tc>
        <w:tc>
          <w:tcPr>
            <w:tcW w:w="5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w:t>
            </w:r>
          </w:p>
        </w:tc>
      </w:tr>
      <w:tr>
        <w:trPr>
          <w:trHeight w:val="324"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接待其他对象数量</w:t>
            </w:r>
          </w:p>
        </w:tc>
        <w:tc>
          <w:tcPr>
            <w:tcW w:w="5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是否披露、透露或泄露未公开重大信息</w:t>
            </w:r>
          </w:p>
        </w:tc>
        <w:tc>
          <w:tcPr>
            <w:tcW w:w="5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Heading1"/>
        <w:spacing w:line="240" w:lineRule="auto"/>
        <w:ind w:right="4729"/>
        <w:jc w:val="center"/>
        <w:rPr>
          <w:b w:val="0"/>
          <w:bCs w:val="0"/>
        </w:rPr>
      </w:pPr>
      <w:bookmarkStart w:name="第五节 重要事项" w:id="61"/>
      <w:bookmarkEnd w:id="61"/>
      <w:r>
        <w:rPr>
          <w:b w:val="0"/>
          <w:bCs w:val="0"/>
        </w:rPr>
      </w:r>
      <w:bookmarkStart w:name="_bookmark3" w:id="62"/>
      <w:bookmarkEnd w:id="62"/>
      <w:r>
        <w:rPr>
          <w:b w:val="0"/>
          <w:bCs w:val="0"/>
        </w:rPr>
      </w:r>
      <w:r>
        <w:rPr/>
        <w:t>第五节</w:t>
      </w:r>
      <w:r>
        <w:rPr>
          <w:spacing w:val="-5"/>
        </w:rPr>
        <w:t> </w:t>
      </w:r>
      <w:r>
        <w:rPr/>
        <w:t>重要事项</w:t>
      </w:r>
      <w:r>
        <w:rPr>
          <w:b w:val="0"/>
          <w:bCs w:val="0"/>
        </w:rPr>
      </w:r>
    </w:p>
    <w:p>
      <w:pPr>
        <w:spacing w:line="240" w:lineRule="auto" w:before="0"/>
        <w:rPr>
          <w:rFonts w:ascii="宋体" w:hAnsi="宋体" w:cs="宋体" w:eastAsia="宋体" w:hint="default"/>
          <w:b/>
          <w:bCs/>
          <w:sz w:val="32"/>
          <w:szCs w:val="32"/>
        </w:rPr>
      </w:pPr>
    </w:p>
    <w:p>
      <w:pPr>
        <w:pStyle w:val="Heading2"/>
        <w:spacing w:line="240" w:lineRule="auto" w:before="232"/>
        <w:ind w:right="0"/>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right="0"/>
        <w:jc w:val="left"/>
      </w:pPr>
      <w:r>
        <w:rPr/>
        <w:t>报告期内普通股利润分配政策，特别是现金分红政策的制定、执行或调整情况</w:t>
      </w:r>
    </w:p>
    <w:p>
      <w:pPr>
        <w:pStyle w:val="BodyText"/>
        <w:spacing w:line="261" w:lineRule="auto" w:before="38"/>
        <w:ind w:left="444" w:right="1192" w:hanging="2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日召开的第八届董事会第二十六次会议和</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12</w:t>
      </w:r>
      <w:r>
        <w:rPr/>
        <w:t>日召开的</w:t>
      </w:r>
      <w:r>
        <w:rPr>
          <w:rFonts w:ascii="Times New Roman" w:hAnsi="Times New Roman" w:cs="Times New Roman" w:eastAsia="Times New Roman" w:hint="default"/>
        </w:rPr>
        <w:t>2018</w:t>
      </w:r>
      <w:r>
        <w:rPr/>
        <w:t>年第一次临时股东大会审议通过</w:t>
      </w:r>
    </w:p>
    <w:p>
      <w:pPr>
        <w:pStyle w:val="BodyText"/>
        <w:spacing w:line="259" w:lineRule="auto" w:before="1"/>
        <w:ind w:left="514" w:right="0" w:hanging="360"/>
        <w:jc w:val="left"/>
      </w:pPr>
      <w:r>
        <w:rPr/>
        <w:t>了《关于</w:t>
      </w:r>
      <w:r>
        <w:rPr>
          <w:rFonts w:ascii="Times New Roman" w:hAnsi="Times New Roman" w:cs="Times New Roman" w:eastAsia="Times New Roman" w:hint="default"/>
        </w:rPr>
        <w:t>&lt;</w:t>
      </w:r>
      <w:r>
        <w:rPr/>
        <w:t>未来三年（</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-2020</w:t>
      </w:r>
      <w:r>
        <w:rPr/>
        <w:t>年）股东回报规划</w:t>
      </w:r>
      <w:r>
        <w:rPr>
          <w:rFonts w:ascii="Times New Roman" w:hAnsi="Times New Roman" w:cs="Times New Roman" w:eastAsia="Times New Roman" w:hint="default"/>
        </w:rPr>
        <w:t>&gt;</w:t>
      </w:r>
      <w:r>
        <w:rPr/>
        <w:t>的议案》，在制定过程中独立董事发表了意见。 </w:t>
      </w:r>
      <w:r>
        <w:rPr>
          <w:spacing w:val="-2"/>
        </w:rPr>
        <w:t>利润分配政策明确了分红标准和分红比例，符合各项规范性文件和《公司章程》的相关规定，能够充分保护中小投资者</w:t>
      </w:r>
    </w:p>
    <w:p>
      <w:pPr>
        <w:pStyle w:val="BodyText"/>
        <w:spacing w:line="240" w:lineRule="auto" w:before="19"/>
        <w:ind w:right="0"/>
        <w:jc w:val="left"/>
      </w:pPr>
      <w:r>
        <w:rPr/>
        <w:t>的合法权益。公司将严格按照《公司章程》和《股东回报规划》的相关要求进行利润分配。</w:t>
      </w:r>
    </w:p>
    <w:p>
      <w:pPr>
        <w:spacing w:line="240" w:lineRule="auto" w:before="8"/>
        <w:rPr>
          <w:rFonts w:ascii="宋体" w:hAnsi="宋体" w:cs="宋体" w:eastAsia="宋体" w:hint="default"/>
          <w:sz w:val="20"/>
          <w:szCs w:val="20"/>
        </w:rPr>
      </w:pPr>
    </w:p>
    <w:tbl>
      <w:tblPr>
        <w:tblW w:w="0" w:type="auto"/>
        <w:jc w:val="left"/>
        <w:tblInd w:w="160" w:type="dxa"/>
        <w:tblLayout w:type="fixed"/>
        <w:tblCellMar>
          <w:top w:w="0" w:type="dxa"/>
          <w:left w:w="0" w:type="dxa"/>
          <w:bottom w:w="0" w:type="dxa"/>
          <w:right w:w="0" w:type="dxa"/>
        </w:tblCellMar>
        <w:tblLook w:val="01E0"/>
      </w:tblPr>
      <w:tblGrid>
        <w:gridCol w:w="6749"/>
        <w:gridCol w:w="2808"/>
      </w:tblGrid>
      <w:tr>
        <w:trPr>
          <w:trHeight w:val="323"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323" w:hRule="exact"/>
        </w:trPr>
        <w:tc>
          <w:tcPr>
            <w:tcW w:w="6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28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6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28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6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28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6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28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6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28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6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28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11"/>
        <w:ind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259" w:lineRule="auto" w:before="58"/>
        <w:ind w:right="1122" w:firstLine="360"/>
        <w:jc w:val="left"/>
      </w:pPr>
      <w:r>
        <w:rPr>
          <w:rFonts w:ascii="Times New Roman" w:hAnsi="Times New Roman" w:cs="Times New Roman" w:eastAsia="Times New Roman" w:hint="default"/>
        </w:rPr>
        <w:t>2018</w:t>
      </w:r>
      <w:r>
        <w:rPr/>
        <w:t>年利润分配预案：以</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日的总股本</w:t>
      </w:r>
      <w:r>
        <w:rPr>
          <w:rFonts w:ascii="宋体" w:hAnsi="宋体" w:cs="宋体" w:eastAsia="宋体" w:hint="default"/>
        </w:rPr>
        <w:t>654,070,434</w:t>
      </w:r>
      <w:r>
        <w:rPr/>
        <w:t>股扣除回购股份数</w:t>
      </w:r>
      <w:r>
        <w:rPr>
          <w:rFonts w:ascii="宋体" w:hAnsi="宋体" w:cs="宋体" w:eastAsia="宋体" w:hint="default"/>
        </w:rPr>
        <w:t>4,518,085</w:t>
      </w:r>
      <w:r>
        <w:rPr/>
        <w:t>股后的</w:t>
      </w:r>
      <w:r>
        <w:rPr>
          <w:rFonts w:ascii="宋体" w:hAnsi="宋体" w:cs="宋体" w:eastAsia="宋体" w:hint="default"/>
        </w:rPr>
        <w:t>649,552,349</w:t>
      </w:r>
      <w:r>
        <w:rPr/>
        <w:t>股为基 数，向全体股东每</w:t>
      </w:r>
      <w:r>
        <w:rPr>
          <w:rFonts w:ascii="宋体" w:hAnsi="宋体" w:cs="宋体" w:eastAsia="宋体" w:hint="default"/>
        </w:rPr>
        <w:t>10</w:t>
      </w:r>
      <w:r>
        <w:rPr/>
        <w:t>股派发现金红利</w:t>
      </w:r>
      <w:r>
        <w:rPr>
          <w:rFonts w:ascii="宋体" w:hAnsi="宋体" w:cs="宋体" w:eastAsia="宋体" w:hint="default"/>
        </w:rPr>
        <w:t>2.53</w:t>
      </w:r>
      <w:r>
        <w:rPr/>
        <w:t>元（含税），共派发现金红利</w:t>
      </w:r>
      <w:r>
        <w:rPr>
          <w:rFonts w:ascii="Times New Roman" w:hAnsi="Times New Roman" w:cs="Times New Roman" w:eastAsia="Times New Roman" w:hint="default"/>
        </w:rPr>
        <w:t>164,336,744.30</w:t>
      </w:r>
      <w:r>
        <w:rPr/>
        <w:t>元。</w:t>
      </w:r>
    </w:p>
    <w:p>
      <w:pPr>
        <w:pStyle w:val="BodyText"/>
        <w:spacing w:line="256" w:lineRule="auto" w:before="4"/>
        <w:ind w:right="0" w:firstLine="360"/>
        <w:jc w:val="left"/>
      </w:pPr>
      <w:r>
        <w:rPr>
          <w:rFonts w:ascii="Times New Roman" w:hAnsi="Times New Roman" w:cs="Times New Roman" w:eastAsia="Times New Roman" w:hint="default"/>
          <w:spacing w:val="-1"/>
        </w:rPr>
        <w:t>2017</w:t>
      </w:r>
      <w:r>
        <w:rPr>
          <w:spacing w:val="-1"/>
        </w:rPr>
        <w:t>年利润分配方案：以公司</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日的总股本</w:t>
      </w:r>
      <w:r>
        <w:rPr>
          <w:rFonts w:ascii="Times New Roman" w:hAnsi="Times New Roman" w:cs="Times New Roman" w:eastAsia="Times New Roman" w:hint="default"/>
          <w:spacing w:val="-1"/>
        </w:rPr>
        <w:t>654,070,434</w:t>
      </w:r>
      <w:r>
        <w:rPr>
          <w:spacing w:val="-1"/>
        </w:rPr>
        <w:t>为基数，向全体股东每</w:t>
      </w:r>
      <w:r>
        <w:rPr>
          <w:rFonts w:ascii="Times New Roman" w:hAnsi="Times New Roman" w:cs="Times New Roman" w:eastAsia="Times New Roman" w:hint="default"/>
          <w:spacing w:val="-1"/>
        </w:rPr>
        <w:t>10</w:t>
      </w:r>
      <w:r>
        <w:rPr>
          <w:spacing w:val="-1"/>
        </w:rPr>
        <w:t>股派发现金红利</w:t>
      </w:r>
      <w:r>
        <w:rPr>
          <w:rFonts w:ascii="Times New Roman" w:hAnsi="Times New Roman" w:cs="Times New Roman" w:eastAsia="Times New Roman" w:hint="default"/>
          <w:spacing w:val="-1"/>
        </w:rPr>
        <w:t>0.38</w:t>
      </w:r>
      <w:r>
        <w:rPr>
          <w:spacing w:val="-1"/>
        </w:rPr>
        <w:t>元（含</w:t>
      </w:r>
      <w:r>
        <w:rPr/>
        <w:t> 税），共派发现金红利</w:t>
      </w:r>
      <w:r>
        <w:rPr>
          <w:rFonts w:ascii="Times New Roman" w:hAnsi="Times New Roman" w:cs="Times New Roman" w:eastAsia="Times New Roman" w:hint="default"/>
        </w:rPr>
        <w:t>24,854,660.08</w:t>
      </w:r>
      <w:r>
        <w:rPr/>
        <w:t>元。</w:t>
      </w:r>
    </w:p>
    <w:p>
      <w:pPr>
        <w:pStyle w:val="BodyText"/>
        <w:spacing w:line="240" w:lineRule="auto" w:before="5"/>
        <w:ind w:left="514" w:right="0"/>
        <w:jc w:val="left"/>
      </w:pPr>
      <w:r>
        <w:rPr>
          <w:rFonts w:ascii="Times New Roman" w:hAnsi="Times New Roman" w:cs="Times New Roman" w:eastAsia="Times New Roman" w:hint="default"/>
        </w:rPr>
        <w:t>2016</w:t>
      </w:r>
      <w:r>
        <w:rPr/>
        <w:t>年利润分配方案：公司</w:t>
      </w:r>
      <w:r>
        <w:rPr>
          <w:rFonts w:ascii="Times New Roman" w:hAnsi="Times New Roman" w:cs="Times New Roman" w:eastAsia="Times New Roman" w:hint="default"/>
        </w:rPr>
        <w:t>2016</w:t>
      </w:r>
      <w:r>
        <w:rPr/>
        <w:t>年度不进行利润分配。</w:t>
      </w:r>
    </w:p>
    <w:p>
      <w:pPr>
        <w:spacing w:line="240" w:lineRule="auto" w:before="13"/>
        <w:rPr>
          <w:rFonts w:ascii="宋体" w:hAnsi="宋体" w:cs="宋体" w:eastAsia="宋体" w:hint="default"/>
          <w:sz w:val="16"/>
          <w:szCs w:val="16"/>
        </w:rPr>
      </w:pPr>
    </w:p>
    <w:p>
      <w:pPr>
        <w:pStyle w:val="BodyText"/>
        <w:spacing w:line="240" w:lineRule="auto" w:before="44"/>
        <w:ind w:right="0"/>
        <w:jc w:val="left"/>
      </w:pPr>
      <w:r>
        <w:rPr/>
        <w:t>公司近三年（包括本报告期）普通股现金分红情况表</w:t>
      </w:r>
    </w:p>
    <w:p>
      <w:pPr>
        <w:pStyle w:val="BodyText"/>
        <w:spacing w:line="240" w:lineRule="auto" w:before="37"/>
        <w:ind w:left="0" w:right="1130"/>
        <w:jc w:val="right"/>
      </w:pPr>
      <w:r>
        <w:rPr/>
        <w:t>单位：元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208"/>
        <w:gridCol w:w="1172"/>
      </w:tblGrid>
      <w:tr>
        <w:trPr>
          <w:trHeight w:val="122" w:hRule="exact"/>
        </w:trPr>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4" w:type="dxa"/>
            <w:vMerge w:val="restart"/>
            <w:tcBorders>
              <w:top w:val="single" w:sz="4" w:space="0" w:color="000000"/>
              <w:left w:val="single" w:sz="4" w:space="0" w:color="000000"/>
              <w:right w:val="single" w:sz="4" w:space="0" w:color="FFFFFF"/>
            </w:tcBorders>
            <w:shd w:val="clear" w:color="auto" w:fill="D2D2D2"/>
          </w:tcPr>
          <w:p>
            <w:pPr/>
          </w:p>
        </w:tc>
        <w:tc>
          <w:tcPr>
            <w:tcW w:w="1196" w:type="dxa"/>
            <w:vMerge w:val="restart"/>
            <w:tcBorders>
              <w:top w:val="single" w:sz="4" w:space="0" w:color="000000"/>
              <w:left w:val="single" w:sz="4" w:space="0" w:color="FFFFFF"/>
              <w:right w:val="single" w:sz="4" w:space="0" w:color="000000"/>
            </w:tcBorders>
            <w:shd w:val="clear" w:color="auto" w:fill="D2D2D2"/>
          </w:tcPr>
          <w:p>
            <w:pPr/>
          </w:p>
        </w:tc>
        <w:tc>
          <w:tcPr>
            <w:tcW w:w="11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172" w:type="dxa"/>
            <w:vMerge w:val="restart"/>
            <w:tcBorders>
              <w:top w:val="single" w:sz="4" w:space="0" w:color="000000"/>
              <w:left w:val="single" w:sz="4" w:space="0" w:color="000000"/>
              <w:right w:val="single" w:sz="4" w:space="0" w:color="000000"/>
            </w:tcBorders>
            <w:shd w:val="clear" w:color="auto" w:fill="D2D2D2"/>
          </w:tcPr>
          <w:p>
            <w:pPr>
              <w:pStyle w:val="TableParagraph"/>
              <w:spacing w:line="234" w:lineRule="exact" w:before="10"/>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237" w:lineRule="auto"/>
              <w:ind w:left="41" w:right="39"/>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1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FFFFFF"/>
            </w:tcBorders>
            <w:shd w:val="clear" w:color="auto" w:fill="D2D2D2"/>
          </w:tcPr>
          <w:p>
            <w:pPr/>
          </w:p>
        </w:tc>
        <w:tc>
          <w:tcPr>
            <w:tcW w:w="1196" w:type="dxa"/>
            <w:vMerge/>
            <w:tcBorders>
              <w:left w:val="single" w:sz="4" w:space="0" w:color="FFFFFF"/>
              <w:bottom w:val="nil" w:sz="6" w:space="0" w:color="auto"/>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237" w:lineRule="auto" w:before="11"/>
              <w:ind w:left="52" w:right="52"/>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5"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237" w:lineRule="auto" w:before="11"/>
              <w:ind w:left="53" w:right="51"/>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8" w:type="dxa"/>
            <w:vMerge/>
            <w:tcBorders>
              <w:left w:val="single" w:sz="4" w:space="0" w:color="000000"/>
              <w:right w:val="single" w:sz="4" w:space="0" w:color="000000"/>
            </w:tcBorders>
            <w:shd w:val="clear" w:color="auto" w:fill="D2D2D2"/>
          </w:tcPr>
          <w:p>
            <w:pPr/>
          </w:p>
        </w:tc>
        <w:tc>
          <w:tcPr>
            <w:tcW w:w="1172" w:type="dxa"/>
            <w:vMerge/>
            <w:tcBorders>
              <w:left w:val="single" w:sz="4" w:space="0" w:color="000000"/>
              <w:right w:val="single" w:sz="4" w:space="0" w:color="000000"/>
            </w:tcBorders>
            <w:shd w:val="clear" w:color="auto" w:fill="D2D2D2"/>
          </w:tcPr>
          <w:p>
            <w:pPr/>
          </w:p>
        </w:tc>
      </w:tr>
      <w:tr>
        <w:trPr>
          <w:trHeight w:val="11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FFFFFF"/>
            </w:tcBorders>
            <w:shd w:val="clear" w:color="auto" w:fill="D2D2D2"/>
          </w:tcPr>
          <w:p>
            <w:pPr/>
          </w:p>
        </w:tc>
        <w:tc>
          <w:tcPr>
            <w:tcW w:w="1196" w:type="dxa"/>
            <w:vMerge w:val="restart"/>
            <w:tcBorders>
              <w:top w:val="nil" w:sz="6" w:space="0" w:color="auto"/>
              <w:left w:val="single" w:sz="4" w:space="0" w:color="FFFFFF"/>
              <w:right w:val="single" w:sz="4" w:space="0" w:color="000000"/>
            </w:tcBorders>
            <w:shd w:val="clear" w:color="auto" w:fill="D2D2D2"/>
          </w:tcPr>
          <w:p>
            <w:pPr>
              <w:pStyle w:val="TableParagraph"/>
              <w:spacing w:line="237" w:lineRule="auto" w:before="11"/>
              <w:ind w:left="53"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72" w:type="dxa"/>
            <w:vMerge/>
            <w:tcBorders>
              <w:left w:val="single" w:sz="4" w:space="0" w:color="000000"/>
              <w:right w:val="single" w:sz="4" w:space="0" w:color="000000"/>
            </w:tcBorders>
            <w:shd w:val="clear" w:color="auto" w:fill="D2D2D2"/>
          </w:tcPr>
          <w:p>
            <w:pPr/>
          </w:p>
        </w:tc>
      </w:tr>
      <w:tr>
        <w:trPr>
          <w:trHeight w:val="118"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FFFFFF"/>
            </w:tcBorders>
            <w:shd w:val="clear" w:color="auto" w:fill="D2D2D2"/>
          </w:tcPr>
          <w:p>
            <w:pPr/>
          </w:p>
        </w:tc>
        <w:tc>
          <w:tcPr>
            <w:tcW w:w="1196" w:type="dxa"/>
            <w:vMerge/>
            <w:tcBorders>
              <w:left w:val="single" w:sz="4" w:space="0" w:color="FFFFFF"/>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35" w:lineRule="exact" w:before="9"/>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237" w:lineRule="auto" w:before="1"/>
              <w:ind w:left="52" w:right="50"/>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7"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72" w:type="dxa"/>
            <w:vMerge/>
            <w:tcBorders>
              <w:left w:val="single" w:sz="4" w:space="0" w:color="000000"/>
              <w:right w:val="single" w:sz="4" w:space="0" w:color="000000"/>
            </w:tcBorders>
            <w:shd w:val="clear" w:color="auto" w:fill="D2D2D2"/>
          </w:tcPr>
          <w:p>
            <w:pPr/>
          </w:p>
        </w:tc>
      </w:tr>
      <w:tr>
        <w:trPr>
          <w:trHeight w:val="11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FFFFFF"/>
            </w:tcBorders>
            <w:shd w:val="clear" w:color="auto" w:fill="D2D2D2"/>
          </w:tcPr>
          <w:p>
            <w:pPr/>
          </w:p>
        </w:tc>
        <w:tc>
          <w:tcPr>
            <w:tcW w:w="1196" w:type="dxa"/>
            <w:vMerge/>
            <w:tcBorders>
              <w:left w:val="single" w:sz="4" w:space="0" w:color="FFFFFF"/>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35" w:lineRule="exact" w:before="9"/>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232" w:lineRule="exact" w:before="24"/>
              <w:ind w:left="412" w:right="153"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72" w:type="dxa"/>
            <w:vMerge/>
            <w:tcBorders>
              <w:left w:val="single" w:sz="4" w:space="0" w:color="000000"/>
              <w:right w:val="single" w:sz="4" w:space="0" w:color="000000"/>
            </w:tcBorders>
            <w:shd w:val="clear" w:color="auto" w:fill="D2D2D2"/>
          </w:tcPr>
          <w:p>
            <w:pPr/>
          </w:p>
        </w:tc>
      </w:tr>
      <w:tr>
        <w:trPr>
          <w:trHeight w:val="116" w:hRule="exact"/>
        </w:trPr>
        <w:tc>
          <w:tcPr>
            <w:tcW w:w="1198" w:type="dxa"/>
            <w:vMerge/>
            <w:tcBorders>
              <w:left w:val="single" w:sz="4" w:space="0" w:color="000000"/>
              <w:bottom w:val="nil" w:sz="6" w:space="0" w:color="auto"/>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FFFFFF"/>
            </w:tcBorders>
            <w:shd w:val="clear" w:color="auto" w:fill="D2D2D2"/>
          </w:tcPr>
          <w:p>
            <w:pPr>
              <w:pStyle w:val="TableParagraph"/>
              <w:spacing w:line="235" w:lineRule="exact" w:before="9"/>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FFFFFF"/>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72" w:type="dxa"/>
            <w:vMerge/>
            <w:tcBorders>
              <w:left w:val="single" w:sz="4" w:space="0" w:color="000000"/>
              <w:right w:val="single" w:sz="4" w:space="0" w:color="000000"/>
            </w:tcBorders>
            <w:shd w:val="clear" w:color="auto" w:fill="D2D2D2"/>
          </w:tcPr>
          <w:p>
            <w:pPr/>
          </w:p>
        </w:tc>
      </w:tr>
      <w:tr>
        <w:trPr>
          <w:trHeight w:val="313"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4" w:type="dxa"/>
            <w:vMerge/>
            <w:tcBorders>
              <w:left w:val="single" w:sz="4" w:space="0" w:color="000000"/>
              <w:right w:val="single" w:sz="4" w:space="0" w:color="FFFFFF"/>
            </w:tcBorders>
            <w:shd w:val="clear" w:color="auto" w:fill="D2D2D2"/>
          </w:tcPr>
          <w:p>
            <w:pPr/>
          </w:p>
        </w:tc>
        <w:tc>
          <w:tcPr>
            <w:tcW w:w="1196" w:type="dxa"/>
            <w:vMerge/>
            <w:tcBorders>
              <w:left w:val="single" w:sz="4" w:space="0" w:color="FFFFFF"/>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72" w:type="dxa"/>
            <w:vMerge/>
            <w:tcBorders>
              <w:left w:val="single" w:sz="4" w:space="0" w:color="000000"/>
              <w:right w:val="single" w:sz="4" w:space="0" w:color="000000"/>
            </w:tcBorders>
            <w:shd w:val="clear" w:color="auto" w:fill="D2D2D2"/>
          </w:tcPr>
          <w:p>
            <w:pPr/>
          </w:p>
        </w:tc>
      </w:tr>
      <w:tr>
        <w:trPr>
          <w:trHeight w:val="118" w:hRule="exact"/>
        </w:trPr>
        <w:tc>
          <w:tcPr>
            <w:tcW w:w="1198" w:type="dxa"/>
            <w:vMerge w:val="restart"/>
            <w:tcBorders>
              <w:top w:val="nil" w:sz="6" w:space="0" w:color="auto"/>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FFFFFF"/>
            </w:tcBorders>
            <w:shd w:val="clear" w:color="auto" w:fill="D2D2D2"/>
          </w:tcPr>
          <w:p>
            <w:pPr/>
          </w:p>
        </w:tc>
        <w:tc>
          <w:tcPr>
            <w:tcW w:w="1196" w:type="dxa"/>
            <w:vMerge/>
            <w:tcBorders>
              <w:left w:val="single" w:sz="4" w:space="0" w:color="FFFFFF"/>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72" w:type="dxa"/>
            <w:vMerge/>
            <w:tcBorders>
              <w:left w:val="single" w:sz="4" w:space="0" w:color="000000"/>
              <w:right w:val="single" w:sz="4" w:space="0" w:color="000000"/>
            </w:tcBorders>
            <w:shd w:val="clear" w:color="auto" w:fill="D2D2D2"/>
          </w:tcPr>
          <w:p>
            <w:pPr/>
          </w:p>
        </w:tc>
      </w:tr>
      <w:tr>
        <w:trPr>
          <w:trHeight w:val="116" w:hRule="exact"/>
        </w:trPr>
        <w:tc>
          <w:tcPr>
            <w:tcW w:w="1198" w:type="dxa"/>
            <w:vMerge/>
            <w:tcBorders>
              <w:left w:val="single" w:sz="4" w:space="0" w:color="000000"/>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FFFFFF"/>
            </w:tcBorders>
            <w:shd w:val="clear" w:color="auto" w:fill="D2D2D2"/>
          </w:tcPr>
          <w:p>
            <w:pPr/>
          </w:p>
        </w:tc>
        <w:tc>
          <w:tcPr>
            <w:tcW w:w="1196" w:type="dxa"/>
            <w:vMerge/>
            <w:tcBorders>
              <w:left w:val="single" w:sz="4" w:space="0" w:color="FFFFFF"/>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72" w:type="dxa"/>
            <w:vMerge/>
            <w:tcBorders>
              <w:left w:val="single" w:sz="4" w:space="0" w:color="000000"/>
              <w:right w:val="single" w:sz="4" w:space="0" w:color="000000"/>
            </w:tcBorders>
            <w:shd w:val="clear" w:color="auto" w:fill="D2D2D2"/>
          </w:tcPr>
          <w:p>
            <w:pPr/>
          </w:p>
        </w:tc>
      </w:tr>
      <w:tr>
        <w:trPr>
          <w:trHeight w:val="11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FFFFFF"/>
            </w:tcBorders>
            <w:shd w:val="clear" w:color="auto" w:fill="D2D2D2"/>
          </w:tcPr>
          <w:p>
            <w:pPr/>
          </w:p>
        </w:tc>
        <w:tc>
          <w:tcPr>
            <w:tcW w:w="1196" w:type="dxa"/>
            <w:vMerge/>
            <w:tcBorders>
              <w:left w:val="single" w:sz="4" w:space="0" w:color="FFFFFF"/>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
        </w:tc>
        <w:tc>
          <w:tcPr>
            <w:tcW w:w="1172" w:type="dxa"/>
            <w:vMerge/>
            <w:tcBorders>
              <w:left w:val="single" w:sz="4" w:space="0" w:color="000000"/>
              <w:right w:val="single" w:sz="4" w:space="0" w:color="000000"/>
            </w:tcBorders>
            <w:shd w:val="clear" w:color="auto" w:fill="D2D2D2"/>
          </w:tcPr>
          <w:p>
            <w:pPr/>
          </w:p>
        </w:tc>
      </w:tr>
      <w:tr>
        <w:trPr>
          <w:trHeight w:val="11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FFFFFF"/>
            </w:tcBorders>
            <w:shd w:val="clear" w:color="auto" w:fill="D2D2D2"/>
          </w:tcPr>
          <w:p>
            <w:pPr/>
          </w:p>
        </w:tc>
        <w:tc>
          <w:tcPr>
            <w:tcW w:w="1196" w:type="dxa"/>
            <w:vMerge/>
            <w:tcBorders>
              <w:left w:val="single" w:sz="4" w:space="0" w:color="FFFFFF"/>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72" w:type="dxa"/>
            <w:vMerge/>
            <w:tcBorders>
              <w:left w:val="single" w:sz="4" w:space="0" w:color="000000"/>
              <w:right w:val="single" w:sz="4" w:space="0" w:color="000000"/>
            </w:tcBorders>
            <w:shd w:val="clear" w:color="auto" w:fill="D2D2D2"/>
          </w:tcPr>
          <w:p>
            <w:pPr/>
          </w:p>
        </w:tc>
      </w:tr>
      <w:tr>
        <w:trPr>
          <w:trHeight w:val="239" w:hRule="exact"/>
        </w:trPr>
        <w:tc>
          <w:tcPr>
            <w:tcW w:w="1198" w:type="dxa"/>
            <w:vMerge/>
            <w:tcBorders>
              <w:left w:val="single" w:sz="4" w:space="0" w:color="000000"/>
              <w:bottom w:val="single" w:sz="4" w:space="0" w:color="000000"/>
              <w:right w:val="single" w:sz="4" w:space="0" w:color="000000"/>
            </w:tcBorders>
            <w:shd w:val="clear" w:color="auto" w:fill="D2D2D2"/>
          </w:tcPr>
          <w:p>
            <w:pPr/>
          </w:p>
        </w:tc>
        <w:tc>
          <w:tcPr>
            <w:tcW w:w="1194" w:type="dxa"/>
            <w:vMerge/>
            <w:tcBorders>
              <w:left w:val="single" w:sz="4" w:space="0" w:color="000000"/>
              <w:bottom w:val="single" w:sz="4" w:space="0" w:color="000000"/>
              <w:right w:val="single" w:sz="4" w:space="0" w:color="FFFFFF"/>
            </w:tcBorders>
            <w:shd w:val="clear" w:color="auto" w:fill="D2D2D2"/>
          </w:tcPr>
          <w:p>
            <w:pPr/>
          </w:p>
        </w:tc>
        <w:tc>
          <w:tcPr>
            <w:tcW w:w="1196" w:type="dxa"/>
            <w:tcBorders>
              <w:top w:val="nil" w:sz="6" w:space="0" w:color="auto"/>
              <w:left w:val="single" w:sz="4" w:space="0" w:color="FFFFFF"/>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1172"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164,336,744.30</w:t>
            </w:r>
          </w:p>
        </w:tc>
        <w:tc>
          <w:tcPr>
            <w:tcW w:w="119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512,408,008.06</w:t>
            </w:r>
          </w:p>
        </w:tc>
        <w:tc>
          <w:tcPr>
            <w:tcW w:w="1197" w:type="dxa"/>
            <w:tcBorders>
              <w:top w:val="single" w:sz="50" w:space="0" w:color="D2D2D2"/>
              <w:left w:val="single" w:sz="4" w:space="0" w:color="000000"/>
              <w:bottom w:val="single" w:sz="4" w:space="0" w:color="000000"/>
              <w:right w:val="single" w:sz="4" w:space="0" w:color="000000"/>
            </w:tcBorders>
          </w:tcPr>
          <w:p>
            <w:pPr>
              <w:pStyle w:val="TableParagraph"/>
              <w:spacing w:line="198" w:lineRule="exact"/>
              <w:ind w:right="20"/>
              <w:jc w:val="right"/>
              <w:rPr>
                <w:rFonts w:ascii="Times New Roman" w:hAnsi="Times New Roman" w:cs="Times New Roman" w:eastAsia="Times New Roman" w:hint="default"/>
                <w:sz w:val="18"/>
                <w:szCs w:val="18"/>
              </w:rPr>
            </w:pPr>
            <w:r>
              <w:rPr>
                <w:rFonts w:ascii="Times New Roman"/>
                <w:sz w:val="18"/>
              </w:rPr>
              <w:t>32.07%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50" w:space="0" w:color="D2D2D2"/>
              <w:left w:val="single" w:sz="4" w:space="0" w:color="000000"/>
              <w:bottom w:val="single" w:sz="4" w:space="0" w:color="000000"/>
              <w:right w:val="single" w:sz="4" w:space="0" w:color="000000"/>
            </w:tcBorders>
          </w:tcPr>
          <w:p>
            <w:pPr>
              <w:pStyle w:val="TableParagraph"/>
              <w:spacing w:line="198" w:lineRule="exact"/>
              <w:ind w:right="20"/>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2"/>
              <w:jc w:val="right"/>
              <w:rPr>
                <w:rFonts w:ascii="Times New Roman" w:hAnsi="Times New Roman" w:cs="Times New Roman" w:eastAsia="Times New Roman" w:hint="default"/>
                <w:sz w:val="18"/>
                <w:szCs w:val="18"/>
              </w:rPr>
            </w:pPr>
            <w:r>
              <w:rPr>
                <w:rFonts w:ascii="Times New Roman"/>
                <w:spacing w:val="-1"/>
                <w:sz w:val="18"/>
              </w:rPr>
              <w:t>164,336,744.30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
              <w:jc w:val="right"/>
              <w:rPr>
                <w:rFonts w:ascii="Times New Roman" w:hAnsi="Times New Roman" w:cs="Times New Roman" w:eastAsia="Times New Roman" w:hint="default"/>
                <w:sz w:val="18"/>
                <w:szCs w:val="18"/>
              </w:rPr>
            </w:pPr>
            <w:r>
              <w:rPr>
                <w:rFonts w:ascii="Times New Roman"/>
                <w:sz w:val="18"/>
              </w:rPr>
              <w:t>32.07%</w:t>
            </w:r>
          </w:p>
        </w:tc>
      </w:tr>
      <w:tr>
        <w:trPr>
          <w:trHeight w:val="32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24,854,660.08</w:t>
            </w:r>
          </w:p>
        </w:tc>
        <w:tc>
          <w:tcPr>
            <w:tcW w:w="119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722,924,713.03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2"/>
              <w:jc w:val="right"/>
              <w:rPr>
                <w:rFonts w:ascii="Times New Roman" w:hAnsi="Times New Roman" w:cs="Times New Roman" w:eastAsia="Times New Roman" w:hint="default"/>
                <w:sz w:val="18"/>
                <w:szCs w:val="18"/>
              </w:rPr>
            </w:pPr>
            <w:r>
              <w:rPr>
                <w:rFonts w:ascii="Times New Roman"/>
                <w:spacing w:val="-1"/>
                <w:sz w:val="18"/>
              </w:rPr>
              <w:t>24,854,660.08</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3.44%</w:t>
            </w:r>
          </w:p>
        </w:tc>
      </w:tr>
      <w:tr>
        <w:trPr>
          <w:trHeight w:val="32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403,795,179.08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2"/>
              <w:jc w:val="right"/>
              <w:rPr>
                <w:rFonts w:ascii="Times New Roman" w:hAnsi="Times New Roman" w:cs="Times New Roman" w:eastAsia="Times New Roman" w:hint="default"/>
                <w:sz w:val="18"/>
                <w:szCs w:val="18"/>
              </w:rPr>
            </w:pPr>
            <w:r>
              <w:rPr>
                <w:rFonts w:ascii="Times New Roman"/>
                <w:sz w:val="18"/>
              </w:rPr>
              <w:t>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10"/>
        <w:ind w:right="0"/>
        <w:jc w:val="left"/>
      </w:pPr>
      <w:r>
        <w:rPr/>
        <w:t>公司报告期内盈利且母公司可供普通股股东分配利润为正但未提出普通股现金红利分配预案</w:t>
      </w:r>
    </w:p>
    <w:p>
      <w:pPr>
        <w:pStyle w:val="BodyText"/>
        <w:spacing w:line="240" w:lineRule="auto" w:before="7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3"/>
          <w:szCs w:val="23"/>
        </w:rPr>
      </w:pPr>
    </w:p>
    <w:p>
      <w:pPr>
        <w:pStyle w:val="Heading2"/>
        <w:spacing w:line="240" w:lineRule="auto"/>
        <w:ind w:right="0"/>
        <w:jc w:val="left"/>
        <w:rPr>
          <w:b w:val="0"/>
          <w:bCs w:val="0"/>
        </w:rPr>
      </w:pPr>
      <w:bookmarkStart w:name="二、本报告期利润分配及资本公积金转增股本预案" w:id="64"/>
      <w:bookmarkEnd w:id="64"/>
      <w:r>
        <w:rPr>
          <w:b w:val="0"/>
          <w:bCs w:val="0"/>
        </w:rPr>
      </w:r>
      <w:r>
        <w:rPr/>
        <w:t>二、本报告期利润分配及资本公积金转增股本预案</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2"/>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5638"/>
        <w:gridCol w:w="3931"/>
      </w:tblGrid>
      <w:tr>
        <w:trPr>
          <w:trHeight w:val="324" w:hRule="exact"/>
        </w:trPr>
        <w:tc>
          <w:tcPr>
            <w:tcW w:w="5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3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r>
      <w:tr>
        <w:trPr>
          <w:trHeight w:val="298" w:hRule="exact"/>
        </w:trPr>
        <w:tc>
          <w:tcPr>
            <w:tcW w:w="5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股派息数（元）（含税）</w:t>
            </w:r>
          </w:p>
        </w:tc>
        <w:tc>
          <w:tcPr>
            <w:tcW w:w="3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18"/>
                <w:szCs w:val="18"/>
              </w:rPr>
            </w:pPr>
            <w:r>
              <w:rPr>
                <w:rFonts w:ascii="Times New Roman"/>
                <w:sz w:val="18"/>
              </w:rPr>
              <w:t>2.53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5638"/>
        <w:gridCol w:w="3930"/>
      </w:tblGrid>
      <w:tr>
        <w:trPr>
          <w:trHeight w:val="296" w:hRule="exact"/>
        </w:trPr>
        <w:tc>
          <w:tcPr>
            <w:tcW w:w="5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7" w:lineRule="exact"/>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股转增数（股）</w:t>
            </w:r>
          </w:p>
        </w:tc>
        <w:tc>
          <w:tcPr>
            <w:tcW w:w="39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18"/>
                <w:szCs w:val="18"/>
              </w:rPr>
            </w:pPr>
            <w:r>
              <w:rPr>
                <w:rFonts w:ascii="Times New Roman"/>
                <w:sz w:val="18"/>
              </w:rPr>
              <w:t>0</w:t>
            </w:r>
          </w:p>
        </w:tc>
      </w:tr>
      <w:tr>
        <w:trPr>
          <w:trHeight w:val="298" w:hRule="exact"/>
        </w:trPr>
        <w:tc>
          <w:tcPr>
            <w:tcW w:w="5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39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7"/>
              <w:ind w:right="19"/>
              <w:jc w:val="right"/>
              <w:rPr>
                <w:rFonts w:ascii="Times New Roman" w:hAnsi="Times New Roman" w:cs="Times New Roman" w:eastAsia="Times New Roman" w:hint="default"/>
                <w:sz w:val="18"/>
                <w:szCs w:val="18"/>
              </w:rPr>
            </w:pPr>
            <w:r>
              <w:rPr>
                <w:rFonts w:ascii="Times New Roman"/>
                <w:sz w:val="18"/>
              </w:rPr>
              <w:t>649,552,349</w:t>
            </w:r>
          </w:p>
        </w:tc>
      </w:tr>
      <w:tr>
        <w:trPr>
          <w:trHeight w:val="296" w:hRule="exact"/>
        </w:trPr>
        <w:tc>
          <w:tcPr>
            <w:tcW w:w="5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现金分红金额（元）（含税）</w:t>
            </w:r>
          </w:p>
        </w:tc>
        <w:tc>
          <w:tcPr>
            <w:tcW w:w="39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18"/>
                <w:szCs w:val="18"/>
              </w:rPr>
            </w:pPr>
            <w:r>
              <w:rPr>
                <w:rFonts w:ascii="Times New Roman"/>
                <w:spacing w:val="-1"/>
                <w:sz w:val="18"/>
              </w:rPr>
              <w:t>164,336,744.30</w:t>
            </w:r>
          </w:p>
        </w:tc>
      </w:tr>
      <w:tr>
        <w:trPr>
          <w:trHeight w:val="298" w:hRule="exact"/>
        </w:trPr>
        <w:tc>
          <w:tcPr>
            <w:tcW w:w="5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39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7"/>
              <w:ind w:right="19"/>
              <w:jc w:val="right"/>
              <w:rPr>
                <w:rFonts w:ascii="Times New Roman" w:hAnsi="Times New Roman" w:cs="Times New Roman" w:eastAsia="Times New Roman" w:hint="default"/>
                <w:sz w:val="18"/>
                <w:szCs w:val="18"/>
              </w:rPr>
            </w:pPr>
            <w:r>
              <w:rPr>
                <w:rFonts w:ascii="Times New Roman"/>
                <w:sz w:val="18"/>
              </w:rPr>
              <w:t>0.00</w:t>
            </w:r>
          </w:p>
        </w:tc>
      </w:tr>
      <w:tr>
        <w:trPr>
          <w:trHeight w:val="297" w:hRule="exact"/>
        </w:trPr>
        <w:tc>
          <w:tcPr>
            <w:tcW w:w="5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现金分红总额（含其他方式）（元）</w:t>
            </w:r>
          </w:p>
        </w:tc>
        <w:tc>
          <w:tcPr>
            <w:tcW w:w="39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18"/>
                <w:szCs w:val="18"/>
              </w:rPr>
            </w:pPr>
            <w:r>
              <w:rPr>
                <w:rFonts w:ascii="Times New Roman"/>
                <w:spacing w:val="-1"/>
                <w:sz w:val="18"/>
              </w:rPr>
              <w:t>164,336,744.30</w:t>
            </w:r>
          </w:p>
        </w:tc>
      </w:tr>
      <w:tr>
        <w:trPr>
          <w:trHeight w:val="324" w:hRule="exact"/>
        </w:trPr>
        <w:tc>
          <w:tcPr>
            <w:tcW w:w="5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39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716,563,287.65</w:t>
            </w:r>
          </w:p>
        </w:tc>
      </w:tr>
      <w:tr>
        <w:trPr>
          <w:trHeight w:val="329" w:hRule="exact"/>
        </w:trPr>
        <w:tc>
          <w:tcPr>
            <w:tcW w:w="5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现金分红总额（含其他方式）占利润分配总额的比例</w:t>
            </w:r>
          </w:p>
        </w:tc>
        <w:tc>
          <w:tcPr>
            <w:tcW w:w="39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318"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324"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23"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91"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日公司第九届董事会第十一次会议审议通过公司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年利润分配预案：以公司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w:t>
            </w:r>
          </w:p>
          <w:p>
            <w:pPr>
              <w:pStyle w:val="TableParagraph"/>
              <w:spacing w:line="234" w:lineRule="exact" w:before="15"/>
              <w:ind w:left="22" w:right="22"/>
              <w:jc w:val="left"/>
              <w:rPr>
                <w:rFonts w:ascii="宋体" w:hAnsi="宋体" w:cs="宋体" w:eastAsia="宋体" w:hint="default"/>
                <w:sz w:val="18"/>
                <w:szCs w:val="18"/>
              </w:rPr>
            </w:pPr>
            <w:r>
              <w:rPr>
                <w:rFonts w:ascii="宋体" w:hAnsi="宋体" w:cs="宋体" w:eastAsia="宋体" w:hint="default"/>
                <w:sz w:val="18"/>
                <w:szCs w:val="18"/>
              </w:rPr>
              <w:t>总股本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654,070</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434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股扣除回购股份数</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4,518,0</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股后的</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649,552,349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股为基数</w:t>
            </w:r>
            <w:r>
              <w:rPr>
                <w:rFonts w:ascii="宋体" w:hAnsi="宋体" w:cs="宋体" w:eastAsia="宋体" w:hint="default"/>
                <w:spacing w:val="-90"/>
                <w:sz w:val="18"/>
                <w:szCs w:val="18"/>
              </w:rPr>
              <w:t>，</w:t>
            </w:r>
            <w:r>
              <w:rPr>
                <w:rFonts w:ascii="宋体" w:hAnsi="宋体" w:cs="宋体" w:eastAsia="宋体" w:hint="default"/>
                <w:sz w:val="18"/>
                <w:szCs w:val="18"/>
              </w:rPr>
              <w:t>向全体股东每</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股派发现金红利</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2.53</w:t>
            </w:r>
            <w:r>
              <w:rPr>
                <w:rFonts w:ascii="Times New Roman" w:hAnsi="Times New Roman" w:cs="Times New Roman" w:eastAsia="Times New Roman" w:hint="default"/>
                <w:spacing w:val="-8"/>
                <w:sz w:val="18"/>
                <w:szCs w:val="18"/>
              </w:rPr>
              <w:t> </w:t>
            </w:r>
            <w:r>
              <w:rPr>
                <w:rFonts w:ascii="宋体" w:hAnsi="宋体" w:cs="宋体" w:eastAsia="宋体" w:hint="default"/>
                <w:spacing w:val="-89"/>
                <w:sz w:val="18"/>
                <w:szCs w:val="18"/>
              </w:rPr>
              <w:t>元</w:t>
            </w:r>
            <w:r>
              <w:rPr>
                <w:rFonts w:ascii="宋体" w:hAnsi="宋体" w:cs="宋体" w:eastAsia="宋体" w:hint="default"/>
                <w:spacing w:val="1"/>
                <w:sz w:val="18"/>
                <w:szCs w:val="18"/>
              </w:rPr>
              <w:t>（</w:t>
            </w:r>
            <w:r>
              <w:rPr>
                <w:rFonts w:ascii="宋体" w:hAnsi="宋体" w:cs="宋体" w:eastAsia="宋体" w:hint="default"/>
                <w:sz w:val="18"/>
                <w:szCs w:val="18"/>
              </w:rPr>
              <w:t>含</w:t>
            </w:r>
            <w:r>
              <w:rPr>
                <w:rFonts w:ascii="宋体" w:hAnsi="宋体" w:cs="宋体" w:eastAsia="宋体" w:hint="default"/>
                <w:sz w:val="18"/>
                <w:szCs w:val="18"/>
              </w:rPr>
              <w:t> 税</w:t>
            </w:r>
            <w:r>
              <w:rPr>
                <w:rFonts w:ascii="宋体" w:hAnsi="宋体" w:cs="宋体" w:eastAsia="宋体" w:hint="default"/>
                <w:spacing w:val="-90"/>
                <w:sz w:val="18"/>
                <w:szCs w:val="18"/>
              </w:rPr>
              <w:t>）</w:t>
            </w:r>
            <w:r>
              <w:rPr>
                <w:rFonts w:ascii="宋体" w:hAnsi="宋体" w:cs="宋体" w:eastAsia="宋体" w:hint="default"/>
                <w:sz w:val="18"/>
                <w:szCs w:val="18"/>
              </w:rPr>
              <w:t>。本次分配不送红股，不以公积金转增股本。</w:t>
            </w:r>
          </w:p>
        </w:tc>
      </w:tr>
    </w:tbl>
    <w:p>
      <w:pPr>
        <w:spacing w:after="0" w:line="234" w:lineRule="exact"/>
        <w:jc w:val="left"/>
        <w:rPr>
          <w:rFonts w:ascii="宋体" w:hAnsi="宋体" w:cs="宋体" w:eastAsia="宋体" w:hint="default"/>
          <w:sz w:val="18"/>
          <w:szCs w:val="18"/>
        </w:rPr>
        <w:sectPr>
          <w:pgSz w:w="11910" w:h="16840"/>
          <w:pgMar w:header="877" w:footer="979" w:top="1100" w:bottom="1160" w:left="980" w:right="0"/>
        </w:sectPr>
      </w:pPr>
    </w:p>
    <w:p>
      <w:pPr>
        <w:pStyle w:val="Heading2"/>
        <w:spacing w:line="240" w:lineRule="auto" w:before="27"/>
        <w:ind w:left="160" w:right="0"/>
        <w:jc w:val="left"/>
        <w:rPr>
          <w:b w:val="0"/>
          <w:bCs w:val="0"/>
        </w:rPr>
      </w:pPr>
      <w:r>
        <w:rPr/>
        <w:pict>
          <v:shape style="position:absolute;margin-left:456.643005pt;margin-top:421.200012pt;width:151.050pt;height:45.7pt;mso-position-horizontal-relative:page;mso-position-vertical-relative:page;z-index:-1466248" type="#_x0000_t202" filled="false" stroked="false">
            <v:textbox inset="0,0,0,0">
              <w:txbxContent>
                <w:p>
                  <w:pPr>
                    <w:spacing w:line="240" w:lineRule="auto" w:before="8"/>
                    <w:rPr>
                      <w:rFonts w:ascii="宋体" w:hAnsi="宋体" w:cs="宋体" w:eastAsia="宋体" w:hint="default"/>
                      <w:sz w:val="18"/>
                      <w:szCs w:val="18"/>
                    </w:rPr>
                  </w:pPr>
                </w:p>
                <w:p>
                  <w:pPr>
                    <w:pStyle w:val="BodyText"/>
                    <w:spacing w:line="240" w:lineRule="auto"/>
                    <w:ind w:left="0" w:right="0"/>
                    <w:jc w:val="left"/>
                  </w:pPr>
                  <w:r>
                    <w:rPr/>
                    <w:t>本次交易完成后，</w:t>
                  </w:r>
                </w:p>
              </w:txbxContent>
            </v:textbox>
            <w10:wrap type="none"/>
          </v:shape>
        </w:pict>
      </w:r>
      <w:r>
        <w:rPr/>
        <w:pict>
          <v:group style="position:absolute;margin-left:70.5pt;margin-top:2.225623pt;width:701pt;height:.1pt;mso-position-horizontal-relative:page;mso-position-vertical-relative:paragraph;z-index:-1466224" coordorigin="1410,45" coordsize="14020,2">
            <v:shape style="position:absolute;left:1410;top:45;width:14020;height:2" coordorigin="1410,45" coordsize="14020,0" path="m1410,45l15430,45e" filled="false" stroked="true" strokeweight=".72pt" strokecolor="#000000">
              <v:path arrowok="t"/>
            </v:shape>
            <w10:wrap type="none"/>
          </v:group>
        </w:pict>
      </w:r>
      <w:bookmarkStart w:name="三、承诺事项履行情况" w:id="65"/>
      <w:bookmarkEnd w:id="65"/>
      <w:r>
        <w:rPr>
          <w:b w:val="0"/>
          <w:bCs w:val="0"/>
        </w:rPr>
      </w:r>
      <w:r>
        <w:rPr/>
        <w:t>三、承诺事项履行情况</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left="160" w:right="0"/>
        <w:jc w:val="left"/>
        <w:rPr>
          <w:b w:val="0"/>
          <w:bCs w:val="0"/>
        </w:rPr>
      </w:pPr>
      <w:bookmarkStart w:name="1、公司实际控制人、股东、关联方、收购人以及公司等承诺相关方在报告期内履行完毕及" w:id="66"/>
      <w:bookmarkEnd w:id="66"/>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、公司实际控制人、股东、关联方、收购人以及公司等承诺相关方在报告期内履行完毕及截至报告期末尚未履行完毕的承诺事项</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16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3"/>
        <w:rPr>
          <w:rFonts w:ascii="宋体" w:hAnsi="宋体" w:cs="宋体" w:eastAsia="宋体" w:hint="default"/>
          <w:sz w:val="4"/>
          <w:szCs w:val="4"/>
        </w:rPr>
      </w:pPr>
    </w:p>
    <w:tbl>
      <w:tblPr>
        <w:tblW w:w="0" w:type="auto"/>
        <w:jc w:val="left"/>
        <w:tblInd w:w="116" w:type="dxa"/>
        <w:tblLayout w:type="fixed"/>
        <w:tblCellMar>
          <w:top w:w="0" w:type="dxa"/>
          <w:left w:w="0" w:type="dxa"/>
          <w:bottom w:w="0" w:type="dxa"/>
          <w:right w:w="0" w:type="dxa"/>
        </w:tblCellMar>
        <w:tblLook w:val="01E0"/>
      </w:tblPr>
      <w:tblGrid>
        <w:gridCol w:w="1730"/>
        <w:gridCol w:w="1418"/>
        <w:gridCol w:w="1276"/>
        <w:gridCol w:w="4674"/>
        <w:gridCol w:w="1649"/>
        <w:gridCol w:w="1642"/>
        <w:gridCol w:w="1626"/>
      </w:tblGrid>
      <w:tr>
        <w:trPr>
          <w:trHeight w:val="323" w:hRule="exact"/>
        </w:trPr>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99"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34"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72"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4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5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4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23" w:hRule="exact"/>
        </w:trPr>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418" w:type="dxa"/>
            <w:tcBorders>
              <w:top w:val="single" w:sz="4" w:space="0" w:color="000000"/>
              <w:left w:val="single" w:sz="13" w:space="0" w:color="D2D2D2"/>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674"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2" w:right="75"/>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1418" w:type="dxa"/>
            <w:tcBorders>
              <w:top w:val="single" w:sz="4" w:space="0" w:color="000000"/>
              <w:left w:val="single" w:sz="13" w:space="0" w:color="D2D2D2"/>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674"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r>
      <w:tr>
        <w:trPr>
          <w:trHeight w:val="1024" w:hRule="exact"/>
        </w:trPr>
        <w:tc>
          <w:tcPr>
            <w:tcW w:w="1730" w:type="dxa"/>
            <w:vMerge w:val="restart"/>
            <w:tcBorders>
              <w:top w:val="single" w:sz="4" w:space="0" w:color="000000"/>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9"/>
              <w:ind w:left="23" w:right="20"/>
              <w:jc w:val="both"/>
              <w:rPr>
                <w:rFonts w:ascii="宋体" w:hAnsi="宋体" w:cs="宋体" w:eastAsia="宋体" w:hint="default"/>
                <w:sz w:val="18"/>
                <w:szCs w:val="18"/>
              </w:rPr>
            </w:pPr>
            <w:r>
              <w:rPr>
                <w:rFonts w:ascii="宋体" w:hAnsi="宋体" w:cs="宋体" w:eastAsia="宋体" w:hint="default"/>
                <w:spacing w:val="-10"/>
                <w:sz w:val="18"/>
                <w:szCs w:val="18"/>
              </w:rPr>
              <w:t>郭为、中信建投基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金、标的资产核心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管理团队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9"/>
              <w:ind w:left="22" w:right="161"/>
              <w:jc w:val="both"/>
              <w:rPr>
                <w:rFonts w:ascii="宋体" w:hAnsi="宋体" w:cs="宋体" w:eastAsia="宋体" w:hint="default"/>
                <w:sz w:val="18"/>
                <w:szCs w:val="18"/>
              </w:rPr>
            </w:pPr>
            <w:r>
              <w:rPr>
                <w:rFonts w:ascii="宋体" w:hAnsi="宋体" w:cs="宋体" w:eastAsia="宋体" w:hint="default"/>
                <w:sz w:val="18"/>
                <w:szCs w:val="18"/>
              </w:rPr>
              <w:t>关于保持上市 公司独立性的 承诺</w:t>
            </w:r>
          </w:p>
        </w:tc>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9"/>
              <w:ind w:left="22" w:right="21"/>
              <w:jc w:val="both"/>
              <w:rPr>
                <w:rFonts w:ascii="宋体" w:hAnsi="宋体" w:cs="宋体" w:eastAsia="宋体" w:hint="default"/>
                <w:sz w:val="18"/>
                <w:szCs w:val="18"/>
              </w:rPr>
            </w:pPr>
            <w:r>
              <w:rPr>
                <w:rFonts w:ascii="宋体" w:hAnsi="宋体" w:cs="宋体" w:eastAsia="宋体" w:hint="default"/>
                <w:spacing w:val="-3"/>
                <w:sz w:val="18"/>
                <w:szCs w:val="18"/>
              </w:rPr>
              <w:t>本次交易完成后，保证上市公司在人员、资产、财务、机构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及业务方面与本人控制的其他企业完全分开，保持上市公司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在业务、资产、人员、财务和机构方面的独立。</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27"/>
              <w:jc w:val="left"/>
              <w:rPr>
                <w:rFonts w:ascii="宋体" w:hAnsi="宋体" w:cs="宋体" w:eastAsia="宋体" w:hint="default"/>
                <w:sz w:val="18"/>
                <w:szCs w:val="18"/>
              </w:rPr>
            </w:pPr>
            <w:r>
              <w:rPr>
                <w:rFonts w:ascii="宋体" w:hAnsi="宋体" w:cs="宋体" w:eastAsia="宋体" w:hint="default"/>
                <w:spacing w:val="-6"/>
                <w:sz w:val="18"/>
                <w:szCs w:val="18"/>
              </w:rPr>
              <w:t>截至本报告日，本承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诺仍在履行过程中， 承诺人无违反本承 诺的情况。</w:t>
            </w:r>
          </w:p>
        </w:tc>
      </w:tr>
      <w:tr>
        <w:trPr>
          <w:trHeight w:val="2204" w:hRule="exact"/>
        </w:trPr>
        <w:tc>
          <w:tcPr>
            <w:tcW w:w="1730" w:type="dxa"/>
            <w:vMerge/>
            <w:tcBorders>
              <w:left w:val="single" w:sz="4" w:space="0" w:color="000000"/>
              <w:bottom w:val="nil" w:sz="6" w:space="0" w:color="auto"/>
              <w:right w:val="single" w:sz="4" w:space="0" w:color="000000"/>
            </w:tcBorders>
            <w:shd w:val="clear" w:color="auto" w:fill="D2D2D2"/>
          </w:tcPr>
          <w:p>
            <w:pPr/>
          </w:p>
        </w:tc>
        <w:tc>
          <w:tcPr>
            <w:tcW w:w="141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ind w:left="17" w:right="20"/>
              <w:jc w:val="both"/>
              <w:rPr>
                <w:rFonts w:ascii="宋体" w:hAnsi="宋体" w:cs="宋体" w:eastAsia="宋体" w:hint="default"/>
                <w:sz w:val="18"/>
                <w:szCs w:val="18"/>
              </w:rPr>
            </w:pPr>
            <w:r>
              <w:rPr>
                <w:rFonts w:ascii="宋体" w:hAnsi="宋体" w:cs="宋体" w:eastAsia="宋体" w:hint="default"/>
                <w:spacing w:val="-10"/>
                <w:sz w:val="18"/>
                <w:szCs w:val="18"/>
              </w:rPr>
              <w:t>郭为、中信建投基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金、标的资产核心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管理团队</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2" w:right="161"/>
              <w:jc w:val="left"/>
              <w:rPr>
                <w:rFonts w:ascii="宋体" w:hAnsi="宋体" w:cs="宋体" w:eastAsia="宋体" w:hint="default"/>
                <w:sz w:val="18"/>
                <w:szCs w:val="18"/>
              </w:rPr>
            </w:pPr>
            <w:r>
              <w:rPr>
                <w:rFonts w:ascii="宋体" w:hAnsi="宋体" w:cs="宋体" w:eastAsia="宋体" w:hint="default"/>
                <w:sz w:val="18"/>
                <w:szCs w:val="18"/>
              </w:rPr>
              <w:t>关于同业竞争 的承诺</w:t>
            </w:r>
          </w:p>
        </w:tc>
        <w:tc>
          <w:tcPr>
            <w:tcW w:w="4674" w:type="dxa"/>
            <w:vMerge w:val="restart"/>
            <w:tcBorders>
              <w:top w:val="single" w:sz="4" w:space="0" w:color="000000"/>
              <w:left w:val="single" w:sz="4" w:space="0" w:color="000000"/>
              <w:right w:val="single" w:sz="4" w:space="0" w:color="000000"/>
            </w:tcBorders>
          </w:tcPr>
          <w:p>
            <w:pPr>
              <w:pStyle w:val="TableParagraph"/>
              <w:spacing w:line="235" w:lineRule="auto" w:before="15"/>
              <w:ind w:left="22" w:right="19"/>
              <w:jc w:val="left"/>
              <w:rPr>
                <w:rFonts w:ascii="宋体" w:hAnsi="宋体" w:cs="宋体" w:eastAsia="宋体" w:hint="default"/>
                <w:sz w:val="18"/>
                <w:szCs w:val="18"/>
              </w:rPr>
            </w:pPr>
            <w:r>
              <w:rPr>
                <w:rFonts w:ascii="宋体" w:hAnsi="宋体" w:cs="宋体" w:eastAsia="宋体" w:hint="default"/>
                <w:sz w:val="18"/>
                <w:szCs w:val="18"/>
              </w:rPr>
              <w:t>本次交易前，除标的公司及其下属子公司外，本人</w:t>
            </w:r>
            <w:r>
              <w:rPr>
                <w:rFonts w:ascii="Times New Roman" w:hAnsi="Times New Roman" w:cs="Times New Roman" w:eastAsia="Times New Roman" w:hint="default"/>
                <w:sz w:val="18"/>
                <w:szCs w:val="18"/>
              </w:rPr>
              <w:t>/</w:t>
            </w:r>
            <w:r>
              <w:rPr>
                <w:rFonts w:ascii="宋体" w:hAnsi="宋体" w:cs="宋体" w:eastAsia="宋体" w:hint="default"/>
                <w:sz w:val="18"/>
                <w:szCs w:val="18"/>
              </w:rPr>
              <w:t>公司在 </w:t>
            </w:r>
            <w:r>
              <w:rPr>
                <w:rFonts w:ascii="宋体" w:hAnsi="宋体" w:cs="宋体" w:eastAsia="宋体" w:hint="default"/>
                <w:spacing w:val="-3"/>
                <w:sz w:val="18"/>
                <w:szCs w:val="18"/>
              </w:rPr>
              <w:t>本次交易前未直接或间接从事其他与标的公司相同、相似或</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有竞争关系的业务（包括但不限于以投资、合作、承包、租</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赁、委托经营等方式参与上述业务），亦未在相关单位工作</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或任职。同时本人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公司承诺，本人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公司和本人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公司控制的</w:t>
            </w:r>
            <w:r>
              <w:rPr>
                <w:rFonts w:ascii="宋体" w:hAnsi="宋体" w:cs="宋体" w:eastAsia="宋体" w:hint="default"/>
                <w:spacing w:val="-66"/>
                <w:sz w:val="18"/>
                <w:szCs w:val="18"/>
              </w:rPr>
              <w:t> </w:t>
            </w:r>
            <w:r>
              <w:rPr>
                <w:rFonts w:ascii="宋体" w:hAnsi="宋体" w:cs="宋体" w:eastAsia="宋体" w:hint="default"/>
                <w:sz w:val="18"/>
                <w:szCs w:val="18"/>
              </w:rPr>
              <w:t>其他企业不会直接或间接从事任何与上市公司及其下属公 司主要经营业务构成同业竞争或潜在同业竞争关系的生产 </w:t>
            </w:r>
            <w:r>
              <w:rPr>
                <w:rFonts w:ascii="宋体" w:hAnsi="宋体" w:cs="宋体" w:eastAsia="宋体" w:hint="default"/>
                <w:spacing w:val="-3"/>
                <w:sz w:val="18"/>
                <w:szCs w:val="18"/>
              </w:rPr>
              <w:t>与经营，亦不会投资任何与上市公司及其下属公司主要经营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业务构成同业竞争或潜在同业竞争关系的其他企业；在本人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在上市公司任职期间，本人</w:t>
            </w:r>
            <w:r>
              <w:rPr>
                <w:rFonts w:ascii="Times New Roman" w:hAnsi="Times New Roman" w:cs="Times New Roman" w:eastAsia="Times New Roman" w:hint="default"/>
                <w:sz w:val="18"/>
                <w:szCs w:val="18"/>
              </w:rPr>
              <w:t>/</w:t>
            </w:r>
            <w:r>
              <w:rPr>
                <w:rFonts w:ascii="宋体" w:hAnsi="宋体" w:cs="宋体" w:eastAsia="宋体" w:hint="default"/>
                <w:sz w:val="18"/>
                <w:szCs w:val="18"/>
              </w:rPr>
              <w:t>公司或本人</w:t>
            </w:r>
            <w:r>
              <w:rPr>
                <w:rFonts w:ascii="Times New Roman" w:hAnsi="Times New Roman" w:cs="Times New Roman" w:eastAsia="Times New Roman" w:hint="default"/>
                <w:sz w:val="18"/>
                <w:szCs w:val="18"/>
              </w:rPr>
              <w:t>/</w:t>
            </w:r>
            <w:r>
              <w:rPr>
                <w:rFonts w:ascii="宋体" w:hAnsi="宋体" w:cs="宋体" w:eastAsia="宋体" w:hint="default"/>
                <w:sz w:val="18"/>
                <w:szCs w:val="18"/>
              </w:rPr>
              <w:t>公司控制的其他企 业获得的商业机会与上市公司及其下属公司主营业务发生 同业竞争或可能发生同业竞争的，本人</w:t>
            </w:r>
            <w:r>
              <w:rPr>
                <w:rFonts w:ascii="Times New Roman" w:hAnsi="Times New Roman" w:cs="Times New Roman" w:eastAsia="Times New Roman" w:hint="default"/>
                <w:sz w:val="18"/>
                <w:szCs w:val="18"/>
              </w:rPr>
              <w:t>/</w:t>
            </w:r>
            <w:r>
              <w:rPr>
                <w:rFonts w:ascii="宋体" w:hAnsi="宋体" w:cs="宋体" w:eastAsia="宋体" w:hint="default"/>
                <w:sz w:val="18"/>
                <w:szCs w:val="18"/>
              </w:rPr>
              <w:t>公司将立即通知上 </w:t>
            </w:r>
            <w:r>
              <w:rPr>
                <w:rFonts w:ascii="宋体" w:hAnsi="宋体" w:cs="宋体" w:eastAsia="宋体" w:hint="default"/>
                <w:spacing w:val="-3"/>
                <w:sz w:val="18"/>
                <w:szCs w:val="18"/>
              </w:rPr>
              <w:t>市公司，并尽力将该商业机会给予上市公司，以避免与上市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公司及下属公司形成同业竞争或潜在同业竞争，以确保上市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公司及上市公司其他股东利益不受损害。</w:t>
            </w:r>
          </w:p>
        </w:tc>
        <w:tc>
          <w:tcPr>
            <w:tcW w:w="164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19"/>
              <w:ind w:left="22" w:right="-27"/>
              <w:jc w:val="left"/>
              <w:rPr>
                <w:rFonts w:ascii="宋体" w:hAnsi="宋体" w:cs="宋体" w:eastAsia="宋体" w:hint="default"/>
                <w:sz w:val="18"/>
                <w:szCs w:val="18"/>
              </w:rPr>
            </w:pPr>
            <w:r>
              <w:rPr>
                <w:rFonts w:ascii="宋体" w:hAnsi="宋体" w:cs="宋体" w:eastAsia="宋体" w:hint="default"/>
                <w:spacing w:val="-6"/>
                <w:sz w:val="18"/>
                <w:szCs w:val="18"/>
              </w:rPr>
              <w:t>截至本报告日，本承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诺仍在履行过程中， 承诺人无违反本承 诺的情况。</w:t>
            </w:r>
          </w:p>
        </w:tc>
      </w:tr>
      <w:tr>
        <w:trPr>
          <w:trHeight w:val="313" w:hRule="exact"/>
        </w:trPr>
        <w:tc>
          <w:tcPr>
            <w:tcW w:w="1730" w:type="dxa"/>
            <w:tcBorders>
              <w:top w:val="nil" w:sz="6" w:space="0" w:color="auto"/>
              <w:left w:val="single" w:sz="13" w:space="0" w:color="D2D2D2"/>
              <w:bottom w:val="nil" w:sz="6" w:space="0" w:color="auto"/>
              <w:right w:val="single" w:sz="13" w:space="0" w:color="D2D2D2"/>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资产重组时所作承诺</w:t>
            </w:r>
            <w:r>
              <w:rPr>
                <w:rFonts w:ascii="宋体" w:hAnsi="宋体" w:cs="宋体" w:eastAsia="宋体" w:hint="default"/>
                <w:sz w:val="18"/>
                <w:szCs w:val="18"/>
              </w:rPr>
            </w:r>
          </w:p>
        </w:tc>
        <w:tc>
          <w:tcPr>
            <w:tcW w:w="1418" w:type="dxa"/>
            <w:vMerge/>
            <w:tcBorders>
              <w:left w:val="single" w:sz="9" w:space="0" w:color="D2D2D2"/>
              <w:right w:val="single" w:sz="4" w:space="0" w:color="000000"/>
            </w:tcBorders>
          </w:tcPr>
          <w:p>
            <w:pPr/>
          </w:p>
        </w:tc>
        <w:tc>
          <w:tcPr>
            <w:tcW w:w="1276" w:type="dxa"/>
            <w:vMerge/>
            <w:tcBorders>
              <w:left w:val="single" w:sz="4" w:space="0" w:color="000000"/>
              <w:right w:val="single" w:sz="4" w:space="0" w:color="000000"/>
            </w:tcBorders>
          </w:tcPr>
          <w:p>
            <w:pPr/>
          </w:p>
        </w:tc>
        <w:tc>
          <w:tcPr>
            <w:tcW w:w="4674" w:type="dxa"/>
            <w:vMerge/>
            <w:tcBorders>
              <w:left w:val="single" w:sz="4" w:space="0" w:color="000000"/>
              <w:right w:val="single" w:sz="4" w:space="0" w:color="000000"/>
            </w:tcBorders>
          </w:tcPr>
          <w:p>
            <w:pP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6" w:type="dxa"/>
            <w:vMerge/>
            <w:tcBorders>
              <w:left w:val="single" w:sz="4" w:space="0" w:color="000000"/>
              <w:right w:val="single" w:sz="4" w:space="0" w:color="000000"/>
            </w:tcBorders>
          </w:tcPr>
          <w:p>
            <w:pPr/>
          </w:p>
        </w:tc>
      </w:tr>
      <w:tr>
        <w:trPr>
          <w:trHeight w:val="1076" w:hRule="exact"/>
        </w:trPr>
        <w:tc>
          <w:tcPr>
            <w:tcW w:w="1730" w:type="dxa"/>
            <w:vMerge w:val="restart"/>
            <w:tcBorders>
              <w:top w:val="nil" w:sz="6" w:space="0" w:color="auto"/>
              <w:left w:val="single" w:sz="4" w:space="0" w:color="000000"/>
              <w:right w:val="single" w:sz="4" w:space="0" w:color="000000"/>
            </w:tcBorders>
            <w:shd w:val="clear" w:color="auto" w:fill="D2D2D2"/>
          </w:tcPr>
          <w:p>
            <w:pPr/>
          </w:p>
        </w:tc>
        <w:tc>
          <w:tcPr>
            <w:tcW w:w="1418" w:type="dxa"/>
            <w:vMerge/>
            <w:tcBorders>
              <w:left w:val="single" w:sz="9" w:space="0" w:color="D2D2D2"/>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4674" w:type="dxa"/>
            <w:vMerge/>
            <w:tcBorders>
              <w:left w:val="single" w:sz="4" w:space="0" w:color="000000"/>
              <w:bottom w:val="single" w:sz="4" w:space="0" w:color="000000"/>
              <w:right w:val="single" w:sz="4" w:space="0" w:color="000000"/>
            </w:tcBorders>
          </w:tcPr>
          <w:p>
            <w:pPr/>
          </w:p>
        </w:tc>
        <w:tc>
          <w:tcPr>
            <w:tcW w:w="1649" w:type="dxa"/>
            <w:vMerge/>
            <w:tcBorders>
              <w:left w:val="single" w:sz="4" w:space="0" w:color="000000"/>
              <w:bottom w:val="single" w:sz="4" w:space="0" w:color="000000"/>
              <w:right w:val="single" w:sz="4" w:space="0" w:color="000000"/>
            </w:tcBorders>
          </w:tcPr>
          <w:p>
            <w:pPr/>
          </w:p>
        </w:tc>
        <w:tc>
          <w:tcPr>
            <w:tcW w:w="1642" w:type="dxa"/>
            <w:vMerge/>
            <w:tcBorders>
              <w:left w:val="single" w:sz="4" w:space="0" w:color="000000"/>
              <w:bottom w:val="single" w:sz="4" w:space="0" w:color="000000"/>
              <w:right w:val="single" w:sz="4" w:space="0" w:color="000000"/>
            </w:tcBorders>
          </w:tcPr>
          <w:p>
            <w:pPr/>
          </w:p>
        </w:tc>
        <w:tc>
          <w:tcPr>
            <w:tcW w:w="1626" w:type="dxa"/>
            <w:vMerge/>
            <w:tcBorders>
              <w:left w:val="single" w:sz="4" w:space="0" w:color="000000"/>
              <w:bottom w:val="single" w:sz="4" w:space="0" w:color="000000"/>
              <w:right w:val="single" w:sz="4" w:space="0" w:color="000000"/>
            </w:tcBorders>
          </w:tcPr>
          <w:p>
            <w:pPr/>
          </w:p>
        </w:tc>
      </w:tr>
      <w:tr>
        <w:trPr>
          <w:trHeight w:val="2152" w:hRule="exact"/>
        </w:trPr>
        <w:tc>
          <w:tcPr>
            <w:tcW w:w="1730"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37" w:lineRule="auto"/>
              <w:ind w:left="23" w:right="20"/>
              <w:jc w:val="both"/>
              <w:rPr>
                <w:rFonts w:ascii="宋体" w:hAnsi="宋体" w:cs="宋体" w:eastAsia="宋体" w:hint="default"/>
                <w:sz w:val="18"/>
                <w:szCs w:val="18"/>
              </w:rPr>
            </w:pPr>
            <w:r>
              <w:rPr>
                <w:rFonts w:ascii="宋体" w:hAnsi="宋体" w:cs="宋体" w:eastAsia="宋体" w:hint="default"/>
                <w:spacing w:val="-10"/>
                <w:sz w:val="18"/>
                <w:szCs w:val="18"/>
              </w:rPr>
              <w:t>郭为、中信建投基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金、标的资产核心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管理团队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37" w:lineRule="auto"/>
              <w:ind w:left="22" w:right="161"/>
              <w:jc w:val="both"/>
              <w:rPr>
                <w:rFonts w:ascii="宋体" w:hAnsi="宋体" w:cs="宋体" w:eastAsia="宋体" w:hint="default"/>
                <w:sz w:val="18"/>
                <w:szCs w:val="18"/>
              </w:rPr>
            </w:pPr>
            <w:r>
              <w:rPr>
                <w:rFonts w:ascii="宋体" w:hAnsi="宋体" w:cs="宋体" w:eastAsia="宋体" w:hint="default"/>
                <w:sz w:val="18"/>
                <w:szCs w:val="18"/>
              </w:rPr>
              <w:t>关于减少和规 范关联交易的 承诺</w:t>
            </w:r>
          </w:p>
        </w:tc>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7"/>
              <w:ind w:left="22"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、在本次交易前，本人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公司和本人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公司控制的企业与上市</w:t>
            </w:r>
            <w:r>
              <w:rPr>
                <w:rFonts w:ascii="宋体" w:hAnsi="宋体" w:cs="宋体" w:eastAsia="宋体" w:hint="default"/>
                <w:spacing w:val="-78"/>
                <w:sz w:val="18"/>
                <w:szCs w:val="18"/>
              </w:rPr>
              <w:t> </w:t>
            </w:r>
            <w:r>
              <w:rPr>
                <w:rFonts w:ascii="宋体" w:hAnsi="宋体" w:cs="宋体" w:eastAsia="宋体" w:hint="default"/>
                <w:sz w:val="18"/>
                <w:szCs w:val="18"/>
              </w:rPr>
              <w:t>公司之间不存在显失公平的关联交易。</w:t>
            </w:r>
            <w:r>
              <w:rPr>
                <w:rFonts w:ascii="Times New Roman" w:hAnsi="Times New Roman" w:cs="Times New Roman" w:eastAsia="Times New Roman" w:hint="default"/>
                <w:sz w:val="18"/>
                <w:szCs w:val="18"/>
              </w:rPr>
              <w:t>2</w:t>
            </w:r>
            <w:r>
              <w:rPr>
                <w:rFonts w:ascii="宋体" w:hAnsi="宋体" w:cs="宋体" w:eastAsia="宋体" w:hint="default"/>
                <w:sz w:val="18"/>
                <w:szCs w:val="18"/>
              </w:rPr>
              <w:t>、 本人</w:t>
            </w:r>
            <w:r>
              <w:rPr>
                <w:rFonts w:ascii="Times New Roman" w:hAnsi="Times New Roman" w:cs="Times New Roman" w:eastAsia="Times New Roman" w:hint="default"/>
                <w:sz w:val="18"/>
                <w:szCs w:val="18"/>
              </w:rPr>
              <w:t>/</w:t>
            </w:r>
            <w:r>
              <w:rPr>
                <w:rFonts w:ascii="宋体" w:hAnsi="宋体" w:cs="宋体" w:eastAsia="宋体" w:hint="default"/>
                <w:sz w:val="18"/>
                <w:szCs w:val="18"/>
              </w:rPr>
              <w:t>公司和本人</w:t>
            </w:r>
            <w:r>
              <w:rPr>
                <w:rFonts w:ascii="Times New Roman" w:hAnsi="Times New Roman" w:cs="Times New Roman" w:eastAsia="Times New Roman" w:hint="default"/>
                <w:sz w:val="18"/>
                <w:szCs w:val="18"/>
              </w:rPr>
              <w:t>/</w:t>
            </w:r>
            <w:r>
              <w:rPr>
                <w:rFonts w:ascii="宋体" w:hAnsi="宋体" w:cs="宋体" w:eastAsia="宋体" w:hint="default"/>
                <w:sz w:val="18"/>
                <w:szCs w:val="18"/>
              </w:rPr>
              <w:t>公司控制的其他企业将尽量避免或减少与 </w:t>
            </w:r>
            <w:r>
              <w:rPr>
                <w:rFonts w:ascii="宋体" w:hAnsi="宋体" w:cs="宋体" w:eastAsia="宋体" w:hint="default"/>
                <w:spacing w:val="-3"/>
                <w:sz w:val="18"/>
                <w:szCs w:val="18"/>
              </w:rPr>
              <w:t>上市公司及其下属子公司之间的关联交易，对于无法避免或</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有合理理由存在的关联交易，将与上市公司依法签订规范的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关联交易协议，并按照有关法律、法规、规章、上市规则和</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其他规范性文件以及上市公司章程的规定履行批准程序；关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联交易价格依照与无关联关系的独立第三方进行相同或相 </w:t>
            </w:r>
            <w:r>
              <w:rPr>
                <w:rFonts w:ascii="宋体" w:hAnsi="宋体" w:cs="宋体" w:eastAsia="宋体" w:hint="default"/>
                <w:spacing w:val="-3"/>
                <w:sz w:val="18"/>
                <w:szCs w:val="18"/>
              </w:rPr>
              <w:t>似交易时的价格确定，保证关联交易价格具有公允性；保证</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913" w:lineRule="exact"/>
              <w:ind w:left="1" w:right="-49"/>
              <w:jc w:val="left"/>
              <w:rPr>
                <w:rFonts w:ascii="宋体" w:hAnsi="宋体" w:cs="宋体" w:eastAsia="宋体" w:hint="default"/>
                <w:sz w:val="20"/>
                <w:szCs w:val="20"/>
              </w:rPr>
            </w:pPr>
            <w:r>
              <w:rPr>
                <w:rFonts w:ascii="宋体" w:hAnsi="宋体" w:cs="宋体" w:eastAsia="宋体" w:hint="default"/>
                <w:position w:val="-17"/>
                <w:sz w:val="20"/>
                <w:szCs w:val="20"/>
              </w:rPr>
              <w:pict>
                <v:group style="width:81.850pt;height:45.7pt;mso-position-horizontal-relative:char;mso-position-vertical-relative:line" coordorigin="0,0" coordsize="1637,914">
                  <v:group style="position:absolute;left:0;top:0;width:1637;height:914" coordorigin="0,0" coordsize="1637,914">
                    <v:shape style="position:absolute;left:0;top:0;width:1637;height:914" coordorigin="0,0" coordsize="1637,914" path="m0,913l1637,913,1637,0,0,0,0,913xe" filled="true" fillcolor="#ffffff" stroked="false">
                      <v:path arrowok="t"/>
                      <v:fill type="solid"/>
                    </v:shape>
                  </v:group>
                </v:group>
              </w:pict>
            </w:r>
            <w:r>
              <w:rPr>
                <w:rFonts w:ascii="宋体" w:hAnsi="宋体" w:cs="宋体" w:eastAsia="宋体" w:hint="default"/>
                <w:position w:val="-17"/>
                <w:sz w:val="20"/>
                <w:szCs w:val="20"/>
              </w:rPr>
            </w:r>
          </w:p>
          <w:p>
            <w:pPr>
              <w:pStyle w:val="TableParagraph"/>
              <w:spacing w:line="240" w:lineRule="auto" w:before="10"/>
              <w:ind w:right="10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3"/>
                <w:szCs w:val="23"/>
              </w:rPr>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37" w:lineRule="auto"/>
              <w:ind w:left="22" w:right="-27"/>
              <w:jc w:val="left"/>
              <w:rPr>
                <w:rFonts w:ascii="宋体" w:hAnsi="宋体" w:cs="宋体" w:eastAsia="宋体" w:hint="default"/>
                <w:sz w:val="18"/>
                <w:szCs w:val="18"/>
              </w:rPr>
            </w:pPr>
            <w:r>
              <w:rPr>
                <w:rFonts w:ascii="宋体" w:hAnsi="宋体" w:cs="宋体" w:eastAsia="宋体" w:hint="default"/>
                <w:spacing w:val="-6"/>
                <w:sz w:val="18"/>
                <w:szCs w:val="18"/>
              </w:rPr>
              <w:t>截至本报告日，本承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诺仍在履行过程中， 承诺人无违反本承 诺的情况。</w:t>
            </w:r>
          </w:p>
        </w:tc>
      </w:tr>
    </w:tbl>
    <w:p>
      <w:pPr>
        <w:spacing w:after="0" w:line="237" w:lineRule="auto"/>
        <w:jc w:val="left"/>
        <w:rPr>
          <w:rFonts w:ascii="宋体" w:hAnsi="宋体" w:cs="宋体" w:eastAsia="宋体" w:hint="default"/>
          <w:sz w:val="18"/>
          <w:szCs w:val="18"/>
        </w:rPr>
        <w:sectPr>
          <w:headerReference w:type="default" r:id="rId23"/>
          <w:footerReference w:type="default" r:id="rId24"/>
          <w:pgSz w:w="16840" w:h="11910" w:orient="landscape"/>
          <w:pgMar w:header="867" w:footer="979" w:top="1060" w:bottom="1160" w:left="1280" w:right="1300"/>
          <w:pgNumType w:start="35"/>
        </w:sectPr>
      </w:pPr>
    </w:p>
    <w:p>
      <w:pPr>
        <w:spacing w:line="240" w:lineRule="auto" w:before="4"/>
        <w:rPr>
          <w:rFonts w:ascii="Times New Roman" w:hAnsi="Times New Roman" w:cs="Times New Roman" w:eastAsia="Times New Roman" w:hint="default"/>
          <w:sz w:val="3"/>
          <w:szCs w:val="3"/>
        </w:rPr>
      </w:pPr>
      <w:r>
        <w:rPr/>
        <w:pict>
          <v:group style="position:absolute;margin-left:525.820007pt;margin-top:73.380005pt;width:81.850pt;height:60.9pt;mso-position-horizontal-relative:page;mso-position-vertical-relative:page;z-index:-1466200" coordorigin="10516,1468" coordsize="1637,1218">
            <v:group style="position:absolute;left:10516;top:1468;width:1637;height:741" coordorigin="10516,1468" coordsize="1637,741">
              <v:shape style="position:absolute;left:10516;top:1468;width:1637;height:741" coordorigin="10516,1468" coordsize="1637,741" path="m10516,2208l12153,2208,12153,1468,10516,1468,10516,2208xe" filled="true" fillcolor="#ffffff" stroked="false">
                <v:path arrowok="t"/>
                <v:fill type="solid"/>
              </v:shape>
            </v:group>
            <v:group style="position:absolute;left:10516;top:2218;width:1637;height:467" coordorigin="10516,2218" coordsize="1637,467">
              <v:shape style="position:absolute;left:10516;top:2218;width:1637;height:467" coordorigin="10516,2218" coordsize="1637,467" path="m10516,2685l12153,2685,12153,2218,10516,2218,10516,2685xe" filled="true" fillcolor="#ffffff" stroked="false">
                <v:path arrowok="t"/>
                <v:fill type="solid"/>
              </v:shape>
            </v:group>
            <w10:wrap type="none"/>
          </v:group>
        </w:pict>
      </w:r>
      <w:r>
        <w:rPr/>
        <w:pict>
          <v:group style="position:absolute;margin-left:525.820007pt;margin-top:149.900009pt;width:81.850pt;height:23.35pt;mso-position-horizontal-relative:page;mso-position-vertical-relative:page;z-index:-1466176" coordorigin="10516,2998" coordsize="1637,467">
            <v:shape style="position:absolute;left:10516;top:2998;width:1637;height:467" coordorigin="10516,2998" coordsize="1637,467" path="m10516,3465l12153,3465,12153,2998,10516,2998,10516,3465xe" filled="true" fillcolor="#ffffff" stroked="false">
              <v:path arrowok="t"/>
              <v:fill type="solid"/>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1730"/>
        <w:gridCol w:w="1418"/>
        <w:gridCol w:w="1276"/>
        <w:gridCol w:w="4674"/>
        <w:gridCol w:w="1649"/>
        <w:gridCol w:w="1642"/>
        <w:gridCol w:w="1626"/>
      </w:tblGrid>
      <w:tr>
        <w:trPr>
          <w:trHeight w:val="338" w:hRule="exact"/>
        </w:trPr>
        <w:tc>
          <w:tcPr>
            <w:tcW w:w="173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99"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41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4"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72"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467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649"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164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5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62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4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50" w:hRule="exact"/>
        </w:trPr>
        <w:tc>
          <w:tcPr>
            <w:tcW w:w="1730" w:type="dxa"/>
            <w:vMerge w:val="restart"/>
            <w:tcBorders>
              <w:top w:val="single" w:sz="4" w:space="0" w:color="000000"/>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pacing w:val="-3"/>
                <w:sz w:val="18"/>
                <w:szCs w:val="18"/>
              </w:rPr>
              <w:t>按照有关法律、法规、上市公司章程的规定履行关联交易的</w:t>
            </w:r>
          </w:p>
          <w:p>
            <w:pPr>
              <w:pStyle w:val="TableParagraph"/>
              <w:spacing w:line="240" w:lineRule="auto"/>
              <w:ind w:left="22" w:right="-39"/>
              <w:jc w:val="left"/>
              <w:rPr>
                <w:rFonts w:ascii="宋体" w:hAnsi="宋体" w:cs="宋体" w:eastAsia="宋体" w:hint="default"/>
                <w:sz w:val="18"/>
                <w:szCs w:val="18"/>
              </w:rPr>
            </w:pPr>
            <w:r>
              <w:rPr>
                <w:rFonts w:ascii="宋体" w:hAnsi="宋体" w:cs="宋体" w:eastAsia="宋体" w:hint="default"/>
                <w:spacing w:val="-3"/>
                <w:sz w:val="18"/>
                <w:szCs w:val="18"/>
              </w:rPr>
              <w:t>信息披露义务。本公司保证不利用关联交易非法转移上市公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司的资金、利润，不利用关联交易损害非关联股东的利益。</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r>
      <w:tr>
        <w:trPr>
          <w:trHeight w:val="1256" w:hRule="exact"/>
        </w:trPr>
        <w:tc>
          <w:tcPr>
            <w:tcW w:w="1730" w:type="dxa"/>
            <w:vMerge/>
            <w:tcBorders>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3" w:right="20"/>
              <w:jc w:val="left"/>
              <w:rPr>
                <w:rFonts w:ascii="宋体" w:hAnsi="宋体" w:cs="宋体" w:eastAsia="宋体" w:hint="default"/>
                <w:sz w:val="18"/>
                <w:szCs w:val="18"/>
              </w:rPr>
            </w:pPr>
            <w:r>
              <w:rPr>
                <w:rFonts w:ascii="宋体" w:hAnsi="宋体" w:cs="宋体" w:eastAsia="宋体" w:hint="default"/>
                <w:spacing w:val="-10"/>
                <w:sz w:val="18"/>
                <w:szCs w:val="18"/>
              </w:rPr>
              <w:t>郭为、中信建投基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金、标的资产核心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管理团队、王晓 </w:t>
            </w:r>
            <w:r>
              <w:rPr>
                <w:rFonts w:ascii="宋体" w:hAnsi="宋体" w:cs="宋体" w:eastAsia="宋体" w:hint="default"/>
                <w:spacing w:val="-10"/>
                <w:sz w:val="18"/>
                <w:szCs w:val="18"/>
              </w:rPr>
              <w:t>岩、王廷月、钱学</w:t>
            </w:r>
            <w:r>
              <w:rPr>
                <w:rFonts w:ascii="宋体" w:hAnsi="宋体" w:cs="宋体" w:eastAsia="宋体" w:hint="default"/>
                <w:sz w:val="18"/>
                <w:szCs w:val="18"/>
              </w:rPr>
              <w:t> 宁、张明</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4674" w:type="dxa"/>
            <w:tcBorders>
              <w:top w:val="single" w:sz="4" w:space="0" w:color="000000"/>
              <w:left w:val="single" w:sz="4" w:space="0" w:color="000000"/>
              <w:bottom w:val="single" w:sz="4" w:space="0" w:color="000000"/>
              <w:right w:val="single" w:sz="9" w:space="0" w:color="FFFFFF"/>
            </w:tcBorders>
          </w:tcPr>
          <w:p>
            <w:pPr>
              <w:pStyle w:val="TableParagraph"/>
              <w:spacing w:line="237" w:lineRule="auto" w:before="128"/>
              <w:ind w:left="22" w:right="-45"/>
              <w:jc w:val="both"/>
              <w:rPr>
                <w:rFonts w:ascii="宋体" w:hAnsi="宋体" w:cs="宋体" w:eastAsia="宋体" w:hint="default"/>
                <w:sz w:val="18"/>
                <w:szCs w:val="18"/>
              </w:rPr>
            </w:pPr>
            <w:r>
              <w:rPr>
                <w:rFonts w:ascii="宋体" w:hAnsi="宋体" w:cs="宋体" w:eastAsia="宋体" w:hint="default"/>
                <w:sz w:val="18"/>
                <w:szCs w:val="18"/>
              </w:rPr>
              <w:t>自该等股份上市之日起三十六个月内将不以任何方式转让， 包括但不限于通过证券市场公开转让或通过协议方式转让。 由于深信泰丰送红股、转增股本等原因而导致增持的股份， 亦遵照上述锁定期进行锁定。</w:t>
            </w:r>
          </w:p>
        </w:tc>
        <w:tc>
          <w:tcPr>
            <w:tcW w:w="1649"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8"/>
              <w:ind w:left="22" w:right="22"/>
              <w:jc w:val="left"/>
              <w:rPr>
                <w:rFonts w:ascii="宋体" w:hAnsi="宋体" w:cs="宋体" w:eastAsia="宋体" w:hint="default"/>
                <w:sz w:val="18"/>
                <w:szCs w:val="18"/>
              </w:rPr>
            </w:pPr>
            <w:r>
              <w:rPr>
                <w:rFonts w:ascii="宋体" w:hAnsi="宋体" w:cs="宋体" w:eastAsia="宋体" w:hint="default"/>
                <w:spacing w:val="-6"/>
                <w:sz w:val="18"/>
                <w:szCs w:val="18"/>
              </w:rPr>
              <w:t>截至本报告日，本承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诺已履行完毕，承诺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人无违反本承诺的 情况。</w:t>
            </w:r>
          </w:p>
        </w:tc>
      </w:tr>
      <w:tr>
        <w:trPr>
          <w:trHeight w:val="1025" w:hRule="exact"/>
        </w:trPr>
        <w:tc>
          <w:tcPr>
            <w:tcW w:w="1730" w:type="dxa"/>
            <w:vMerge/>
            <w:tcBorders>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161"/>
              <w:jc w:val="both"/>
              <w:rPr>
                <w:rFonts w:ascii="宋体" w:hAnsi="宋体" w:cs="宋体" w:eastAsia="宋体" w:hint="default"/>
                <w:sz w:val="18"/>
                <w:szCs w:val="18"/>
              </w:rPr>
            </w:pPr>
            <w:r>
              <w:rPr>
                <w:rFonts w:ascii="宋体" w:hAnsi="宋体" w:cs="宋体" w:eastAsia="宋体" w:hint="default"/>
                <w:sz w:val="18"/>
                <w:szCs w:val="18"/>
              </w:rPr>
              <w:t>关于未来三年 不放弃上市公 司控制权的承 诺</w:t>
            </w:r>
          </w:p>
        </w:tc>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35"/>
              <w:ind w:left="22" w:right="20"/>
              <w:jc w:val="both"/>
              <w:rPr>
                <w:rFonts w:ascii="宋体" w:hAnsi="宋体" w:cs="宋体" w:eastAsia="宋体" w:hint="default"/>
                <w:sz w:val="18"/>
                <w:szCs w:val="18"/>
              </w:rPr>
            </w:pPr>
            <w:r>
              <w:rPr>
                <w:rFonts w:ascii="宋体" w:hAnsi="宋体" w:cs="宋体" w:eastAsia="宋体" w:hint="default"/>
                <w:spacing w:val="-3"/>
                <w:sz w:val="18"/>
                <w:szCs w:val="18"/>
              </w:rPr>
              <w:t>在本次交易完成后，本人作为上市公司的控股股东、实际控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制人，承诺在本次交易完成后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个月内不主动放弃上市公 司的控股股东及实际控制人地位。</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23"/>
              <w:jc w:val="left"/>
              <w:rPr>
                <w:rFonts w:ascii="宋体" w:hAnsi="宋体" w:cs="宋体" w:eastAsia="宋体" w:hint="default"/>
                <w:sz w:val="18"/>
                <w:szCs w:val="18"/>
              </w:rPr>
            </w:pPr>
            <w:r>
              <w:rPr>
                <w:rFonts w:ascii="宋体" w:hAnsi="宋体" w:cs="宋体" w:eastAsia="宋体" w:hint="default"/>
                <w:spacing w:val="-6"/>
                <w:sz w:val="18"/>
                <w:szCs w:val="18"/>
              </w:rPr>
              <w:t>截至本报告日，本承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诺已履行完毕，承诺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人无违反本承诺的 情况。</w:t>
            </w:r>
          </w:p>
        </w:tc>
      </w:tr>
      <w:tr>
        <w:trPr>
          <w:trHeight w:val="1724" w:hRule="exact"/>
        </w:trPr>
        <w:tc>
          <w:tcPr>
            <w:tcW w:w="1730" w:type="dxa"/>
            <w:vMerge/>
            <w:tcBorders>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王晓岩</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37" w:lineRule="auto"/>
              <w:ind w:left="22" w:right="161"/>
              <w:jc w:val="both"/>
              <w:rPr>
                <w:rFonts w:ascii="宋体" w:hAnsi="宋体" w:cs="宋体" w:eastAsia="宋体" w:hint="default"/>
                <w:sz w:val="18"/>
                <w:szCs w:val="18"/>
              </w:rPr>
            </w:pPr>
            <w:r>
              <w:rPr>
                <w:rFonts w:ascii="宋体" w:hAnsi="宋体" w:cs="宋体" w:eastAsia="宋体" w:hint="default"/>
                <w:sz w:val="18"/>
                <w:szCs w:val="18"/>
              </w:rPr>
              <w:t>关于未来不谋 求上市公司控 制权的承诺</w:t>
            </w:r>
          </w:p>
        </w:tc>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20"/>
              <w:jc w:val="both"/>
              <w:rPr>
                <w:rFonts w:ascii="宋体" w:hAnsi="宋体" w:cs="宋体" w:eastAsia="宋体" w:hint="default"/>
                <w:sz w:val="18"/>
                <w:szCs w:val="18"/>
              </w:rPr>
            </w:pPr>
            <w:r>
              <w:rPr>
                <w:rFonts w:ascii="宋体" w:hAnsi="宋体" w:cs="宋体" w:eastAsia="宋体" w:hint="default"/>
                <w:spacing w:val="-3"/>
                <w:sz w:val="18"/>
                <w:szCs w:val="18"/>
              </w:rPr>
              <w:t>在重大资产购买完成后，本人直接或间接持有上市公司股份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期间，本人将仅依据公司、证券法等中国法律法规独立行使</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本人作为上市公司股东的权利，不会通过任何方式（包括但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不限于在二级市场上增持上市公司股份、协议受让上市公司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股份、认购上市公司新增股份、与上市公司其他任何直接或</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间接股东形成一致行动关系等方式）谋求对上市公司的控制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地位或对上市公司控制权的影响。</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right="10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55"/>
              <w:ind w:left="22" w:right="-27"/>
              <w:jc w:val="left"/>
              <w:rPr>
                <w:rFonts w:ascii="宋体" w:hAnsi="宋体" w:cs="宋体" w:eastAsia="宋体" w:hint="default"/>
                <w:sz w:val="18"/>
                <w:szCs w:val="18"/>
              </w:rPr>
            </w:pPr>
            <w:r>
              <w:rPr>
                <w:rFonts w:ascii="宋体" w:hAnsi="宋体" w:cs="宋体" w:eastAsia="宋体" w:hint="default"/>
                <w:spacing w:val="-6"/>
                <w:sz w:val="18"/>
                <w:szCs w:val="18"/>
              </w:rPr>
              <w:t>截至本报告日，本承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诺仍在履行过程中， 承诺人无违反本承 诺的情况。</w:t>
            </w:r>
          </w:p>
        </w:tc>
      </w:tr>
      <w:tr>
        <w:trPr>
          <w:trHeight w:val="2192" w:hRule="exact"/>
        </w:trPr>
        <w:tc>
          <w:tcPr>
            <w:tcW w:w="1730" w:type="dxa"/>
            <w:vMerge/>
            <w:tcBorders>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3" w:right="20"/>
              <w:jc w:val="both"/>
              <w:rPr>
                <w:rFonts w:ascii="宋体" w:hAnsi="宋体" w:cs="宋体" w:eastAsia="宋体" w:hint="default"/>
                <w:sz w:val="18"/>
                <w:szCs w:val="18"/>
              </w:rPr>
            </w:pPr>
            <w:r>
              <w:rPr>
                <w:rFonts w:ascii="宋体" w:hAnsi="宋体" w:cs="宋体" w:eastAsia="宋体" w:hint="default"/>
                <w:spacing w:val="-10"/>
                <w:sz w:val="18"/>
                <w:szCs w:val="18"/>
              </w:rPr>
              <w:t>郭为、中信建投基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金、标的资产核心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管理团队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161"/>
              <w:jc w:val="left"/>
              <w:rPr>
                <w:rFonts w:ascii="宋体" w:hAnsi="宋体" w:cs="宋体" w:eastAsia="宋体" w:hint="default"/>
                <w:sz w:val="18"/>
                <w:szCs w:val="18"/>
              </w:rPr>
            </w:pPr>
            <w:r>
              <w:rPr>
                <w:rFonts w:ascii="宋体" w:hAnsi="宋体" w:cs="宋体" w:eastAsia="宋体" w:hint="default"/>
                <w:sz w:val="18"/>
                <w:szCs w:val="18"/>
              </w:rPr>
              <w:t>业绩承诺及补 偿安排</w:t>
            </w:r>
          </w:p>
        </w:tc>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9"/>
              <w:ind w:left="22" w:right="21"/>
              <w:jc w:val="left"/>
              <w:rPr>
                <w:rFonts w:ascii="宋体" w:hAnsi="宋体" w:cs="宋体" w:eastAsia="宋体" w:hint="default"/>
                <w:sz w:val="18"/>
                <w:szCs w:val="18"/>
              </w:rPr>
            </w:pPr>
            <w:r>
              <w:rPr>
                <w:rFonts w:ascii="宋体" w:hAnsi="宋体" w:cs="宋体" w:eastAsia="宋体" w:hint="default"/>
                <w:sz w:val="18"/>
                <w:szCs w:val="18"/>
              </w:rPr>
              <w:t>标的公司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年实现的经审 </w:t>
            </w:r>
            <w:r>
              <w:rPr>
                <w:rFonts w:ascii="宋体" w:hAnsi="宋体" w:cs="宋体" w:eastAsia="宋体" w:hint="default"/>
                <w:spacing w:val="-3"/>
                <w:sz w:val="18"/>
                <w:szCs w:val="18"/>
              </w:rPr>
              <w:t>计的扣除非经常性损益归属于母公司股东的税后净利润（该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等非经常性损益不应包括标的资产溢余资金所产生的收益 </w:t>
            </w:r>
            <w:r>
              <w:rPr>
                <w:rFonts w:ascii="宋体" w:hAnsi="宋体" w:cs="宋体" w:eastAsia="宋体" w:hint="default"/>
                <w:spacing w:val="-3"/>
                <w:sz w:val="18"/>
                <w:szCs w:val="18"/>
              </w:rPr>
              <w:t>中按照会计准则规定确定为非经常性损益的部分）的税后净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利润分别不低于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30,225.79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32,774.95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33,454.66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34,149.36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万元。标的公司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年的累计实现净利润应不低于累计承诺净利润， </w:t>
            </w:r>
            <w:r>
              <w:rPr>
                <w:rFonts w:ascii="宋体" w:hAnsi="宋体" w:cs="宋体" w:eastAsia="宋体" w:hint="default"/>
                <w:spacing w:val="-3"/>
                <w:sz w:val="18"/>
                <w:szCs w:val="18"/>
              </w:rPr>
              <w:t>否则郭为、中信建投基金及标的资产核心管理团队应按照协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议约定对发行人予以补偿。</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right="10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37" w:lineRule="auto"/>
              <w:ind w:left="22" w:right="22"/>
              <w:jc w:val="left"/>
              <w:rPr>
                <w:rFonts w:ascii="宋体" w:hAnsi="宋体" w:cs="宋体" w:eastAsia="宋体" w:hint="default"/>
                <w:sz w:val="18"/>
                <w:szCs w:val="18"/>
              </w:rPr>
            </w:pPr>
            <w:r>
              <w:rPr>
                <w:rFonts w:ascii="宋体" w:hAnsi="宋体" w:cs="宋体" w:eastAsia="宋体" w:hint="default"/>
                <w:spacing w:val="-6"/>
                <w:sz w:val="18"/>
                <w:szCs w:val="18"/>
              </w:rPr>
              <w:t>截至本报告日，本承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诺已履行完毕，承诺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人无违反本承诺的 情况。</w:t>
            </w:r>
          </w:p>
        </w:tc>
      </w:tr>
      <w:tr>
        <w:trPr>
          <w:trHeight w:val="2152" w:hRule="exact"/>
        </w:trPr>
        <w:tc>
          <w:tcPr>
            <w:tcW w:w="1730"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37" w:lineRule="auto"/>
              <w:ind w:left="23" w:right="20"/>
              <w:jc w:val="left"/>
              <w:rPr>
                <w:rFonts w:ascii="宋体" w:hAnsi="宋体" w:cs="宋体" w:eastAsia="宋体" w:hint="default"/>
                <w:sz w:val="18"/>
                <w:szCs w:val="18"/>
              </w:rPr>
            </w:pPr>
            <w:r>
              <w:rPr>
                <w:rFonts w:ascii="宋体" w:hAnsi="宋体" w:cs="宋体" w:eastAsia="宋体" w:hint="default"/>
                <w:spacing w:val="-10"/>
                <w:sz w:val="18"/>
                <w:szCs w:val="18"/>
              </w:rPr>
              <w:t>郭为、中信建投基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金、标的资产核心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管理团队、王廷 </w:t>
            </w:r>
            <w:r>
              <w:rPr>
                <w:rFonts w:ascii="宋体" w:hAnsi="宋体" w:cs="宋体" w:eastAsia="宋体" w:hint="default"/>
                <w:spacing w:val="-10"/>
                <w:sz w:val="18"/>
                <w:szCs w:val="18"/>
              </w:rPr>
              <w:t>月、王晓岩、钱学</w:t>
            </w:r>
            <w:r>
              <w:rPr>
                <w:rFonts w:ascii="宋体" w:hAnsi="宋体" w:cs="宋体" w:eastAsia="宋体" w:hint="default"/>
                <w:sz w:val="18"/>
                <w:szCs w:val="18"/>
              </w:rPr>
              <w:t> 宁、张明</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13"/>
              <w:ind w:left="22" w:right="20"/>
              <w:jc w:val="left"/>
              <w:rPr>
                <w:rFonts w:ascii="宋体" w:hAnsi="宋体" w:cs="宋体" w:eastAsia="宋体"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公司已向上市公司及为本次非公开发行提供审计、评 </w:t>
            </w:r>
            <w:r>
              <w:rPr>
                <w:rFonts w:ascii="宋体" w:hAnsi="宋体" w:cs="宋体" w:eastAsia="宋体" w:hint="default"/>
                <w:spacing w:val="-3"/>
                <w:sz w:val="18"/>
                <w:szCs w:val="18"/>
              </w:rPr>
              <w:t>估、法律及财务顾问专业服务的中介机构提供了与本人有关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的相关信息和文件（包括但不限于原始书面材料、副本材料</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5"/>
                <w:sz w:val="18"/>
                <w:szCs w:val="18"/>
              </w:rPr>
              <w:t>或口头证言等），本人</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公司保证：所提供的文件资料的副本</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或复印件与正本或原件一致，且该等文件资料的签字与印章</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都是真实的；保证所提供信息和文件真实、准确和完整，不</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存在虚假记载、误导性陈述或者重大遗漏，并对所提供信息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的真实性、准确性和完整性承担个别及连带的法律责任。在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参与本次非公开发行期间，本人</w:t>
            </w:r>
            <w:r>
              <w:rPr>
                <w:rFonts w:ascii="Times New Roman" w:hAnsi="Times New Roman" w:cs="Times New Roman" w:eastAsia="Times New Roman" w:hint="default"/>
                <w:sz w:val="18"/>
                <w:szCs w:val="18"/>
              </w:rPr>
              <w:t>/</w:t>
            </w:r>
            <w:r>
              <w:rPr>
                <w:rFonts w:ascii="宋体" w:hAnsi="宋体" w:cs="宋体" w:eastAsia="宋体" w:hint="default"/>
                <w:sz w:val="18"/>
                <w:szCs w:val="18"/>
              </w:rPr>
              <w:t>公司将依照相关法律、法</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0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61"/>
              <w:ind w:left="22" w:right="-27"/>
              <w:jc w:val="left"/>
              <w:rPr>
                <w:rFonts w:ascii="宋体" w:hAnsi="宋体" w:cs="宋体" w:eastAsia="宋体" w:hint="default"/>
                <w:sz w:val="18"/>
                <w:szCs w:val="18"/>
              </w:rPr>
            </w:pPr>
            <w:r>
              <w:rPr>
                <w:rFonts w:ascii="宋体" w:hAnsi="宋体" w:cs="宋体" w:eastAsia="宋体" w:hint="default"/>
                <w:spacing w:val="-6"/>
                <w:sz w:val="18"/>
                <w:szCs w:val="18"/>
              </w:rPr>
              <w:t>截至本报告日，本承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诺仍在履行过程中， 承诺人无违反本承 诺的情况。</w:t>
            </w:r>
          </w:p>
        </w:tc>
      </w:tr>
    </w:tbl>
    <w:p>
      <w:pPr>
        <w:spacing w:after="0" w:line="237" w:lineRule="auto"/>
        <w:jc w:val="left"/>
        <w:rPr>
          <w:rFonts w:ascii="宋体" w:hAnsi="宋体" w:cs="宋体" w:eastAsia="宋体" w:hint="default"/>
          <w:sz w:val="18"/>
          <w:szCs w:val="18"/>
        </w:rPr>
        <w:sectPr>
          <w:pgSz w:w="16840" w:h="11910" w:orient="landscape"/>
          <w:pgMar w:header="867" w:footer="979" w:top="1060" w:bottom="1160" w:left="1300" w:right="1300"/>
        </w:sectPr>
      </w:pPr>
    </w:p>
    <w:p>
      <w:pPr>
        <w:spacing w:line="240" w:lineRule="auto" w:before="4"/>
        <w:rPr>
          <w:rFonts w:ascii="Times New Roman" w:hAnsi="Times New Roman" w:cs="Times New Roman" w:eastAsia="Times New Roman" w:hint="default"/>
          <w:sz w:val="3"/>
          <w:szCs w:val="3"/>
        </w:rPr>
      </w:pPr>
      <w:r>
        <w:rPr/>
        <w:pict>
          <v:group style="position:absolute;margin-left:525.820007pt;margin-top:478.920013pt;width:81.850pt;height:51.55pt;mso-position-horizontal-relative:page;mso-position-vertical-relative:page;z-index:-1466152" coordorigin="10516,9578" coordsize="1637,1031">
            <v:shape style="position:absolute;left:10516;top:9578;width:1637;height:1031" coordorigin="10516,9578" coordsize="1637,1031" path="m10516,10609l12153,10609,12153,9578,10516,9578,10516,10609xe" filled="true" fillcolor="#ffffff" stroked="false">
              <v:path arrowok="t"/>
              <v:fill type="solid"/>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1730"/>
        <w:gridCol w:w="1418"/>
        <w:gridCol w:w="1276"/>
        <w:gridCol w:w="4674"/>
        <w:gridCol w:w="1649"/>
        <w:gridCol w:w="1642"/>
        <w:gridCol w:w="1626"/>
      </w:tblGrid>
      <w:tr>
        <w:trPr>
          <w:trHeight w:val="338" w:hRule="exact"/>
        </w:trPr>
        <w:tc>
          <w:tcPr>
            <w:tcW w:w="173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99"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41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4"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72"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467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649"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164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5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62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4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983" w:hRule="exact"/>
        </w:trPr>
        <w:tc>
          <w:tcPr>
            <w:tcW w:w="1730" w:type="dxa"/>
            <w:vMerge w:val="restart"/>
            <w:tcBorders>
              <w:top w:val="single" w:sz="4" w:space="0" w:color="000000"/>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both"/>
              <w:rPr>
                <w:rFonts w:ascii="宋体" w:hAnsi="宋体" w:cs="宋体" w:eastAsia="宋体" w:hint="default"/>
                <w:sz w:val="18"/>
                <w:szCs w:val="18"/>
              </w:rPr>
            </w:pPr>
            <w:r>
              <w:rPr>
                <w:rFonts w:ascii="宋体" w:hAnsi="宋体" w:cs="宋体" w:eastAsia="宋体" w:hint="default"/>
                <w:spacing w:val="-3"/>
                <w:sz w:val="18"/>
                <w:szCs w:val="18"/>
              </w:rPr>
              <w:t>规、规章、中国证券监督管理委员会和深圳证券交易所的有</w:t>
            </w:r>
          </w:p>
          <w:p>
            <w:pPr>
              <w:pStyle w:val="TableParagraph"/>
              <w:spacing w:line="237" w:lineRule="auto"/>
              <w:ind w:left="22" w:right="20"/>
              <w:jc w:val="both"/>
              <w:rPr>
                <w:rFonts w:ascii="宋体" w:hAnsi="宋体" w:cs="宋体" w:eastAsia="宋体" w:hint="default"/>
                <w:sz w:val="18"/>
                <w:szCs w:val="18"/>
              </w:rPr>
            </w:pPr>
            <w:r>
              <w:rPr>
                <w:rFonts w:ascii="宋体" w:hAnsi="宋体" w:cs="宋体" w:eastAsia="宋体" w:hint="default"/>
                <w:spacing w:val="-3"/>
                <w:sz w:val="18"/>
                <w:szCs w:val="18"/>
              </w:rPr>
              <w:t>关规定，及时向上市公司披露有关本次交易的信息，并保证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该等信息的真实性、准确性和完整性，保证该等信息不存在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虚假记载、误导性陈述或者重大遗漏。</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r>
      <w:tr>
        <w:trPr>
          <w:trHeight w:val="1024" w:hRule="exact"/>
        </w:trPr>
        <w:tc>
          <w:tcPr>
            <w:tcW w:w="1730" w:type="dxa"/>
            <w:vMerge/>
            <w:tcBorders>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9"/>
              <w:ind w:left="23" w:right="20"/>
              <w:jc w:val="left"/>
              <w:rPr>
                <w:rFonts w:ascii="宋体" w:hAnsi="宋体" w:cs="宋体" w:eastAsia="宋体" w:hint="default"/>
                <w:sz w:val="18"/>
                <w:szCs w:val="18"/>
              </w:rPr>
            </w:pPr>
            <w:r>
              <w:rPr>
                <w:rFonts w:ascii="宋体" w:hAnsi="宋体" w:cs="宋体" w:eastAsia="宋体" w:hint="default"/>
                <w:spacing w:val="-10"/>
                <w:sz w:val="18"/>
                <w:szCs w:val="18"/>
              </w:rPr>
              <w:t>中信建投基金、标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的资产核心管理 团队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21"/>
              <w:jc w:val="both"/>
              <w:rPr>
                <w:rFonts w:ascii="宋体" w:hAnsi="宋体" w:cs="宋体" w:eastAsia="宋体" w:hint="default"/>
                <w:sz w:val="18"/>
                <w:szCs w:val="18"/>
              </w:rPr>
            </w:pPr>
            <w:r>
              <w:rPr>
                <w:rFonts w:ascii="宋体" w:hAnsi="宋体" w:cs="宋体" w:eastAsia="宋体" w:hint="default"/>
                <w:spacing w:val="-3"/>
                <w:sz w:val="18"/>
                <w:szCs w:val="18"/>
              </w:rPr>
              <w:t>资管计划的认购人均为自主认购资管计划份额，为资管计划</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份额的真实持有人和最终受益人，任何第三方就该等认购人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所持资管计划份额均不享有任何权利。资管计划的委托人之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间不存在分级收益等结构化安排。</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27"/>
              <w:jc w:val="left"/>
              <w:rPr>
                <w:rFonts w:ascii="宋体" w:hAnsi="宋体" w:cs="宋体" w:eastAsia="宋体" w:hint="default"/>
                <w:sz w:val="18"/>
                <w:szCs w:val="18"/>
              </w:rPr>
            </w:pPr>
            <w:r>
              <w:rPr>
                <w:rFonts w:ascii="宋体" w:hAnsi="宋体" w:cs="宋体" w:eastAsia="宋体" w:hint="default"/>
                <w:spacing w:val="-6"/>
                <w:sz w:val="18"/>
                <w:szCs w:val="18"/>
              </w:rPr>
              <w:t>截至本报告日，本承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诺仍在履行过程中， 承诺人无违反本承 诺的情况。</w:t>
            </w:r>
          </w:p>
        </w:tc>
      </w:tr>
      <w:tr>
        <w:trPr>
          <w:trHeight w:val="4760" w:hRule="exact"/>
        </w:trPr>
        <w:tc>
          <w:tcPr>
            <w:tcW w:w="1730" w:type="dxa"/>
            <w:vMerge/>
            <w:tcBorders>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left="22" w:right="161"/>
              <w:jc w:val="both"/>
              <w:rPr>
                <w:rFonts w:ascii="宋体" w:hAnsi="宋体" w:cs="宋体" w:eastAsia="宋体" w:hint="default"/>
                <w:sz w:val="18"/>
                <w:szCs w:val="18"/>
              </w:rPr>
            </w:pPr>
            <w:r>
              <w:rPr>
                <w:rFonts w:ascii="宋体" w:hAnsi="宋体" w:cs="宋体" w:eastAsia="宋体" w:hint="default"/>
                <w:sz w:val="18"/>
                <w:szCs w:val="18"/>
              </w:rPr>
              <w:t>关于防止关联 资金占用的承 诺</w:t>
            </w:r>
          </w:p>
        </w:tc>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14"/>
              <w:ind w:left="22" w:right="19"/>
              <w:jc w:val="left"/>
              <w:rPr>
                <w:rFonts w:ascii="宋体" w:hAnsi="宋体" w:cs="宋体" w:eastAsia="宋体" w:hint="default"/>
                <w:sz w:val="18"/>
                <w:szCs w:val="18"/>
              </w:rPr>
            </w:pPr>
            <w:r>
              <w:rPr>
                <w:rFonts w:ascii="宋体" w:hAnsi="宋体" w:cs="宋体" w:eastAsia="宋体" w:hint="default"/>
                <w:spacing w:val="-3"/>
                <w:sz w:val="18"/>
                <w:szCs w:val="18"/>
              </w:rPr>
              <w:t>本次交易完成之后，本人保证依法行使股东权利，不因滥用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股东权利而损害上市公司或者其他股东的利益。本人及与本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人关系密切的家庭成员（</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关系密切的家庭成员</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指配偶、父</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母及配偶的父母、兄弟姐妹及其配偶、年满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周岁的子女 </w:t>
            </w:r>
            <w:r>
              <w:rPr>
                <w:rFonts w:ascii="宋体" w:hAnsi="宋体" w:cs="宋体" w:eastAsia="宋体" w:hint="default"/>
                <w:spacing w:val="-3"/>
                <w:sz w:val="18"/>
                <w:szCs w:val="18"/>
              </w:rPr>
              <w:t>及其配偶、配偶的兄弟姐妹和子女配偶的父母）等关联方目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前不存在且将来也不会以任何方式违法违规占用上市公司 及其纳入合并财务报表范围内的子公司（以下简称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 司及其子公司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）资金或要求上市公司及其子公司违法违规 </w:t>
            </w:r>
            <w:r>
              <w:rPr>
                <w:rFonts w:ascii="宋体" w:hAnsi="宋体" w:cs="宋体" w:eastAsia="宋体" w:hint="default"/>
                <w:spacing w:val="-3"/>
                <w:sz w:val="18"/>
                <w:szCs w:val="18"/>
              </w:rPr>
              <w:t>提供担保。若本人或与本人关系密切的家庭成员等关联方存</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在违法违规占用上市公司及其子公司资金、要求上市公司及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其子公司违法违规提供担保的情况，则本人保证并促使与本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人关系密切的家庭成员等关联方将占用资金及相应利息（以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同期银行存款基准利率计算）全部归还；对于违规提供的担</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保及时进行解除，并同意在违规担保全部解除前不转让所持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有、控制的上市公司股份，并授权上市公司董事会办理股份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锁定手续；若本人或与本人关系密切的家庭成员等关联方因</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违法违规占用上市公司及其子公司资金或要求上市公司及 其子公司违法违规提供担保而对上市公司及其子公司造成 任何经济损失，本人承诺对该等经济损失承担全部赔偿责 任。</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37" w:lineRule="auto"/>
              <w:ind w:left="22" w:right="-27"/>
              <w:jc w:val="left"/>
              <w:rPr>
                <w:rFonts w:ascii="宋体" w:hAnsi="宋体" w:cs="宋体" w:eastAsia="宋体" w:hint="default"/>
                <w:sz w:val="18"/>
                <w:szCs w:val="18"/>
              </w:rPr>
            </w:pPr>
            <w:r>
              <w:rPr>
                <w:rFonts w:ascii="宋体" w:hAnsi="宋体" w:cs="宋体" w:eastAsia="宋体" w:hint="default"/>
                <w:spacing w:val="-6"/>
                <w:sz w:val="18"/>
                <w:szCs w:val="18"/>
              </w:rPr>
              <w:t>截至本报告日，本承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诺仍在履行过程中， 承诺人无违反本承 诺的情况。</w:t>
            </w:r>
          </w:p>
        </w:tc>
      </w:tr>
      <w:tr>
        <w:trPr>
          <w:trHeight w:val="2384" w:hRule="exact"/>
        </w:trPr>
        <w:tc>
          <w:tcPr>
            <w:tcW w:w="1730"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3" w:right="122"/>
              <w:jc w:val="left"/>
              <w:rPr>
                <w:rFonts w:ascii="宋体" w:hAnsi="宋体" w:cs="宋体" w:eastAsia="宋体" w:hint="default"/>
                <w:sz w:val="18"/>
                <w:szCs w:val="18"/>
              </w:rPr>
            </w:pPr>
            <w:r>
              <w:rPr>
                <w:rFonts w:ascii="宋体" w:hAnsi="宋体" w:cs="宋体" w:eastAsia="宋体" w:hint="default"/>
                <w:sz w:val="18"/>
                <w:szCs w:val="18"/>
              </w:rPr>
              <w:t>中国希格玛有限 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5"/>
              <w:ind w:left="22"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、本公司系在中国法律合法成立并有效存续的有限公司， 拥有与深信泰丰签署协议及履行协议项下权利义务的合法 主体资格。</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、本公司及主要管理人员最近五年内未受过行 </w:t>
            </w:r>
            <w:r>
              <w:rPr>
                <w:rFonts w:ascii="宋体" w:hAnsi="宋体" w:cs="宋体" w:eastAsia="宋体" w:hint="default"/>
                <w:spacing w:val="-3"/>
                <w:sz w:val="18"/>
                <w:szCs w:val="18"/>
              </w:rPr>
              <w:t>政处罚、刑事处罚或者涉及与经济纠纷有关的重大民事诉讼</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或仲裁，不存在被立案调查的情况，亦未受到与证券市场有</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关的行政处罚。</w:t>
            </w:r>
            <w:r>
              <w:rPr>
                <w:rFonts w:ascii="Times New Roman" w:hAnsi="Times New Roman" w:cs="Times New Roman" w:eastAsia="Times New Roman" w:hint="default"/>
                <w:sz w:val="18"/>
                <w:szCs w:val="18"/>
              </w:rPr>
              <w:t>3</w:t>
            </w:r>
            <w:r>
              <w:rPr>
                <w:rFonts w:ascii="宋体" w:hAnsi="宋体" w:cs="宋体" w:eastAsia="宋体" w:hint="default"/>
                <w:sz w:val="18"/>
                <w:szCs w:val="18"/>
              </w:rPr>
              <w:t>、本公司及主要管理人员在最近五年内不 存在违反诚信的情况，包括但不限于未按期偿还大额债务、 </w:t>
            </w:r>
            <w:r>
              <w:rPr>
                <w:rFonts w:ascii="宋体" w:hAnsi="宋体" w:cs="宋体" w:eastAsia="宋体" w:hint="default"/>
                <w:spacing w:val="-3"/>
                <w:sz w:val="18"/>
                <w:szCs w:val="18"/>
              </w:rPr>
              <w:t>未履行承诺、被中国证券监督管理委员会采取行政监管措施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或受到证券交易所纪律处分的情况等。</w:t>
            </w:r>
            <w:r>
              <w:rPr>
                <w:rFonts w:ascii="Times New Roman" w:hAnsi="Times New Roman" w:cs="Times New Roman" w:eastAsia="Times New Roman" w:hint="default"/>
                <w:sz w:val="18"/>
                <w:szCs w:val="18"/>
              </w:rPr>
              <w:t>4</w:t>
            </w:r>
            <w:r>
              <w:rPr>
                <w:rFonts w:ascii="宋体" w:hAnsi="宋体" w:cs="宋体" w:eastAsia="宋体" w:hint="default"/>
                <w:sz w:val="18"/>
                <w:szCs w:val="18"/>
              </w:rPr>
              <w:t>、本公司实际控制 </w:t>
            </w:r>
            <w:r>
              <w:rPr>
                <w:rFonts w:ascii="宋体" w:hAnsi="宋体" w:cs="宋体" w:eastAsia="宋体" w:hint="default"/>
                <w:spacing w:val="-3"/>
                <w:sz w:val="18"/>
                <w:szCs w:val="18"/>
              </w:rPr>
              <w:t>人王晓岩为深信泰丰董事，除王晓岩外，本公司未向深信泰</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10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37" w:lineRule="auto"/>
              <w:ind w:left="22" w:right="-27"/>
              <w:jc w:val="left"/>
              <w:rPr>
                <w:rFonts w:ascii="宋体" w:hAnsi="宋体" w:cs="宋体" w:eastAsia="宋体" w:hint="default"/>
                <w:sz w:val="18"/>
                <w:szCs w:val="18"/>
              </w:rPr>
            </w:pPr>
            <w:r>
              <w:rPr>
                <w:rFonts w:ascii="宋体" w:hAnsi="宋体" w:cs="宋体" w:eastAsia="宋体" w:hint="default"/>
                <w:spacing w:val="-6"/>
                <w:sz w:val="18"/>
                <w:szCs w:val="18"/>
              </w:rPr>
              <w:t>截至本报告日，本承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诺仍在履行过程中， 承诺人无违反本承 诺的情况。</w:t>
            </w:r>
          </w:p>
        </w:tc>
      </w:tr>
    </w:tbl>
    <w:p>
      <w:pPr>
        <w:spacing w:after="0" w:line="237" w:lineRule="auto"/>
        <w:jc w:val="left"/>
        <w:rPr>
          <w:rFonts w:ascii="宋体" w:hAnsi="宋体" w:cs="宋体" w:eastAsia="宋体" w:hint="default"/>
          <w:sz w:val="18"/>
          <w:szCs w:val="18"/>
        </w:rPr>
        <w:sectPr>
          <w:pgSz w:w="16840" w:h="11910" w:orient="landscape"/>
          <w:pgMar w:header="867" w:footer="979" w:top="1060" w:bottom="1160" w:left="1300" w:right="1300"/>
        </w:sectPr>
      </w:pPr>
    </w:p>
    <w:p>
      <w:pPr>
        <w:spacing w:line="240" w:lineRule="auto" w:before="4"/>
        <w:rPr>
          <w:rFonts w:ascii="Times New Roman" w:hAnsi="Times New Roman" w:cs="Times New Roman" w:eastAsia="Times New Roman" w:hint="default"/>
          <w:sz w:val="3"/>
          <w:szCs w:val="3"/>
        </w:rPr>
      </w:pPr>
      <w:r>
        <w:rPr/>
        <w:pict>
          <v:group style="position:absolute;margin-left:525.820007pt;margin-top:335.380005pt;width:81.850pt;height:99.2pt;mso-position-horizontal-relative:page;mso-position-vertical-relative:page;z-index:-1466128" coordorigin="10516,6708" coordsize="1637,1984">
            <v:shape style="position:absolute;left:10516;top:6708;width:1637;height:1984" coordorigin="10516,6708" coordsize="1637,1984" path="m10516,8692l12153,8692,12153,6708,10516,6708,10516,8692xe" filled="true" fillcolor="#ffffff" stroked="false">
              <v:path arrowok="t"/>
              <v:fill type="solid"/>
            </v:shape>
            <w10:wrap type="none"/>
          </v:group>
        </w:pict>
      </w:r>
      <w:r>
        <w:rPr/>
        <w:pict>
          <v:group style="position:absolute;margin-left:525.820007pt;margin-top:474.119995pt;width:81.850pt;height:23.35pt;mso-position-horizontal-relative:page;mso-position-vertical-relative:page;z-index:-1466104" coordorigin="10516,9482" coordsize="1637,467">
            <v:shape style="position:absolute;left:10516;top:9482;width:1637;height:467" coordorigin="10516,9482" coordsize="1637,467" path="m10516,9949l12153,9949,12153,9482,10516,9482,10516,9949xe" filled="true" fillcolor="#ffffff" stroked="false">
              <v:path arrowok="t"/>
              <v:fill type="solid"/>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1730"/>
        <w:gridCol w:w="1418"/>
        <w:gridCol w:w="1276"/>
        <w:gridCol w:w="4674"/>
        <w:gridCol w:w="1649"/>
        <w:gridCol w:w="1642"/>
        <w:gridCol w:w="1626"/>
      </w:tblGrid>
      <w:tr>
        <w:trPr>
          <w:trHeight w:val="338" w:hRule="exact"/>
        </w:trPr>
        <w:tc>
          <w:tcPr>
            <w:tcW w:w="173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99"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41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4"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72"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467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649"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164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5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62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4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284" w:hRule="exact"/>
        </w:trPr>
        <w:tc>
          <w:tcPr>
            <w:tcW w:w="1730" w:type="dxa"/>
            <w:vMerge w:val="restart"/>
            <w:tcBorders>
              <w:top w:val="single" w:sz="4" w:space="0" w:color="000000"/>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丰推荐董事、监事和高级管理人员。</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r>
      <w:tr>
        <w:trPr>
          <w:trHeight w:val="2658" w:hRule="exact"/>
        </w:trPr>
        <w:tc>
          <w:tcPr>
            <w:tcW w:w="1730" w:type="dxa"/>
            <w:vMerge/>
            <w:tcBorders>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3" w:right="122"/>
              <w:jc w:val="left"/>
              <w:rPr>
                <w:rFonts w:ascii="宋体" w:hAnsi="宋体" w:cs="宋体" w:eastAsia="宋体" w:hint="default"/>
                <w:sz w:val="18"/>
                <w:szCs w:val="18"/>
              </w:rPr>
            </w:pPr>
            <w:r>
              <w:rPr>
                <w:rFonts w:ascii="宋体" w:hAnsi="宋体" w:cs="宋体" w:eastAsia="宋体" w:hint="default"/>
                <w:sz w:val="18"/>
                <w:szCs w:val="18"/>
              </w:rPr>
              <w:t>中国希格玛有限 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20"/>
              <w:jc w:val="left"/>
              <w:rPr>
                <w:rFonts w:ascii="宋体" w:hAnsi="宋体" w:cs="宋体" w:eastAsia="宋体" w:hint="default"/>
                <w:sz w:val="18"/>
                <w:szCs w:val="18"/>
              </w:rPr>
            </w:pPr>
            <w:r>
              <w:rPr>
                <w:rFonts w:ascii="宋体" w:hAnsi="宋体" w:cs="宋体" w:eastAsia="宋体" w:hint="default"/>
                <w:spacing w:val="-3"/>
                <w:sz w:val="18"/>
                <w:szCs w:val="18"/>
              </w:rPr>
              <w:t>本次交易完成后，本公司和本公司控制的企业将尽量避免或</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减少与上市公司及其下属子公司之间的关联交易，对于无法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避免或有合理理由存在的关联交易，将与上市公司依法签订</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规范的关联交易协议，并按照有关法律、法规、规章、上市</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规则和其他规范性文件以及上市公司章程的规定履行批准 </w:t>
            </w:r>
            <w:r>
              <w:rPr>
                <w:rFonts w:ascii="宋体" w:hAnsi="宋体" w:cs="宋体" w:eastAsia="宋体" w:hint="default"/>
                <w:spacing w:val="-3"/>
                <w:sz w:val="18"/>
                <w:szCs w:val="18"/>
              </w:rPr>
              <w:t>程序；关联交易价格依照与无关联关系的独立第三方进行相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同或相似交易时的价格确定，保证关联交易价格具有公允 </w:t>
            </w:r>
            <w:r>
              <w:rPr>
                <w:rFonts w:ascii="宋体" w:hAnsi="宋体" w:cs="宋体" w:eastAsia="宋体" w:hint="default"/>
                <w:spacing w:val="-3"/>
                <w:sz w:val="18"/>
                <w:szCs w:val="18"/>
              </w:rPr>
              <w:t>性；保证按照有关法律、法规、上市公司章程的规定履行关</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联交易的信息披露义务。本公司保证不利用关联交易非法转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移上市公司的资金、利润，不利用关联交易损害非关联股东</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的利益。</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right="10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37" w:lineRule="auto"/>
              <w:ind w:left="22" w:right="-27"/>
              <w:jc w:val="left"/>
              <w:rPr>
                <w:rFonts w:ascii="宋体" w:hAnsi="宋体" w:cs="宋体" w:eastAsia="宋体" w:hint="default"/>
                <w:sz w:val="18"/>
                <w:szCs w:val="18"/>
              </w:rPr>
            </w:pPr>
            <w:r>
              <w:rPr>
                <w:rFonts w:ascii="宋体" w:hAnsi="宋体" w:cs="宋体" w:eastAsia="宋体" w:hint="default"/>
                <w:spacing w:val="-6"/>
                <w:sz w:val="18"/>
                <w:szCs w:val="18"/>
              </w:rPr>
              <w:t>截至本报告日，本承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诺仍在履行过程中， 承诺人无违反本承 诺的情况。</w:t>
            </w:r>
          </w:p>
        </w:tc>
      </w:tr>
      <w:tr>
        <w:trPr>
          <w:trHeight w:val="4292" w:hRule="exact"/>
        </w:trPr>
        <w:tc>
          <w:tcPr>
            <w:tcW w:w="1730" w:type="dxa"/>
            <w:vMerge/>
            <w:tcBorders>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122"/>
              <w:jc w:val="left"/>
              <w:rPr>
                <w:rFonts w:ascii="宋体" w:hAnsi="宋体" w:cs="宋体" w:eastAsia="宋体" w:hint="default"/>
                <w:sz w:val="18"/>
                <w:szCs w:val="18"/>
              </w:rPr>
            </w:pPr>
            <w:r>
              <w:rPr>
                <w:rFonts w:ascii="宋体" w:hAnsi="宋体" w:cs="宋体" w:eastAsia="宋体" w:hint="default"/>
                <w:sz w:val="18"/>
                <w:szCs w:val="18"/>
              </w:rPr>
              <w:t>中国希格玛有限 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13"/>
              <w:ind w:left="22"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、本公司已向上市公司及为本次交易服务的中介机构提供 </w:t>
            </w:r>
            <w:r>
              <w:rPr>
                <w:rFonts w:ascii="宋体" w:hAnsi="宋体" w:cs="宋体" w:eastAsia="宋体" w:hint="default"/>
                <w:spacing w:val="-3"/>
                <w:sz w:val="18"/>
                <w:szCs w:val="18"/>
              </w:rPr>
              <w:t>了本公司有关本次交易的相关信息和文件（包括但不限于原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始书面材料、副本材料或口头证言等）。本公司保证：所提</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供的文件资料的副本或复印件与正本或原件一致，且该等文</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件资料的签字与印章都是真实的；保证所提供信息和文件真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实、准确和完整，不存在虚假记载、误导性陈述或者重大遗</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漏，并对所提供信息的真实性、准确性和完整性承担个别及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连带的法律责任。</w:t>
            </w:r>
            <w:r>
              <w:rPr>
                <w:rFonts w:ascii="Times New Roman" w:hAnsi="Times New Roman" w:cs="Times New Roman" w:eastAsia="Times New Roman" w:hint="default"/>
                <w:sz w:val="18"/>
                <w:szCs w:val="18"/>
              </w:rPr>
              <w:t>2</w:t>
            </w:r>
            <w:r>
              <w:rPr>
                <w:rFonts w:ascii="宋体" w:hAnsi="宋体" w:cs="宋体" w:eastAsia="宋体" w:hint="default"/>
                <w:sz w:val="18"/>
                <w:szCs w:val="18"/>
              </w:rPr>
              <w:t>、在参与本次交易期间，本公司将依照 </w:t>
            </w:r>
            <w:r>
              <w:rPr>
                <w:rFonts w:ascii="宋体" w:hAnsi="宋体" w:cs="宋体" w:eastAsia="宋体" w:hint="default"/>
                <w:spacing w:val="-3"/>
                <w:sz w:val="18"/>
                <w:szCs w:val="18"/>
              </w:rPr>
              <w:t>相关法律、法规、规章、中国证券监督管理委员会和深圳证</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券交易所的有关规定，及时向上市公司披露有关本次交易的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信息，并保证该等信息的真实性、准确性和完整性，保证该</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等信息不存在虚假记载、误导性陈述或者重大遗漏。</w:t>
            </w:r>
            <w:r>
              <w:rPr>
                <w:rFonts w:ascii="Times New Roman" w:hAnsi="Times New Roman" w:cs="Times New Roman" w:eastAsia="Times New Roman" w:hint="default"/>
                <w:sz w:val="18"/>
                <w:szCs w:val="18"/>
              </w:rPr>
              <w:t>3</w:t>
            </w:r>
            <w:r>
              <w:rPr>
                <w:rFonts w:ascii="宋体" w:hAnsi="宋体" w:cs="宋体" w:eastAsia="宋体" w:hint="default"/>
                <w:sz w:val="18"/>
                <w:szCs w:val="18"/>
              </w:rPr>
              <w:t>、本 公司保证填报的内幕信息知情人信息的真实、准确、完整。 </w:t>
            </w:r>
            <w:r>
              <w:rPr>
                <w:rFonts w:ascii="Times New Roman" w:hAnsi="Times New Roman" w:cs="Times New Roman" w:eastAsia="Times New Roman" w:hint="default"/>
                <w:sz w:val="18"/>
                <w:szCs w:val="18"/>
              </w:rPr>
              <w:t>4</w:t>
            </w:r>
            <w:r>
              <w:rPr>
                <w:rFonts w:ascii="宋体" w:hAnsi="宋体" w:cs="宋体" w:eastAsia="宋体" w:hint="default"/>
                <w:sz w:val="18"/>
                <w:szCs w:val="18"/>
              </w:rPr>
              <w:t>、本公司承诺最近五年内未受过与证券市场相关的行政处 </w:t>
            </w:r>
            <w:r>
              <w:rPr>
                <w:rFonts w:ascii="宋体" w:hAnsi="宋体" w:cs="宋体" w:eastAsia="宋体" w:hint="default"/>
                <w:spacing w:val="-3"/>
                <w:sz w:val="18"/>
                <w:szCs w:val="18"/>
              </w:rPr>
              <w:t>罚、刑事处罚，不存在被立案调查的情况，也不存在与经济</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纠纷有关的重大民事诉讼或仲裁事项。</w:t>
            </w:r>
            <w:r>
              <w:rPr>
                <w:rFonts w:ascii="Times New Roman" w:hAnsi="Times New Roman" w:cs="Times New Roman" w:eastAsia="Times New Roman" w:hint="default"/>
                <w:sz w:val="18"/>
                <w:szCs w:val="18"/>
              </w:rPr>
              <w:t>5</w:t>
            </w:r>
            <w:r>
              <w:rPr>
                <w:rFonts w:ascii="宋体" w:hAnsi="宋体" w:cs="宋体" w:eastAsia="宋体" w:hint="default"/>
                <w:sz w:val="18"/>
                <w:szCs w:val="18"/>
              </w:rPr>
              <w:t>、本公司承诺最近 </w:t>
            </w:r>
            <w:r>
              <w:rPr>
                <w:rFonts w:ascii="宋体" w:hAnsi="宋体" w:cs="宋体" w:eastAsia="宋体" w:hint="default"/>
                <w:spacing w:val="-3"/>
                <w:sz w:val="18"/>
                <w:szCs w:val="18"/>
              </w:rPr>
              <w:t>五年内不存在未按期偿还大额债务、未履行承诺、被中国证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监会采取行政监管措施或受到证券交易所纪律处分的情况。</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10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37" w:lineRule="auto"/>
              <w:ind w:left="22" w:right="-27"/>
              <w:jc w:val="left"/>
              <w:rPr>
                <w:rFonts w:ascii="宋体" w:hAnsi="宋体" w:cs="宋体" w:eastAsia="宋体" w:hint="default"/>
                <w:sz w:val="18"/>
                <w:szCs w:val="18"/>
              </w:rPr>
            </w:pPr>
            <w:r>
              <w:rPr>
                <w:rFonts w:ascii="宋体" w:hAnsi="宋体" w:cs="宋体" w:eastAsia="宋体" w:hint="default"/>
                <w:spacing w:val="-6"/>
                <w:sz w:val="18"/>
                <w:szCs w:val="18"/>
              </w:rPr>
              <w:t>截至本报告日，本承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诺仍在履行过程中， 承诺人无违反本承 诺的情况。</w:t>
            </w:r>
          </w:p>
        </w:tc>
      </w:tr>
      <w:tr>
        <w:trPr>
          <w:trHeight w:val="1258" w:hRule="exact"/>
        </w:trPr>
        <w:tc>
          <w:tcPr>
            <w:tcW w:w="1730" w:type="dxa"/>
            <w:vMerge/>
            <w:tcBorders>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3" w:right="122"/>
              <w:jc w:val="left"/>
              <w:rPr>
                <w:rFonts w:ascii="宋体" w:hAnsi="宋体" w:cs="宋体" w:eastAsia="宋体" w:hint="default"/>
                <w:sz w:val="18"/>
                <w:szCs w:val="18"/>
              </w:rPr>
            </w:pPr>
            <w:r>
              <w:rPr>
                <w:rFonts w:ascii="宋体" w:hAnsi="宋体" w:cs="宋体" w:eastAsia="宋体" w:hint="default"/>
                <w:sz w:val="18"/>
                <w:szCs w:val="18"/>
              </w:rPr>
              <w:t>中国希格玛有限 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39"/>
              <w:jc w:val="left"/>
              <w:rPr>
                <w:rFonts w:ascii="宋体" w:hAnsi="宋体" w:cs="宋体" w:eastAsia="宋体" w:hint="default"/>
                <w:sz w:val="18"/>
                <w:szCs w:val="18"/>
              </w:rPr>
            </w:pPr>
            <w:r>
              <w:rPr>
                <w:rFonts w:ascii="宋体" w:hAnsi="宋体" w:cs="宋体" w:eastAsia="宋体" w:hint="default"/>
                <w:spacing w:val="-3"/>
                <w:sz w:val="18"/>
                <w:szCs w:val="18"/>
              </w:rPr>
              <w:t>重大资产出售交易完成之后，五家标的公司所涉及的全部尚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未了结的诉讼所产生的或有负债及或有损失均由标的公司 </w:t>
            </w:r>
            <w:r>
              <w:rPr>
                <w:rFonts w:ascii="宋体" w:hAnsi="宋体" w:cs="宋体" w:eastAsia="宋体" w:hint="default"/>
                <w:spacing w:val="-3"/>
                <w:sz w:val="18"/>
                <w:szCs w:val="18"/>
              </w:rPr>
              <w:t>自行承担，上市公司无需承担任何或有负债及或有损失，且</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本公司承诺不因标的公司任何相关尚未了结的诉讼所产生 的或有负债及或有损失而要求上市公司承担任何补偿责任。</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9"/>
              <w:ind w:left="22" w:right="-27"/>
              <w:jc w:val="left"/>
              <w:rPr>
                <w:rFonts w:ascii="宋体" w:hAnsi="宋体" w:cs="宋体" w:eastAsia="宋体" w:hint="default"/>
                <w:sz w:val="18"/>
                <w:szCs w:val="18"/>
              </w:rPr>
            </w:pPr>
            <w:r>
              <w:rPr>
                <w:rFonts w:ascii="宋体" w:hAnsi="宋体" w:cs="宋体" w:eastAsia="宋体" w:hint="default"/>
                <w:spacing w:val="-6"/>
                <w:sz w:val="18"/>
                <w:szCs w:val="18"/>
              </w:rPr>
              <w:t>截至本报告日，本承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诺仍在履行过程中， 承诺人无违反本承 诺的情况。</w:t>
            </w:r>
          </w:p>
        </w:tc>
      </w:tr>
      <w:tr>
        <w:trPr>
          <w:trHeight w:val="557" w:hRule="exact"/>
        </w:trPr>
        <w:tc>
          <w:tcPr>
            <w:tcW w:w="1730"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王晓岩</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61"/>
              <w:jc w:val="left"/>
              <w:rPr>
                <w:rFonts w:ascii="宋体" w:hAnsi="宋体" w:cs="宋体" w:eastAsia="宋体" w:hint="default"/>
                <w:sz w:val="18"/>
                <w:szCs w:val="18"/>
              </w:rPr>
            </w:pPr>
            <w:r>
              <w:rPr>
                <w:rFonts w:ascii="宋体" w:hAnsi="宋体" w:cs="宋体" w:eastAsia="宋体" w:hint="default"/>
                <w:sz w:val="18"/>
                <w:szCs w:val="18"/>
              </w:rPr>
              <w:t>关于规范关联 交易的承诺</w:t>
            </w:r>
          </w:p>
        </w:tc>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2" w:right="21"/>
              <w:jc w:val="left"/>
              <w:rPr>
                <w:rFonts w:ascii="宋体" w:hAnsi="宋体" w:cs="宋体" w:eastAsia="宋体" w:hint="default"/>
                <w:sz w:val="18"/>
                <w:szCs w:val="18"/>
              </w:rPr>
            </w:pPr>
            <w:r>
              <w:rPr>
                <w:rFonts w:ascii="宋体" w:hAnsi="宋体" w:cs="宋体" w:eastAsia="宋体" w:hint="default"/>
                <w:spacing w:val="-3"/>
                <w:sz w:val="18"/>
                <w:szCs w:val="18"/>
              </w:rPr>
              <w:t>本次交易完成后，本人和本人控制的企业将尽量避免或减少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与上市公司及其下属子公司之间的关联交易，对于无法避免</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2" w:right="-27"/>
              <w:jc w:val="left"/>
              <w:rPr>
                <w:rFonts w:ascii="宋体" w:hAnsi="宋体" w:cs="宋体" w:eastAsia="宋体" w:hint="default"/>
                <w:sz w:val="18"/>
                <w:szCs w:val="18"/>
              </w:rPr>
            </w:pPr>
            <w:r>
              <w:rPr>
                <w:rFonts w:ascii="宋体" w:hAnsi="宋体" w:cs="宋体" w:eastAsia="宋体" w:hint="default"/>
                <w:spacing w:val="-6"/>
                <w:sz w:val="18"/>
                <w:szCs w:val="18"/>
              </w:rPr>
              <w:t>截至本报告日，本承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诺仍在履行过程中，</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300" w:right="1300"/>
        </w:sectPr>
      </w:pPr>
    </w:p>
    <w:p>
      <w:pPr>
        <w:pStyle w:val="BodyText"/>
        <w:tabs>
          <w:tab w:pos="2281" w:val="left" w:leader="none"/>
          <w:tab w:pos="3537" w:val="left" w:leader="none"/>
          <w:tab w:pos="6512" w:val="left" w:leader="none"/>
          <w:tab w:pos="9674" w:val="left" w:leader="none"/>
          <w:tab w:pos="11319" w:val="left" w:leader="none"/>
          <w:tab w:pos="12953" w:val="left" w:leader="none"/>
        </w:tabs>
        <w:spacing w:line="240" w:lineRule="auto" w:before="87"/>
        <w:ind w:left="616" w:right="0"/>
        <w:jc w:val="left"/>
      </w:pPr>
      <w:r>
        <w:rPr/>
        <w:t>承诺事由</w:t>
        <w:tab/>
        <w:t>承诺方</w:t>
        <w:tab/>
        <w:t>承诺类型</w:t>
        <w:tab/>
        <w:t>承诺内容</w:t>
        <w:tab/>
        <w:t>承诺时间</w:t>
        <w:tab/>
        <w:t>承诺期限</w:t>
        <w:tab/>
        <w:t>履行情况</w:t>
      </w:r>
    </w:p>
    <w:p>
      <w:pPr>
        <w:spacing w:after="0" w:line="240" w:lineRule="auto"/>
        <w:jc w:val="left"/>
        <w:sectPr>
          <w:pgSz w:w="16840" w:h="11910" w:orient="landscape"/>
          <w:pgMar w:header="867" w:footer="979" w:top="1060" w:bottom="1160" w:left="1300" w:right="1300"/>
        </w:sectPr>
      </w:pPr>
    </w:p>
    <w:p>
      <w:pPr>
        <w:spacing w:line="240" w:lineRule="auto" w:before="0"/>
        <w:rPr>
          <w:rFonts w:ascii="宋体" w:hAnsi="宋体" w:cs="宋体" w:eastAsia="宋体" w:hint="default"/>
          <w:sz w:val="30"/>
          <w:szCs w:val="30"/>
        </w:rPr>
      </w:pPr>
    </w:p>
    <w:p>
      <w:pPr>
        <w:spacing w:line="240" w:lineRule="auto" w:before="0"/>
        <w:rPr>
          <w:rFonts w:ascii="宋体" w:hAnsi="宋体" w:cs="宋体" w:eastAsia="宋体" w:hint="default"/>
          <w:sz w:val="30"/>
          <w:szCs w:val="30"/>
        </w:rPr>
      </w:pPr>
    </w:p>
    <w:p>
      <w:pPr>
        <w:spacing w:line="240" w:lineRule="auto" w:before="0"/>
        <w:rPr>
          <w:rFonts w:ascii="宋体" w:hAnsi="宋体" w:cs="宋体" w:eastAsia="宋体" w:hint="default"/>
          <w:sz w:val="30"/>
          <w:szCs w:val="30"/>
        </w:rPr>
      </w:pPr>
    </w:p>
    <w:p>
      <w:pPr>
        <w:spacing w:line="240" w:lineRule="auto" w:before="0"/>
        <w:rPr>
          <w:rFonts w:ascii="宋体" w:hAnsi="宋体" w:cs="宋体" w:eastAsia="宋体" w:hint="default"/>
          <w:sz w:val="30"/>
          <w:szCs w:val="30"/>
        </w:rPr>
      </w:pPr>
    </w:p>
    <w:p>
      <w:pPr>
        <w:spacing w:line="240" w:lineRule="auto" w:before="5"/>
        <w:rPr>
          <w:rFonts w:ascii="宋体" w:hAnsi="宋体" w:cs="宋体" w:eastAsia="宋体" w:hint="default"/>
          <w:sz w:val="33"/>
          <w:szCs w:val="33"/>
        </w:rPr>
      </w:pPr>
    </w:p>
    <w:p>
      <w:pPr>
        <w:pStyle w:val="BodyText"/>
        <w:spacing w:line="237" w:lineRule="auto"/>
        <w:ind w:left="1870" w:right="-19"/>
        <w:jc w:val="left"/>
      </w:pPr>
      <w:r>
        <w:rPr/>
        <w:t>李朱、同仁投资、 启仁投资、吕俊、 </w:t>
      </w:r>
      <w:r>
        <w:rPr>
          <w:spacing w:val="-10"/>
        </w:rPr>
        <w:t>至善投资、嘉逸投</w:t>
      </w:r>
      <w:r>
        <w:rPr>
          <w:spacing w:val="-33"/>
        </w:rPr>
        <w:t> </w:t>
      </w:r>
      <w:r>
        <w:rPr>
          <w:position w:val="-11"/>
        </w:rPr>
        <w:t>业绩承诺及补</w:t>
      </w:r>
      <w:r>
        <w:rPr/>
      </w:r>
    </w:p>
    <w:p>
      <w:pPr>
        <w:pStyle w:val="BodyText"/>
        <w:spacing w:line="237" w:lineRule="auto" w:before="50"/>
        <w:ind w:left="155" w:right="-20"/>
        <w:jc w:val="left"/>
      </w:pPr>
      <w:r>
        <w:rPr>
          <w:spacing w:val="-3"/>
        </w:rPr>
        <w:br w:type="column"/>
      </w:r>
      <w:r>
        <w:rPr>
          <w:spacing w:val="-3"/>
        </w:rPr>
        <w:t>或有合理理由存在的关联交易，将与上市公司依法签订规范</w:t>
      </w:r>
      <w:r>
        <w:rPr>
          <w:spacing w:val="-74"/>
        </w:rPr>
        <w:t> </w:t>
      </w:r>
      <w:r>
        <w:rPr>
          <w:spacing w:val="-74"/>
        </w:rPr>
      </w:r>
      <w:r>
        <w:rPr>
          <w:spacing w:val="-3"/>
        </w:rPr>
        <w:t>的关联交易协议，并按照有关法律、法规、规章、上市规则</w:t>
      </w:r>
      <w:r>
        <w:rPr>
          <w:spacing w:val="-75"/>
        </w:rPr>
        <w:t> </w:t>
      </w:r>
      <w:r>
        <w:rPr>
          <w:spacing w:val="-75"/>
        </w:rPr>
      </w:r>
      <w:r>
        <w:rPr/>
        <w:t>和其他规范性文件以及上市公司章程的规定履行批准程序； 关联交易价格依照与无关联关系的独立第三方进行相同或 </w:t>
      </w:r>
      <w:r>
        <w:rPr>
          <w:spacing w:val="-3"/>
        </w:rPr>
        <w:t>相似交易时的价格确定，保证关联交易价格具有公允性；保</w:t>
      </w:r>
      <w:r>
        <w:rPr>
          <w:spacing w:val="-74"/>
        </w:rPr>
        <w:t> </w:t>
      </w:r>
      <w:r>
        <w:rPr>
          <w:spacing w:val="-74"/>
        </w:rPr>
      </w:r>
      <w:r>
        <w:rPr>
          <w:spacing w:val="-3"/>
        </w:rPr>
        <w:t>证按照有关法律、法规、上市公司章程的规定履行关联交易</w:t>
      </w:r>
      <w:r>
        <w:rPr>
          <w:spacing w:val="-76"/>
        </w:rPr>
        <w:t> </w:t>
      </w:r>
      <w:r>
        <w:rPr>
          <w:spacing w:val="-76"/>
        </w:rPr>
      </w:r>
      <w:r>
        <w:rPr>
          <w:spacing w:val="-3"/>
        </w:rPr>
        <w:t>的信息披露义务。本公司保证不利用关联交易非法转移上市</w:t>
      </w:r>
      <w:r>
        <w:rPr>
          <w:spacing w:val="-74"/>
        </w:rPr>
        <w:t> </w:t>
      </w:r>
      <w:r>
        <w:rPr>
          <w:spacing w:val="-74"/>
        </w:rPr>
      </w:r>
      <w:r>
        <w:rPr>
          <w:spacing w:val="-7"/>
        </w:rPr>
        <w:t>公司的资金、利润，不利用关联交易损害非关联股东</w:t>
      </w:r>
    </w:p>
    <w:p>
      <w:pPr>
        <w:spacing w:line="240" w:lineRule="auto" w:before="6"/>
        <w:rPr>
          <w:rFonts w:ascii="宋体" w:hAnsi="宋体" w:cs="宋体" w:eastAsia="宋体" w:hint="default"/>
          <w:sz w:val="24"/>
          <w:szCs w:val="24"/>
        </w:rPr>
      </w:pPr>
    </w:p>
    <w:p>
      <w:pPr>
        <w:pStyle w:val="BodyText"/>
        <w:spacing w:line="240" w:lineRule="auto"/>
        <w:ind w:left="155" w:right="160"/>
        <w:jc w:val="left"/>
      </w:pPr>
      <w:r>
        <w:rPr/>
        <w:pict>
          <v:shape style="position:absolute;margin-left:492.640015pt;margin-top:-108.00827pt;width:115.05pt;height:95.4pt;mso-position-horizontal-relative:page;mso-position-vertical-relative:paragraph;z-index:-146608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4"/>
                      <w:szCs w:val="14"/>
                    </w:rPr>
                  </w:pPr>
                </w:p>
                <w:p>
                  <w:pPr>
                    <w:pStyle w:val="BodyText"/>
                    <w:spacing w:line="240" w:lineRule="auto"/>
                    <w:ind w:left="0" w:right="0"/>
                    <w:jc w:val="left"/>
                  </w:pPr>
                  <w:r>
                    <w:rPr/>
                    <w:t>的利益。</w:t>
                  </w:r>
                </w:p>
              </w:txbxContent>
            </v:textbox>
            <w10:wrap type="none"/>
          </v:shape>
        </w:pict>
      </w:r>
      <w:r>
        <w:rPr/>
        <w:t>启行教育在启行教育业绩承诺期间应当实现的经审计的合 并报表口径下归属于母公司所有者的扣除非经常性损益后</w:t>
      </w:r>
    </w:p>
    <w:p>
      <w:pPr>
        <w:pStyle w:val="BodyText"/>
        <w:spacing w:line="232" w:lineRule="exact" w:before="72"/>
        <w:ind w:left="1870" w:right="250"/>
        <w:jc w:val="left"/>
      </w:pPr>
      <w:r>
        <w:rPr/>
        <w:br w:type="column"/>
      </w:r>
      <w:r>
        <w:rPr/>
        <w:t>承诺人无违反本承 诺的情况。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BodyText"/>
        <w:spacing w:line="230" w:lineRule="auto"/>
        <w:ind w:left="1870" w:right="124"/>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9 </w:t>
      </w:r>
      <w:r>
        <w:rPr/>
        <w:t>日公 司召开第九届董事 会第七次会议审议</w:t>
      </w:r>
    </w:p>
    <w:p>
      <w:pPr>
        <w:spacing w:after="0" w:line="230" w:lineRule="auto"/>
        <w:jc w:val="left"/>
        <w:sectPr>
          <w:type w:val="continuous"/>
          <w:pgSz w:w="16840" w:h="11910" w:orient="landscape"/>
          <w:pgMar w:top="1580" w:bottom="700" w:left="1300" w:right="1300"/>
          <w:cols w:num="3" w:equalWidth="0">
            <w:col w:w="4369" w:space="40"/>
            <w:col w:w="4836" w:space="1413"/>
            <w:col w:w="3582"/>
          </w:cols>
        </w:sectPr>
      </w:pPr>
    </w:p>
    <w:p>
      <w:pPr>
        <w:pStyle w:val="BodyText"/>
        <w:spacing w:line="168" w:lineRule="exact"/>
        <w:ind w:left="1870" w:right="-18"/>
        <w:jc w:val="left"/>
      </w:pPr>
      <w:r>
        <w:rPr/>
        <w:pict>
          <v:shape style="position:absolute;margin-left:519.697021pt;margin-top:9.187033pt;width:88pt;height:35pt;mso-position-horizontal-relative:page;mso-position-vertical-relative:paragraph;z-index:-1466056" type="#_x0000_t202" filled="false" stroked="false">
            <v:textbox inset="0,0,0,0">
              <w:txbxContent>
                <w:p>
                  <w:pPr>
                    <w:spacing w:line="240" w:lineRule="auto" w:before="6"/>
                    <w:rPr>
                      <w:rFonts w:ascii="宋体" w:hAnsi="宋体" w:cs="宋体" w:eastAsia="宋体" w:hint="default"/>
                      <w:sz w:val="12"/>
                      <w:szCs w:val="12"/>
                    </w:rPr>
                  </w:pPr>
                </w:p>
                <w:p>
                  <w:pPr>
                    <w:pStyle w:val="BodyText"/>
                    <w:spacing w:line="240" w:lineRule="auto"/>
                    <w:ind w:left="0" w:right="0"/>
                    <w:jc w:val="left"/>
                  </w:pPr>
                  <w:r>
                    <w:rPr/>
                    <w:t>。</w:t>
                  </w:r>
                </w:p>
              </w:txbxContent>
            </v:textbox>
            <w10:wrap type="none"/>
          </v:shape>
        </w:pict>
      </w:r>
      <w:r>
        <w:rPr>
          <w:spacing w:val="-10"/>
        </w:rPr>
        <w:t>资、德正嘉成、澜</w:t>
      </w:r>
      <w:r>
        <w:rPr>
          <w:spacing w:val="-34"/>
        </w:rPr>
        <w:t> </w:t>
      </w:r>
      <w:r>
        <w:rPr>
          <w:position w:val="-11"/>
        </w:rPr>
        <w:t>偿安排</w:t>
      </w:r>
      <w:r>
        <w:rPr/>
      </w:r>
    </w:p>
    <w:p>
      <w:pPr>
        <w:pStyle w:val="BodyText"/>
        <w:spacing w:line="129" w:lineRule="exact"/>
        <w:ind w:left="695" w:right="-19"/>
        <w:jc w:val="left"/>
      </w:pPr>
      <w:r>
        <w:rPr/>
        <w:br w:type="column"/>
      </w:r>
      <w:r>
        <w:rPr/>
        <w:t>的净利润进行承诺，承诺净利润数分别如下：</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年度及</w:t>
      </w:r>
    </w:p>
    <w:p>
      <w:pPr>
        <w:pStyle w:val="BodyText"/>
        <w:spacing w:line="129" w:lineRule="exact"/>
        <w:ind w:left="90" w:right="-14"/>
        <w:jc w:val="left"/>
      </w:pPr>
      <w:r>
        <w:rPr/>
        <w:br w:type="column"/>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05 </w:t>
      </w:r>
      <w:r>
        <w:rPr/>
        <w:t>月</w:t>
      </w:r>
      <w:r>
        <w:rPr>
          <w:spacing w:val="-46"/>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w:t>
      </w:r>
      <w:r>
        <w:rPr>
          <w:spacing w:val="7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9 </w:t>
      </w:r>
      <w:r>
        <w:rPr/>
        <w:t>日</w:t>
      </w:r>
    </w:p>
    <w:p>
      <w:pPr>
        <w:pStyle w:val="BodyText"/>
        <w:spacing w:line="168" w:lineRule="exact"/>
        <w:ind w:left="213" w:right="0"/>
        <w:jc w:val="left"/>
      </w:pPr>
      <w:r>
        <w:rPr>
          <w:spacing w:val="-6"/>
        </w:rPr>
        <w:br w:type="column"/>
      </w:r>
      <w:r>
        <w:rPr>
          <w:spacing w:val="-6"/>
        </w:rPr>
        <w:t>通过了《关于终止重</w:t>
      </w:r>
    </w:p>
    <w:p>
      <w:pPr>
        <w:spacing w:after="0" w:line="168" w:lineRule="exact"/>
        <w:jc w:val="left"/>
        <w:sectPr>
          <w:type w:val="continuous"/>
          <w:pgSz w:w="16840" w:h="11910" w:orient="landscape"/>
          <w:pgMar w:top="1580" w:bottom="700" w:left="1300" w:right="1300"/>
          <w:cols w:num="4" w:equalWidth="0">
            <w:col w:w="3829" w:space="40"/>
            <w:col w:w="5241" w:space="40"/>
            <w:col w:w="3127" w:space="40"/>
            <w:col w:w="1923"/>
          </w:cols>
        </w:sectPr>
      </w:pPr>
    </w:p>
    <w:p>
      <w:pPr>
        <w:pStyle w:val="BodyText"/>
        <w:spacing w:line="179" w:lineRule="exact"/>
        <w:ind w:left="1870" w:right="60"/>
        <w:jc w:val="left"/>
      </w:pPr>
      <w:r>
        <w:rPr/>
        <w:t>亭投资、吾湾投</w:t>
      </w:r>
    </w:p>
    <w:p>
      <w:pPr>
        <w:pStyle w:val="BodyText"/>
        <w:spacing w:line="234" w:lineRule="exact" w:before="22"/>
        <w:ind w:left="1870" w:right="60"/>
        <w:jc w:val="left"/>
      </w:pPr>
      <w:r>
        <w:rPr>
          <w:spacing w:val="-10"/>
        </w:rPr>
        <w:t>资、金俊投资共十</w:t>
      </w:r>
      <w:r>
        <w:rPr>
          <w:spacing w:val="-88"/>
        </w:rPr>
        <w:t> </w:t>
      </w:r>
      <w:r>
        <w:rPr>
          <w:spacing w:val="-88"/>
        </w:rPr>
      </w:r>
      <w:r>
        <w:rPr/>
        <w:t>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37" w:lineRule="auto" w:before="150"/>
        <w:ind w:left="1870" w:right="-20"/>
        <w:jc w:val="left"/>
      </w:pPr>
      <w:r>
        <w:rPr>
          <w:spacing w:val="-10"/>
        </w:rPr>
        <w:t>李朱、李冬梅、同</w:t>
      </w:r>
      <w:r>
        <w:rPr/>
        <w:t> 仁投资、启仁投 资、林机、吕俊、 </w:t>
      </w:r>
      <w:r>
        <w:rPr>
          <w:spacing w:val="-10"/>
        </w:rPr>
        <w:t>至善投资、嘉逸投</w:t>
      </w:r>
    </w:p>
    <w:p>
      <w:pPr>
        <w:pStyle w:val="BodyText"/>
        <w:spacing w:line="186" w:lineRule="exact"/>
        <w:ind w:left="1212" w:right="-17"/>
        <w:jc w:val="left"/>
      </w:pPr>
      <w:r>
        <w:rPr/>
        <w:br w:type="column"/>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年度承诺净利润数合计为</w:t>
      </w:r>
      <w:r>
        <w:rPr>
          <w:spacing w:val="-46"/>
        </w:rPr>
        <w:t> </w:t>
      </w:r>
      <w:r>
        <w:rPr>
          <w:rFonts w:ascii="Times New Roman" w:hAnsi="Times New Roman" w:cs="Times New Roman" w:eastAsia="Times New Roman" w:hint="default"/>
        </w:rPr>
        <w:t>52,000.00 </w:t>
      </w:r>
      <w:r>
        <w:rPr/>
        <w:t>万元，</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w:t>
      </w:r>
    </w:p>
    <w:p>
      <w:pPr>
        <w:pStyle w:val="BodyText"/>
        <w:spacing w:line="242" w:lineRule="exact"/>
        <w:ind w:left="1212" w:right="-17"/>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年度及</w:t>
      </w:r>
      <w:r>
        <w:rPr>
          <w:spacing w:val="-4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年度承诺净利润数合计为</w:t>
      </w:r>
      <w:r>
        <w:rPr>
          <w:spacing w:val="-48"/>
        </w:rPr>
        <w:t> </w:t>
      </w:r>
      <w:r>
        <w:rPr>
          <w:rFonts w:ascii="Times New Roman" w:hAnsi="Times New Roman" w:cs="Times New Roman" w:eastAsia="Times New Roman" w:hint="default"/>
        </w:rPr>
        <w:t>90,000.00</w:t>
      </w:r>
      <w:r>
        <w:rPr>
          <w:rFonts w:ascii="Times New Roman" w:hAnsi="Times New Roman" w:cs="Times New Roman" w:eastAsia="Times New Roman" w:hint="default"/>
          <w:spacing w:val="-3"/>
        </w:rPr>
        <w:t> </w:t>
      </w:r>
      <w:r>
        <w:rPr/>
        <w:t>万元</w:t>
      </w:r>
    </w:p>
    <w:p>
      <w:pPr>
        <w:spacing w:line="240" w:lineRule="auto" w:before="8"/>
        <w:rPr>
          <w:rFonts w:ascii="宋体" w:hAnsi="宋体" w:cs="宋体" w:eastAsia="宋体" w:hint="default"/>
          <w:sz w:val="23"/>
          <w:szCs w:val="23"/>
        </w:rPr>
      </w:pPr>
    </w:p>
    <w:p>
      <w:pPr>
        <w:pStyle w:val="BodyText"/>
        <w:spacing w:line="237" w:lineRule="auto"/>
        <w:ind w:left="1212" w:right="-17"/>
        <w:jc w:val="left"/>
      </w:pPr>
      <w:r>
        <w:rPr/>
        <w:pict>
          <v:shape style="position:absolute;margin-left:510.640015pt;margin-top:-.573394pt;width:97.05pt;height:127.45pt;mso-position-horizontal-relative:page;mso-position-vertical-relative:paragraph;z-index:-1466032" type="#_x0000_t202" filled="false" stroked="false">
            <v:textbox inset="0,0,0,0">
              <w:txbxContent>
                <w:p>
                  <w:pPr>
                    <w:pStyle w:val="BodyText"/>
                    <w:spacing w:line="240" w:lineRule="auto" w:before="9"/>
                    <w:ind w:left="0" w:right="0"/>
                    <w:jc w:val="left"/>
                  </w:pPr>
                  <w:r>
                    <w:rPr/>
                    <w:t>一、</w:t>
                  </w:r>
                </w:p>
              </w:txbxContent>
            </v:textbox>
            <w10:wrap type="none"/>
          </v:shape>
        </w:pict>
      </w:r>
      <w:r>
        <w:rPr>
          <w:spacing w:val="-3"/>
        </w:rPr>
        <w:t>关于所提供信息真实性、准确性和完整性的声明与承诺</w:t>
      </w:r>
      <w:r>
        <w:rPr>
          <w:spacing w:val="-80"/>
        </w:rPr>
        <w:t> </w:t>
      </w:r>
      <w:r>
        <w:rPr>
          <w:spacing w:val="-80"/>
        </w:rPr>
      </w:r>
      <w:r>
        <w:rPr>
          <w:spacing w:val="-3"/>
        </w:rPr>
        <w:t>将及时向上市公司提供本次重组相关信息，并保证所提供的</w:t>
      </w:r>
      <w:r>
        <w:rPr>
          <w:spacing w:val="-74"/>
        </w:rPr>
        <w:t> </w:t>
      </w:r>
      <w:r>
        <w:rPr>
          <w:spacing w:val="-74"/>
        </w:rPr>
      </w:r>
      <w:r>
        <w:rPr>
          <w:spacing w:val="-3"/>
        </w:rPr>
        <w:t>信息真实、准确、完整，如提供的信息存在虚假记载、误导</w:t>
      </w:r>
      <w:r>
        <w:rPr>
          <w:spacing w:val="-75"/>
        </w:rPr>
        <w:t> </w:t>
      </w:r>
      <w:r>
        <w:rPr>
          <w:spacing w:val="-75"/>
        </w:rPr>
      </w:r>
      <w:r>
        <w:rPr>
          <w:spacing w:val="-3"/>
        </w:rPr>
        <w:t>性陈述或者重大遗漏，将依法承担相应责任。如本次交易因</w:t>
      </w:r>
      <w:r>
        <w:rPr>
          <w:spacing w:val="-74"/>
        </w:rPr>
        <w:t> </w:t>
      </w:r>
      <w:r>
        <w:rPr>
          <w:spacing w:val="-74"/>
        </w:rPr>
      </w:r>
      <w:r>
        <w:rPr>
          <w:spacing w:val="-3"/>
        </w:rPr>
        <w:t>涉嫌所提供或者披露的信息存在虚假记载、误导性陈述或者</w:t>
      </w:r>
      <w:r>
        <w:rPr>
          <w:spacing w:val="-74"/>
        </w:rPr>
        <w:t> </w:t>
      </w:r>
      <w:r>
        <w:rPr>
          <w:spacing w:val="-74"/>
        </w:rPr>
      </w:r>
      <w:r>
        <w:rPr>
          <w:spacing w:val="-3"/>
        </w:rPr>
        <w:t>重大遗漏，被司法机关立案侦查或者被中国证监会立案调查</w:t>
      </w:r>
      <w:r>
        <w:rPr>
          <w:spacing w:val="-74"/>
        </w:rPr>
        <w:t> </w:t>
      </w:r>
      <w:r>
        <w:rPr>
          <w:spacing w:val="-74"/>
        </w:rPr>
      </w:r>
      <w:r>
        <w:rPr>
          <w:spacing w:val="-3"/>
        </w:rPr>
        <w:t>的，在案件调查结论明确之前，将暂停转让承诺人在上市公</w:t>
      </w:r>
      <w:r>
        <w:rPr>
          <w:spacing w:val="-74"/>
        </w:rPr>
        <w:t> </w:t>
      </w:r>
      <w:r>
        <w:rPr>
          <w:spacing w:val="-74"/>
        </w:rPr>
      </w:r>
      <w:r>
        <w:rPr>
          <w:spacing w:val="-3"/>
        </w:rPr>
        <w:t>司拥有权益的股份，并于收到立案稽查通知的两个交易日内</w:t>
      </w:r>
      <w:r>
        <w:rPr>
          <w:spacing w:val="-74"/>
        </w:rPr>
        <w:t> </w:t>
      </w:r>
      <w:r>
        <w:rPr>
          <w:spacing w:val="-74"/>
        </w:rPr>
      </w:r>
      <w:r>
        <w:rPr>
          <w:spacing w:val="-3"/>
        </w:rPr>
        <w:t>将暂停转让的书面申请和股票账户提交上市公司董事会，由</w:t>
      </w:r>
      <w:r>
        <w:rPr>
          <w:spacing w:val="-74"/>
        </w:rPr>
        <w:t> </w:t>
      </w:r>
      <w:r>
        <w:rPr>
          <w:spacing w:val="-74"/>
        </w:rPr>
      </w:r>
      <w:r>
        <w:rPr>
          <w:spacing w:val="-3"/>
        </w:rPr>
        <w:t>董事会代承诺人向证券交易所和登记结算公司申请锁定；未</w:t>
      </w:r>
      <w:r>
        <w:rPr>
          <w:spacing w:val="-74"/>
        </w:rPr>
        <w:t> </w:t>
      </w:r>
      <w:r>
        <w:rPr>
          <w:spacing w:val="-74"/>
        </w:rPr>
      </w:r>
      <w:r>
        <w:rPr>
          <w:spacing w:val="-3"/>
        </w:rPr>
        <w:t>在两个交易日内提交锁定申请的，授权董事会核实后直接向</w:t>
      </w:r>
    </w:p>
    <w:p>
      <w:pPr>
        <w:pStyle w:val="BodyText"/>
        <w:spacing w:line="234" w:lineRule="exact" w:before="85"/>
        <w:ind w:left="1870" w:right="430"/>
        <w:jc w:val="left"/>
      </w:pPr>
      <w:r>
        <w:rPr/>
        <w:br w:type="column"/>
      </w:r>
      <w:r>
        <w:rPr/>
        <w:t>大资产重组的议 </w:t>
      </w:r>
      <w:r>
        <w:rPr>
          <w:spacing w:val="-30"/>
        </w:rPr>
        <w:t>案》。</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34" w:lineRule="exact"/>
        <w:ind w:left="1870" w:right="124"/>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9 </w:t>
      </w:r>
      <w:r>
        <w:rPr/>
        <w:t>日公 司召开第九届董事 会第七次会议审议</w:t>
      </w:r>
    </w:p>
    <w:p>
      <w:pPr>
        <w:spacing w:after="0" w:line="234" w:lineRule="exact"/>
        <w:jc w:val="left"/>
        <w:sectPr>
          <w:type w:val="continuous"/>
          <w:pgSz w:w="16840" w:h="11910" w:orient="landscape"/>
          <w:pgMar w:top="1580" w:bottom="700" w:left="1300" w:right="1300"/>
          <w:cols w:num="3" w:equalWidth="0">
            <w:col w:w="3311" w:space="40"/>
            <w:col w:w="5892" w:space="1414"/>
            <w:col w:w="3583"/>
          </w:cols>
        </w:sectPr>
      </w:pPr>
    </w:p>
    <w:p>
      <w:pPr>
        <w:pStyle w:val="BodyText"/>
        <w:spacing w:line="211" w:lineRule="exact"/>
        <w:ind w:left="1870" w:right="-18"/>
        <w:jc w:val="left"/>
      </w:pPr>
      <w:r>
        <w:rPr>
          <w:spacing w:val="-10"/>
        </w:rPr>
        <w:t>资、德正嘉成、澜</w:t>
      </w:r>
      <w:r>
        <w:rPr>
          <w:spacing w:val="-34"/>
        </w:rPr>
        <w:t> </w:t>
      </w:r>
      <w:r>
        <w:rPr>
          <w:position w:val="12"/>
        </w:rPr>
        <w:t>其他承诺</w:t>
      </w:r>
      <w:r>
        <w:rPr/>
      </w:r>
    </w:p>
    <w:p>
      <w:pPr>
        <w:pStyle w:val="BodyText"/>
        <w:spacing w:line="237" w:lineRule="auto" w:before="1"/>
        <w:ind w:left="1870" w:right="758"/>
        <w:jc w:val="left"/>
      </w:pPr>
      <w:r>
        <w:rPr/>
        <w:t>亭投资、吾湾投 </w:t>
      </w:r>
      <w:r>
        <w:rPr>
          <w:spacing w:val="-10"/>
        </w:rPr>
        <w:t>资、金俊投资、乾</w:t>
      </w:r>
      <w:r>
        <w:rPr/>
        <w:t> 亨投资共十三方</w:t>
      </w:r>
    </w:p>
    <w:p>
      <w:pPr>
        <w:pStyle w:val="BodyText"/>
        <w:spacing w:line="114" w:lineRule="exact"/>
        <w:ind w:left="515" w:right="0"/>
        <w:jc w:val="both"/>
      </w:pPr>
      <w:r>
        <w:rPr/>
        <w:br w:type="column"/>
      </w:r>
      <w:r>
        <w:rPr/>
        <w:t>证券交易所和登记结算公司报送承诺人的身份信息和账户</w:t>
      </w:r>
    </w:p>
    <w:p>
      <w:pPr>
        <w:pStyle w:val="BodyText"/>
        <w:spacing w:line="237" w:lineRule="auto" w:before="1"/>
        <w:ind w:left="515" w:right="0"/>
        <w:jc w:val="both"/>
      </w:pPr>
      <w:r>
        <w:rPr/>
        <w:pict>
          <v:shape style="position:absolute;margin-left:420.619995pt;margin-top:2.456596pt;width:187.05pt;height:127.4pt;mso-position-horizontal-relative:page;mso-position-vertical-relative:paragraph;z-index:-146600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pStyle w:val="BodyText"/>
                    <w:spacing w:line="232" w:lineRule="exact"/>
                    <w:ind w:left="360" w:right="1578" w:hanging="361"/>
                    <w:jc w:val="left"/>
                  </w:pPr>
                  <w:r>
                    <w:rPr/>
                    <w:t>误导性陈述或者重大遗漏。 承诺及确认均为真实、</w:t>
                  </w:r>
                </w:p>
              </w:txbxContent>
            </v:textbox>
            <w10:wrap type="none"/>
          </v:shape>
        </w:pict>
      </w:r>
      <w:r>
        <w:rPr>
          <w:spacing w:val="-3"/>
        </w:rPr>
        <w:t>信息并申请锁定；董事会未向证券交易所和登记结算公司报</w:t>
      </w:r>
      <w:r>
        <w:rPr>
          <w:spacing w:val="-74"/>
        </w:rPr>
        <w:t> </w:t>
      </w:r>
      <w:r>
        <w:rPr>
          <w:spacing w:val="-74"/>
        </w:rPr>
      </w:r>
      <w:r>
        <w:rPr>
          <w:spacing w:val="-3"/>
        </w:rPr>
        <w:t>送承诺人的身份信息和账户信息的，授权证券交易所和登记</w:t>
      </w:r>
      <w:r>
        <w:rPr>
          <w:spacing w:val="-74"/>
        </w:rPr>
        <w:t> </w:t>
      </w:r>
      <w:r>
        <w:rPr>
          <w:spacing w:val="-74"/>
        </w:rPr>
      </w:r>
      <w:r>
        <w:rPr>
          <w:spacing w:val="-3"/>
        </w:rPr>
        <w:t>结算公司直接锁定相关股份。如调查结论发现存在违法违规</w:t>
      </w:r>
    </w:p>
    <w:p>
      <w:pPr>
        <w:pStyle w:val="BodyText"/>
        <w:spacing w:line="110" w:lineRule="exact"/>
        <w:ind w:left="16" w:right="-14"/>
        <w:jc w:val="left"/>
      </w:pPr>
      <w:r>
        <w:rPr/>
        <w:br w:type="column"/>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05 </w:t>
      </w:r>
      <w:r>
        <w:rPr/>
        <w:t>月</w:t>
      </w:r>
      <w:r>
        <w:rPr>
          <w:spacing w:val="-46"/>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w:t>
      </w:r>
      <w:r>
        <w:rPr>
          <w:spacing w:val="7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9 </w:t>
      </w:r>
      <w:r>
        <w:rPr/>
        <w:t>日</w:t>
      </w:r>
    </w:p>
    <w:p>
      <w:pPr>
        <w:pStyle w:val="BodyText"/>
        <w:spacing w:line="211" w:lineRule="exact"/>
        <w:ind w:left="213" w:right="0"/>
        <w:jc w:val="left"/>
      </w:pPr>
      <w:r>
        <w:rPr>
          <w:spacing w:val="-6"/>
        </w:rPr>
        <w:br w:type="column"/>
      </w:r>
      <w:r>
        <w:rPr>
          <w:spacing w:val="-6"/>
        </w:rPr>
        <w:t>通过了《关于终止重</w:t>
      </w:r>
    </w:p>
    <w:p>
      <w:pPr>
        <w:pStyle w:val="BodyText"/>
        <w:spacing w:line="232" w:lineRule="exact" w:before="24"/>
        <w:ind w:left="213" w:right="430"/>
        <w:jc w:val="left"/>
      </w:pPr>
      <w:r>
        <w:rPr/>
        <w:t>大资产重组的议 </w:t>
      </w:r>
      <w:r>
        <w:rPr>
          <w:spacing w:val="-30"/>
        </w:rPr>
        <w:t>案》。</w:t>
      </w:r>
    </w:p>
    <w:p>
      <w:pPr>
        <w:spacing w:after="0" w:line="232" w:lineRule="exact"/>
        <w:jc w:val="left"/>
        <w:sectPr>
          <w:type w:val="continuous"/>
          <w:pgSz w:w="16840" w:h="11910" w:orient="landscape"/>
          <w:pgMar w:top="1580" w:bottom="700" w:left="1300" w:right="1300"/>
          <w:cols w:num="4" w:equalWidth="0">
            <w:col w:w="4009" w:space="40"/>
            <w:col w:w="5135" w:space="40"/>
            <w:col w:w="3053" w:space="40"/>
            <w:col w:w="1923"/>
          </w:cols>
        </w:sectPr>
      </w:pPr>
    </w:p>
    <w:p>
      <w:pPr>
        <w:pStyle w:val="BodyText"/>
        <w:spacing w:line="136" w:lineRule="exact"/>
        <w:ind w:left="4563" w:right="0"/>
        <w:jc w:val="left"/>
      </w:pPr>
      <w:r>
        <w:rPr/>
        <w:pict>
          <v:group style="position:absolute;margin-left:70.139999pt;margin-top:55.260006pt;width:701.7pt;height:471.45pt;mso-position-horizontal-relative:page;mso-position-vertical-relative:page;z-index:-1465984" coordorigin="1403,1105" coordsize="14034,9429">
            <v:group style="position:absolute;left:1410;top:1112;width:14020;height:2" coordorigin="1410,1112" coordsize="14020,2">
              <v:shape style="position:absolute;left:1410;top:1112;width:14020;height:2" coordorigin="1410,1112" coordsize="14020,0" path="m1410,1112l15430,1112e" filled="false" stroked="true" strokeweight=".72pt" strokecolor="#000000">
                <v:path arrowok="t"/>
              </v:shape>
            </v:group>
            <v:group style="position:absolute;left:1429;top:1144;width:2;height:315" coordorigin="1429,1144" coordsize="2,315">
              <v:shape style="position:absolute;left:1429;top:1144;width:2;height:315" coordorigin="1429,1144" coordsize="0,315" path="m1429,1144l1429,1458e" filled="false" stroked="true" strokeweight="1.140pt" strokecolor="#d2d2d2">
                <v:path arrowok="t"/>
              </v:shape>
            </v:group>
            <v:group style="position:absolute;left:3126;top:1144;width:2;height:315" coordorigin="3126,1144" coordsize="2,315">
              <v:shape style="position:absolute;left:3126;top:1144;width:2;height:315" coordorigin="3126,1144" coordsize="0,315" path="m3126,1144l3126,1458e" filled="false" stroked="true" strokeweight="1.140pt" strokecolor="#d2d2d2">
                <v:path arrowok="t"/>
              </v:shape>
            </v:group>
            <v:group style="position:absolute;left:1440;top:1144;width:1675;height:315" coordorigin="1440,1144" coordsize="1675,315">
              <v:shape style="position:absolute;left:1440;top:1144;width:1675;height:315" coordorigin="1440,1144" coordsize="1675,315" path="m1440,1458l3114,1458,3114,1144,1440,1144,1440,1458xe" filled="true" fillcolor="#d2d2d2" stroked="false">
                <v:path arrowok="t"/>
                <v:fill type="solid"/>
              </v:shape>
            </v:group>
            <v:group style="position:absolute;left:3159;top:1144;width:2;height:315" coordorigin="3159,1144" coordsize="2,315">
              <v:shape style="position:absolute;left:3159;top:1144;width:2;height:315" coordorigin="3159,1144" coordsize="0,315" path="m3159,1144l3159,1458e" filled="false" stroked="true" strokeweight="1.140pt" strokecolor="#d2d2d2">
                <v:path arrowok="t"/>
              </v:shape>
            </v:group>
            <v:group style="position:absolute;left:4544;top:1144;width:2;height:315" coordorigin="4544,1144" coordsize="2,315">
              <v:shape style="position:absolute;left:4544;top:1144;width:2;height:315" coordorigin="4544,1144" coordsize="0,315" path="m4544,1144l4544,1458e" filled="false" stroked="true" strokeweight="1.140pt" strokecolor="#d2d2d2">
                <v:path arrowok="t"/>
              </v:shape>
            </v:group>
            <v:group style="position:absolute;left:3171;top:1144;width:1362;height:315" coordorigin="3171,1144" coordsize="1362,315">
              <v:shape style="position:absolute;left:3171;top:1144;width:1362;height:315" coordorigin="3171,1144" coordsize="1362,315" path="m3171,1458l4533,1458,4533,1144,3171,1144,3171,1458xe" filled="true" fillcolor="#d2d2d2" stroked="false">
                <v:path arrowok="t"/>
                <v:fill type="solid"/>
              </v:shape>
            </v:group>
            <v:group style="position:absolute;left:4577;top:1144;width:2;height:315" coordorigin="4577,1144" coordsize="2,315">
              <v:shape style="position:absolute;left:4577;top:1144;width:2;height:315" coordorigin="4577,1144" coordsize="0,315" path="m4577,1144l4577,1458e" filled="false" stroked="true" strokeweight="1.140pt" strokecolor="#d2d2d2">
                <v:path arrowok="t"/>
              </v:shape>
            </v:group>
            <v:group style="position:absolute;left:5819;top:1144;width:2;height:315" coordorigin="5819,1144" coordsize="2,315">
              <v:shape style="position:absolute;left:5819;top:1144;width:2;height:315" coordorigin="5819,1144" coordsize="0,315" path="m5819,1144l5819,1458e" filled="false" stroked="true" strokeweight="1.140pt" strokecolor="#d2d2d2">
                <v:path arrowok="t"/>
              </v:shape>
            </v:group>
            <v:group style="position:absolute;left:4588;top:1144;width:1220;height:315" coordorigin="4588,1144" coordsize="1220,315">
              <v:shape style="position:absolute;left:4588;top:1144;width:1220;height:315" coordorigin="4588,1144" coordsize="1220,315" path="m4588,1458l5807,1458,5807,1144,4588,1144,4588,1458xe" filled="true" fillcolor="#d2d2d2" stroked="false">
                <v:path arrowok="t"/>
                <v:fill type="solid"/>
              </v:shape>
            </v:group>
            <v:group style="position:absolute;left:5852;top:1144;width:2;height:315" coordorigin="5852,1144" coordsize="2,315">
              <v:shape style="position:absolute;left:5852;top:1144;width:2;height:315" coordorigin="5852,1144" coordsize="0,315" path="m5852,1144l5852,1458e" filled="false" stroked="true" strokeweight="1.140pt" strokecolor="#d2d2d2">
                <v:path arrowok="t"/>
              </v:shape>
            </v:group>
            <v:group style="position:absolute;left:10494;top:1144;width:2;height:315" coordorigin="10494,1144" coordsize="2,315">
              <v:shape style="position:absolute;left:10494;top:1144;width:2;height:315" coordorigin="10494,1144" coordsize="0,315" path="m10494,1144l10494,1458e" filled="false" stroked="true" strokeweight="1.140pt" strokecolor="#d2d2d2">
                <v:path arrowok="t"/>
              </v:shape>
            </v:group>
            <v:group style="position:absolute;left:5864;top:1144;width:4620;height:315" coordorigin="5864,1144" coordsize="4620,315">
              <v:shape style="position:absolute;left:5864;top:1144;width:4620;height:315" coordorigin="5864,1144" coordsize="4620,315" path="m5864,1458l10483,1458,10483,1144,5864,1144,5864,1458xe" filled="true" fillcolor="#d2d2d2" stroked="false">
                <v:path arrowok="t"/>
                <v:fill type="solid"/>
              </v:shape>
            </v:group>
            <v:group style="position:absolute;left:10528;top:1144;width:2;height:315" coordorigin="10528,1144" coordsize="2,315">
              <v:shape style="position:absolute;left:10528;top:1144;width:2;height:315" coordorigin="10528,1144" coordsize="0,315" path="m10528,1144l10528,1458e" filled="false" stroked="true" strokeweight="1.140pt" strokecolor="#d2d2d2">
                <v:path arrowok="t"/>
              </v:shape>
            </v:group>
            <v:group style="position:absolute;left:12142;top:1144;width:2;height:315" coordorigin="12142,1144" coordsize="2,315">
              <v:shape style="position:absolute;left:12142;top:1144;width:2;height:315" coordorigin="12142,1144" coordsize="0,315" path="m12142,1144l12142,1458e" filled="false" stroked="true" strokeweight="1.140pt" strokecolor="#d2d2d2">
                <v:path arrowok="t"/>
              </v:shape>
            </v:group>
            <v:group style="position:absolute;left:10539;top:1144;width:1592;height:315" coordorigin="10539,1144" coordsize="1592,315">
              <v:shape style="position:absolute;left:10539;top:1144;width:1592;height:315" coordorigin="10539,1144" coordsize="1592,315" path="m10539,1458l12130,1458,12130,1144,10539,1144,10539,1458xe" filled="true" fillcolor="#d2d2d2" stroked="false">
                <v:path arrowok="t"/>
                <v:fill type="solid"/>
              </v:shape>
            </v:group>
            <v:group style="position:absolute;left:12175;top:1144;width:2;height:315" coordorigin="12175,1144" coordsize="2,315">
              <v:shape style="position:absolute;left:12175;top:1144;width:2;height:315" coordorigin="12175,1144" coordsize="0,315" path="m12175,1144l12175,1458e" filled="false" stroked="true" strokeweight="1.140pt" strokecolor="#d2d2d2">
                <v:path arrowok="t"/>
              </v:shape>
            </v:group>
            <v:group style="position:absolute;left:13785;top:1144;width:2;height:315" coordorigin="13785,1144" coordsize="2,315">
              <v:shape style="position:absolute;left:13785;top:1144;width:2;height:315" coordorigin="13785,1144" coordsize="0,315" path="m13785,1144l13785,1458e" filled="false" stroked="true" strokeweight="1.140pt" strokecolor="#d2d2d2">
                <v:path arrowok="t"/>
              </v:shape>
            </v:group>
            <v:group style="position:absolute;left:12187;top:1144;width:1587;height:315" coordorigin="12187,1144" coordsize="1587,315">
              <v:shape style="position:absolute;left:12187;top:1144;width:1587;height:315" coordorigin="12187,1144" coordsize="1587,315" path="m12187,1458l13773,1458,13773,1144,12187,1144,12187,1458xe" filled="true" fillcolor="#d2d2d2" stroked="false">
                <v:path arrowok="t"/>
                <v:fill type="solid"/>
              </v:shape>
            </v:group>
            <v:group style="position:absolute;left:13817;top:1144;width:2;height:315" coordorigin="13817,1144" coordsize="2,315">
              <v:shape style="position:absolute;left:13817;top:1144;width:2;height:315" coordorigin="13817,1144" coordsize="0,315" path="m13817,1144l13817,1458e" filled="false" stroked="true" strokeweight="1.140pt" strokecolor="#d2d2d2">
                <v:path arrowok="t"/>
              </v:shape>
            </v:group>
            <v:group style="position:absolute;left:15411;top:1144;width:2;height:315" coordorigin="15411,1144" coordsize="2,315">
              <v:shape style="position:absolute;left:15411;top:1144;width:2;height:315" coordorigin="15411,1144" coordsize="0,315" path="m15411,1144l15411,1458e" filled="false" stroked="true" strokeweight="1.140pt" strokecolor="#d2d2d2">
                <v:path arrowok="t"/>
              </v:shape>
            </v:group>
            <v:group style="position:absolute;left:13828;top:1144;width:1572;height:315" coordorigin="13828,1144" coordsize="1572,315">
              <v:shape style="position:absolute;left:13828;top:1144;width:1572;height:315" coordorigin="13828,1144" coordsize="1572,315" path="m13828,1458l15400,1458,15400,1144,13828,1144,13828,1458xe" filled="true" fillcolor="#d2d2d2" stroked="false">
                <v:path arrowok="t"/>
                <v:fill type="solid"/>
              </v:shape>
            </v:group>
            <v:group style="position:absolute;left:1417;top:1139;width:1720;height:2" coordorigin="1417,1139" coordsize="1720,2">
              <v:shape style="position:absolute;left:1417;top:1139;width:1720;height:2" coordorigin="1417,1139" coordsize="1720,0" path="m1417,1139l3137,1139e" filled="false" stroked="true" strokeweight=".48pt" strokecolor="#000000">
                <v:path arrowok="t"/>
              </v:shape>
            </v:group>
            <v:group style="position:absolute;left:3147;top:1139;width:1409;height:2" coordorigin="3147,1139" coordsize="1409,2">
              <v:shape style="position:absolute;left:3147;top:1139;width:1409;height:2" coordorigin="3147,1139" coordsize="1409,0" path="m3147,1139l4556,1139e" filled="false" stroked="true" strokeweight=".48pt" strokecolor="#000000">
                <v:path arrowok="t"/>
              </v:shape>
            </v:group>
            <v:group style="position:absolute;left:4565;top:1139;width:1266;height:2" coordorigin="4565,1139" coordsize="1266,2">
              <v:shape style="position:absolute;left:4565;top:1139;width:1266;height:2" coordorigin="4565,1139" coordsize="1266,0" path="m4565,1139l5831,1139e" filled="false" stroked="true" strokeweight=".48pt" strokecolor="#000000">
                <v:path arrowok="t"/>
              </v:shape>
            </v:group>
            <v:group style="position:absolute;left:5841;top:1139;width:4665;height:2" coordorigin="5841,1139" coordsize="4665,2">
              <v:shape style="position:absolute;left:5841;top:1139;width:4665;height:2" coordorigin="5841,1139" coordsize="4665,0" path="m5841,1139l10506,1139e" filled="false" stroked="true" strokeweight=".48pt" strokecolor="#000000">
                <v:path arrowok="t"/>
              </v:shape>
            </v:group>
            <v:group style="position:absolute;left:10515;top:1139;width:1640;height:2" coordorigin="10515,1139" coordsize="1640,2">
              <v:shape style="position:absolute;left:10515;top:1139;width:1640;height:2" coordorigin="10515,1139" coordsize="1640,0" path="m10515,1139l12154,1139e" filled="false" stroked="true" strokeweight=".48pt" strokecolor="#000000">
                <v:path arrowok="t"/>
              </v:shape>
            </v:group>
            <v:group style="position:absolute;left:12164;top:1139;width:1632;height:2" coordorigin="12164,1139" coordsize="1632,2">
              <v:shape style="position:absolute;left:12164;top:1139;width:1632;height:2" coordorigin="12164,1139" coordsize="1632,0" path="m12164,1139l13796,1139e" filled="false" stroked="true" strokeweight=".48pt" strokecolor="#000000">
                <v:path arrowok="t"/>
              </v:shape>
            </v:group>
            <v:group style="position:absolute;left:13806;top:1139;width:1617;height:2" coordorigin="13806,1139" coordsize="1617,2">
              <v:shape style="position:absolute;left:13806;top:1139;width:1617;height:2" coordorigin="13806,1139" coordsize="1617,0" path="m13806,1139l15422,1139e" filled="false" stroked="true" strokeweight=".48pt" strokecolor="#000000">
                <v:path arrowok="t"/>
              </v:shape>
            </v:group>
            <v:group style="position:absolute;left:1417;top:1458;width:1720;height:1917" coordorigin="1417,1458" coordsize="1720,1917">
              <v:shape style="position:absolute;left:1417;top:1458;width:1720;height:1917" coordorigin="1417,1458" coordsize="1720,1917" path="m1417,3375l3137,3375,3137,1458,1417,1458,1417,3375xe" filled="true" fillcolor="#d2d2d2" stroked="false">
                <v:path arrowok="t"/>
                <v:fill type="solid"/>
              </v:shape>
            </v:group>
            <v:group style="position:absolute;left:10516;top:1468;width:1637;height:1908" coordorigin="10516,1468" coordsize="1637,1908">
              <v:shape style="position:absolute;left:10516;top:1468;width:1637;height:1908" coordorigin="10516,1468" coordsize="1637,1908" path="m10516,3375l12153,3375,12153,1468,10516,1468,10516,3375xe" filled="true" fillcolor="#ffffff" stroked="false">
                <v:path arrowok="t"/>
                <v:fill type="solid"/>
              </v:shape>
            </v:group>
            <v:group style="position:absolute;left:1417;top:1463;width:1720;height:2" coordorigin="1417,1463" coordsize="1720,2">
              <v:shape style="position:absolute;left:1417;top:1463;width:1720;height:2" coordorigin="1417,1463" coordsize="1720,0" path="m1417,1463l3137,1463e" filled="false" stroked="true" strokeweight=".48pt" strokecolor="#000000">
                <v:path arrowok="t"/>
              </v:shape>
            </v:group>
            <v:group style="position:absolute;left:3147;top:1463;width:1409;height:2" coordorigin="3147,1463" coordsize="1409,2">
              <v:shape style="position:absolute;left:3147;top:1463;width:1409;height:2" coordorigin="3147,1463" coordsize="1409,0" path="m3147,1463l4556,1463e" filled="false" stroked="true" strokeweight=".48pt" strokecolor="#000000">
                <v:path arrowok="t"/>
              </v:shape>
            </v:group>
            <v:group style="position:absolute;left:4565;top:1463;width:1266;height:2" coordorigin="4565,1463" coordsize="1266,2">
              <v:shape style="position:absolute;left:4565;top:1463;width:1266;height:2" coordorigin="4565,1463" coordsize="1266,0" path="m4565,1463l5831,1463e" filled="false" stroked="true" strokeweight=".48pt" strokecolor="#000000">
                <v:path arrowok="t"/>
              </v:shape>
            </v:group>
            <v:group style="position:absolute;left:5841;top:1463;width:4665;height:2" coordorigin="5841,1463" coordsize="4665,2">
              <v:shape style="position:absolute;left:5841;top:1463;width:4665;height:2" coordorigin="5841,1463" coordsize="4665,0" path="m5841,1463l10506,1463e" filled="false" stroked="true" strokeweight=".48pt" strokecolor="#000000">
                <v:path arrowok="t"/>
              </v:shape>
            </v:group>
            <v:group style="position:absolute;left:10515;top:1463;width:1640;height:2" coordorigin="10515,1463" coordsize="1640,2">
              <v:shape style="position:absolute;left:10515;top:1463;width:1640;height:2" coordorigin="10515,1463" coordsize="1640,0" path="m10515,1463l12154,1463e" filled="false" stroked="true" strokeweight=".48pt" strokecolor="#000000">
                <v:path arrowok="t"/>
              </v:shape>
            </v:group>
            <v:group style="position:absolute;left:12164;top:1463;width:1632;height:2" coordorigin="12164,1463" coordsize="1632,2">
              <v:shape style="position:absolute;left:12164;top:1463;width:1632;height:2" coordorigin="12164,1463" coordsize="1632,0" path="m12164,1463l13796,1463e" filled="false" stroked="true" strokeweight=".48pt" strokecolor="#000000">
                <v:path arrowok="t"/>
              </v:shape>
            </v:group>
            <v:group style="position:absolute;left:13806;top:1463;width:1617;height:2" coordorigin="13806,1463" coordsize="1617,2">
              <v:shape style="position:absolute;left:13806;top:1463;width:1617;height:2" coordorigin="13806,1463" coordsize="1617,0" path="m13806,1463l15422,1463e" filled="false" stroked="true" strokeweight=".48pt" strokecolor="#000000">
                <v:path arrowok="t"/>
              </v:shape>
            </v:group>
            <v:group style="position:absolute;left:1417;top:3376;width:1720;height:1724" coordorigin="1417,3376" coordsize="1720,1724">
              <v:shape style="position:absolute;left:1417;top:3376;width:1720;height:1724" coordorigin="1417,3376" coordsize="1720,1724" path="m1417,5100l3137,5100,3137,3376,1417,3376,1417,5100xe" filled="true" fillcolor="#d2d2d2" stroked="false">
                <v:path arrowok="t"/>
                <v:fill type="solid"/>
              </v:shape>
            </v:group>
            <v:group style="position:absolute;left:4565;top:3386;width:1265;height:584" coordorigin="4565,3386" coordsize="1265,584">
              <v:shape style="position:absolute;left:4565;top:3386;width:1265;height:584" coordorigin="4565,3386" coordsize="1265,584" path="m4565,3969l5830,3969,5830,3386,4565,3386,4565,3969xe" filled="true" fillcolor="#ffffff" stroked="false">
                <v:path arrowok="t"/>
                <v:fill type="solid"/>
              </v:shape>
            </v:group>
            <v:group style="position:absolute;left:10528;top:4085;width:2;height:315" coordorigin="10528,4085" coordsize="2,315">
              <v:shape style="position:absolute;left:10528;top:4085;width:2;height:315" coordorigin="10528,4085" coordsize="0,315" path="m10528,4085l10528,4400e" filled="false" stroked="true" strokeweight="1.140pt" strokecolor="#ffffff">
                <v:path arrowok="t"/>
              </v:shape>
            </v:group>
            <v:group style="position:absolute;left:10516;top:4400;width:1637;height:700" coordorigin="10516,4400" coordsize="1637,700">
              <v:shape style="position:absolute;left:10516;top:4400;width:1637;height:700" coordorigin="10516,4400" coordsize="1637,700" path="m10516,5100l12153,5100,12153,4400,10516,4400,10516,5100xe" filled="true" fillcolor="#ffffff" stroked="false">
                <v:path arrowok="t"/>
                <v:fill type="solid"/>
              </v:shape>
            </v:group>
            <v:group style="position:absolute;left:3147;top:3380;width:1409;height:2" coordorigin="3147,3380" coordsize="1409,2">
              <v:shape style="position:absolute;left:3147;top:3380;width:1409;height:2" coordorigin="3147,3380" coordsize="1409,0" path="m3147,3380l4556,3380e" filled="false" stroked="true" strokeweight=".48001pt" strokecolor="#000000">
                <v:path arrowok="t"/>
              </v:shape>
            </v:group>
            <v:group style="position:absolute;left:4565;top:3380;width:1266;height:2" coordorigin="4565,3380" coordsize="1266,2">
              <v:shape style="position:absolute;left:4565;top:3380;width:1266;height:2" coordorigin="4565,3380" coordsize="1266,0" path="m4565,3380l5831,3380e" filled="false" stroked="true" strokeweight=".48001pt" strokecolor="#000000">
                <v:path arrowok="t"/>
              </v:shape>
            </v:group>
            <v:group style="position:absolute;left:5841;top:3380;width:4665;height:2" coordorigin="5841,3380" coordsize="4665,2">
              <v:shape style="position:absolute;left:5841;top:3380;width:4665;height:2" coordorigin="5841,3380" coordsize="4665,0" path="m5841,3380l10506,3380e" filled="false" stroked="true" strokeweight=".48001pt" strokecolor="#000000">
                <v:path arrowok="t"/>
              </v:shape>
            </v:group>
            <v:group style="position:absolute;left:10515;top:3380;width:1640;height:2" coordorigin="10515,3380" coordsize="1640,2">
              <v:shape style="position:absolute;left:10515;top:3380;width:1640;height:2" coordorigin="10515,3380" coordsize="1640,0" path="m10515,3380l12154,3380e" filled="false" stroked="true" strokeweight=".48001pt" strokecolor="#000000">
                <v:path arrowok="t"/>
              </v:shape>
            </v:group>
            <v:group style="position:absolute;left:12164;top:3380;width:1632;height:2" coordorigin="12164,3380" coordsize="1632,2">
              <v:shape style="position:absolute;left:12164;top:3380;width:1632;height:2" coordorigin="12164,3380" coordsize="1632,0" path="m12164,3380l13796,3380e" filled="false" stroked="true" strokeweight=".48001pt" strokecolor="#000000">
                <v:path arrowok="t"/>
              </v:shape>
            </v:group>
            <v:group style="position:absolute;left:13806;top:3380;width:1617;height:2" coordorigin="13806,3380" coordsize="1617,2">
              <v:shape style="position:absolute;left:13806;top:3380;width:1617;height:2" coordorigin="13806,3380" coordsize="1617,0" path="m13806,3380l15422,3380e" filled="false" stroked="true" strokeweight=".48001pt" strokecolor="#000000">
                <v:path arrowok="t"/>
              </v:shape>
            </v:group>
            <v:group style="position:absolute;left:1417;top:5100;width:1720;height:5420" coordorigin="1417,5100" coordsize="1720,5420">
              <v:shape style="position:absolute;left:1417;top:5100;width:1720;height:5420" coordorigin="1417,5100" coordsize="1720,5420" path="m1417,10519l3137,10519,3137,5100,1417,5100,1417,10519xe" filled="true" fillcolor="#d2d2d2" stroked="false">
                <v:path arrowok="t"/>
                <v:fill type="solid"/>
              </v:shape>
            </v:group>
            <v:group style="position:absolute;left:4565;top:5109;width:1265;height:2549" coordorigin="4565,5109" coordsize="1265,2549">
              <v:shape style="position:absolute;left:4565;top:5109;width:1265;height:2549" coordorigin="4565,5109" coordsize="1265,2549" path="m4565,7658l5830,7658,5830,5109,4565,5109,4565,7658xe" filled="true" fillcolor="#ffffff" stroked="false">
                <v:path arrowok="t"/>
                <v:fill type="solid"/>
              </v:shape>
            </v:group>
            <v:group style="position:absolute;left:10516;top:5109;width:1637;height:2549" coordorigin="10516,5109" coordsize="1637,2549">
              <v:shape style="position:absolute;left:10516;top:5109;width:1637;height:2549" coordorigin="10516,5109" coordsize="1637,2549" path="m10516,7658l12153,7658,12153,5109,10516,5109,10516,7658xe" filled="true" fillcolor="#ffffff" stroked="false">
                <v:path arrowok="t"/>
                <v:fill type="solid"/>
              </v:shape>
            </v:group>
            <v:group style="position:absolute;left:10516;top:7971;width:1637;height:2548" coordorigin="10516,7971" coordsize="1637,2548">
              <v:shape style="position:absolute;left:10516;top:7971;width:1637;height:2548" coordorigin="10516,7971" coordsize="1637,2548" path="m10516,10519l12153,10519,12153,7971,10516,7971,10516,10519xe" filled="true" fillcolor="#ffffff" stroked="false">
                <v:path arrowok="t"/>
                <v:fill type="solid"/>
              </v:shape>
            </v:group>
            <v:group style="position:absolute;left:3147;top:5104;width:1409;height:2" coordorigin="3147,5104" coordsize="1409,2">
              <v:shape style="position:absolute;left:3147;top:5104;width:1409;height:2" coordorigin="3147,5104" coordsize="1409,0" path="m3147,5104l4556,5104e" filled="false" stroked="true" strokeweight=".48pt" strokecolor="#000000">
                <v:path arrowok="t"/>
              </v:shape>
            </v:group>
            <v:group style="position:absolute;left:4565;top:5104;width:1266;height:2" coordorigin="4565,5104" coordsize="1266,2">
              <v:shape style="position:absolute;left:4565;top:5104;width:1266;height:2" coordorigin="4565,5104" coordsize="1266,0" path="m4565,5104l5831,5104e" filled="false" stroked="true" strokeweight=".48pt" strokecolor="#000000">
                <v:path arrowok="t"/>
              </v:shape>
            </v:group>
            <v:group style="position:absolute;left:5841;top:5104;width:4665;height:2" coordorigin="5841,5104" coordsize="4665,2">
              <v:shape style="position:absolute;left:5841;top:5104;width:4665;height:2" coordorigin="5841,5104" coordsize="4665,0" path="m5841,5104l10506,5104e" filled="false" stroked="true" strokeweight=".48pt" strokecolor="#000000">
                <v:path arrowok="t"/>
              </v:shape>
            </v:group>
            <v:group style="position:absolute;left:10515;top:5104;width:1640;height:2" coordorigin="10515,5104" coordsize="1640,2">
              <v:shape style="position:absolute;left:10515;top:5104;width:1640;height:2" coordorigin="10515,5104" coordsize="1640,0" path="m10515,5104l12154,5104e" filled="false" stroked="true" strokeweight=".48pt" strokecolor="#000000">
                <v:path arrowok="t"/>
              </v:shape>
            </v:group>
            <v:group style="position:absolute;left:12164;top:5104;width:1632;height:2" coordorigin="12164,5104" coordsize="1632,2">
              <v:shape style="position:absolute;left:12164;top:5104;width:1632;height:2" coordorigin="12164,5104" coordsize="1632,0" path="m12164,5104l13796,5104e" filled="false" stroked="true" strokeweight=".48pt" strokecolor="#000000">
                <v:path arrowok="t"/>
              </v:shape>
            </v:group>
            <v:group style="position:absolute;left:13806;top:5104;width:1617;height:2" coordorigin="13806,5104" coordsize="1617,2">
              <v:shape style="position:absolute;left:13806;top:5104;width:1617;height:2" coordorigin="13806,5104" coordsize="1617,0" path="m13806,5104l15422,5104e" filled="false" stroked="true" strokeweight=".48pt" strokecolor="#000000">
                <v:path arrowok="t"/>
              </v:shape>
            </v:group>
            <v:group style="position:absolute;left:1412;top:1134;width:2;height:9395" coordorigin="1412,1134" coordsize="2,9395">
              <v:shape style="position:absolute;left:1412;top:1134;width:2;height:9395" coordorigin="1412,1134" coordsize="0,9395" path="m1412,1134l1412,10529e" filled="false" stroked="true" strokeweight=".48pt" strokecolor="#000000">
                <v:path arrowok="t"/>
              </v:shape>
            </v:group>
            <v:group style="position:absolute;left:1417;top:10524;width:1720;height:2" coordorigin="1417,10524" coordsize="1720,2">
              <v:shape style="position:absolute;left:1417;top:10524;width:1720;height:2" coordorigin="1417,10524" coordsize="1720,0" path="m1417,10524l3137,10524e" filled="false" stroked="true" strokeweight=".48004pt" strokecolor="#000000">
                <v:path arrowok="t"/>
              </v:shape>
            </v:group>
            <v:group style="position:absolute;left:3142;top:1134;width:2;height:9395" coordorigin="3142,1134" coordsize="2,9395">
              <v:shape style="position:absolute;left:3142;top:1134;width:2;height:9395" coordorigin="3142,1134" coordsize="0,9395" path="m3142,1134l3142,10529e" filled="false" stroked="true" strokeweight=".48pt" strokecolor="#000000">
                <v:path arrowok="t"/>
              </v:shape>
            </v:group>
            <v:group style="position:absolute;left:3147;top:10524;width:1409;height:2" coordorigin="3147,10524" coordsize="1409,2">
              <v:shape style="position:absolute;left:3147;top:10524;width:1409;height:2" coordorigin="3147,10524" coordsize="1409,0" path="m3147,10524l4556,10524e" filled="false" stroked="true" strokeweight=".48004pt" strokecolor="#000000">
                <v:path arrowok="t"/>
              </v:shape>
            </v:group>
            <v:group style="position:absolute;left:4560;top:1134;width:2;height:9395" coordorigin="4560,1134" coordsize="2,9395">
              <v:shape style="position:absolute;left:4560;top:1134;width:2;height:9395" coordorigin="4560,1134" coordsize="0,9395" path="m4560,1134l4560,10529e" filled="false" stroked="true" strokeweight=".48pt" strokecolor="#000000">
                <v:path arrowok="t"/>
              </v:shape>
            </v:group>
            <v:group style="position:absolute;left:4565;top:10524;width:1266;height:2" coordorigin="4565,10524" coordsize="1266,2">
              <v:shape style="position:absolute;left:4565;top:10524;width:1266;height:2" coordorigin="4565,10524" coordsize="1266,0" path="m4565,10524l5831,10524e" filled="false" stroked="true" strokeweight=".48004pt" strokecolor="#000000">
                <v:path arrowok="t"/>
              </v:shape>
            </v:group>
            <v:group style="position:absolute;left:5836;top:1134;width:2;height:9395" coordorigin="5836,1134" coordsize="2,9395">
              <v:shape style="position:absolute;left:5836;top:1134;width:2;height:9395" coordorigin="5836,1134" coordsize="0,9395" path="m5836,1134l5836,10529e" filled="false" stroked="true" strokeweight=".48001pt" strokecolor="#000000">
                <v:path arrowok="t"/>
              </v:shape>
            </v:group>
            <v:group style="position:absolute;left:5841;top:10524;width:4665;height:2" coordorigin="5841,10524" coordsize="4665,2">
              <v:shape style="position:absolute;left:5841;top:10524;width:4665;height:2" coordorigin="5841,10524" coordsize="4665,0" path="m5841,10524l10506,10524e" filled="false" stroked="true" strokeweight=".48004pt" strokecolor="#000000">
                <v:path arrowok="t"/>
              </v:shape>
            </v:group>
            <v:group style="position:absolute;left:10510;top:1134;width:2;height:9395" coordorigin="10510,1134" coordsize="2,9395">
              <v:shape style="position:absolute;left:10510;top:1134;width:2;height:9395" coordorigin="10510,1134" coordsize="0,9395" path="m10510,1134l10510,10529e" filled="false" stroked="true" strokeweight=".48004pt" strokecolor="#000000">
                <v:path arrowok="t"/>
              </v:shape>
            </v:group>
            <v:group style="position:absolute;left:10515;top:10524;width:1640;height:2" coordorigin="10515,10524" coordsize="1640,2">
              <v:shape style="position:absolute;left:10515;top:10524;width:1640;height:2" coordorigin="10515,10524" coordsize="1640,0" path="m10515,10524l12154,10524e" filled="false" stroked="true" strokeweight=".48004pt" strokecolor="#000000">
                <v:path arrowok="t"/>
              </v:shape>
            </v:group>
            <v:group style="position:absolute;left:12159;top:1134;width:2;height:9395" coordorigin="12159,1134" coordsize="2,9395">
              <v:shape style="position:absolute;left:12159;top:1134;width:2;height:9395" coordorigin="12159,1134" coordsize="0,9395" path="m12159,1134l12159,10529e" filled="false" stroked="true" strokeweight=".48004pt" strokecolor="#000000">
                <v:path arrowok="t"/>
              </v:shape>
            </v:group>
            <v:group style="position:absolute;left:12164;top:10524;width:1632;height:2" coordorigin="12164,10524" coordsize="1632,2">
              <v:shape style="position:absolute;left:12164;top:10524;width:1632;height:2" coordorigin="12164,10524" coordsize="1632,0" path="m12164,10524l13796,10524e" filled="false" stroked="true" strokeweight=".48004pt" strokecolor="#000000">
                <v:path arrowok="t"/>
              </v:shape>
            </v:group>
            <v:group style="position:absolute;left:13801;top:1134;width:2;height:9395" coordorigin="13801,1134" coordsize="2,9395">
              <v:shape style="position:absolute;left:13801;top:1134;width:2;height:9395" coordorigin="13801,1134" coordsize="0,9395" path="m13801,1134l13801,10529e" filled="false" stroked="true" strokeweight=".47998pt" strokecolor="#000000">
                <v:path arrowok="t"/>
              </v:shape>
            </v:group>
            <v:group style="position:absolute;left:13806;top:10524;width:1617;height:2" coordorigin="13806,10524" coordsize="1617,2">
              <v:shape style="position:absolute;left:13806;top:10524;width:1617;height:2" coordorigin="13806,10524" coordsize="1617,0" path="m13806,10524l15422,10524e" filled="false" stroked="true" strokeweight=".48004pt" strokecolor="#000000">
                <v:path arrowok="t"/>
              </v:shape>
            </v:group>
            <v:group style="position:absolute;left:15427;top:1134;width:2;height:9395" coordorigin="15427,1134" coordsize="2,9395">
              <v:shape style="position:absolute;left:15427;top:1134;width:2;height:9395" coordorigin="15427,1134" coordsize="0,9395" path="m15427,1134l15427,10529e" filled="false" stroked="true" strokeweight=".47998pt" strokecolor="#000000">
                <v:path arrowok="t"/>
              </v:shape>
            </v:group>
            <w10:wrap type="none"/>
          </v:group>
        </w:pict>
      </w:r>
      <w:r>
        <w:rPr/>
        <w:t>情节，承诺人承诺锁定股份自愿用于相关投资者赔偿安排。</w:t>
      </w:r>
    </w:p>
    <w:p>
      <w:pPr>
        <w:pStyle w:val="BodyText"/>
        <w:spacing w:line="237" w:lineRule="auto"/>
        <w:ind w:left="4563" w:right="4110"/>
        <w:jc w:val="left"/>
      </w:pPr>
      <w:r>
        <w:rPr>
          <w:spacing w:val="-3"/>
        </w:rPr>
        <w:t>二、承诺人向参与本次交易的各中介机构所提供的资料均为</w:t>
      </w:r>
      <w:r>
        <w:rPr>
          <w:spacing w:val="-74"/>
        </w:rPr>
        <w:t> </w:t>
      </w:r>
      <w:r>
        <w:rPr>
          <w:spacing w:val="-74"/>
        </w:rPr>
      </w:r>
      <w:r>
        <w:rPr>
          <w:spacing w:val="-3"/>
        </w:rPr>
        <w:t>真实、准确、完整的原始书面资料或副本资料，资料副本或</w:t>
      </w:r>
      <w:r>
        <w:rPr>
          <w:spacing w:val="-75"/>
        </w:rPr>
        <w:t> </w:t>
      </w:r>
      <w:r>
        <w:rPr>
          <w:spacing w:val="-75"/>
        </w:rPr>
      </w:r>
      <w:r>
        <w:rPr>
          <w:spacing w:val="-3"/>
        </w:rPr>
        <w:t>复印件与其原始资料或原件一致；所有文件的签名、印章均</w:t>
      </w:r>
      <w:r>
        <w:rPr>
          <w:spacing w:val="-74"/>
        </w:rPr>
        <w:t> </w:t>
      </w:r>
      <w:r>
        <w:rPr>
          <w:spacing w:val="-74"/>
        </w:rPr>
      </w:r>
      <w:r>
        <w:rPr>
          <w:spacing w:val="-6"/>
        </w:rPr>
        <w:t>是真实的，不存在任何虚假记载、</w:t>
      </w:r>
      <w:r>
        <w:rPr>
          <w:spacing w:val="-76"/>
        </w:rPr>
        <w:t> </w:t>
      </w:r>
      <w:r>
        <w:rPr>
          <w:spacing w:val="-76"/>
        </w:rPr>
      </w:r>
      <w:r>
        <w:rPr>
          <w:spacing w:val="-5"/>
        </w:rPr>
        <w:t>三、承诺人为本次交易所出具的说明、</w:t>
      </w:r>
      <w:r>
        <w:rPr>
          <w:spacing w:val="-81"/>
        </w:rPr>
        <w:t> </w:t>
      </w:r>
      <w:r>
        <w:rPr>
          <w:spacing w:val="-81"/>
        </w:rPr>
      </w:r>
      <w:r>
        <w:rPr>
          <w:spacing w:val="-3"/>
        </w:rPr>
        <w:t>准确和完整的，不存在任何虚假记载、误导性陈述或者重大</w:t>
      </w:r>
      <w:r>
        <w:rPr>
          <w:spacing w:val="-74"/>
        </w:rPr>
        <w:t> </w:t>
      </w:r>
      <w:r>
        <w:rPr>
          <w:spacing w:val="-74"/>
        </w:rPr>
      </w:r>
      <w:r>
        <w:rPr>
          <w:spacing w:val="-3"/>
        </w:rPr>
        <w:t>遗漏。四、承诺人承诺，如违反上述承诺与保证，给上市公</w:t>
      </w:r>
    </w:p>
    <w:p>
      <w:pPr>
        <w:spacing w:after="0" w:line="237" w:lineRule="auto"/>
        <w:jc w:val="left"/>
        <w:sectPr>
          <w:type w:val="continuous"/>
          <w:pgSz w:w="16840" w:h="11910" w:orient="landscape"/>
          <w:pgMar w:top="1580" w:bottom="700" w:left="1300" w:right="1300"/>
        </w:sectPr>
      </w:pPr>
    </w:p>
    <w:p>
      <w:pPr>
        <w:pStyle w:val="BodyText"/>
        <w:tabs>
          <w:tab w:pos="2281" w:val="left" w:leader="none"/>
          <w:tab w:pos="3537" w:val="left" w:leader="none"/>
          <w:tab w:pos="6512" w:val="left" w:leader="none"/>
          <w:tab w:pos="9674" w:val="left" w:leader="none"/>
          <w:tab w:pos="11319" w:val="left" w:leader="none"/>
          <w:tab w:pos="12953" w:val="left" w:leader="none"/>
        </w:tabs>
        <w:spacing w:line="240" w:lineRule="auto" w:before="87"/>
        <w:ind w:left="616" w:right="0"/>
        <w:jc w:val="left"/>
      </w:pPr>
      <w:r>
        <w:rPr/>
        <w:t>承诺事由</w:t>
        <w:tab/>
        <w:t>承诺方</w:t>
        <w:tab/>
        <w:t>承诺类型</w:t>
        <w:tab/>
        <w:t>承诺内容</w:t>
        <w:tab/>
        <w:t>承诺时间</w:t>
        <w:tab/>
        <w:t>承诺期限</w:t>
        <w:tab/>
        <w:t>履行情况</w:t>
      </w:r>
    </w:p>
    <w:p>
      <w:pPr>
        <w:pStyle w:val="BodyText"/>
        <w:spacing w:line="240" w:lineRule="auto" w:before="48"/>
        <w:ind w:left="4563" w:right="0"/>
        <w:jc w:val="left"/>
      </w:pPr>
      <w:r>
        <w:rPr/>
        <w:t>司或者投资者造成损失的，将承担赔偿责任。</w:t>
      </w:r>
    </w:p>
    <w:p>
      <w:pPr>
        <w:pStyle w:val="BodyText"/>
        <w:spacing w:line="237" w:lineRule="auto" w:before="89"/>
        <w:ind w:left="4563" w:right="4110"/>
        <w:jc w:val="left"/>
      </w:pPr>
      <w:r>
        <w:rPr/>
        <w:pict>
          <v:shape style="position:absolute;margin-left:465.619995pt;margin-top:3.8766pt;width:142.050pt;height:99.25pt;mso-position-horizontal-relative:page;mso-position-vertical-relative:paragraph;z-index:-146596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BodyText"/>
                    <w:spacing w:line="240" w:lineRule="auto"/>
                    <w:ind w:left="0" w:right="0"/>
                    <w:jc w:val="left"/>
                  </w:pPr>
                  <w:r>
                    <w:rPr/>
                    <w:t>有效的处分权，</w:t>
                  </w:r>
                </w:p>
              </w:txbxContent>
            </v:textbox>
            <w10:wrap type="none"/>
          </v:shape>
        </w:pict>
      </w:r>
      <w:r>
        <w:rPr/>
        <w:t>关于标的资产权属清晰的声明 一、承诺人已经依法对启行 </w:t>
      </w:r>
      <w:r>
        <w:rPr>
          <w:spacing w:val="-3"/>
        </w:rPr>
        <w:t>教育履行出资义务，不存在任何虚假出资、延期出资、抽逃</w:t>
      </w:r>
      <w:r>
        <w:rPr>
          <w:spacing w:val="-75"/>
        </w:rPr>
        <w:t> </w:t>
      </w:r>
      <w:r>
        <w:rPr>
          <w:spacing w:val="-75"/>
        </w:rPr>
      </w:r>
      <w:r>
        <w:rPr/>
        <w:t>出资等违反承诺人作为股东所应当承担的义务及责任的行 </w:t>
      </w:r>
      <w:r>
        <w:rPr>
          <w:spacing w:val="-3"/>
        </w:rPr>
        <w:t>为；二、承诺人拥有的前述股权权属清晰、完整，不存在委</w:t>
      </w:r>
      <w:r>
        <w:rPr>
          <w:spacing w:val="-74"/>
        </w:rPr>
        <w:t> </w:t>
      </w:r>
      <w:r>
        <w:rPr>
          <w:spacing w:val="-74"/>
        </w:rPr>
      </w:r>
      <w:r>
        <w:rPr>
          <w:spacing w:val="-3"/>
        </w:rPr>
        <w:t>托持股、信托持股等情形，不存在任何权属纠纷或潜在权属</w:t>
      </w:r>
    </w:p>
    <w:p>
      <w:pPr>
        <w:spacing w:after="0" w:line="237" w:lineRule="auto"/>
        <w:jc w:val="left"/>
        <w:sectPr>
          <w:pgSz w:w="16840" w:h="11910" w:orient="landscape"/>
          <w:pgMar w:header="867" w:footer="979" w:top="1060" w:bottom="1160" w:left="1300" w:right="1300"/>
        </w:sectPr>
      </w:pPr>
    </w:p>
    <w:p>
      <w:pPr>
        <w:pStyle w:val="BodyText"/>
        <w:spacing w:line="237" w:lineRule="auto"/>
        <w:ind w:left="1870" w:right="-18"/>
        <w:jc w:val="left"/>
      </w:pPr>
      <w:r>
        <w:rPr>
          <w:spacing w:val="-10"/>
        </w:rPr>
        <w:t>李朱、李冬梅、同</w:t>
      </w:r>
      <w:r>
        <w:rPr/>
        <w:t> 仁投资、启仁投 资、林机、吕俊、</w:t>
      </w:r>
    </w:p>
    <w:p>
      <w:pPr>
        <w:pStyle w:val="BodyText"/>
        <w:spacing w:line="115" w:lineRule="auto" w:before="108"/>
        <w:ind w:left="1870" w:right="-18"/>
        <w:jc w:val="left"/>
      </w:pPr>
      <w:r>
        <w:rPr>
          <w:spacing w:val="-10"/>
        </w:rPr>
        <w:t>至善投资、嘉逸投</w:t>
      </w:r>
      <w:r>
        <w:rPr>
          <w:spacing w:val="-88"/>
        </w:rPr>
        <w:t> </w:t>
      </w:r>
      <w:r>
        <w:rPr>
          <w:spacing w:val="-88"/>
        </w:rPr>
      </w:r>
      <w:r>
        <w:rPr>
          <w:spacing w:val="-10"/>
        </w:rPr>
        <w:t>资、德正嘉成、澜</w:t>
      </w:r>
      <w:r>
        <w:rPr>
          <w:spacing w:val="-34"/>
        </w:rPr>
        <w:t> </w:t>
      </w:r>
      <w:r>
        <w:rPr>
          <w:position w:val="12"/>
        </w:rPr>
        <w:t>其他承诺</w:t>
      </w:r>
      <w:r>
        <w:rPr/>
      </w:r>
    </w:p>
    <w:p>
      <w:pPr>
        <w:pStyle w:val="BodyText"/>
        <w:spacing w:line="237" w:lineRule="auto"/>
        <w:ind w:left="515" w:right="-2"/>
        <w:jc w:val="left"/>
      </w:pPr>
      <w:r>
        <w:rPr>
          <w:spacing w:val="-4"/>
        </w:rPr>
        <w:br w:type="column"/>
      </w:r>
      <w:r>
        <w:rPr>
          <w:spacing w:val="-4"/>
        </w:rPr>
        <w:t>纠纷；承诺人对所持有的前述股权拥有完全、</w:t>
      </w:r>
      <w:r>
        <w:rPr>
          <w:spacing w:val="-86"/>
        </w:rPr>
        <w:t> </w:t>
      </w:r>
      <w:r>
        <w:rPr>
          <w:spacing w:val="-86"/>
        </w:rPr>
      </w:r>
      <w:r>
        <w:rPr>
          <w:spacing w:val="-3"/>
        </w:rPr>
        <w:t>保证前述股权没有被冻结，也没有向任何第三方设置质押或</w:t>
      </w:r>
      <w:r>
        <w:rPr>
          <w:spacing w:val="-74"/>
        </w:rPr>
        <w:t> </w:t>
      </w:r>
      <w:r>
        <w:rPr>
          <w:spacing w:val="-74"/>
        </w:rPr>
      </w:r>
      <w:r>
        <w:rPr>
          <w:spacing w:val="-3"/>
        </w:rPr>
        <w:t>任何第三方权益；不存在涉及诉讼、仲裁或其他形式的纠纷</w:t>
      </w:r>
      <w:r>
        <w:rPr>
          <w:spacing w:val="-74"/>
        </w:rPr>
        <w:t> </w:t>
      </w:r>
      <w:r>
        <w:rPr>
          <w:spacing w:val="-74"/>
        </w:rPr>
      </w:r>
      <w:r>
        <w:rPr>
          <w:spacing w:val="-3"/>
        </w:rPr>
        <w:t>或者存在妨碍权属转移的其他情况；不存在禁止转让、限制</w:t>
      </w:r>
      <w:r>
        <w:rPr>
          <w:spacing w:val="-74"/>
        </w:rPr>
        <w:t> </w:t>
      </w:r>
      <w:r>
        <w:rPr>
          <w:spacing w:val="-74"/>
        </w:rPr>
      </w:r>
      <w:r>
        <w:rPr/>
        <w:t>转让、对赌或者被采取强制保全措施等影响股权转让的约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6"/>
          <w:szCs w:val="26"/>
        </w:rPr>
      </w:pPr>
    </w:p>
    <w:p>
      <w:pPr>
        <w:pStyle w:val="BodyText"/>
        <w:spacing w:line="240" w:lineRule="auto"/>
        <w:ind w:left="15" w:right="-14"/>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05 </w:t>
      </w:r>
      <w:r>
        <w:rPr/>
        <w:t>月</w:t>
      </w:r>
      <w:r>
        <w:rPr>
          <w:spacing w:val="-46"/>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w:t>
      </w:r>
      <w:r>
        <w:rPr>
          <w:spacing w:val="7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9 </w:t>
      </w:r>
      <w:r>
        <w:rPr/>
        <w:t>日</w:t>
      </w:r>
    </w:p>
    <w:p>
      <w:pPr>
        <w:spacing w:line="240" w:lineRule="auto" w:before="1"/>
        <w:rPr>
          <w:rFonts w:ascii="宋体" w:hAnsi="宋体" w:cs="宋体" w:eastAsia="宋体" w:hint="default"/>
          <w:sz w:val="18"/>
          <w:szCs w:val="18"/>
        </w:rPr>
      </w:pPr>
      <w:r>
        <w:rPr/>
        <w:br w:type="column"/>
      </w:r>
      <w:r>
        <w:rPr>
          <w:rFonts w:ascii="宋体"/>
          <w:sz w:val="18"/>
        </w:rPr>
      </w:r>
    </w:p>
    <w:p>
      <w:pPr>
        <w:pStyle w:val="BodyText"/>
        <w:spacing w:line="232" w:lineRule="auto"/>
        <w:ind w:left="213" w:right="124"/>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9 </w:t>
      </w:r>
      <w:r>
        <w:rPr/>
        <w:t>日公 司召开第九届董事 会第七次会议审议 </w:t>
      </w:r>
      <w:r>
        <w:rPr>
          <w:spacing w:val="-6"/>
        </w:rPr>
        <w:t>通过了《关于终止重</w:t>
      </w:r>
    </w:p>
    <w:p>
      <w:pPr>
        <w:spacing w:after="0" w:line="232" w:lineRule="auto"/>
        <w:jc w:val="left"/>
        <w:sectPr>
          <w:type w:val="continuous"/>
          <w:pgSz w:w="16840" w:h="11910" w:orient="landscape"/>
          <w:pgMar w:top="1580" w:bottom="700" w:left="1300" w:right="1300"/>
          <w:cols w:num="4" w:equalWidth="0">
            <w:col w:w="4009" w:space="40"/>
            <w:col w:w="5136" w:space="40"/>
            <w:col w:w="3052" w:space="40"/>
            <w:col w:w="1923"/>
          </w:cols>
        </w:sectPr>
      </w:pPr>
    </w:p>
    <w:p>
      <w:pPr>
        <w:pStyle w:val="BodyText"/>
        <w:spacing w:line="237" w:lineRule="auto" w:before="1"/>
        <w:ind w:left="1870" w:right="-20"/>
        <w:jc w:val="left"/>
      </w:pPr>
      <w:r>
        <w:rPr/>
        <w:t>亭投资、吾湾投 </w:t>
      </w:r>
      <w:r>
        <w:rPr>
          <w:spacing w:val="-10"/>
        </w:rPr>
        <w:t>资、金俊投资、乾</w:t>
      </w:r>
      <w:r>
        <w:rPr/>
        <w:t> 亨投资共十三方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pStyle w:val="BodyText"/>
        <w:spacing w:line="240" w:lineRule="auto"/>
        <w:ind w:left="1870" w:right="-20"/>
        <w:jc w:val="left"/>
      </w:pPr>
      <w:r>
        <w:rPr/>
        <w:t>李朱、同仁投资、 启仁投资、吕俊、</w:t>
      </w:r>
    </w:p>
    <w:p>
      <w:pPr>
        <w:pStyle w:val="BodyText"/>
        <w:spacing w:line="237" w:lineRule="auto" w:before="1"/>
        <w:ind w:left="1212" w:right="-20"/>
        <w:jc w:val="left"/>
      </w:pPr>
      <w:r>
        <w:rPr/>
        <w:br w:type="column"/>
      </w:r>
      <w:r>
        <w:rPr/>
        <w:t>定；三、承诺人不存在任何影响启行教育合法存续的情形； </w:t>
      </w:r>
      <w:r>
        <w:rPr>
          <w:spacing w:val="-3"/>
        </w:rPr>
        <w:t>承诺人拟出售给上市公司的标的资产权属清晰，资产过户或</w:t>
      </w:r>
      <w:r>
        <w:rPr>
          <w:spacing w:val="-74"/>
        </w:rPr>
        <w:t> </w:t>
      </w:r>
      <w:r>
        <w:rPr>
          <w:spacing w:val="-74"/>
        </w:rPr>
      </w:r>
      <w:r>
        <w:rPr>
          <w:spacing w:val="-3"/>
        </w:rPr>
        <w:t>者转移不存在法律障碍；同时承诺人承诺与启行教育及其管</w:t>
      </w:r>
      <w:r>
        <w:rPr>
          <w:spacing w:val="-74"/>
        </w:rPr>
        <w:t> </w:t>
      </w:r>
      <w:r>
        <w:rPr>
          <w:spacing w:val="-74"/>
        </w:rPr>
      </w:r>
      <w:r>
        <w:rPr>
          <w:spacing w:val="-3"/>
        </w:rPr>
        <w:t>理层、其他股东之间不存在关于业绩补偿、股权回购等特殊</w:t>
      </w:r>
      <w:r>
        <w:rPr>
          <w:spacing w:val="-74"/>
        </w:rPr>
        <w:t> </w:t>
      </w:r>
      <w:r>
        <w:rPr>
          <w:spacing w:val="-74"/>
        </w:rPr>
      </w:r>
      <w:r>
        <w:rPr/>
        <w:t>协议或安排；不存在可能对本次交易产生影响的协议或安 </w:t>
      </w:r>
      <w:r>
        <w:rPr>
          <w:spacing w:val="-3"/>
        </w:rPr>
        <w:t>排；四、不存在导致启行教育受到第三方请求或政府主管部</w:t>
      </w:r>
      <w:r>
        <w:rPr>
          <w:spacing w:val="-76"/>
        </w:rPr>
        <w:t> </w:t>
      </w:r>
      <w:r>
        <w:rPr>
          <w:spacing w:val="-76"/>
        </w:rPr>
      </w:r>
      <w:r>
        <w:rPr>
          <w:spacing w:val="-3"/>
        </w:rPr>
        <w:t>门处罚的事实；五、如发生任何权属纠纷，由承诺人自行承</w:t>
      </w:r>
      <w:r>
        <w:rPr>
          <w:spacing w:val="-75"/>
        </w:rPr>
        <w:t> </w:t>
      </w:r>
      <w:r>
        <w:rPr>
          <w:spacing w:val="-75"/>
        </w:rPr>
      </w:r>
      <w:r>
        <w:rPr/>
        <w:t>担全部法律责任。</w:t>
      </w:r>
    </w:p>
    <w:p>
      <w:pPr>
        <w:pStyle w:val="BodyText"/>
        <w:spacing w:line="237" w:lineRule="auto" w:before="91"/>
        <w:ind w:left="1212" w:right="59"/>
        <w:jc w:val="both"/>
      </w:pPr>
      <w:r>
        <w:rPr/>
        <w:t>关于避免和消除同业竞争的承诺 一、承诺人及其拥有实际 </w:t>
      </w:r>
      <w:r>
        <w:rPr>
          <w:spacing w:val="-3"/>
        </w:rPr>
        <w:t>控制权或重大影响的企业及其他关联方不得以任何形式（包</w:t>
      </w:r>
      <w:r>
        <w:rPr>
          <w:spacing w:val="-74"/>
        </w:rPr>
        <w:t> </w:t>
      </w:r>
      <w:r>
        <w:rPr>
          <w:spacing w:val="-74"/>
        </w:rPr>
      </w:r>
      <w:r>
        <w:rPr>
          <w:spacing w:val="-3"/>
        </w:rPr>
        <w:t>括但不限于在中国境内或境外自行或与他人合资、合作）从</w:t>
      </w:r>
      <w:r>
        <w:rPr>
          <w:spacing w:val="-75"/>
        </w:rPr>
        <w:t> </w:t>
      </w:r>
      <w:r>
        <w:rPr>
          <w:spacing w:val="-75"/>
        </w:rPr>
      </w:r>
      <w:r>
        <w:rPr>
          <w:spacing w:val="-3"/>
        </w:rPr>
        <w:t>事、参与或协助他人从事任何与神州数码及其子公司届时正</w:t>
      </w:r>
      <w:r>
        <w:rPr>
          <w:spacing w:val="-74"/>
        </w:rPr>
        <w:t> </w:t>
      </w:r>
      <w:r>
        <w:rPr>
          <w:spacing w:val="-74"/>
        </w:rPr>
      </w:r>
      <w:r>
        <w:rPr>
          <w:spacing w:val="-3"/>
        </w:rPr>
        <w:t>在从事的业务有直接或间接竞争关系的经营活动。二、承诺</w:t>
      </w:r>
    </w:p>
    <w:p>
      <w:pPr>
        <w:pStyle w:val="BodyText"/>
        <w:spacing w:line="232" w:lineRule="exact" w:before="23"/>
        <w:ind w:left="1870" w:right="430"/>
        <w:jc w:val="left"/>
      </w:pPr>
      <w:r>
        <w:rPr/>
        <w:br w:type="column"/>
      </w:r>
      <w:r>
        <w:rPr/>
        <w:t>大资产重组的议 </w:t>
      </w:r>
      <w:r>
        <w:rPr>
          <w:spacing w:val="-30"/>
        </w:rPr>
        <w:t>案》。</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left="1870"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9 </w:t>
      </w:r>
      <w:r>
        <w:rPr/>
        <w:t>日公</w:t>
      </w:r>
    </w:p>
    <w:p>
      <w:pPr>
        <w:spacing w:after="0" w:line="240" w:lineRule="auto"/>
        <w:jc w:val="left"/>
        <w:sectPr>
          <w:type w:val="continuous"/>
          <w:pgSz w:w="16840" w:h="11910" w:orient="landscape"/>
          <w:pgMar w:top="1580" w:bottom="700" w:left="1300" w:right="1300"/>
          <w:cols w:num="3" w:equalWidth="0">
            <w:col w:w="3311" w:space="40"/>
            <w:col w:w="5893" w:space="1413"/>
            <w:col w:w="3583"/>
          </w:cols>
        </w:sectPr>
      </w:pPr>
    </w:p>
    <w:p>
      <w:pPr>
        <w:pStyle w:val="BodyText"/>
        <w:spacing w:line="176" w:lineRule="exact"/>
        <w:ind w:left="1870" w:right="-9"/>
        <w:jc w:val="left"/>
      </w:pPr>
      <w:r>
        <w:rPr>
          <w:position w:val="-11"/>
        </w:rPr>
        <w:t>至善投资</w:t>
      </w:r>
      <w:r>
        <w:rPr>
          <w:spacing w:val="-78"/>
          <w:position w:val="-11"/>
        </w:rPr>
        <w:t>、</w:t>
      </w:r>
      <w:r>
        <w:rPr>
          <w:position w:val="-11"/>
        </w:rPr>
        <w:t>嘉逸投</w:t>
      </w:r>
      <w:r>
        <w:rPr>
          <w:spacing w:val="-35"/>
          <w:position w:val="-11"/>
        </w:rPr>
        <w:t> </w:t>
      </w:r>
      <w:r>
        <w:rPr/>
        <w:t>关于同业竞争、</w:t>
      </w:r>
      <w:r>
        <w:rPr>
          <w:spacing w:val="-75"/>
        </w:rPr>
        <w:t> </w:t>
      </w:r>
      <w:r>
        <w:rPr/>
        <w:t>人将严格按照有关规定采取有效措施避免与神州数码及其</w:t>
      </w:r>
    </w:p>
    <w:p>
      <w:pPr>
        <w:pStyle w:val="BodyText"/>
        <w:spacing w:line="228" w:lineRule="exact"/>
        <w:ind w:left="1870" w:right="-9"/>
        <w:jc w:val="left"/>
      </w:pPr>
      <w:r>
        <w:rPr>
          <w:spacing w:val="-10"/>
          <w:position w:val="-11"/>
        </w:rPr>
        <w:t>资、德正嘉成、澜</w:t>
      </w:r>
      <w:r>
        <w:rPr>
          <w:spacing w:val="-34"/>
          <w:position w:val="-11"/>
        </w:rPr>
        <w:t> </w:t>
      </w:r>
      <w:r>
        <w:rPr>
          <w:spacing w:val="-6"/>
        </w:rPr>
        <w:t>关联交易、资金</w:t>
      </w:r>
      <w:r>
        <w:rPr>
          <w:spacing w:val="-33"/>
        </w:rPr>
        <w:t> </w:t>
      </w:r>
      <w:r>
        <w:rPr>
          <w:spacing w:val="-3"/>
        </w:rPr>
        <w:t>子公司产生同业竞争，并促使承诺人拥有控制权或重大影响</w:t>
      </w:r>
      <w:r>
        <w:rPr>
          <w:spacing w:val="-33"/>
        </w:rPr>
        <w:t> </w:t>
      </w:r>
      <w:r>
        <w:rPr>
          <w:rFonts w:ascii="Times New Roman" w:hAnsi="Times New Roman" w:cs="Times New Roman" w:eastAsia="Times New Roman" w:hint="default"/>
          <w:position w:val="-11"/>
        </w:rPr>
        <w:t>2018 </w:t>
      </w:r>
      <w:r>
        <w:rPr>
          <w:position w:val="-11"/>
        </w:rPr>
        <w:t>年</w:t>
      </w:r>
      <w:r>
        <w:rPr>
          <w:spacing w:val="-45"/>
          <w:position w:val="-11"/>
        </w:rPr>
        <w:t> </w:t>
      </w:r>
      <w:r>
        <w:rPr>
          <w:rFonts w:ascii="Times New Roman" w:hAnsi="Times New Roman" w:cs="Times New Roman" w:eastAsia="Times New Roman" w:hint="default"/>
          <w:position w:val="-11"/>
        </w:rPr>
        <w:t>05</w:t>
      </w:r>
      <w:r>
        <w:rPr>
          <w:rFonts w:ascii="Times New Roman" w:hAnsi="Times New Roman" w:cs="Times New Roman" w:eastAsia="Times New Roman" w:hint="default"/>
          <w:spacing w:val="1"/>
          <w:position w:val="-11"/>
        </w:rPr>
        <w:t> </w:t>
      </w:r>
      <w:r>
        <w:rPr>
          <w:position w:val="-11"/>
        </w:rPr>
        <w:t>月</w:t>
      </w:r>
      <w:r>
        <w:rPr>
          <w:spacing w:val="-45"/>
          <w:position w:val="-11"/>
        </w:rPr>
        <w:t> </w:t>
      </w:r>
      <w:r>
        <w:rPr>
          <w:rFonts w:ascii="Times New Roman" w:hAnsi="Times New Roman" w:cs="Times New Roman" w:eastAsia="Times New Roman" w:hint="default"/>
          <w:position w:val="-11"/>
        </w:rPr>
        <w:t>24 </w:t>
      </w:r>
      <w:r>
        <w:rPr>
          <w:position w:val="-11"/>
        </w:rPr>
        <w:t>日</w:t>
      </w:r>
      <w:r>
        <w:rPr>
          <w:spacing w:val="77"/>
          <w:position w:val="-11"/>
        </w:rPr>
        <w:t> </w:t>
      </w:r>
      <w:r>
        <w:rPr>
          <w:rFonts w:ascii="Times New Roman" w:hAnsi="Times New Roman" w:cs="Times New Roman" w:eastAsia="Times New Roman" w:hint="default"/>
          <w:position w:val="-11"/>
        </w:rPr>
        <w:t>2018 </w:t>
      </w:r>
      <w:r>
        <w:rPr>
          <w:position w:val="-11"/>
        </w:rPr>
        <w:t>年</w:t>
      </w:r>
      <w:r>
        <w:rPr>
          <w:spacing w:val="-45"/>
          <w:position w:val="-11"/>
        </w:rPr>
        <w:t> </w:t>
      </w:r>
      <w:r>
        <w:rPr>
          <w:rFonts w:ascii="Times New Roman" w:hAnsi="Times New Roman" w:cs="Times New Roman" w:eastAsia="Times New Roman" w:hint="default"/>
          <w:spacing w:val="-3"/>
          <w:position w:val="-11"/>
        </w:rPr>
        <w:t>11</w:t>
      </w:r>
      <w:r>
        <w:rPr>
          <w:rFonts w:ascii="Times New Roman" w:hAnsi="Times New Roman" w:cs="Times New Roman" w:eastAsia="Times New Roman" w:hint="default"/>
          <w:position w:val="-11"/>
        </w:rPr>
        <w:t> </w:t>
      </w:r>
      <w:r>
        <w:rPr>
          <w:position w:val="-11"/>
        </w:rPr>
        <w:t>月</w:t>
      </w:r>
      <w:r>
        <w:rPr>
          <w:spacing w:val="-44"/>
          <w:position w:val="-11"/>
        </w:rPr>
        <w:t> </w:t>
      </w:r>
      <w:r>
        <w:rPr>
          <w:rFonts w:ascii="Times New Roman" w:hAnsi="Times New Roman" w:cs="Times New Roman" w:eastAsia="Times New Roman" w:hint="default"/>
          <w:position w:val="-11"/>
        </w:rPr>
        <w:t>9</w:t>
      </w:r>
      <w:r>
        <w:rPr>
          <w:rFonts w:ascii="Times New Roman" w:hAnsi="Times New Roman" w:cs="Times New Roman" w:eastAsia="Times New Roman" w:hint="default"/>
          <w:spacing w:val="1"/>
          <w:position w:val="-11"/>
        </w:rPr>
        <w:t> </w:t>
      </w:r>
      <w:r>
        <w:rPr>
          <w:position w:val="-11"/>
        </w:rPr>
        <w:t>日</w:t>
      </w:r>
      <w:r>
        <w:rPr/>
      </w:r>
    </w:p>
    <w:p>
      <w:pPr>
        <w:pStyle w:val="BodyText"/>
        <w:spacing w:line="116" w:lineRule="exact"/>
        <w:ind w:left="213" w:right="0"/>
        <w:jc w:val="left"/>
      </w:pPr>
      <w:r>
        <w:rPr/>
        <w:br w:type="column"/>
      </w:r>
      <w:r>
        <w:rPr/>
        <w:t>司召开第九届董事</w:t>
      </w:r>
    </w:p>
    <w:p>
      <w:pPr>
        <w:pStyle w:val="BodyText"/>
        <w:spacing w:line="234" w:lineRule="exact"/>
        <w:ind w:left="213" w:right="0"/>
        <w:jc w:val="left"/>
      </w:pPr>
      <w:r>
        <w:rPr/>
        <w:t>会第七次会议审议</w:t>
      </w:r>
    </w:p>
    <w:p>
      <w:pPr>
        <w:spacing w:after="0" w:line="234" w:lineRule="exact"/>
        <w:jc w:val="left"/>
        <w:sectPr>
          <w:type w:val="continuous"/>
          <w:pgSz w:w="16840" w:h="11910" w:orient="landscape"/>
          <w:pgMar w:top="1580" w:bottom="700" w:left="1300" w:right="1300"/>
          <w:cols w:num="2" w:equalWidth="0">
            <w:col w:w="12276" w:space="40"/>
            <w:col w:w="1924"/>
          </w:cols>
        </w:sectPr>
      </w:pPr>
    </w:p>
    <w:p>
      <w:pPr>
        <w:pStyle w:val="BodyText"/>
        <w:spacing w:line="172" w:lineRule="exact" w:before="61"/>
        <w:ind w:left="1870" w:right="-20"/>
        <w:jc w:val="left"/>
      </w:pPr>
      <w:r>
        <w:rPr/>
        <w:t>亭投资、吾湾投</w:t>
      </w:r>
    </w:p>
    <w:p>
      <w:pPr>
        <w:pStyle w:val="BodyText"/>
        <w:spacing w:line="180" w:lineRule="exact"/>
        <w:ind w:left="117" w:right="-20"/>
        <w:jc w:val="left"/>
      </w:pPr>
      <w:r>
        <w:rPr/>
        <w:br w:type="column"/>
      </w:r>
      <w:r>
        <w:rPr/>
        <w:t>占用方面的承</w:t>
      </w:r>
    </w:p>
    <w:p>
      <w:pPr>
        <w:pStyle w:val="BodyText"/>
        <w:spacing w:line="180" w:lineRule="exact"/>
        <w:ind w:left="155" w:right="-20"/>
        <w:jc w:val="left"/>
      </w:pPr>
      <w:r>
        <w:rPr/>
        <w:br w:type="column"/>
      </w:r>
      <w:r>
        <w:rPr/>
        <w:t>的其他企业及其他关联方采取有效措施避免与神州数码及</w:t>
      </w:r>
    </w:p>
    <w:p>
      <w:pPr>
        <w:pStyle w:val="BodyText"/>
        <w:spacing w:line="180" w:lineRule="exact"/>
        <w:ind w:left="1870" w:right="0"/>
        <w:jc w:val="left"/>
      </w:pPr>
      <w:r>
        <w:rPr>
          <w:spacing w:val="-6"/>
        </w:rPr>
        <w:br w:type="column"/>
      </w:r>
      <w:r>
        <w:rPr>
          <w:spacing w:val="-6"/>
        </w:rPr>
        <w:t>通过了《关于终止重</w:t>
      </w:r>
    </w:p>
    <w:p>
      <w:pPr>
        <w:spacing w:after="0" w:line="180" w:lineRule="exact"/>
        <w:jc w:val="left"/>
        <w:sectPr>
          <w:type w:val="continuous"/>
          <w:pgSz w:w="16840" w:h="11910" w:orient="landscape"/>
          <w:pgMar w:top="1580" w:bottom="700" w:left="1300" w:right="1300"/>
          <w:cols w:num="4" w:equalWidth="0">
            <w:col w:w="3131" w:space="40"/>
            <w:col w:w="1198" w:space="40"/>
            <w:col w:w="4656" w:space="1593"/>
            <w:col w:w="3582"/>
          </w:cols>
        </w:sectPr>
      </w:pPr>
    </w:p>
    <w:p>
      <w:pPr>
        <w:pStyle w:val="BodyText"/>
        <w:spacing w:line="296" w:lineRule="exact"/>
        <w:ind w:left="1870" w:right="-19"/>
        <w:jc w:val="left"/>
      </w:pPr>
      <w:r>
        <w:rPr/>
        <w:pict>
          <v:group style="position:absolute;margin-left:70.139999pt;margin-top:55.260006pt;width:701.7pt;height:475.95pt;mso-position-horizontal-relative:page;mso-position-vertical-relative:page;z-index:-1465912" coordorigin="1403,1105" coordsize="14034,9519">
            <v:group style="position:absolute;left:1410;top:1112;width:14020;height:2" coordorigin="1410,1112" coordsize="14020,2">
              <v:shape style="position:absolute;left:1410;top:1112;width:14020;height:2" coordorigin="1410,1112" coordsize="14020,0" path="m1410,1112l15430,1112e" filled="false" stroked="true" strokeweight=".72pt" strokecolor="#000000">
                <v:path arrowok="t"/>
              </v:shape>
            </v:group>
            <v:group style="position:absolute;left:1429;top:1144;width:2;height:315" coordorigin="1429,1144" coordsize="2,315">
              <v:shape style="position:absolute;left:1429;top:1144;width:2;height:315" coordorigin="1429,1144" coordsize="0,315" path="m1429,1144l1429,1458e" filled="false" stroked="true" strokeweight="1.140pt" strokecolor="#d2d2d2">
                <v:path arrowok="t"/>
              </v:shape>
            </v:group>
            <v:group style="position:absolute;left:3126;top:1144;width:2;height:315" coordorigin="3126,1144" coordsize="2,315">
              <v:shape style="position:absolute;left:3126;top:1144;width:2;height:315" coordorigin="3126,1144" coordsize="0,315" path="m3126,1144l3126,1458e" filled="false" stroked="true" strokeweight="1.140pt" strokecolor="#d2d2d2">
                <v:path arrowok="t"/>
              </v:shape>
            </v:group>
            <v:group style="position:absolute;left:1440;top:1144;width:1675;height:315" coordorigin="1440,1144" coordsize="1675,315">
              <v:shape style="position:absolute;left:1440;top:1144;width:1675;height:315" coordorigin="1440,1144" coordsize="1675,315" path="m1440,1458l3114,1458,3114,1144,1440,1144,1440,1458xe" filled="true" fillcolor="#d2d2d2" stroked="false">
                <v:path arrowok="t"/>
                <v:fill type="solid"/>
              </v:shape>
            </v:group>
            <v:group style="position:absolute;left:3159;top:1144;width:2;height:315" coordorigin="3159,1144" coordsize="2,315">
              <v:shape style="position:absolute;left:3159;top:1144;width:2;height:315" coordorigin="3159,1144" coordsize="0,315" path="m3159,1144l3159,1458e" filled="false" stroked="true" strokeweight="1.140pt" strokecolor="#d2d2d2">
                <v:path arrowok="t"/>
              </v:shape>
            </v:group>
            <v:group style="position:absolute;left:4544;top:1144;width:2;height:315" coordorigin="4544,1144" coordsize="2,315">
              <v:shape style="position:absolute;left:4544;top:1144;width:2;height:315" coordorigin="4544,1144" coordsize="0,315" path="m4544,1144l4544,1458e" filled="false" stroked="true" strokeweight="1.140pt" strokecolor="#d2d2d2">
                <v:path arrowok="t"/>
              </v:shape>
            </v:group>
            <v:group style="position:absolute;left:3171;top:1144;width:1362;height:315" coordorigin="3171,1144" coordsize="1362,315">
              <v:shape style="position:absolute;left:3171;top:1144;width:1362;height:315" coordorigin="3171,1144" coordsize="1362,315" path="m3171,1458l4533,1458,4533,1144,3171,1144,3171,1458xe" filled="true" fillcolor="#d2d2d2" stroked="false">
                <v:path arrowok="t"/>
                <v:fill type="solid"/>
              </v:shape>
            </v:group>
            <v:group style="position:absolute;left:4577;top:1144;width:2;height:315" coordorigin="4577,1144" coordsize="2,315">
              <v:shape style="position:absolute;left:4577;top:1144;width:2;height:315" coordorigin="4577,1144" coordsize="0,315" path="m4577,1144l4577,1458e" filled="false" stroked="true" strokeweight="1.140pt" strokecolor="#d2d2d2">
                <v:path arrowok="t"/>
              </v:shape>
            </v:group>
            <v:group style="position:absolute;left:5819;top:1144;width:2;height:315" coordorigin="5819,1144" coordsize="2,315">
              <v:shape style="position:absolute;left:5819;top:1144;width:2;height:315" coordorigin="5819,1144" coordsize="0,315" path="m5819,1144l5819,1458e" filled="false" stroked="true" strokeweight="1.140pt" strokecolor="#d2d2d2">
                <v:path arrowok="t"/>
              </v:shape>
            </v:group>
            <v:group style="position:absolute;left:4588;top:1144;width:1220;height:315" coordorigin="4588,1144" coordsize="1220,315">
              <v:shape style="position:absolute;left:4588;top:1144;width:1220;height:315" coordorigin="4588,1144" coordsize="1220,315" path="m4588,1458l5807,1458,5807,1144,4588,1144,4588,1458xe" filled="true" fillcolor="#d2d2d2" stroked="false">
                <v:path arrowok="t"/>
                <v:fill type="solid"/>
              </v:shape>
            </v:group>
            <v:group style="position:absolute;left:5852;top:1144;width:2;height:315" coordorigin="5852,1144" coordsize="2,315">
              <v:shape style="position:absolute;left:5852;top:1144;width:2;height:315" coordorigin="5852,1144" coordsize="0,315" path="m5852,1144l5852,1458e" filled="false" stroked="true" strokeweight="1.140pt" strokecolor="#d2d2d2">
                <v:path arrowok="t"/>
              </v:shape>
            </v:group>
            <v:group style="position:absolute;left:10494;top:1144;width:2;height:315" coordorigin="10494,1144" coordsize="2,315">
              <v:shape style="position:absolute;left:10494;top:1144;width:2;height:315" coordorigin="10494,1144" coordsize="0,315" path="m10494,1144l10494,1458e" filled="false" stroked="true" strokeweight="1.140pt" strokecolor="#d2d2d2">
                <v:path arrowok="t"/>
              </v:shape>
            </v:group>
            <v:group style="position:absolute;left:5864;top:1144;width:4620;height:315" coordorigin="5864,1144" coordsize="4620,315">
              <v:shape style="position:absolute;left:5864;top:1144;width:4620;height:315" coordorigin="5864,1144" coordsize="4620,315" path="m5864,1458l10483,1458,10483,1144,5864,1144,5864,1458xe" filled="true" fillcolor="#d2d2d2" stroked="false">
                <v:path arrowok="t"/>
                <v:fill type="solid"/>
              </v:shape>
            </v:group>
            <v:group style="position:absolute;left:10528;top:1144;width:2;height:315" coordorigin="10528,1144" coordsize="2,315">
              <v:shape style="position:absolute;left:10528;top:1144;width:2;height:315" coordorigin="10528,1144" coordsize="0,315" path="m10528,1144l10528,1458e" filled="false" stroked="true" strokeweight="1.140pt" strokecolor="#d2d2d2">
                <v:path arrowok="t"/>
              </v:shape>
            </v:group>
            <v:group style="position:absolute;left:12142;top:1144;width:2;height:315" coordorigin="12142,1144" coordsize="2,315">
              <v:shape style="position:absolute;left:12142;top:1144;width:2;height:315" coordorigin="12142,1144" coordsize="0,315" path="m12142,1144l12142,1458e" filled="false" stroked="true" strokeweight="1.140pt" strokecolor="#d2d2d2">
                <v:path arrowok="t"/>
              </v:shape>
            </v:group>
            <v:group style="position:absolute;left:10539;top:1144;width:1592;height:315" coordorigin="10539,1144" coordsize="1592,315">
              <v:shape style="position:absolute;left:10539;top:1144;width:1592;height:315" coordorigin="10539,1144" coordsize="1592,315" path="m10539,1458l12130,1458,12130,1144,10539,1144,10539,1458xe" filled="true" fillcolor="#d2d2d2" stroked="false">
                <v:path arrowok="t"/>
                <v:fill type="solid"/>
              </v:shape>
            </v:group>
            <v:group style="position:absolute;left:12175;top:1144;width:2;height:315" coordorigin="12175,1144" coordsize="2,315">
              <v:shape style="position:absolute;left:12175;top:1144;width:2;height:315" coordorigin="12175,1144" coordsize="0,315" path="m12175,1144l12175,1458e" filled="false" stroked="true" strokeweight="1.140pt" strokecolor="#d2d2d2">
                <v:path arrowok="t"/>
              </v:shape>
            </v:group>
            <v:group style="position:absolute;left:13785;top:1144;width:2;height:315" coordorigin="13785,1144" coordsize="2,315">
              <v:shape style="position:absolute;left:13785;top:1144;width:2;height:315" coordorigin="13785,1144" coordsize="0,315" path="m13785,1144l13785,1458e" filled="false" stroked="true" strokeweight="1.140pt" strokecolor="#d2d2d2">
                <v:path arrowok="t"/>
              </v:shape>
            </v:group>
            <v:group style="position:absolute;left:12187;top:1144;width:1587;height:315" coordorigin="12187,1144" coordsize="1587,315">
              <v:shape style="position:absolute;left:12187;top:1144;width:1587;height:315" coordorigin="12187,1144" coordsize="1587,315" path="m12187,1458l13773,1458,13773,1144,12187,1144,12187,1458xe" filled="true" fillcolor="#d2d2d2" stroked="false">
                <v:path arrowok="t"/>
                <v:fill type="solid"/>
              </v:shape>
            </v:group>
            <v:group style="position:absolute;left:13817;top:1144;width:2;height:315" coordorigin="13817,1144" coordsize="2,315">
              <v:shape style="position:absolute;left:13817;top:1144;width:2;height:315" coordorigin="13817,1144" coordsize="0,315" path="m13817,1144l13817,1458e" filled="false" stroked="true" strokeweight="1.140pt" strokecolor="#d2d2d2">
                <v:path arrowok="t"/>
              </v:shape>
            </v:group>
            <v:group style="position:absolute;left:15411;top:1144;width:2;height:315" coordorigin="15411,1144" coordsize="2,315">
              <v:shape style="position:absolute;left:15411;top:1144;width:2;height:315" coordorigin="15411,1144" coordsize="0,315" path="m15411,1144l15411,1458e" filled="false" stroked="true" strokeweight="1.140pt" strokecolor="#d2d2d2">
                <v:path arrowok="t"/>
              </v:shape>
            </v:group>
            <v:group style="position:absolute;left:13828;top:1144;width:1572;height:315" coordorigin="13828,1144" coordsize="1572,315">
              <v:shape style="position:absolute;left:13828;top:1144;width:1572;height:315" coordorigin="13828,1144" coordsize="1572,315" path="m13828,1458l15400,1458,15400,1144,13828,1144,13828,1458xe" filled="true" fillcolor="#d2d2d2" stroked="false">
                <v:path arrowok="t"/>
                <v:fill type="solid"/>
              </v:shape>
            </v:group>
            <v:group style="position:absolute;left:1417;top:1139;width:1720;height:2" coordorigin="1417,1139" coordsize="1720,2">
              <v:shape style="position:absolute;left:1417;top:1139;width:1720;height:2" coordorigin="1417,1139" coordsize="1720,0" path="m1417,1139l3137,1139e" filled="false" stroked="true" strokeweight=".48pt" strokecolor="#000000">
                <v:path arrowok="t"/>
              </v:shape>
            </v:group>
            <v:group style="position:absolute;left:3147;top:1139;width:1409;height:2" coordorigin="3147,1139" coordsize="1409,2">
              <v:shape style="position:absolute;left:3147;top:1139;width:1409;height:2" coordorigin="3147,1139" coordsize="1409,0" path="m3147,1139l4556,1139e" filled="false" stroked="true" strokeweight=".48pt" strokecolor="#000000">
                <v:path arrowok="t"/>
              </v:shape>
            </v:group>
            <v:group style="position:absolute;left:4565;top:1139;width:1266;height:2" coordorigin="4565,1139" coordsize="1266,2">
              <v:shape style="position:absolute;left:4565;top:1139;width:1266;height:2" coordorigin="4565,1139" coordsize="1266,0" path="m4565,1139l5831,1139e" filled="false" stroked="true" strokeweight=".48pt" strokecolor="#000000">
                <v:path arrowok="t"/>
              </v:shape>
            </v:group>
            <v:group style="position:absolute;left:5841;top:1139;width:4665;height:2" coordorigin="5841,1139" coordsize="4665,2">
              <v:shape style="position:absolute;left:5841;top:1139;width:4665;height:2" coordorigin="5841,1139" coordsize="4665,0" path="m5841,1139l10506,1139e" filled="false" stroked="true" strokeweight=".48pt" strokecolor="#000000">
                <v:path arrowok="t"/>
              </v:shape>
            </v:group>
            <v:group style="position:absolute;left:10515;top:1139;width:1640;height:2" coordorigin="10515,1139" coordsize="1640,2">
              <v:shape style="position:absolute;left:10515;top:1139;width:1640;height:2" coordorigin="10515,1139" coordsize="1640,0" path="m10515,1139l12154,1139e" filled="false" stroked="true" strokeweight=".48pt" strokecolor="#000000">
                <v:path arrowok="t"/>
              </v:shape>
            </v:group>
            <v:group style="position:absolute;left:12164;top:1139;width:1632;height:2" coordorigin="12164,1139" coordsize="1632,2">
              <v:shape style="position:absolute;left:12164;top:1139;width:1632;height:2" coordorigin="12164,1139" coordsize="1632,0" path="m12164,1139l13796,1139e" filled="false" stroked="true" strokeweight=".48pt" strokecolor="#000000">
                <v:path arrowok="t"/>
              </v:shape>
            </v:group>
            <v:group style="position:absolute;left:13806;top:1139;width:1617;height:2" coordorigin="13806,1139" coordsize="1617,2">
              <v:shape style="position:absolute;left:13806;top:1139;width:1617;height:2" coordorigin="13806,1139" coordsize="1617,0" path="m13806,1139l15422,1139e" filled="false" stroked="true" strokeweight=".48pt" strokecolor="#000000">
                <v:path arrowok="t"/>
              </v:shape>
            </v:group>
            <v:group style="position:absolute;left:1417;top:1458;width:1720;height:284" coordorigin="1417,1458" coordsize="1720,284">
              <v:shape style="position:absolute;left:1417;top:1458;width:1720;height:284" coordorigin="1417,1458" coordsize="1720,284" path="m1417,1742l3137,1742,3137,1458,1417,1458,1417,1742xe" filled="true" fillcolor="#d2d2d2" stroked="false">
                <v:path arrowok="t"/>
                <v:fill type="solid"/>
              </v:shape>
            </v:group>
            <v:group style="position:absolute;left:1417;top:1463;width:1720;height:2" coordorigin="1417,1463" coordsize="1720,2">
              <v:shape style="position:absolute;left:1417;top:1463;width:1720;height:2" coordorigin="1417,1463" coordsize="1720,0" path="m1417,1463l3137,1463e" filled="false" stroked="true" strokeweight=".48pt" strokecolor="#000000">
                <v:path arrowok="t"/>
              </v:shape>
            </v:group>
            <v:group style="position:absolute;left:3147;top:1463;width:1409;height:2" coordorigin="3147,1463" coordsize="1409,2">
              <v:shape style="position:absolute;left:3147;top:1463;width:1409;height:2" coordorigin="3147,1463" coordsize="1409,0" path="m3147,1463l4556,1463e" filled="false" stroked="true" strokeweight=".48pt" strokecolor="#000000">
                <v:path arrowok="t"/>
              </v:shape>
            </v:group>
            <v:group style="position:absolute;left:4565;top:1463;width:1266;height:2" coordorigin="4565,1463" coordsize="1266,2">
              <v:shape style="position:absolute;left:4565;top:1463;width:1266;height:2" coordorigin="4565,1463" coordsize="1266,0" path="m4565,1463l5831,1463e" filled="false" stroked="true" strokeweight=".48pt" strokecolor="#000000">
                <v:path arrowok="t"/>
              </v:shape>
            </v:group>
            <v:group style="position:absolute;left:5841;top:1463;width:4665;height:2" coordorigin="5841,1463" coordsize="4665,2">
              <v:shape style="position:absolute;left:5841;top:1463;width:4665;height:2" coordorigin="5841,1463" coordsize="4665,0" path="m5841,1463l10506,1463e" filled="false" stroked="true" strokeweight=".48pt" strokecolor="#000000">
                <v:path arrowok="t"/>
              </v:shape>
            </v:group>
            <v:group style="position:absolute;left:10515;top:1463;width:1640;height:2" coordorigin="10515,1463" coordsize="1640,2">
              <v:shape style="position:absolute;left:10515;top:1463;width:1640;height:2" coordorigin="10515,1463" coordsize="1640,0" path="m10515,1463l12154,1463e" filled="false" stroked="true" strokeweight=".48pt" strokecolor="#000000">
                <v:path arrowok="t"/>
              </v:shape>
            </v:group>
            <v:group style="position:absolute;left:12164;top:1463;width:1632;height:2" coordorigin="12164,1463" coordsize="1632,2">
              <v:shape style="position:absolute;left:12164;top:1463;width:1632;height:2" coordorigin="12164,1463" coordsize="1632,0" path="m12164,1463l13796,1463e" filled="false" stroked="true" strokeweight=".48pt" strokecolor="#000000">
                <v:path arrowok="t"/>
              </v:shape>
            </v:group>
            <v:group style="position:absolute;left:13806;top:1463;width:1617;height:2" coordorigin="13806,1463" coordsize="1617,2">
              <v:shape style="position:absolute;left:13806;top:1463;width:1617;height:2" coordorigin="13806,1463" coordsize="1617,0" path="m13806,1463l15422,1463e" filled="false" stroked="true" strokeweight=".48pt" strokecolor="#000000">
                <v:path arrowok="t"/>
              </v:shape>
            </v:group>
            <v:group style="position:absolute;left:1417;top:1742;width:1720;height:4292" coordorigin="1417,1742" coordsize="1720,4292">
              <v:shape style="position:absolute;left:1417;top:1742;width:1720;height:4292" coordorigin="1417,1742" coordsize="1720,4292" path="m1417,6033l3137,6033,3137,1742,1417,1742,1417,6033xe" filled="true" fillcolor="#d2d2d2" stroked="false">
                <v:path arrowok="t"/>
                <v:fill type="solid"/>
              </v:shape>
            </v:group>
            <v:group style="position:absolute;left:4565;top:1751;width:1265;height:1985" coordorigin="4565,1751" coordsize="1265,1985">
              <v:shape style="position:absolute;left:4565;top:1751;width:1265;height:1985" coordorigin="4565,1751" coordsize="1265,1985" path="m4565,3736l5830,3736,5830,1751,4565,1751,4565,3736xe" filled="true" fillcolor="#ffffff" stroked="false">
                <v:path arrowok="t"/>
                <v:fill type="solid"/>
              </v:shape>
            </v:group>
            <v:group style="position:absolute;left:10516;top:1751;width:1637;height:1985" coordorigin="10516,1751" coordsize="1637,1985">
              <v:shape style="position:absolute;left:10516;top:1751;width:1637;height:1985" coordorigin="10516,1751" coordsize="1637,1985" path="m10516,3736l12153,3736,12153,1751,10516,1751,10516,3736xe" filled="true" fillcolor="#ffffff" stroked="false">
                <v:path arrowok="t"/>
                <v:fill type="solid"/>
              </v:shape>
            </v:group>
            <v:group style="position:absolute;left:10516;top:4049;width:1637;height:1984" coordorigin="10516,4049" coordsize="1637,1984">
              <v:shape style="position:absolute;left:10516;top:4049;width:1637;height:1984" coordorigin="10516,4049" coordsize="1637,1984" path="m10516,6033l12153,6033,12153,4049,10516,4049,10516,6033xe" filled="true" fillcolor="#ffffff" stroked="false">
                <v:path arrowok="t"/>
                <v:fill type="solid"/>
              </v:shape>
            </v:group>
            <v:group style="position:absolute;left:3147;top:1746;width:1409;height:2" coordorigin="3147,1746" coordsize="1409,2">
              <v:shape style="position:absolute;left:3147;top:1746;width:1409;height:2" coordorigin="3147,1746" coordsize="1409,0" path="m3147,1746l4556,1746e" filled="false" stroked="true" strokeweight=".48pt" strokecolor="#000000">
                <v:path arrowok="t"/>
              </v:shape>
            </v:group>
            <v:group style="position:absolute;left:4565;top:1746;width:1266;height:2" coordorigin="4565,1746" coordsize="1266,2">
              <v:shape style="position:absolute;left:4565;top:1746;width:1266;height:2" coordorigin="4565,1746" coordsize="1266,0" path="m4565,1746l5831,1746e" filled="false" stroked="true" strokeweight=".48pt" strokecolor="#000000">
                <v:path arrowok="t"/>
              </v:shape>
            </v:group>
            <v:group style="position:absolute;left:5841;top:1746;width:4665;height:2" coordorigin="5841,1746" coordsize="4665,2">
              <v:shape style="position:absolute;left:5841;top:1746;width:4665;height:2" coordorigin="5841,1746" coordsize="4665,0" path="m5841,1746l10506,1746e" filled="false" stroked="true" strokeweight=".48pt" strokecolor="#000000">
                <v:path arrowok="t"/>
              </v:shape>
            </v:group>
            <v:group style="position:absolute;left:10515;top:1746;width:1640;height:2" coordorigin="10515,1746" coordsize="1640,2">
              <v:shape style="position:absolute;left:10515;top:1746;width:1640;height:2" coordorigin="10515,1746" coordsize="1640,0" path="m10515,1746l12154,1746e" filled="false" stroked="true" strokeweight=".48pt" strokecolor="#000000">
                <v:path arrowok="t"/>
              </v:shape>
            </v:group>
            <v:group style="position:absolute;left:12164;top:1746;width:1632;height:2" coordorigin="12164,1746" coordsize="1632,2">
              <v:shape style="position:absolute;left:12164;top:1746;width:1632;height:2" coordorigin="12164,1746" coordsize="1632,0" path="m12164,1746l13796,1746e" filled="false" stroked="true" strokeweight=".48pt" strokecolor="#000000">
                <v:path arrowok="t"/>
              </v:shape>
            </v:group>
            <v:group style="position:absolute;left:13806;top:1746;width:1617;height:2" coordorigin="13806,1746" coordsize="1617,2">
              <v:shape style="position:absolute;left:13806;top:1746;width:1617;height:2" coordorigin="13806,1746" coordsize="1617,0" path="m13806,1746l15422,1746e" filled="false" stroked="true" strokeweight=".48pt" strokecolor="#000000">
                <v:path arrowok="t"/>
              </v:shape>
            </v:group>
            <v:group style="position:absolute;left:1417;top:6034;width:1720;height:3358" coordorigin="1417,6034" coordsize="1720,3358">
              <v:shape style="position:absolute;left:1417;top:6034;width:1720;height:3358" coordorigin="1417,6034" coordsize="1720,3358" path="m1417,9392l3137,9392,3137,6034,1417,6034,1417,9392xe" filled="true" fillcolor="#d2d2d2" stroked="false">
                <v:path arrowok="t"/>
                <v:fill type="solid"/>
              </v:shape>
            </v:group>
            <v:group style="position:absolute;left:4565;top:6044;width:1265;height:1167" coordorigin="4565,6044" coordsize="1265,1167">
              <v:shape style="position:absolute;left:4565;top:6044;width:1265;height:1167" coordorigin="4565,6044" coordsize="1265,1167" path="m4565,7210l5830,7210,5830,6044,4565,6044,4565,7210xe" filled="true" fillcolor="#ffffff" stroked="false">
                <v:path arrowok="t"/>
                <v:fill type="solid"/>
              </v:shape>
            </v:group>
            <v:group style="position:absolute;left:4577;top:7210;width:2;height:1015" coordorigin="4577,7210" coordsize="2,1015">
              <v:shape style="position:absolute;left:4577;top:7210;width:2;height:1015" coordorigin="4577,7210" coordsize="0,1015" path="m4577,7210l4577,8225e" filled="false" stroked="true" strokeweight="1.140pt" strokecolor="#ffffff">
                <v:path arrowok="t"/>
              </v:shape>
            </v:group>
            <v:group style="position:absolute;left:4588;top:7210;width:1220;height:274" coordorigin="4588,7210" coordsize="1220,274">
              <v:shape style="position:absolute;left:4588;top:7210;width:1220;height:274" coordorigin="4588,7210" coordsize="1220,274" path="m4588,7484l5807,7484,5807,7210,4588,7210,4588,7484xe" filled="true" fillcolor="#ffffff" stroked="false">
                <v:path arrowok="t"/>
                <v:fill type="solid"/>
              </v:shape>
            </v:group>
            <v:group style="position:absolute;left:5852;top:6044;width:2;height:3349" coordorigin="5852,6044" coordsize="2,3349">
              <v:shape style="position:absolute;left:5852;top:6044;width:2;height:3349" coordorigin="5852,6044" coordsize="0,3349" path="m5852,6044l5852,9392e" filled="false" stroked="true" strokeweight="1.140pt" strokecolor="#ffffff">
                <v:path arrowok="t"/>
              </v:shape>
            </v:group>
            <v:group style="position:absolute;left:3147;top:6038;width:1409;height:2" coordorigin="3147,6038" coordsize="1409,2">
              <v:shape style="position:absolute;left:3147;top:6038;width:1409;height:2" coordorigin="3147,6038" coordsize="1409,0" path="m3147,6038l4556,6038e" filled="false" stroked="true" strokeweight=".47998pt" strokecolor="#000000">
                <v:path arrowok="t"/>
              </v:shape>
            </v:group>
            <v:group style="position:absolute;left:4565;top:6038;width:1266;height:2" coordorigin="4565,6038" coordsize="1266,2">
              <v:shape style="position:absolute;left:4565;top:6038;width:1266;height:2" coordorigin="4565,6038" coordsize="1266,0" path="m4565,6038l5831,6038e" filled="false" stroked="true" strokeweight=".47998pt" strokecolor="#000000">
                <v:path arrowok="t"/>
              </v:shape>
            </v:group>
            <v:group style="position:absolute;left:5841;top:6038;width:4665;height:2" coordorigin="5841,6038" coordsize="4665,2">
              <v:shape style="position:absolute;left:5841;top:6038;width:4665;height:2" coordorigin="5841,6038" coordsize="4665,0" path="m5841,6038l10506,6038e" filled="false" stroked="true" strokeweight=".47998pt" strokecolor="#000000">
                <v:path arrowok="t"/>
              </v:shape>
            </v:group>
            <v:group style="position:absolute;left:10515;top:6038;width:1640;height:2" coordorigin="10515,6038" coordsize="1640,2">
              <v:shape style="position:absolute;left:10515;top:6038;width:1640;height:2" coordorigin="10515,6038" coordsize="1640,0" path="m10515,6038l12154,6038e" filled="false" stroked="true" strokeweight=".47998pt" strokecolor="#000000">
                <v:path arrowok="t"/>
              </v:shape>
            </v:group>
            <v:group style="position:absolute;left:12164;top:6038;width:1632;height:2" coordorigin="12164,6038" coordsize="1632,2">
              <v:shape style="position:absolute;left:12164;top:6038;width:1632;height:2" coordorigin="12164,6038" coordsize="1632,0" path="m12164,6038l13796,6038e" filled="false" stroked="true" strokeweight=".47998pt" strokecolor="#000000">
                <v:path arrowok="t"/>
              </v:shape>
            </v:group>
            <v:group style="position:absolute;left:13806;top:6038;width:1617;height:2" coordorigin="13806,6038" coordsize="1617,2">
              <v:shape style="position:absolute;left:13806;top:6038;width:1617;height:2" coordorigin="13806,6038" coordsize="1617,0" path="m13806,6038l15422,6038e" filled="false" stroked="true" strokeweight=".47998pt" strokecolor="#000000">
                <v:path arrowok="t"/>
              </v:shape>
            </v:group>
            <v:group style="position:absolute;left:1417;top:9392;width:1720;height:1217" coordorigin="1417,9392" coordsize="1720,1217">
              <v:shape style="position:absolute;left:1417;top:9392;width:1720;height:1217" coordorigin="1417,9392" coordsize="1720,1217" path="m1417,10609l3137,10609,3137,9392,1417,9392,1417,10609xe" filled="true" fillcolor="#d2d2d2" stroked="false">
                <v:path arrowok="t"/>
                <v:fill type="solid"/>
              </v:shape>
            </v:group>
            <v:group style="position:absolute;left:4565;top:9402;width:1265;height:98" coordorigin="4565,9402" coordsize="1265,98">
              <v:shape style="position:absolute;left:4565;top:9402;width:1265;height:98" coordorigin="4565,9402" coordsize="1265,98" path="m4565,9499l5830,9499,5830,9402,4565,9402,4565,9499xe" filled="true" fillcolor="#ffffff" stroked="false">
                <v:path arrowok="t"/>
                <v:fill type="solid"/>
              </v:shape>
            </v:group>
            <v:group style="position:absolute;left:4577;top:9499;width:2;height:1013" coordorigin="4577,9499" coordsize="2,1013">
              <v:shape style="position:absolute;left:4577;top:9499;width:2;height:1013" coordorigin="4577,9499" coordsize="0,1013" path="m4577,9499l4577,10512e" filled="false" stroked="true" strokeweight="1.140pt" strokecolor="#ffffff">
                <v:path arrowok="t"/>
              </v:shape>
            </v:group>
            <v:group style="position:absolute;left:4588;top:9499;width:1220;height:274" coordorigin="4588,9499" coordsize="1220,274">
              <v:shape style="position:absolute;left:4588;top:9499;width:1220;height:274" coordorigin="4588,9499" coordsize="1220,274" path="m4588,9773l5807,9773,5807,9499,4588,9499,4588,9773xe" filled="true" fillcolor="#ffffff" stroked="false">
                <v:path arrowok="t"/>
                <v:fill type="solid"/>
              </v:shape>
            </v:group>
            <v:group style="position:absolute;left:4588;top:9773;width:1220;height:233" coordorigin="4588,9773" coordsize="1220,233">
              <v:shape style="position:absolute;left:4588;top:9773;width:1220;height:233" coordorigin="4588,9773" coordsize="1220,233" path="m4588,10006l5807,10006,5807,9773,4588,9773,4588,10006xe" filled="true" fillcolor="#ffffff" stroked="false">
                <v:path arrowok="t"/>
                <v:fill type="solid"/>
              </v:shape>
            </v:group>
            <v:group style="position:absolute;left:5852;top:9402;width:2;height:1208" coordorigin="5852,9402" coordsize="2,1208">
              <v:shape style="position:absolute;left:5852;top:9402;width:2;height:1208" coordorigin="5852,9402" coordsize="0,1208" path="m5852,9402l5852,10609e" filled="false" stroked="true" strokeweight="1.140pt" strokecolor="#ffffff">
                <v:path arrowok="t"/>
              </v:shape>
            </v:group>
            <v:group style="position:absolute;left:10516;top:10163;width:1637;height:447" coordorigin="10516,10163" coordsize="1637,447">
              <v:shape style="position:absolute;left:10516;top:10163;width:1637;height:447" coordorigin="10516,10163" coordsize="1637,447" path="m10516,10609l12153,10609,12153,10163,10516,10163,10516,10609xe" filled="true" fillcolor="#ffffff" stroked="false">
                <v:path arrowok="t"/>
                <v:fill type="solid"/>
              </v:shape>
            </v:group>
            <v:group style="position:absolute;left:3147;top:9397;width:1409;height:2" coordorigin="3147,9397" coordsize="1409,2">
              <v:shape style="position:absolute;left:3147;top:9397;width:1409;height:2" coordorigin="3147,9397" coordsize="1409,0" path="m3147,9397l4556,9397e" filled="false" stroked="true" strokeweight=".47998pt" strokecolor="#000000">
                <v:path arrowok="t"/>
              </v:shape>
            </v:group>
            <v:group style="position:absolute;left:4565;top:9397;width:1266;height:2" coordorigin="4565,9397" coordsize="1266,2">
              <v:shape style="position:absolute;left:4565;top:9397;width:1266;height:2" coordorigin="4565,9397" coordsize="1266,0" path="m4565,9397l5831,9397e" filled="false" stroked="true" strokeweight=".47998pt" strokecolor="#000000">
                <v:path arrowok="t"/>
              </v:shape>
            </v:group>
            <v:group style="position:absolute;left:5841;top:9397;width:4665;height:2" coordorigin="5841,9397" coordsize="4665,2">
              <v:shape style="position:absolute;left:5841;top:9397;width:4665;height:2" coordorigin="5841,9397" coordsize="4665,0" path="m5841,9397l10506,9397e" filled="false" stroked="true" strokeweight=".47998pt" strokecolor="#000000">
                <v:path arrowok="t"/>
              </v:shape>
            </v:group>
            <v:group style="position:absolute;left:10515;top:9397;width:1640;height:2" coordorigin="10515,9397" coordsize="1640,2">
              <v:shape style="position:absolute;left:10515;top:9397;width:1640;height:2" coordorigin="10515,9397" coordsize="1640,0" path="m10515,9397l12154,9397e" filled="false" stroked="true" strokeweight=".47998pt" strokecolor="#000000">
                <v:path arrowok="t"/>
              </v:shape>
            </v:group>
            <v:group style="position:absolute;left:12164;top:9397;width:1632;height:2" coordorigin="12164,9397" coordsize="1632,2">
              <v:shape style="position:absolute;left:12164;top:9397;width:1632;height:2" coordorigin="12164,9397" coordsize="1632,0" path="m12164,9397l13796,9397e" filled="false" stroked="true" strokeweight=".47998pt" strokecolor="#000000">
                <v:path arrowok="t"/>
              </v:shape>
            </v:group>
            <v:group style="position:absolute;left:13806;top:9397;width:1617;height:2" coordorigin="13806,9397" coordsize="1617,2">
              <v:shape style="position:absolute;left:13806;top:9397;width:1617;height:2" coordorigin="13806,9397" coordsize="1617,0" path="m13806,9397l15422,9397e" filled="false" stroked="true" strokeweight=".47998pt" strokecolor="#000000">
                <v:path arrowok="t"/>
              </v:shape>
            </v:group>
            <v:group style="position:absolute;left:1412;top:1134;width:2;height:9485" coordorigin="1412,1134" coordsize="2,9485">
              <v:shape style="position:absolute;left:1412;top:1134;width:2;height:9485" coordorigin="1412,1134" coordsize="0,9485" path="m1412,1134l1412,10619e" filled="false" stroked="true" strokeweight=".48pt" strokecolor="#000000">
                <v:path arrowok="t"/>
              </v:shape>
            </v:group>
            <v:group style="position:absolute;left:1417;top:10614;width:1720;height:2" coordorigin="1417,10614" coordsize="1720,2">
              <v:shape style="position:absolute;left:1417;top:10614;width:1720;height:2" coordorigin="1417,10614" coordsize="1720,0" path="m1417,10614l3137,10614e" filled="false" stroked="true" strokeweight=".48004pt" strokecolor="#000000">
                <v:path arrowok="t"/>
              </v:shape>
            </v:group>
            <v:group style="position:absolute;left:3142;top:1134;width:2;height:9485" coordorigin="3142,1134" coordsize="2,9485">
              <v:shape style="position:absolute;left:3142;top:1134;width:2;height:9485" coordorigin="3142,1134" coordsize="0,9485" path="m3142,1134l3142,10619e" filled="false" stroked="true" strokeweight=".48pt" strokecolor="#000000">
                <v:path arrowok="t"/>
              </v:shape>
            </v:group>
            <v:group style="position:absolute;left:3147;top:10614;width:1409;height:2" coordorigin="3147,10614" coordsize="1409,2">
              <v:shape style="position:absolute;left:3147;top:10614;width:1409;height:2" coordorigin="3147,10614" coordsize="1409,0" path="m3147,10614l4556,10614e" filled="false" stroked="true" strokeweight=".48004pt" strokecolor="#000000">
                <v:path arrowok="t"/>
              </v:shape>
            </v:group>
            <v:group style="position:absolute;left:4560;top:1134;width:2;height:9485" coordorigin="4560,1134" coordsize="2,9485">
              <v:shape style="position:absolute;left:4560;top:1134;width:2;height:9485" coordorigin="4560,1134" coordsize="0,9485" path="m4560,1134l4560,10619e" filled="false" stroked="true" strokeweight=".48pt" strokecolor="#000000">
                <v:path arrowok="t"/>
              </v:shape>
            </v:group>
            <v:group style="position:absolute;left:4565;top:10614;width:1266;height:2" coordorigin="4565,10614" coordsize="1266,2">
              <v:shape style="position:absolute;left:4565;top:10614;width:1266;height:2" coordorigin="4565,10614" coordsize="1266,0" path="m4565,10614l5831,10614e" filled="false" stroked="true" strokeweight=".48004pt" strokecolor="#000000">
                <v:path arrowok="t"/>
              </v:shape>
            </v:group>
            <v:group style="position:absolute;left:5836;top:1134;width:2;height:9485" coordorigin="5836,1134" coordsize="2,9485">
              <v:shape style="position:absolute;left:5836;top:1134;width:2;height:9485" coordorigin="5836,1134" coordsize="0,9485" path="m5836,1134l5836,10619e" filled="false" stroked="true" strokeweight=".48001pt" strokecolor="#000000">
                <v:path arrowok="t"/>
              </v:shape>
            </v:group>
            <v:group style="position:absolute;left:5841;top:10614;width:4665;height:2" coordorigin="5841,10614" coordsize="4665,2">
              <v:shape style="position:absolute;left:5841;top:10614;width:4665;height:2" coordorigin="5841,10614" coordsize="4665,0" path="m5841,10614l10506,10614e" filled="false" stroked="true" strokeweight=".48004pt" strokecolor="#000000">
                <v:path arrowok="t"/>
              </v:shape>
            </v:group>
            <v:group style="position:absolute;left:10510;top:1134;width:2;height:9485" coordorigin="10510,1134" coordsize="2,9485">
              <v:shape style="position:absolute;left:10510;top:1134;width:2;height:9485" coordorigin="10510,1134" coordsize="0,9485" path="m10510,1134l10510,10619e" filled="false" stroked="true" strokeweight=".48004pt" strokecolor="#000000">
                <v:path arrowok="t"/>
              </v:shape>
            </v:group>
            <v:group style="position:absolute;left:10515;top:10614;width:1640;height:2" coordorigin="10515,10614" coordsize="1640,2">
              <v:shape style="position:absolute;left:10515;top:10614;width:1640;height:2" coordorigin="10515,10614" coordsize="1640,0" path="m10515,10614l12154,10614e" filled="false" stroked="true" strokeweight=".48004pt" strokecolor="#000000">
                <v:path arrowok="t"/>
              </v:shape>
            </v:group>
            <v:group style="position:absolute;left:12159;top:1134;width:2;height:9485" coordorigin="12159,1134" coordsize="2,9485">
              <v:shape style="position:absolute;left:12159;top:1134;width:2;height:9485" coordorigin="12159,1134" coordsize="0,9485" path="m12159,1134l12159,10619e" filled="false" stroked="true" strokeweight=".48004pt" strokecolor="#000000">
                <v:path arrowok="t"/>
              </v:shape>
            </v:group>
            <v:group style="position:absolute;left:12164;top:10614;width:1632;height:2" coordorigin="12164,10614" coordsize="1632,2">
              <v:shape style="position:absolute;left:12164;top:10614;width:1632;height:2" coordorigin="12164,10614" coordsize="1632,0" path="m12164,10614l13796,10614e" filled="false" stroked="true" strokeweight=".48004pt" strokecolor="#000000">
                <v:path arrowok="t"/>
              </v:shape>
            </v:group>
            <v:group style="position:absolute;left:13801;top:1134;width:2;height:9485" coordorigin="13801,1134" coordsize="2,9485">
              <v:shape style="position:absolute;left:13801;top:1134;width:2;height:9485" coordorigin="13801,1134" coordsize="0,9485" path="m13801,1134l13801,10619e" filled="false" stroked="true" strokeweight=".47998pt" strokecolor="#000000">
                <v:path arrowok="t"/>
              </v:shape>
            </v:group>
            <v:group style="position:absolute;left:13806;top:10614;width:1617;height:2" coordorigin="13806,10614" coordsize="1617,2">
              <v:shape style="position:absolute;left:13806;top:10614;width:1617;height:2" coordorigin="13806,10614" coordsize="1617,0" path="m13806,10614l15422,10614e" filled="false" stroked="true" strokeweight=".48004pt" strokecolor="#000000">
                <v:path arrowok="t"/>
              </v:shape>
            </v:group>
            <v:group style="position:absolute;left:15427;top:1134;width:2;height:9485" coordorigin="15427,1134" coordsize="2,9485">
              <v:shape style="position:absolute;left:15427;top:1134;width:2;height:9485" coordorigin="15427,1134" coordsize="0,9485" path="m15427,1134l15427,10619e" filled="false" stroked="true" strokeweight=".47998pt" strokecolor="#000000">
                <v:path arrowok="t"/>
              </v:shape>
            </v:group>
            <w10:wrap type="none"/>
          </v:group>
        </w:pict>
      </w:r>
      <w:r>
        <w:rPr/>
        <w:t>资</w:t>
      </w:r>
      <w:r>
        <w:rPr>
          <w:spacing w:val="-78"/>
        </w:rPr>
        <w:t>、</w:t>
      </w:r>
      <w:r>
        <w:rPr/>
        <w:t>金俊投资共十</w:t>
      </w:r>
      <w:r>
        <w:rPr>
          <w:spacing w:val="-35"/>
        </w:rPr>
        <w:t> </w:t>
      </w:r>
      <w:r>
        <w:rPr>
          <w:position w:val="12"/>
        </w:rPr>
        <w:t>诺</w:t>
      </w:r>
      <w:r>
        <w:rPr/>
      </w:r>
    </w:p>
    <w:p>
      <w:pPr>
        <w:pStyle w:val="BodyText"/>
        <w:spacing w:line="235" w:lineRule="exact"/>
        <w:ind w:left="1870" w:right="-19"/>
        <w:jc w:val="left"/>
      </w:pPr>
      <w:r>
        <w:rPr/>
        <w:t>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5"/>
          <w:szCs w:val="15"/>
        </w:rPr>
      </w:pPr>
    </w:p>
    <w:p>
      <w:pPr>
        <w:pStyle w:val="BodyText"/>
        <w:spacing w:line="166" w:lineRule="exact"/>
        <w:ind w:left="1870" w:right="-19"/>
        <w:jc w:val="left"/>
      </w:pPr>
      <w:r>
        <w:rPr/>
        <w:t>李朱、同仁投资、</w:t>
      </w:r>
    </w:p>
    <w:p>
      <w:pPr>
        <w:pStyle w:val="BodyText"/>
        <w:spacing w:line="139" w:lineRule="auto" w:before="19"/>
        <w:ind w:left="1870" w:right="-19" w:firstLine="1417"/>
        <w:jc w:val="left"/>
      </w:pPr>
      <w:r>
        <w:rPr/>
        <w:t>关于同业竞争、 启仁投资、吕俊、</w:t>
      </w:r>
    </w:p>
    <w:p>
      <w:pPr>
        <w:pStyle w:val="BodyText"/>
        <w:spacing w:line="58" w:lineRule="exact"/>
        <w:ind w:left="3288" w:right="-19"/>
        <w:jc w:val="left"/>
      </w:pPr>
      <w:r>
        <w:rPr>
          <w:spacing w:val="-6"/>
        </w:rPr>
        <w:t>关联交易、资金</w:t>
      </w:r>
    </w:p>
    <w:p>
      <w:pPr>
        <w:pStyle w:val="BodyText"/>
        <w:spacing w:line="168" w:lineRule="auto" w:before="13"/>
        <w:ind w:left="1870" w:right="162"/>
        <w:jc w:val="left"/>
      </w:pPr>
      <w:r>
        <w:rPr>
          <w:spacing w:val="-10"/>
        </w:rPr>
        <w:t>至善投资、嘉逸投</w:t>
      </w:r>
      <w:r>
        <w:rPr>
          <w:spacing w:val="-34"/>
        </w:rPr>
        <w:t> </w:t>
      </w:r>
      <w:r>
        <w:rPr>
          <w:position w:val="-9"/>
        </w:rPr>
        <w:t>占用方面的承</w:t>
      </w:r>
      <w:r>
        <w:rPr>
          <w:position w:val="-9"/>
        </w:rPr>
        <w:t> </w:t>
      </w:r>
      <w:r>
        <w:rPr>
          <w:spacing w:val="-10"/>
        </w:rPr>
        <w:t>资、德正嘉成、澜</w:t>
      </w:r>
      <w:r>
        <w:rPr>
          <w:spacing w:val="-35"/>
        </w:rPr>
        <w:t> </w:t>
      </w:r>
      <w:r>
        <w:rPr>
          <w:position w:val="-9"/>
        </w:rPr>
        <w:t>诺</w:t>
      </w:r>
      <w:r>
        <w:rPr>
          <w:position w:val="-9"/>
        </w:rPr>
        <w:t> </w:t>
      </w:r>
      <w:r>
        <w:rPr/>
        <w:t>亭投资、吾湾投</w:t>
      </w:r>
    </w:p>
    <w:p>
      <w:pPr>
        <w:pStyle w:val="BodyText"/>
        <w:spacing w:line="179" w:lineRule="exact"/>
        <w:ind w:left="-25" w:right="-3"/>
        <w:jc w:val="left"/>
      </w:pPr>
      <w:r>
        <w:rPr>
          <w:spacing w:val="-3"/>
        </w:rPr>
        <w:br w:type="column"/>
      </w:r>
      <w:r>
        <w:rPr>
          <w:spacing w:val="-3"/>
        </w:rPr>
        <w:t>其子公司产生同业竞争。三、承诺人从第三方获得的商业机</w:t>
      </w:r>
    </w:p>
    <w:p>
      <w:pPr>
        <w:pStyle w:val="BodyText"/>
        <w:spacing w:line="237" w:lineRule="auto" w:before="1"/>
        <w:ind w:left="-25" w:right="0"/>
        <w:jc w:val="both"/>
      </w:pPr>
      <w:r>
        <w:rPr>
          <w:spacing w:val="-3"/>
        </w:rPr>
        <w:t>会如果属于神州数码及其子公司主营业务范围之内的，则承</w:t>
      </w:r>
      <w:r>
        <w:rPr>
          <w:spacing w:val="-74"/>
        </w:rPr>
        <w:t> </w:t>
      </w:r>
      <w:r>
        <w:rPr>
          <w:spacing w:val="-74"/>
        </w:rPr>
      </w:r>
      <w:r>
        <w:rPr>
          <w:spacing w:val="-3"/>
        </w:rPr>
        <w:t>诺人将及时告知神州数码，并尽可能地协助神州数码或其子</w:t>
      </w:r>
      <w:r>
        <w:rPr>
          <w:spacing w:val="-74"/>
        </w:rPr>
        <w:t> </w:t>
      </w:r>
      <w:r>
        <w:rPr>
          <w:spacing w:val="-74"/>
        </w:rPr>
      </w:r>
      <w:r>
        <w:rPr>
          <w:spacing w:val="-3"/>
        </w:rPr>
        <w:t>公司取得该商业机会。四、承诺人及其拥有控制权或重大影</w:t>
      </w:r>
      <w:r>
        <w:rPr>
          <w:spacing w:val="-76"/>
        </w:rPr>
        <w:t> </w:t>
      </w:r>
      <w:r>
        <w:rPr>
          <w:spacing w:val="-76"/>
        </w:rPr>
      </w:r>
      <w:r>
        <w:rPr>
          <w:spacing w:val="-3"/>
        </w:rPr>
        <w:t>响的其他企业及其他关联方不利用承诺人的股东地位，进行</w:t>
      </w:r>
      <w:r>
        <w:rPr>
          <w:spacing w:val="-74"/>
        </w:rPr>
        <w:t> </w:t>
      </w:r>
      <w:r>
        <w:rPr>
          <w:spacing w:val="-74"/>
        </w:rPr>
      </w:r>
      <w:r>
        <w:rPr/>
        <w:t>损害神州数码及其子公司、中小股东合法权益的活动。</w:t>
      </w:r>
    </w:p>
    <w:p>
      <w:pPr>
        <w:pStyle w:val="BodyText"/>
        <w:spacing w:line="237" w:lineRule="auto" w:before="89"/>
        <w:ind w:left="-25" w:right="-3"/>
        <w:jc w:val="left"/>
      </w:pPr>
      <w:r>
        <w:rPr/>
        <w:pict>
          <v:shape style="position:absolute;margin-left:474.619995pt;margin-top:41.916599pt;width:133.050pt;height:22.35pt;mso-position-horizontal-relative:page;mso-position-vertical-relative:paragraph;z-index:-1465936" type="#_x0000_t202" filled="false" stroked="false">
            <v:textbox inset="0,0,0,0">
              <w:txbxContent>
                <w:p>
                  <w:pPr>
                    <w:pStyle w:val="BodyText"/>
                    <w:spacing w:line="185" w:lineRule="exact"/>
                    <w:ind w:left="0" w:right="0"/>
                    <w:jc w:val="left"/>
                  </w:pPr>
                  <w:r>
                    <w:rPr/>
                    <w:t>均按照公平、</w:t>
                  </w:r>
                </w:p>
              </w:txbxContent>
            </v:textbox>
            <w10:wrap type="none"/>
          </v:shape>
        </w:pict>
      </w:r>
      <w:r>
        <w:rPr/>
        <w:t>关于规范和减少与上市公司关联交易的承诺 一、在本次交 </w:t>
      </w:r>
      <w:r>
        <w:rPr>
          <w:spacing w:val="-3"/>
        </w:rPr>
        <w:t>易完成后，承诺人及承诺人拥有控制权或重大影响的企业及</w:t>
      </w:r>
      <w:r>
        <w:rPr>
          <w:spacing w:val="-74"/>
        </w:rPr>
        <w:t> </w:t>
      </w:r>
      <w:r>
        <w:rPr>
          <w:spacing w:val="-74"/>
        </w:rPr>
      </w:r>
      <w:r>
        <w:rPr/>
        <w:t>其他关联方将尽量避免与上市公司及其子公司之间发生关 </w:t>
      </w:r>
      <w:r>
        <w:rPr>
          <w:spacing w:val="-4"/>
        </w:rPr>
        <w:t>联交易；对于确有必要且无法回避的关联交易，</w:t>
      </w:r>
      <w:r>
        <w:rPr>
          <w:spacing w:val="-82"/>
        </w:rPr>
        <w:t> </w:t>
      </w:r>
      <w:r>
        <w:rPr>
          <w:spacing w:val="-82"/>
        </w:rPr>
      </w:r>
      <w:r>
        <w:rPr>
          <w:spacing w:val="-3"/>
        </w:rPr>
        <w:t>公允及等价有偿的原则进行，交易价格按市场公认的合理价</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BodyText"/>
        <w:spacing w:line="240" w:lineRule="auto"/>
        <w:ind w:left="16" w:right="-14"/>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05 </w:t>
      </w:r>
      <w:r>
        <w:rPr/>
        <w:t>月</w:t>
      </w:r>
      <w:r>
        <w:rPr>
          <w:spacing w:val="-46"/>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w:t>
      </w:r>
      <w:r>
        <w:rPr>
          <w:spacing w:val="7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9 </w:t>
      </w:r>
      <w:r>
        <w:rPr/>
        <w:t>日</w:t>
      </w:r>
    </w:p>
    <w:p>
      <w:pPr>
        <w:pStyle w:val="BodyText"/>
        <w:spacing w:line="179" w:lineRule="exact"/>
        <w:ind w:left="213" w:right="0"/>
        <w:jc w:val="left"/>
      </w:pPr>
      <w:r>
        <w:rPr/>
        <w:br w:type="column"/>
      </w:r>
      <w:r>
        <w:rPr/>
        <w:t>大资产重组的议</w:t>
      </w:r>
    </w:p>
    <w:p>
      <w:pPr>
        <w:pStyle w:val="BodyText"/>
        <w:spacing w:line="235" w:lineRule="exact"/>
        <w:ind w:left="213" w:right="0"/>
        <w:jc w:val="left"/>
      </w:pPr>
      <w:r>
        <w:rPr/>
        <w:t>案</w:t>
      </w:r>
      <w:r>
        <w:rPr>
          <w:spacing w:val="-90"/>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4"/>
          <w:szCs w:val="24"/>
        </w:rPr>
      </w:pPr>
    </w:p>
    <w:p>
      <w:pPr>
        <w:pStyle w:val="BodyText"/>
        <w:spacing w:line="235" w:lineRule="auto"/>
        <w:ind w:left="213" w:right="124"/>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9 </w:t>
      </w:r>
      <w:r>
        <w:rPr/>
        <w:t>日公 司召开第九届董事 会第七次会议审议 </w:t>
      </w:r>
      <w:r>
        <w:rPr>
          <w:spacing w:val="-6"/>
        </w:rPr>
        <w:t>通过了《关于终止重</w:t>
      </w:r>
      <w:r>
        <w:rPr>
          <w:spacing w:val="-87"/>
        </w:rPr>
        <w:t> </w:t>
      </w:r>
      <w:r>
        <w:rPr>
          <w:spacing w:val="-87"/>
        </w:rPr>
      </w:r>
      <w:r>
        <w:rPr/>
        <w:t>大资产重组的议</w:t>
      </w:r>
    </w:p>
    <w:p>
      <w:pPr>
        <w:spacing w:after="0" w:line="235" w:lineRule="auto"/>
        <w:jc w:val="left"/>
        <w:sectPr>
          <w:type w:val="continuous"/>
          <w:pgSz w:w="16840" w:h="11910" w:orient="landscape"/>
          <w:pgMar w:top="1580" w:bottom="700" w:left="1300" w:right="1300"/>
          <w:cols w:num="4" w:equalWidth="0">
            <w:col w:w="4549" w:space="40"/>
            <w:col w:w="4595" w:space="40"/>
            <w:col w:w="3053" w:space="40"/>
            <w:col w:w="1923"/>
          </w:cols>
        </w:sectPr>
      </w:pPr>
    </w:p>
    <w:p>
      <w:pPr>
        <w:spacing w:line="240" w:lineRule="auto" w:before="4"/>
        <w:rPr>
          <w:rFonts w:ascii="Times New Roman" w:hAnsi="Times New Roman" w:cs="Times New Roman" w:eastAsia="Times New Roman" w:hint="default"/>
          <w:sz w:val="3"/>
          <w:szCs w:val="3"/>
        </w:rPr>
      </w:pPr>
      <w:r>
        <w:rPr/>
        <w:pict>
          <v:shape style="position:absolute;margin-left:393.619995pt;margin-top:73.380005pt;width:214.05pt;height:142.1pt;mso-position-horizontal-relative:page;mso-position-vertical-relative:page;z-index:-14658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4"/>
                      <w:szCs w:val="24"/>
                    </w:rPr>
                  </w:pPr>
                </w:p>
                <w:p>
                  <w:pPr>
                    <w:pStyle w:val="BodyText"/>
                    <w:spacing w:line="240" w:lineRule="auto"/>
                    <w:ind w:left="0" w:right="0"/>
                    <w:jc w:val="left"/>
                  </w:pPr>
                  <w:r>
                    <w:rPr/>
                    <w:t>不利用股东的地位谋取不当利益，</w:t>
                  </w:r>
                </w:p>
              </w:txbxContent>
            </v:textbox>
            <w10:wrap type="none"/>
          </v:shape>
        </w:pict>
      </w:r>
      <w:r>
        <w:rPr/>
        <w:pict>
          <v:group style="position:absolute;margin-left:228.259995pt;margin-top:215.960007pt;width:63.25pt;height:40.9pt;mso-position-horizontal-relative:page;mso-position-vertical-relative:page;z-index:-1465840" coordorigin="4565,4319" coordsize="1265,818">
            <v:shape style="position:absolute;left:4565;top:4319;width:1265;height:818" coordorigin="4565,4319" coordsize="1265,818" path="m4565,5137l5830,5137,5830,4319,4565,4319,4565,5137xe" filled="true" fillcolor="#ffffff" stroked="false">
              <v:path arrowok="t"/>
              <v:fill type="solid"/>
            </v:shape>
            <w10:wrap type="none"/>
          </v:group>
        </w:pict>
      </w:r>
      <w:r>
        <w:rPr/>
        <w:pict>
          <v:group style="position:absolute;margin-left:228.259995pt;margin-top:313.839996pt;width:63.25pt;height:29.2pt;mso-position-horizontal-relative:page;mso-position-vertical-relative:page;z-index:-1465816" coordorigin="4565,6277" coordsize="1265,584">
            <v:shape style="position:absolute;left:4565;top:6277;width:1265;height:584" coordorigin="4565,6277" coordsize="1265,584" path="m4565,6860l5830,6860,5830,6277,4565,6277,4565,6860xe" filled="true" fillcolor="#ffffff" stroked="false">
              <v:path arrowok="t"/>
              <v:fill type="solid"/>
            </v:shape>
            <w10:wrap type="none"/>
          </v:group>
        </w:pict>
      </w:r>
      <w:r>
        <w:rPr/>
        <w:pict>
          <v:group style="position:absolute;margin-left:525.820007pt;margin-top:462.960022pt;width:81.850pt;height:23.35pt;mso-position-horizontal-relative:page;mso-position-vertical-relative:page;z-index:-1465792" coordorigin="10516,9259" coordsize="1637,467">
            <v:shape style="position:absolute;left:10516;top:9259;width:1637;height:467" coordorigin="10516,9259" coordsize="1637,467" path="m10516,9726l12153,9726,12153,9259,10516,9259,10516,9726xe" filled="true" fillcolor="#ffffff" stroked="false">
              <v:path arrowok="t"/>
              <v:fill type="solid"/>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1730"/>
        <w:gridCol w:w="1418"/>
        <w:gridCol w:w="1276"/>
        <w:gridCol w:w="4674"/>
        <w:gridCol w:w="1649"/>
        <w:gridCol w:w="1642"/>
        <w:gridCol w:w="1626"/>
      </w:tblGrid>
      <w:tr>
        <w:trPr>
          <w:trHeight w:val="338" w:hRule="exact"/>
        </w:trPr>
        <w:tc>
          <w:tcPr>
            <w:tcW w:w="173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99"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41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4"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72"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467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649"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5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64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5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62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4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237" w:hRule="exact"/>
        </w:trPr>
        <w:tc>
          <w:tcPr>
            <w:tcW w:w="1730" w:type="dxa"/>
            <w:vMerge w:val="restart"/>
            <w:tcBorders>
              <w:top w:val="single" w:sz="4" w:space="0" w:color="000000"/>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78"/>
                <w:sz w:val="18"/>
                <w:szCs w:val="18"/>
              </w:rPr>
              <w:t>、</w:t>
            </w:r>
            <w:r>
              <w:rPr>
                <w:rFonts w:ascii="宋体" w:hAnsi="宋体" w:cs="宋体" w:eastAsia="宋体" w:hint="default"/>
                <w:sz w:val="18"/>
                <w:szCs w:val="18"/>
              </w:rPr>
              <w:t>金俊投资共十</w:t>
            </w:r>
          </w:p>
        </w:tc>
        <w:tc>
          <w:tcPr>
            <w:tcW w:w="1276" w:type="dxa"/>
            <w:vMerge w:val="restart"/>
            <w:tcBorders>
              <w:top w:val="single" w:sz="4" w:space="0" w:color="000000"/>
              <w:left w:val="single" w:sz="4" w:space="0" w:color="000000"/>
              <w:right w:val="single" w:sz="4" w:space="0" w:color="000000"/>
            </w:tcBorders>
          </w:tcPr>
          <w:p>
            <w:pPr/>
          </w:p>
        </w:tc>
        <w:tc>
          <w:tcPr>
            <w:tcW w:w="4674" w:type="dxa"/>
            <w:tcBorders>
              <w:top w:val="single" w:sz="4" w:space="0" w:color="000000"/>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pacing w:val="-3"/>
                <w:sz w:val="18"/>
                <w:szCs w:val="18"/>
              </w:rPr>
              <w:t>格确定，并按照相关法律、法规以及规范性文件的规定履行</w:t>
            </w:r>
          </w:p>
        </w:tc>
        <w:tc>
          <w:tcPr>
            <w:tcW w:w="1649" w:type="dxa"/>
            <w:vMerge w:val="restart"/>
            <w:tcBorders>
              <w:top w:val="single" w:sz="4" w:space="0" w:color="000000"/>
              <w:left w:val="single" w:sz="4" w:space="0" w:color="000000"/>
              <w:right w:val="single" w:sz="4" w:space="0" w:color="000000"/>
            </w:tcBorders>
          </w:tcPr>
          <w:p>
            <w:pPr>
              <w:pStyle w:val="TableParagraph"/>
              <w:spacing w:line="2842" w:lineRule="exact"/>
              <w:ind w:left="1"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6"/>
                <w:sz w:val="20"/>
                <w:szCs w:val="20"/>
              </w:rPr>
              <w:pict>
                <v:group style="width:81.850pt;height:142.1pt;mso-position-horizontal-relative:char;mso-position-vertical-relative:line" coordorigin="0,0" coordsize="1637,2842">
                  <v:group style="position:absolute;left:0;top:0;width:1637;height:2842" coordorigin="0,0" coordsize="1637,2842">
                    <v:shape style="position:absolute;left:0;top:0;width:1637;height:2842" coordorigin="0,0" coordsize="1637,2842" path="m0,2842l1637,2842,1637,0,0,0,0,2842xe" filled="true" fillcolor="#ffffff" stroked="false">
                      <v:path arrowok="t"/>
                      <v:fill type="solid"/>
                    </v:shape>
                  </v:group>
                </v:group>
              </w:pict>
            </w:r>
            <w:r>
              <w:rPr>
                <w:rFonts w:ascii="Times New Roman" w:hAnsi="Times New Roman" w:cs="Times New Roman" w:eastAsia="Times New Roman" w:hint="default"/>
                <w:position w:val="-56"/>
                <w:sz w:val="20"/>
                <w:szCs w:val="20"/>
              </w:rPr>
            </w:r>
          </w:p>
        </w:tc>
        <w:tc>
          <w:tcPr>
            <w:tcW w:w="1642" w:type="dxa"/>
            <w:vMerge w:val="restart"/>
            <w:tcBorders>
              <w:top w:val="single" w:sz="4" w:space="0" w:color="000000"/>
              <w:left w:val="single" w:sz="4" w:space="0" w:color="000000"/>
              <w:right w:val="single" w:sz="4" w:space="0" w:color="000000"/>
            </w:tcBorders>
          </w:tcPr>
          <w:p>
            <w:pPr/>
          </w:p>
        </w:tc>
        <w:tc>
          <w:tcPr>
            <w:tcW w:w="1626" w:type="dxa"/>
            <w:tcBorders>
              <w:top w:val="single" w:sz="4" w:space="0" w:color="000000"/>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233" w:hRule="exact"/>
        </w:trPr>
        <w:tc>
          <w:tcPr>
            <w:tcW w:w="1730"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方</w:t>
            </w:r>
          </w:p>
        </w:tc>
        <w:tc>
          <w:tcPr>
            <w:tcW w:w="1276" w:type="dxa"/>
            <w:vMerge/>
            <w:tcBorders>
              <w:left w:val="single" w:sz="4" w:space="0" w:color="000000"/>
              <w:right w:val="single" w:sz="4" w:space="0" w:color="000000"/>
            </w:tcBorders>
          </w:tcPr>
          <w:p>
            <w:pPr/>
          </w:p>
        </w:tc>
        <w:tc>
          <w:tcPr>
            <w:tcW w:w="467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pacing w:val="-3"/>
                <w:sz w:val="18"/>
                <w:szCs w:val="18"/>
              </w:rPr>
              <w:t>交易审批程序及信息披露义务，切实保护上市公司及其中小</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6"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1730"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276" w:type="dxa"/>
            <w:vMerge/>
            <w:tcBorders>
              <w:left w:val="single" w:sz="4" w:space="0" w:color="000000"/>
              <w:right w:val="single" w:sz="4" w:space="0" w:color="000000"/>
            </w:tcBorders>
          </w:tcPr>
          <w:p>
            <w:pPr/>
          </w:p>
        </w:tc>
        <w:tc>
          <w:tcPr>
            <w:tcW w:w="4674"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pacing w:val="-3"/>
                <w:sz w:val="18"/>
                <w:szCs w:val="18"/>
              </w:rPr>
              <w:t>股东的权益。二、承诺人保证严格按照有关法律、法规、规</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6"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1730"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276" w:type="dxa"/>
            <w:vMerge/>
            <w:tcBorders>
              <w:left w:val="single" w:sz="4" w:space="0" w:color="000000"/>
              <w:right w:val="single" w:sz="4" w:space="0" w:color="000000"/>
            </w:tcBorders>
          </w:tcPr>
          <w:p>
            <w:pPr/>
          </w:p>
        </w:tc>
        <w:tc>
          <w:tcPr>
            <w:tcW w:w="467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pacing w:val="-3"/>
                <w:sz w:val="18"/>
                <w:szCs w:val="18"/>
              </w:rPr>
              <w:t>范性文件及上市公司《公司章程》等制度的规定，依法行使</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6"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1730"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276" w:type="dxa"/>
            <w:vMerge/>
            <w:tcBorders>
              <w:left w:val="single" w:sz="4" w:space="0" w:color="000000"/>
              <w:right w:val="single" w:sz="4" w:space="0" w:color="000000"/>
            </w:tcBorders>
          </w:tcPr>
          <w:p>
            <w:pPr/>
          </w:p>
        </w:tc>
        <w:tc>
          <w:tcPr>
            <w:tcW w:w="4674"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股东权利</w:t>
            </w:r>
            <w:r>
              <w:rPr>
                <w:rFonts w:ascii="宋体" w:hAnsi="宋体" w:cs="宋体" w:eastAsia="宋体" w:hint="default"/>
                <w:spacing w:val="-76"/>
                <w:sz w:val="18"/>
                <w:szCs w:val="18"/>
              </w:rPr>
              <w:t>，</w:t>
            </w:r>
            <w:r>
              <w:rPr>
                <w:rFonts w:ascii="宋体" w:hAnsi="宋体" w:cs="宋体" w:eastAsia="宋体" w:hint="default"/>
                <w:sz w:val="18"/>
                <w:szCs w:val="18"/>
              </w:rPr>
              <w:t>履行股东义务，</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6"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1730"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276" w:type="dxa"/>
            <w:vMerge/>
            <w:tcBorders>
              <w:left w:val="single" w:sz="4" w:space="0" w:color="000000"/>
              <w:right w:val="single" w:sz="4" w:space="0" w:color="000000"/>
            </w:tcBorders>
          </w:tcPr>
          <w:p>
            <w:pPr/>
          </w:p>
        </w:tc>
        <w:tc>
          <w:tcPr>
            <w:tcW w:w="4674"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pacing w:val="-3"/>
                <w:sz w:val="18"/>
                <w:szCs w:val="18"/>
              </w:rPr>
              <w:t>不损害上市公司及其子公司、中小股东的合法权益。三、杜</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6"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1730"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276" w:type="dxa"/>
            <w:vMerge/>
            <w:tcBorders>
              <w:left w:val="single" w:sz="4" w:space="0" w:color="000000"/>
              <w:right w:val="single" w:sz="4" w:space="0" w:color="000000"/>
            </w:tcBorders>
          </w:tcPr>
          <w:p>
            <w:pPr/>
          </w:p>
        </w:tc>
        <w:tc>
          <w:tcPr>
            <w:tcW w:w="467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绝承诺人及承诺人所投资的其他企业非法占用上市公司及</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6"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1730"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276" w:type="dxa"/>
            <w:vMerge/>
            <w:tcBorders>
              <w:left w:val="single" w:sz="4" w:space="0" w:color="000000"/>
              <w:right w:val="single" w:sz="4" w:space="0" w:color="000000"/>
            </w:tcBorders>
          </w:tcPr>
          <w:p>
            <w:pPr/>
          </w:p>
        </w:tc>
        <w:tc>
          <w:tcPr>
            <w:tcW w:w="4674"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pacing w:val="-3"/>
                <w:sz w:val="18"/>
                <w:szCs w:val="18"/>
              </w:rPr>
              <w:t>其子公司资金、资产的行为。在任何情况下，不要求上市公</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6"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1730"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276" w:type="dxa"/>
            <w:vMerge/>
            <w:tcBorders>
              <w:left w:val="single" w:sz="4" w:space="0" w:color="000000"/>
              <w:right w:val="single" w:sz="4" w:space="0" w:color="000000"/>
            </w:tcBorders>
          </w:tcPr>
          <w:p>
            <w:pPr/>
          </w:p>
        </w:tc>
        <w:tc>
          <w:tcPr>
            <w:tcW w:w="467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司及子公司违规向承诺人及承诺人所投资的其他企业提供</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6"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1730"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276" w:type="dxa"/>
            <w:vMerge/>
            <w:tcBorders>
              <w:left w:val="single" w:sz="4" w:space="0" w:color="000000"/>
              <w:right w:val="single" w:sz="4" w:space="0" w:color="000000"/>
            </w:tcBorders>
          </w:tcPr>
          <w:p>
            <w:pPr/>
          </w:p>
        </w:tc>
        <w:tc>
          <w:tcPr>
            <w:tcW w:w="4674"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pacing w:val="-3"/>
                <w:sz w:val="18"/>
                <w:szCs w:val="18"/>
              </w:rPr>
              <w:t>任何形式的担保。四、承诺人违反上述承诺与上市公司及其</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6"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1730"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276" w:type="dxa"/>
            <w:vMerge/>
            <w:tcBorders>
              <w:left w:val="single" w:sz="4" w:space="0" w:color="000000"/>
              <w:right w:val="single" w:sz="4" w:space="0" w:color="000000"/>
            </w:tcBorders>
          </w:tcPr>
          <w:p>
            <w:pPr/>
          </w:p>
        </w:tc>
        <w:tc>
          <w:tcPr>
            <w:tcW w:w="467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子公司进行交易而给上市公司及其中小股东及上市公司子</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6" w:type="dxa"/>
            <w:tcBorders>
              <w:top w:val="nil" w:sz="6" w:space="0" w:color="auto"/>
              <w:left w:val="single" w:sz="4" w:space="0" w:color="000000"/>
              <w:bottom w:val="nil" w:sz="6" w:space="0" w:color="auto"/>
              <w:right w:val="single" w:sz="4" w:space="0" w:color="000000"/>
            </w:tcBorders>
          </w:tcPr>
          <w:p>
            <w:pPr/>
          </w:p>
        </w:tc>
      </w:tr>
      <w:tr>
        <w:trPr>
          <w:trHeight w:val="280" w:hRule="exact"/>
        </w:trPr>
        <w:tc>
          <w:tcPr>
            <w:tcW w:w="1730"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4674"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公司造成损失的，承诺人将依法承担相应的赔偿责任。</w:t>
            </w:r>
          </w:p>
        </w:tc>
        <w:tc>
          <w:tcPr>
            <w:tcW w:w="1649" w:type="dxa"/>
            <w:vMerge/>
            <w:tcBorders>
              <w:left w:val="single" w:sz="4" w:space="0" w:color="000000"/>
              <w:bottom w:val="single" w:sz="4" w:space="0" w:color="000000"/>
              <w:right w:val="single" w:sz="4" w:space="0" w:color="000000"/>
            </w:tcBorders>
          </w:tcPr>
          <w:p>
            <w:pPr/>
          </w:p>
        </w:tc>
        <w:tc>
          <w:tcPr>
            <w:tcW w:w="1642" w:type="dxa"/>
            <w:vMerge/>
            <w:tcBorders>
              <w:left w:val="single" w:sz="4" w:space="0" w:color="000000"/>
              <w:bottom w:val="single" w:sz="4" w:space="0" w:color="000000"/>
              <w:right w:val="single" w:sz="4" w:space="0" w:color="000000"/>
            </w:tcBorders>
          </w:tcPr>
          <w:p>
            <w:pPr/>
          </w:p>
        </w:tc>
        <w:tc>
          <w:tcPr>
            <w:tcW w:w="1626" w:type="dxa"/>
            <w:tcBorders>
              <w:top w:val="nil" w:sz="6" w:space="0" w:color="auto"/>
              <w:left w:val="single" w:sz="4" w:space="0" w:color="000000"/>
              <w:bottom w:val="single" w:sz="4" w:space="0" w:color="000000"/>
              <w:right w:val="single" w:sz="4" w:space="0" w:color="000000"/>
            </w:tcBorders>
          </w:tcPr>
          <w:p>
            <w:pPr/>
          </w:p>
        </w:tc>
      </w:tr>
      <w:tr>
        <w:trPr>
          <w:trHeight w:val="276" w:hRule="exact"/>
        </w:trPr>
        <w:tc>
          <w:tcPr>
            <w:tcW w:w="1730" w:type="dxa"/>
            <w:vMerge/>
            <w:tcBorders>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pacing w:val="-10"/>
                <w:sz w:val="18"/>
                <w:szCs w:val="18"/>
              </w:rPr>
              <w:t>李朱、李冬梅、同</w:t>
            </w:r>
          </w:p>
        </w:tc>
        <w:tc>
          <w:tcPr>
            <w:tcW w:w="1276" w:type="dxa"/>
            <w:tcBorders>
              <w:top w:val="single" w:sz="4" w:space="0" w:color="000000"/>
              <w:left w:val="single" w:sz="4" w:space="0" w:color="000000"/>
              <w:bottom w:val="nil" w:sz="6" w:space="0" w:color="auto"/>
              <w:right w:val="single" w:sz="4" w:space="0" w:color="000000"/>
            </w:tcBorders>
          </w:tcPr>
          <w:p>
            <w:pPr/>
          </w:p>
        </w:tc>
        <w:tc>
          <w:tcPr>
            <w:tcW w:w="4674" w:type="dxa"/>
            <w:tcBorders>
              <w:top w:val="single" w:sz="4" w:space="0" w:color="000000"/>
              <w:left w:val="single" w:sz="4" w:space="0" w:color="000000"/>
              <w:bottom w:val="nil" w:sz="6" w:space="0" w:color="auto"/>
              <w:right w:val="single" w:sz="4" w:space="0" w:color="000000"/>
            </w:tcBorders>
          </w:tcPr>
          <w:p>
            <w:pPr/>
          </w:p>
        </w:tc>
        <w:tc>
          <w:tcPr>
            <w:tcW w:w="1649" w:type="dxa"/>
            <w:tcBorders>
              <w:top w:val="single" w:sz="4" w:space="0" w:color="000000"/>
              <w:left w:val="single" w:sz="4" w:space="0" w:color="000000"/>
              <w:bottom w:val="nil" w:sz="6" w:space="0" w:color="auto"/>
              <w:right w:val="single" w:sz="4" w:space="0" w:color="000000"/>
            </w:tcBorders>
          </w:tcPr>
          <w:p>
            <w:pPr/>
          </w:p>
        </w:tc>
        <w:tc>
          <w:tcPr>
            <w:tcW w:w="1642" w:type="dxa"/>
            <w:tcBorders>
              <w:top w:val="single" w:sz="4" w:space="0" w:color="000000"/>
              <w:left w:val="single" w:sz="4" w:space="0" w:color="000000"/>
              <w:bottom w:val="nil" w:sz="6" w:space="0" w:color="auto"/>
              <w:right w:val="single" w:sz="4" w:space="0" w:color="000000"/>
            </w:tcBorders>
          </w:tcPr>
          <w:p>
            <w:pPr/>
          </w:p>
        </w:tc>
        <w:tc>
          <w:tcPr>
            <w:tcW w:w="1626" w:type="dxa"/>
            <w:tcBorders>
              <w:top w:val="single" w:sz="4" w:space="0" w:color="000000"/>
              <w:left w:val="single" w:sz="4" w:space="0" w:color="000000"/>
              <w:bottom w:val="nil" w:sz="6" w:space="0" w:color="auto"/>
              <w:right w:val="single" w:sz="4" w:space="0" w:color="000000"/>
            </w:tcBorders>
          </w:tcPr>
          <w:p>
            <w:pPr/>
          </w:p>
        </w:tc>
      </w:tr>
      <w:tr>
        <w:trPr>
          <w:trHeight w:val="239" w:hRule="exact"/>
        </w:trPr>
        <w:tc>
          <w:tcPr>
            <w:tcW w:w="1730"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仁投资、启仁投</w:t>
            </w:r>
          </w:p>
        </w:tc>
        <w:tc>
          <w:tcPr>
            <w:tcW w:w="1276" w:type="dxa"/>
            <w:tcBorders>
              <w:top w:val="nil" w:sz="6" w:space="0" w:color="auto"/>
              <w:left w:val="single" w:sz="4" w:space="0" w:color="000000"/>
              <w:bottom w:val="nil" w:sz="6" w:space="0" w:color="auto"/>
              <w:right w:val="single" w:sz="4" w:space="0" w:color="000000"/>
            </w:tcBorders>
          </w:tcPr>
          <w:p>
            <w:pPr/>
          </w:p>
        </w:tc>
        <w:tc>
          <w:tcPr>
            <w:tcW w:w="467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关于未泄漏内幕信息及未进行内幕交易的承诺  承诺人不</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6"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日公</w:t>
            </w:r>
          </w:p>
        </w:tc>
      </w:tr>
      <w:tr>
        <w:trPr>
          <w:trHeight w:val="229" w:hRule="exact"/>
        </w:trPr>
        <w:tc>
          <w:tcPr>
            <w:tcW w:w="1730"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23" w:right="0"/>
              <w:jc w:val="left"/>
              <w:rPr>
                <w:rFonts w:ascii="宋体" w:hAnsi="宋体" w:cs="宋体" w:eastAsia="宋体" w:hint="default"/>
                <w:sz w:val="18"/>
                <w:szCs w:val="18"/>
              </w:rPr>
            </w:pPr>
            <w:r>
              <w:rPr>
                <w:rFonts w:ascii="宋体" w:hAnsi="宋体" w:cs="宋体" w:eastAsia="宋体" w:hint="default"/>
                <w:sz w:val="18"/>
                <w:szCs w:val="18"/>
              </w:rPr>
              <w:t>资、林机、吕俊</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4674"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22" w:right="0"/>
              <w:jc w:val="left"/>
              <w:rPr>
                <w:rFonts w:ascii="宋体" w:hAnsi="宋体" w:cs="宋体" w:eastAsia="宋体" w:hint="default"/>
                <w:sz w:val="18"/>
                <w:szCs w:val="18"/>
              </w:rPr>
            </w:pPr>
            <w:r>
              <w:rPr>
                <w:rFonts w:ascii="宋体" w:hAnsi="宋体" w:cs="宋体" w:eastAsia="宋体" w:hint="default"/>
                <w:sz w:val="18"/>
                <w:szCs w:val="18"/>
              </w:rPr>
              <w:t>存在泄露神州数码本次交易事宜的相关内幕信息及利用该</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6"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22" w:right="0"/>
              <w:jc w:val="left"/>
              <w:rPr>
                <w:rFonts w:ascii="宋体" w:hAnsi="宋体" w:cs="宋体" w:eastAsia="宋体" w:hint="default"/>
                <w:sz w:val="18"/>
                <w:szCs w:val="18"/>
              </w:rPr>
            </w:pPr>
            <w:r>
              <w:rPr>
                <w:rFonts w:ascii="宋体" w:hAnsi="宋体" w:cs="宋体" w:eastAsia="宋体" w:hint="default"/>
                <w:sz w:val="18"/>
                <w:szCs w:val="18"/>
              </w:rPr>
              <w:t>司召开第九届董事</w:t>
            </w:r>
          </w:p>
        </w:tc>
      </w:tr>
      <w:tr>
        <w:trPr>
          <w:trHeight w:val="467" w:hRule="exact"/>
        </w:trPr>
        <w:tc>
          <w:tcPr>
            <w:tcW w:w="1730"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至善投资</w:t>
            </w:r>
            <w:r>
              <w:rPr>
                <w:rFonts w:ascii="宋体" w:hAnsi="宋体" w:cs="宋体" w:eastAsia="宋体" w:hint="default"/>
                <w:spacing w:val="-78"/>
                <w:sz w:val="18"/>
                <w:szCs w:val="18"/>
              </w:rPr>
              <w:t>、</w:t>
            </w:r>
            <w:r>
              <w:rPr>
                <w:rFonts w:ascii="宋体" w:hAnsi="宋体" w:cs="宋体" w:eastAsia="宋体" w:hint="default"/>
                <w:sz w:val="18"/>
                <w:szCs w:val="18"/>
              </w:rPr>
              <w:t>嘉逸投</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pacing w:val="-10"/>
                <w:sz w:val="18"/>
                <w:szCs w:val="18"/>
              </w:rPr>
              <w:t>资、德正嘉成、澜</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67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pacing w:val="-3"/>
                <w:sz w:val="18"/>
                <w:szCs w:val="18"/>
              </w:rPr>
              <w:t>内幕信息进行内幕交易的情形，不存在因涉嫌本次交易相关</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pacing w:val="-3"/>
                <w:sz w:val="18"/>
                <w:szCs w:val="18"/>
              </w:rPr>
              <w:t>的内幕交易被立案调查或者立案侦查的情形，不存在因涉嫌</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28"/>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p>
        </w:tc>
        <w:tc>
          <w:tcPr>
            <w:tcW w:w="162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会第七次会议审议</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pacing w:val="-6"/>
                <w:sz w:val="18"/>
                <w:szCs w:val="18"/>
              </w:rPr>
              <w:t>通过了《关于终止重</w:t>
            </w:r>
          </w:p>
        </w:tc>
      </w:tr>
      <w:tr>
        <w:trPr>
          <w:trHeight w:val="233" w:hRule="exact"/>
        </w:trPr>
        <w:tc>
          <w:tcPr>
            <w:tcW w:w="1730"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亭投资、吾湾投</w:t>
            </w:r>
          </w:p>
        </w:tc>
        <w:tc>
          <w:tcPr>
            <w:tcW w:w="1276" w:type="dxa"/>
            <w:tcBorders>
              <w:top w:val="nil" w:sz="6" w:space="0" w:color="auto"/>
              <w:left w:val="single" w:sz="4" w:space="0" w:color="000000"/>
              <w:bottom w:val="nil" w:sz="6" w:space="0" w:color="auto"/>
              <w:right w:val="single" w:sz="4" w:space="0" w:color="000000"/>
            </w:tcBorders>
          </w:tcPr>
          <w:p>
            <w:pPr/>
          </w:p>
        </w:tc>
        <w:tc>
          <w:tcPr>
            <w:tcW w:w="4674"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本次交易事宜的内幕交易而被中国证监会作出行政处罚或</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6"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大资产重组的议</w:t>
            </w:r>
          </w:p>
        </w:tc>
      </w:tr>
      <w:tr>
        <w:trPr>
          <w:trHeight w:val="233" w:hRule="exact"/>
        </w:trPr>
        <w:tc>
          <w:tcPr>
            <w:tcW w:w="1730"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pacing w:val="-10"/>
                <w:sz w:val="18"/>
                <w:szCs w:val="18"/>
              </w:rPr>
              <w:t>资、金俊投资、乾</w:t>
            </w:r>
          </w:p>
        </w:tc>
        <w:tc>
          <w:tcPr>
            <w:tcW w:w="1276" w:type="dxa"/>
            <w:tcBorders>
              <w:top w:val="nil" w:sz="6" w:space="0" w:color="auto"/>
              <w:left w:val="single" w:sz="4" w:space="0" w:color="000000"/>
              <w:bottom w:val="nil" w:sz="6" w:space="0" w:color="auto"/>
              <w:right w:val="single" w:sz="4" w:space="0" w:color="000000"/>
            </w:tcBorders>
          </w:tcPr>
          <w:p>
            <w:pPr/>
          </w:p>
        </w:tc>
        <w:tc>
          <w:tcPr>
            <w:tcW w:w="467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者被司法机关依法追究刑事责任的情形。</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280" w:hRule="exact"/>
        </w:trPr>
        <w:tc>
          <w:tcPr>
            <w:tcW w:w="1730"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亨投资共十三方</w:t>
            </w:r>
          </w:p>
        </w:tc>
        <w:tc>
          <w:tcPr>
            <w:tcW w:w="1276" w:type="dxa"/>
            <w:tcBorders>
              <w:top w:val="nil" w:sz="6" w:space="0" w:color="auto"/>
              <w:left w:val="single" w:sz="4" w:space="0" w:color="000000"/>
              <w:bottom w:val="single" w:sz="4" w:space="0" w:color="000000"/>
              <w:right w:val="single" w:sz="4" w:space="0" w:color="000000"/>
            </w:tcBorders>
          </w:tcPr>
          <w:p>
            <w:pPr/>
          </w:p>
        </w:tc>
        <w:tc>
          <w:tcPr>
            <w:tcW w:w="4674" w:type="dxa"/>
            <w:tcBorders>
              <w:top w:val="nil" w:sz="6" w:space="0" w:color="auto"/>
              <w:left w:val="single" w:sz="4" w:space="0" w:color="000000"/>
              <w:bottom w:val="single" w:sz="4" w:space="0" w:color="000000"/>
              <w:right w:val="single" w:sz="4" w:space="0" w:color="000000"/>
            </w:tcBorders>
          </w:tcPr>
          <w:p>
            <w:pPr/>
          </w:p>
        </w:tc>
        <w:tc>
          <w:tcPr>
            <w:tcW w:w="1649" w:type="dxa"/>
            <w:tcBorders>
              <w:top w:val="nil" w:sz="6" w:space="0" w:color="auto"/>
              <w:left w:val="single" w:sz="4" w:space="0" w:color="000000"/>
              <w:bottom w:val="single" w:sz="4" w:space="0" w:color="000000"/>
              <w:right w:val="single" w:sz="4" w:space="0" w:color="000000"/>
            </w:tcBorders>
          </w:tcPr>
          <w:p>
            <w:pPr/>
          </w:p>
        </w:tc>
        <w:tc>
          <w:tcPr>
            <w:tcW w:w="1642" w:type="dxa"/>
            <w:tcBorders>
              <w:top w:val="nil" w:sz="6" w:space="0" w:color="auto"/>
              <w:left w:val="single" w:sz="4" w:space="0" w:color="000000"/>
              <w:bottom w:val="single" w:sz="4" w:space="0" w:color="000000"/>
              <w:right w:val="single" w:sz="4" w:space="0" w:color="000000"/>
            </w:tcBorders>
          </w:tcPr>
          <w:p>
            <w:pPr/>
          </w:p>
        </w:tc>
        <w:tc>
          <w:tcPr>
            <w:tcW w:w="1626" w:type="dxa"/>
            <w:tcBorders>
              <w:top w:val="nil" w:sz="6" w:space="0" w:color="auto"/>
              <w:left w:val="single" w:sz="4" w:space="0" w:color="000000"/>
              <w:bottom w:val="single" w:sz="4" w:space="0" w:color="000000"/>
              <w:right w:val="single" w:sz="4" w:space="0" w:color="000000"/>
            </w:tcBorders>
          </w:tcPr>
          <w:p>
            <w:pPr/>
          </w:p>
        </w:tc>
      </w:tr>
      <w:tr>
        <w:trPr>
          <w:trHeight w:val="1490" w:hRule="exact"/>
        </w:trPr>
        <w:tc>
          <w:tcPr>
            <w:tcW w:w="1730" w:type="dxa"/>
            <w:vMerge/>
            <w:tcBorders>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9" w:space="0" w:color="FFFFFF"/>
            </w:tcBorders>
          </w:tcPr>
          <w:p>
            <w:pPr>
              <w:pStyle w:val="TableParagraph"/>
              <w:spacing w:line="237" w:lineRule="auto" w:before="128"/>
              <w:ind w:left="23" w:right="14"/>
              <w:jc w:val="left"/>
              <w:rPr>
                <w:rFonts w:ascii="宋体" w:hAnsi="宋体" w:cs="宋体" w:eastAsia="宋体" w:hint="default"/>
                <w:sz w:val="18"/>
                <w:szCs w:val="18"/>
              </w:rPr>
            </w:pPr>
            <w:r>
              <w:rPr>
                <w:rFonts w:ascii="宋体" w:hAnsi="宋体" w:cs="宋体" w:eastAsia="宋体" w:hint="default"/>
                <w:spacing w:val="-10"/>
                <w:sz w:val="18"/>
                <w:szCs w:val="18"/>
              </w:rPr>
              <w:t>李朱、吕俊、至善</w:t>
            </w:r>
            <w:r>
              <w:rPr>
                <w:rFonts w:ascii="宋体" w:hAnsi="宋体" w:cs="宋体" w:eastAsia="宋体" w:hint="default"/>
                <w:sz w:val="18"/>
                <w:szCs w:val="18"/>
              </w:rPr>
              <w:t> 投资、嘉逸投资 </w:t>
            </w:r>
            <w:r>
              <w:rPr>
                <w:rFonts w:ascii="宋体" w:hAnsi="宋体" w:cs="宋体" w:eastAsia="宋体" w:hint="default"/>
                <w:spacing w:val="-10"/>
                <w:sz w:val="18"/>
                <w:szCs w:val="18"/>
              </w:rPr>
              <w:t>德正嘉成、澜亭投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资、吾湾投资、金</w:t>
            </w:r>
            <w:r>
              <w:rPr>
                <w:rFonts w:ascii="宋体" w:hAnsi="宋体" w:cs="宋体" w:eastAsia="宋体" w:hint="default"/>
                <w:sz w:val="18"/>
                <w:szCs w:val="18"/>
              </w:rPr>
              <w:t> 俊投资共八方</w:t>
            </w:r>
          </w:p>
        </w:tc>
        <w:tc>
          <w:tcPr>
            <w:tcW w:w="127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5" w:lineRule="exact" w:before="152"/>
              <w:ind w:left="-14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35" w:lineRule="exact"/>
              <w:ind w:left="16"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21"/>
              <w:jc w:val="left"/>
              <w:rPr>
                <w:rFonts w:ascii="宋体" w:hAnsi="宋体" w:cs="宋体" w:eastAsia="宋体" w:hint="default"/>
                <w:sz w:val="18"/>
                <w:szCs w:val="18"/>
              </w:rPr>
            </w:pPr>
            <w:r>
              <w:rPr>
                <w:rFonts w:ascii="宋体" w:hAnsi="宋体" w:cs="宋体" w:eastAsia="宋体" w:hint="default"/>
                <w:spacing w:val="-3"/>
                <w:sz w:val="18"/>
                <w:szCs w:val="18"/>
              </w:rPr>
              <w:t>本次交易中以资产认购而取得的上市公司股份，该部分资产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所对应取得的上市公司股份自股份上市之日起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个月不得</w:t>
            </w:r>
          </w:p>
          <w:p>
            <w:pPr>
              <w:pStyle w:val="TableParagraph"/>
              <w:spacing w:line="234" w:lineRule="exact" w:before="6"/>
              <w:ind w:left="22" w:right="50"/>
              <w:jc w:val="left"/>
              <w:rPr>
                <w:rFonts w:ascii="宋体" w:hAnsi="宋体" w:cs="宋体" w:eastAsia="宋体" w:hint="default"/>
                <w:sz w:val="18"/>
                <w:szCs w:val="18"/>
              </w:rPr>
            </w:pPr>
            <w:r>
              <w:rPr>
                <w:rFonts w:ascii="宋体" w:hAnsi="宋体" w:cs="宋体" w:eastAsia="宋体" w:hint="default"/>
                <w:sz w:val="18"/>
                <w:szCs w:val="18"/>
              </w:rPr>
              <w:t>交易或转让。前述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个月期限届满后，按照《业绩预测补 偿协议》规定的业绩承诺完成情况分期进行解锁。</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28"/>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13"/>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日公 司召开第九届董事 会第七次会议审议 </w:t>
            </w:r>
            <w:r>
              <w:rPr>
                <w:rFonts w:ascii="宋体" w:hAnsi="宋体" w:cs="宋体" w:eastAsia="宋体" w:hint="default"/>
                <w:spacing w:val="-6"/>
                <w:sz w:val="18"/>
                <w:szCs w:val="18"/>
              </w:rPr>
              <w:t>通过了《关于终止重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大资产重组的议 </w:t>
            </w:r>
            <w:r>
              <w:rPr>
                <w:rFonts w:ascii="宋体" w:hAnsi="宋体" w:cs="宋体" w:eastAsia="宋体" w:hint="default"/>
                <w:spacing w:val="-30"/>
                <w:sz w:val="18"/>
                <w:szCs w:val="18"/>
              </w:rPr>
              <w:t>案》。</w:t>
            </w:r>
          </w:p>
        </w:tc>
      </w:tr>
      <w:tr>
        <w:trPr>
          <w:trHeight w:val="282" w:hRule="exact"/>
        </w:trPr>
        <w:tc>
          <w:tcPr>
            <w:tcW w:w="1730" w:type="dxa"/>
            <w:vMerge/>
            <w:tcBorders>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4674" w:type="dxa"/>
            <w:tcBorders>
              <w:top w:val="single" w:sz="4" w:space="0" w:color="000000"/>
              <w:left w:val="single" w:sz="4" w:space="0" w:color="000000"/>
              <w:bottom w:val="nil" w:sz="6" w:space="0" w:color="auto"/>
              <w:right w:val="single" w:sz="4" w:space="0" w:color="000000"/>
            </w:tcBorders>
          </w:tcPr>
          <w:p>
            <w:pPr/>
          </w:p>
        </w:tc>
        <w:tc>
          <w:tcPr>
            <w:tcW w:w="1649" w:type="dxa"/>
            <w:tcBorders>
              <w:top w:val="single" w:sz="4" w:space="0" w:color="000000"/>
              <w:left w:val="single" w:sz="4" w:space="0" w:color="000000"/>
              <w:bottom w:val="nil" w:sz="6" w:space="0" w:color="auto"/>
              <w:right w:val="single" w:sz="4" w:space="0" w:color="000000"/>
            </w:tcBorders>
          </w:tcPr>
          <w:p>
            <w:pPr/>
          </w:p>
        </w:tc>
        <w:tc>
          <w:tcPr>
            <w:tcW w:w="1642" w:type="dxa"/>
            <w:tcBorders>
              <w:top w:val="single" w:sz="4" w:space="0" w:color="000000"/>
              <w:left w:val="single" w:sz="4" w:space="0" w:color="000000"/>
              <w:bottom w:val="nil" w:sz="6" w:space="0" w:color="auto"/>
              <w:right w:val="single" w:sz="4" w:space="0" w:color="000000"/>
            </w:tcBorders>
          </w:tcPr>
          <w:p>
            <w:pPr/>
          </w:p>
        </w:tc>
        <w:tc>
          <w:tcPr>
            <w:tcW w:w="16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日公</w:t>
            </w:r>
          </w:p>
        </w:tc>
      </w:tr>
      <w:tr>
        <w:trPr>
          <w:trHeight w:val="229" w:hRule="exact"/>
        </w:trPr>
        <w:tc>
          <w:tcPr>
            <w:tcW w:w="1730"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4674"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22" w:right="0"/>
              <w:jc w:val="left"/>
              <w:rPr>
                <w:rFonts w:ascii="宋体" w:hAnsi="宋体" w:cs="宋体" w:eastAsia="宋体" w:hint="default"/>
                <w:sz w:val="18"/>
                <w:szCs w:val="18"/>
              </w:rPr>
            </w:pPr>
            <w:r>
              <w:rPr>
                <w:rFonts w:ascii="宋体" w:hAnsi="宋体" w:cs="宋体" w:eastAsia="宋体" w:hint="default"/>
                <w:sz w:val="18"/>
                <w:szCs w:val="18"/>
              </w:rPr>
              <w:t>同仁投资在本次交易中以该部分资产认购而取得的上市公</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6"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22" w:right="0"/>
              <w:jc w:val="left"/>
              <w:rPr>
                <w:rFonts w:ascii="宋体" w:hAnsi="宋体" w:cs="宋体" w:eastAsia="宋体" w:hint="default"/>
                <w:sz w:val="18"/>
                <w:szCs w:val="18"/>
              </w:rPr>
            </w:pPr>
            <w:r>
              <w:rPr>
                <w:rFonts w:ascii="宋体" w:hAnsi="宋体" w:cs="宋体" w:eastAsia="宋体" w:hint="default"/>
                <w:sz w:val="18"/>
                <w:szCs w:val="18"/>
              </w:rPr>
              <w:t>司召开第九届董事</w:t>
            </w:r>
          </w:p>
        </w:tc>
      </w:tr>
      <w:tr>
        <w:trPr>
          <w:trHeight w:val="472" w:hRule="exact"/>
        </w:trPr>
        <w:tc>
          <w:tcPr>
            <w:tcW w:w="1730"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left="23" w:right="0"/>
              <w:jc w:val="left"/>
              <w:rPr>
                <w:rFonts w:ascii="宋体" w:hAnsi="宋体" w:cs="宋体" w:eastAsia="宋体" w:hint="default"/>
                <w:sz w:val="18"/>
                <w:szCs w:val="18"/>
              </w:rPr>
            </w:pPr>
            <w:r>
              <w:rPr>
                <w:rFonts w:ascii="宋体" w:hAnsi="宋体" w:cs="宋体" w:eastAsia="宋体" w:hint="default"/>
                <w:sz w:val="18"/>
                <w:szCs w:val="18"/>
              </w:rPr>
              <w:t>同仁投资</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61"/>
              <w:jc w:val="right"/>
              <w:rPr>
                <w:rFonts w:ascii="宋体" w:hAnsi="宋体" w:cs="宋体" w:eastAsia="宋体" w:hint="default"/>
                <w:sz w:val="18"/>
                <w:szCs w:val="18"/>
              </w:rPr>
            </w:pPr>
            <w:r>
              <w:rPr>
                <w:rFonts w:ascii="宋体" w:hAnsi="宋体" w:cs="宋体" w:eastAsia="宋体" w:hint="default"/>
                <w:sz w:val="18"/>
                <w:szCs w:val="18"/>
              </w:rPr>
              <w:t>股份限售承诺</w:t>
            </w:r>
          </w:p>
        </w:tc>
        <w:tc>
          <w:tcPr>
            <w:tcW w:w="4674"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22" w:right="0"/>
              <w:jc w:val="left"/>
              <w:rPr>
                <w:rFonts w:ascii="宋体" w:hAnsi="宋体" w:cs="宋体" w:eastAsia="宋体" w:hint="default"/>
                <w:sz w:val="18"/>
                <w:szCs w:val="18"/>
              </w:rPr>
            </w:pPr>
            <w:r>
              <w:rPr>
                <w:rFonts w:ascii="宋体" w:hAnsi="宋体" w:cs="宋体" w:eastAsia="宋体" w:hint="default"/>
                <w:sz w:val="18"/>
                <w:szCs w:val="18"/>
              </w:rPr>
              <w:t>司股份，自股份上市之日起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个月不得交易或转让。前述</w:t>
            </w:r>
          </w:p>
          <w:p>
            <w:pPr>
              <w:pStyle w:val="TableParagraph"/>
              <w:spacing w:line="24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个月期限届满后，按照《业绩预测补偿协议》规定的业</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28"/>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p>
        </w:tc>
        <w:tc>
          <w:tcPr>
            <w:tcW w:w="162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会第七次会议审议</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pacing w:val="-6"/>
                <w:sz w:val="18"/>
                <w:szCs w:val="18"/>
              </w:rPr>
              <w:t>通过了《关于终止重</w:t>
            </w:r>
          </w:p>
        </w:tc>
      </w:tr>
      <w:tr>
        <w:trPr>
          <w:trHeight w:val="228" w:hRule="exact"/>
        </w:trPr>
        <w:tc>
          <w:tcPr>
            <w:tcW w:w="1730"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4674"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22" w:right="0"/>
              <w:jc w:val="left"/>
              <w:rPr>
                <w:rFonts w:ascii="宋体" w:hAnsi="宋体" w:cs="宋体" w:eastAsia="宋体" w:hint="default"/>
                <w:sz w:val="18"/>
                <w:szCs w:val="18"/>
              </w:rPr>
            </w:pPr>
            <w:r>
              <w:rPr>
                <w:rFonts w:ascii="宋体" w:hAnsi="宋体" w:cs="宋体" w:eastAsia="宋体" w:hint="default"/>
                <w:sz w:val="18"/>
                <w:szCs w:val="18"/>
              </w:rPr>
              <w:t>绩承诺完成情况分期进行解锁</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6"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22" w:right="0"/>
              <w:jc w:val="left"/>
              <w:rPr>
                <w:rFonts w:ascii="宋体" w:hAnsi="宋体" w:cs="宋体" w:eastAsia="宋体" w:hint="default"/>
                <w:sz w:val="18"/>
                <w:szCs w:val="18"/>
              </w:rPr>
            </w:pPr>
            <w:r>
              <w:rPr>
                <w:rFonts w:ascii="宋体" w:hAnsi="宋体" w:cs="宋体" w:eastAsia="宋体" w:hint="default"/>
                <w:sz w:val="18"/>
                <w:szCs w:val="18"/>
              </w:rPr>
              <w:t>大资产重组的议</w:t>
            </w:r>
          </w:p>
        </w:tc>
      </w:tr>
      <w:tr>
        <w:trPr>
          <w:trHeight w:val="279" w:hRule="exact"/>
        </w:trPr>
        <w:tc>
          <w:tcPr>
            <w:tcW w:w="1730"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4674" w:type="dxa"/>
            <w:tcBorders>
              <w:top w:val="nil" w:sz="6" w:space="0" w:color="auto"/>
              <w:left w:val="single" w:sz="4" w:space="0" w:color="000000"/>
              <w:bottom w:val="single" w:sz="4" w:space="0" w:color="000000"/>
              <w:right w:val="single" w:sz="4" w:space="0" w:color="000000"/>
            </w:tcBorders>
          </w:tcPr>
          <w:p>
            <w:pPr/>
          </w:p>
        </w:tc>
        <w:tc>
          <w:tcPr>
            <w:tcW w:w="1649" w:type="dxa"/>
            <w:tcBorders>
              <w:top w:val="nil" w:sz="6" w:space="0" w:color="auto"/>
              <w:left w:val="single" w:sz="4" w:space="0" w:color="000000"/>
              <w:bottom w:val="single" w:sz="4" w:space="0" w:color="000000"/>
              <w:right w:val="single" w:sz="4" w:space="0" w:color="000000"/>
            </w:tcBorders>
          </w:tcPr>
          <w:p>
            <w:pPr/>
          </w:p>
        </w:tc>
        <w:tc>
          <w:tcPr>
            <w:tcW w:w="1642" w:type="dxa"/>
            <w:tcBorders>
              <w:top w:val="nil" w:sz="6" w:space="0" w:color="auto"/>
              <w:left w:val="single" w:sz="4" w:space="0" w:color="000000"/>
              <w:bottom w:val="single" w:sz="4" w:space="0" w:color="000000"/>
              <w:right w:val="single" w:sz="4" w:space="0" w:color="000000"/>
            </w:tcBorders>
          </w:tcPr>
          <w:p>
            <w:pPr/>
          </w:p>
        </w:tc>
        <w:tc>
          <w:tcPr>
            <w:tcW w:w="1626"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292" w:hRule="exact"/>
        </w:trPr>
        <w:tc>
          <w:tcPr>
            <w:tcW w:w="1730" w:type="dxa"/>
            <w:vMerge/>
            <w:tcBorders>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46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启仁投资在本次交易中以资产认购而取得的上市公司股份</w:t>
            </w:r>
          </w:p>
        </w:tc>
        <w:tc>
          <w:tcPr>
            <w:tcW w:w="164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52" w:right="0"/>
              <w:jc w:val="left"/>
              <w:rPr>
                <w:rFonts w:ascii="宋体" w:hAnsi="宋体" w:cs="宋体" w:eastAsia="宋体" w:hint="default"/>
                <w:sz w:val="18"/>
                <w:szCs w:val="18"/>
              </w:rPr>
            </w:pPr>
            <w:r>
              <w:rPr>
                <w:rFonts w:ascii="宋体" w:hAnsi="宋体" w:cs="宋体" w:eastAsia="宋体" w:hint="default"/>
                <w:sz w:val="18"/>
                <w:szCs w:val="18"/>
              </w:rPr>
              <w:t>，</w:t>
            </w:r>
          </w:p>
        </w:tc>
        <w:tc>
          <w:tcPr>
            <w:tcW w:w="1642" w:type="dxa"/>
            <w:tcBorders>
              <w:top w:val="single" w:sz="4" w:space="0" w:color="000000"/>
              <w:left w:val="single" w:sz="4" w:space="0" w:color="000000"/>
              <w:bottom w:val="nil" w:sz="6" w:space="0" w:color="auto"/>
              <w:right w:val="single" w:sz="4" w:space="0" w:color="000000"/>
            </w:tcBorders>
          </w:tcPr>
          <w:p>
            <w:pPr/>
          </w:p>
        </w:tc>
        <w:tc>
          <w:tcPr>
            <w:tcW w:w="16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日公</w:t>
            </w:r>
          </w:p>
        </w:tc>
      </w:tr>
      <w:tr>
        <w:trPr>
          <w:trHeight w:val="229" w:hRule="exact"/>
        </w:trPr>
        <w:tc>
          <w:tcPr>
            <w:tcW w:w="1730"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4674"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自股份上市之日起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个月不得交易或转让。前述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6"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22" w:right="0"/>
              <w:jc w:val="left"/>
              <w:rPr>
                <w:rFonts w:ascii="宋体" w:hAnsi="宋体" w:cs="宋体" w:eastAsia="宋体" w:hint="default"/>
                <w:sz w:val="18"/>
                <w:szCs w:val="18"/>
              </w:rPr>
            </w:pPr>
            <w:r>
              <w:rPr>
                <w:rFonts w:ascii="宋体" w:hAnsi="宋体" w:cs="宋体" w:eastAsia="宋体" w:hint="default"/>
                <w:sz w:val="18"/>
                <w:szCs w:val="18"/>
              </w:rPr>
              <w:t>司召开第九届董事</w:t>
            </w:r>
          </w:p>
        </w:tc>
      </w:tr>
      <w:tr>
        <w:trPr>
          <w:trHeight w:val="233" w:hRule="exact"/>
        </w:trPr>
        <w:tc>
          <w:tcPr>
            <w:tcW w:w="1730"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198" w:lineRule="exact"/>
              <w:ind w:left="23" w:right="0"/>
              <w:jc w:val="left"/>
              <w:rPr>
                <w:rFonts w:ascii="宋体" w:hAnsi="宋体" w:cs="宋体" w:eastAsia="宋体" w:hint="default"/>
                <w:sz w:val="18"/>
                <w:szCs w:val="18"/>
              </w:rPr>
            </w:pPr>
            <w:r>
              <w:rPr>
                <w:rFonts w:ascii="宋体" w:hAnsi="宋体" w:cs="宋体" w:eastAsia="宋体" w:hint="default"/>
                <w:sz w:val="18"/>
                <w:szCs w:val="18"/>
              </w:rPr>
              <w:t>启仁投资</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198" w:lineRule="exact"/>
              <w:ind w:right="161"/>
              <w:jc w:val="right"/>
              <w:rPr>
                <w:rFonts w:ascii="宋体" w:hAnsi="宋体" w:cs="宋体" w:eastAsia="宋体" w:hint="default"/>
                <w:sz w:val="18"/>
                <w:szCs w:val="18"/>
              </w:rPr>
            </w:pPr>
            <w:r>
              <w:rPr>
                <w:rFonts w:ascii="宋体" w:hAnsi="宋体" w:cs="宋体" w:eastAsia="宋体" w:hint="default"/>
                <w:sz w:val="18"/>
                <w:szCs w:val="18"/>
              </w:rPr>
              <w:t>股份限售承诺</w:t>
            </w:r>
          </w:p>
        </w:tc>
        <w:tc>
          <w:tcPr>
            <w:tcW w:w="4674" w:type="dxa"/>
            <w:tcBorders>
              <w:top w:val="nil" w:sz="6" w:space="0" w:color="auto"/>
              <w:left w:val="single" w:sz="4" w:space="0" w:color="000000"/>
              <w:bottom w:val="nil" w:sz="6" w:space="0" w:color="auto"/>
              <w:right w:val="single" w:sz="4" w:space="0" w:color="000000"/>
            </w:tcBorders>
          </w:tcPr>
          <w:p>
            <w:pPr>
              <w:pStyle w:val="TableParagraph"/>
              <w:spacing w:line="197" w:lineRule="exact"/>
              <w:ind w:left="22" w:right="0"/>
              <w:jc w:val="left"/>
              <w:rPr>
                <w:rFonts w:ascii="宋体" w:hAnsi="宋体" w:cs="宋体" w:eastAsia="宋体" w:hint="default"/>
                <w:sz w:val="18"/>
                <w:szCs w:val="18"/>
              </w:rPr>
            </w:pPr>
            <w:r>
              <w:rPr>
                <w:rFonts w:ascii="宋体" w:hAnsi="宋体" w:cs="宋体" w:eastAsia="宋体" w:hint="default"/>
                <w:spacing w:val="-3"/>
                <w:sz w:val="18"/>
                <w:szCs w:val="18"/>
              </w:rPr>
              <w:t>限届满后，以启仁投资履行了《业绩预测补偿协议》约定的</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12" w:lineRule="exact"/>
              <w:ind w:right="128"/>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p>
        </w:tc>
        <w:tc>
          <w:tcPr>
            <w:tcW w:w="1626" w:type="dxa"/>
            <w:tcBorders>
              <w:top w:val="nil" w:sz="6" w:space="0" w:color="auto"/>
              <w:left w:val="single" w:sz="4" w:space="0" w:color="000000"/>
              <w:bottom w:val="nil" w:sz="6" w:space="0" w:color="auto"/>
              <w:right w:val="single" w:sz="4" w:space="0" w:color="000000"/>
            </w:tcBorders>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会第七次会议审议</w:t>
            </w:r>
          </w:p>
        </w:tc>
      </w:tr>
      <w:tr>
        <w:trPr>
          <w:trHeight w:val="233" w:hRule="exact"/>
        </w:trPr>
        <w:tc>
          <w:tcPr>
            <w:tcW w:w="1730"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4674" w:type="dxa"/>
            <w:tcBorders>
              <w:top w:val="nil" w:sz="6" w:space="0" w:color="auto"/>
              <w:left w:val="single" w:sz="4" w:space="0" w:color="000000"/>
              <w:bottom w:val="nil" w:sz="6" w:space="0" w:color="auto"/>
              <w:right w:val="single" w:sz="4" w:space="0" w:color="000000"/>
            </w:tcBorders>
          </w:tcPr>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业绩补偿义务为前提，可转让或交易其取得的上市公司股</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6" w:type="dxa"/>
            <w:tcBorders>
              <w:top w:val="nil" w:sz="6" w:space="0" w:color="auto"/>
              <w:left w:val="single" w:sz="4" w:space="0" w:color="000000"/>
              <w:bottom w:val="nil" w:sz="6" w:space="0" w:color="auto"/>
              <w:right w:val="single" w:sz="4" w:space="0" w:color="000000"/>
            </w:tcBorders>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pacing w:val="-6"/>
                <w:sz w:val="18"/>
                <w:szCs w:val="18"/>
              </w:rPr>
              <w:t>通过了《关于终止重</w:t>
            </w:r>
          </w:p>
        </w:tc>
      </w:tr>
      <w:tr>
        <w:trPr>
          <w:trHeight w:val="270" w:hRule="exact"/>
        </w:trPr>
        <w:tc>
          <w:tcPr>
            <w:tcW w:w="1730"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4674"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left="22" w:right="0"/>
              <w:jc w:val="left"/>
              <w:rPr>
                <w:rFonts w:ascii="宋体" w:hAnsi="宋体" w:cs="宋体" w:eastAsia="宋体" w:hint="default"/>
                <w:sz w:val="18"/>
                <w:szCs w:val="18"/>
              </w:rPr>
            </w:pPr>
            <w:r>
              <w:rPr>
                <w:rFonts w:ascii="宋体" w:hAnsi="宋体" w:cs="宋体" w:eastAsia="宋体" w:hint="default"/>
                <w:sz w:val="18"/>
                <w:szCs w:val="18"/>
              </w:rPr>
              <w:t>份。</w:t>
            </w:r>
          </w:p>
        </w:tc>
        <w:tc>
          <w:tcPr>
            <w:tcW w:w="1649" w:type="dxa"/>
            <w:tcBorders>
              <w:top w:val="nil" w:sz="6" w:space="0" w:color="auto"/>
              <w:left w:val="single" w:sz="4" w:space="0" w:color="000000"/>
              <w:bottom w:val="single" w:sz="4" w:space="0" w:color="000000"/>
              <w:right w:val="single" w:sz="4" w:space="0" w:color="000000"/>
            </w:tcBorders>
          </w:tcPr>
          <w:p>
            <w:pPr/>
          </w:p>
        </w:tc>
        <w:tc>
          <w:tcPr>
            <w:tcW w:w="1642" w:type="dxa"/>
            <w:tcBorders>
              <w:top w:val="nil" w:sz="6" w:space="0" w:color="auto"/>
              <w:left w:val="single" w:sz="4" w:space="0" w:color="000000"/>
              <w:bottom w:val="single" w:sz="4" w:space="0" w:color="000000"/>
              <w:right w:val="single" w:sz="4" w:space="0" w:color="000000"/>
            </w:tcBorders>
          </w:tcPr>
          <w:p>
            <w:pPr/>
          </w:p>
        </w:tc>
        <w:tc>
          <w:tcPr>
            <w:tcW w:w="1626" w:type="dxa"/>
            <w:tcBorders>
              <w:top w:val="nil" w:sz="6" w:space="0" w:color="auto"/>
              <w:left w:val="single" w:sz="4" w:space="0" w:color="000000"/>
              <w:bottom w:val="single" w:sz="4" w:space="0" w:color="000000"/>
              <w:right w:val="single" w:sz="4" w:space="0" w:color="000000"/>
            </w:tcBorders>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大资产重组的议</w:t>
            </w:r>
          </w:p>
        </w:tc>
      </w:tr>
    </w:tbl>
    <w:p>
      <w:pPr>
        <w:spacing w:after="0" w:line="217" w:lineRule="exact"/>
        <w:jc w:val="left"/>
        <w:rPr>
          <w:rFonts w:ascii="宋体" w:hAnsi="宋体" w:cs="宋体" w:eastAsia="宋体" w:hint="default"/>
          <w:sz w:val="18"/>
          <w:szCs w:val="18"/>
        </w:rPr>
        <w:sectPr>
          <w:pgSz w:w="16840" w:h="11910" w:orient="landscape"/>
          <w:pgMar w:header="867" w:footer="979" w:top="1060" w:bottom="1160" w:left="1300" w:right="1300"/>
        </w:sectPr>
      </w:pPr>
    </w:p>
    <w:p>
      <w:pPr>
        <w:spacing w:line="240" w:lineRule="auto" w:before="4"/>
        <w:rPr>
          <w:rFonts w:ascii="Times New Roman" w:hAnsi="Times New Roman" w:cs="Times New Roman" w:eastAsia="Times New Roman" w:hint="default"/>
          <w:sz w:val="3"/>
          <w:szCs w:val="3"/>
        </w:rPr>
      </w:pPr>
      <w:r>
        <w:rPr/>
        <w:pict>
          <v:shape style="position:absolute;margin-left:519.640015pt;margin-top:87.560005pt;width:88.05pt;height:58.4pt;mso-position-horizontal-relative:page;mso-position-vertical-relative:page;z-index:-14657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3"/>
                      <w:szCs w:val="23"/>
                    </w:rPr>
                  </w:pPr>
                </w:p>
                <w:p>
                  <w:pPr>
                    <w:pStyle w:val="BodyText"/>
                    <w:spacing w:line="240" w:lineRule="auto"/>
                    <w:ind w:left="0" w:right="0"/>
                    <w:jc w:val="left"/>
                  </w:pPr>
                  <w:r>
                    <w:rPr/>
                    <w:t>、</w:t>
                  </w:r>
                </w:p>
              </w:txbxContent>
            </v:textbox>
            <w10:wrap type="none"/>
          </v:shape>
        </w:pict>
      </w:r>
      <w:r>
        <w:rPr/>
        <w:pict>
          <v:group style="position:absolute;margin-left:525.820007pt;margin-top:363.220001pt;width:81.850pt;height:29.2pt;mso-position-horizontal-relative:page;mso-position-vertical-relative:page;z-index:-1465720" coordorigin="10516,7264" coordsize="1637,584">
            <v:shape style="position:absolute;left:10516;top:7264;width:1637;height:584" coordorigin="10516,7264" coordsize="1637,584" path="m10516,7848l12153,7848,12153,7264,10516,7264,10516,7848xe" filled="true" fillcolor="#ffffff" stroked="false">
              <v:path arrowok="t"/>
              <v:fill type="solid"/>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1730"/>
        <w:gridCol w:w="1418"/>
        <w:gridCol w:w="1276"/>
        <w:gridCol w:w="4674"/>
        <w:gridCol w:w="1649"/>
        <w:gridCol w:w="1642"/>
        <w:gridCol w:w="1626"/>
      </w:tblGrid>
      <w:tr>
        <w:trPr>
          <w:trHeight w:val="338" w:hRule="exact"/>
        </w:trPr>
        <w:tc>
          <w:tcPr>
            <w:tcW w:w="173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99"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41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4"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72"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467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649"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164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5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62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4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284" w:hRule="exact"/>
        </w:trPr>
        <w:tc>
          <w:tcPr>
            <w:tcW w:w="1730" w:type="dxa"/>
            <w:vMerge w:val="restart"/>
            <w:tcBorders>
              <w:top w:val="single" w:sz="4" w:space="0" w:color="000000"/>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674"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2658" w:hRule="exact"/>
        </w:trPr>
        <w:tc>
          <w:tcPr>
            <w:tcW w:w="1730" w:type="dxa"/>
            <w:vMerge/>
            <w:tcBorders>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left="23" w:right="0"/>
              <w:jc w:val="left"/>
              <w:rPr>
                <w:rFonts w:ascii="宋体" w:hAnsi="宋体" w:cs="宋体" w:eastAsia="宋体" w:hint="default"/>
                <w:sz w:val="18"/>
                <w:szCs w:val="18"/>
              </w:rPr>
            </w:pPr>
            <w:r>
              <w:rPr>
                <w:rFonts w:ascii="宋体" w:hAnsi="宋体" w:cs="宋体" w:eastAsia="宋体" w:hint="default"/>
                <w:sz w:val="18"/>
                <w:szCs w:val="18"/>
              </w:rPr>
              <w:t>启行教育</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5"/>
              <w:ind w:left="22" w:right="-39"/>
              <w:jc w:val="left"/>
              <w:rPr>
                <w:rFonts w:ascii="宋体" w:hAnsi="宋体" w:cs="宋体" w:eastAsia="宋体" w:hint="default"/>
                <w:sz w:val="18"/>
                <w:szCs w:val="18"/>
              </w:rPr>
            </w:pPr>
            <w:r>
              <w:rPr>
                <w:rFonts w:ascii="宋体" w:hAnsi="宋体" w:cs="宋体" w:eastAsia="宋体" w:hint="default"/>
                <w:spacing w:val="-3"/>
                <w:sz w:val="18"/>
                <w:szCs w:val="18"/>
              </w:rPr>
              <w:t>关于申请文件不存在虚假记载、误导性陈述或重大遗漏的承</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诺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、本公司为本次交易所提供的有关信息均为真实、准确</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和完整的，不存在虚假记载、误导性陈述或者重大遗漏；</w:t>
            </w:r>
            <w:r>
              <w:rPr>
                <w:rFonts w:ascii="Times New Roman" w:hAnsi="Times New Roman" w:cs="Times New Roman" w:eastAsia="Times New Roman" w:hint="default"/>
                <w:spacing w:val="-3"/>
                <w:sz w:val="18"/>
                <w:szCs w:val="18"/>
              </w:rPr>
              <w:t>2</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本公司向与本次交易的各中介机构所提供的资料均为真实、 </w:t>
            </w:r>
            <w:r>
              <w:rPr>
                <w:rFonts w:ascii="宋体" w:hAnsi="宋体" w:cs="宋体" w:eastAsia="宋体" w:hint="default"/>
                <w:spacing w:val="-3"/>
                <w:sz w:val="18"/>
                <w:szCs w:val="18"/>
              </w:rPr>
              <w:t>准确、完整的原始书面资料或副本资料，资料副本或复印件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与其原始资料或原件一致；所有文件的签名、印章均是真实</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的，不存在任何虚假记载、误导性陈述或者重大遗漏；</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宋体" w:hAnsi="宋体" w:cs="宋体" w:eastAsia="宋体" w:hint="default"/>
                <w:spacing w:val="-3"/>
                <w:sz w:val="18"/>
                <w:szCs w:val="18"/>
              </w:rPr>
              <w:t>本公司为本次交易所出具的说明、承诺及确认均为真实、准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确和完整的，不存在任何虚假记载、误导性陈述或者重大遗</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漏；</w:t>
            </w:r>
            <w:r>
              <w:rPr>
                <w:rFonts w:ascii="Times New Roman" w:hAnsi="Times New Roman" w:cs="Times New Roman" w:eastAsia="Times New Roman" w:hint="default"/>
                <w:sz w:val="18"/>
                <w:szCs w:val="18"/>
              </w:rPr>
              <w:t>4</w:t>
            </w:r>
            <w:r>
              <w:rPr>
                <w:rFonts w:ascii="宋体" w:hAnsi="宋体" w:cs="宋体" w:eastAsia="宋体" w:hint="default"/>
                <w:sz w:val="18"/>
                <w:szCs w:val="18"/>
              </w:rPr>
              <w:t>、本公司承诺，如违反上述承诺与保证，将依法承担 法律责任。</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1167" w:lineRule="exact"/>
              <w:ind w:left="1"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2"/>
                <w:sz w:val="20"/>
                <w:szCs w:val="20"/>
              </w:rPr>
              <w:pict>
                <v:group style="width:81.850pt;height:58.4pt;mso-position-horizontal-relative:char;mso-position-vertical-relative:line" coordorigin="0,0" coordsize="1637,1168">
                  <v:group style="position:absolute;left:0;top:0;width:1637;height:1168" coordorigin="0,0" coordsize="1637,1168">
                    <v:shape style="position:absolute;left:0;top:0;width:1637;height:1168" coordorigin="0,0" coordsize="1637,1168" path="m0,1168l1637,1168,1637,0,0,0,0,1168xe" filled="true" fillcolor="#ffffff" stroked="false">
                      <v:path arrowok="t"/>
                      <v:fill type="solid"/>
                    </v:shape>
                  </v:group>
                </v:group>
              </w:pict>
            </w:r>
            <w:r>
              <w:rPr>
                <w:rFonts w:ascii="Times New Roman" w:hAnsi="Times New Roman" w:cs="Times New Roman" w:eastAsia="Times New Roman" w:hint="default"/>
                <w:position w:val="-22"/>
                <w:sz w:val="20"/>
                <w:szCs w:val="20"/>
              </w:rPr>
            </w:r>
          </w:p>
          <w:p>
            <w:pPr>
              <w:pStyle w:val="TableParagraph"/>
              <w:spacing w:line="240" w:lineRule="auto" w:before="11"/>
              <w:ind w:right="10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35" w:lineRule="auto"/>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日公 司召开第九届董事 会第七次会议审议 </w:t>
            </w:r>
            <w:r>
              <w:rPr>
                <w:rFonts w:ascii="宋体" w:hAnsi="宋体" w:cs="宋体" w:eastAsia="宋体" w:hint="default"/>
                <w:spacing w:val="-6"/>
                <w:sz w:val="18"/>
                <w:szCs w:val="18"/>
              </w:rPr>
              <w:t>通过了《关于终止重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大资产重组的议 </w:t>
            </w:r>
            <w:r>
              <w:rPr>
                <w:rFonts w:ascii="宋体" w:hAnsi="宋体" w:cs="宋体" w:eastAsia="宋体" w:hint="default"/>
                <w:spacing w:val="-30"/>
                <w:sz w:val="18"/>
                <w:szCs w:val="18"/>
              </w:rPr>
              <w:t>案》。</w:t>
            </w:r>
          </w:p>
        </w:tc>
      </w:tr>
      <w:tr>
        <w:trPr>
          <w:trHeight w:val="1958" w:hRule="exact"/>
        </w:trPr>
        <w:tc>
          <w:tcPr>
            <w:tcW w:w="1730" w:type="dxa"/>
            <w:vMerge/>
            <w:tcBorders>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3" w:right="20"/>
              <w:jc w:val="left"/>
              <w:rPr>
                <w:rFonts w:ascii="宋体" w:hAnsi="宋体" w:cs="宋体" w:eastAsia="宋体" w:hint="default"/>
                <w:sz w:val="18"/>
                <w:szCs w:val="18"/>
              </w:rPr>
            </w:pPr>
            <w:r>
              <w:rPr>
                <w:rFonts w:ascii="宋体" w:hAnsi="宋体" w:cs="宋体" w:eastAsia="宋体" w:hint="default"/>
                <w:sz w:val="18"/>
                <w:szCs w:val="18"/>
              </w:rPr>
              <w:t>神州数码及其全 </w:t>
            </w:r>
            <w:r>
              <w:rPr>
                <w:rFonts w:ascii="宋体" w:hAnsi="宋体" w:cs="宋体" w:eastAsia="宋体" w:hint="default"/>
                <w:spacing w:val="-10"/>
                <w:sz w:val="18"/>
                <w:szCs w:val="18"/>
              </w:rPr>
              <w:t>体董事、监事、高</w:t>
            </w:r>
            <w:r>
              <w:rPr>
                <w:rFonts w:ascii="宋体" w:hAnsi="宋体" w:cs="宋体" w:eastAsia="宋体" w:hint="default"/>
                <w:sz w:val="18"/>
                <w:szCs w:val="18"/>
              </w:rPr>
              <w:t> 级管理人员</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20"/>
              <w:jc w:val="both"/>
              <w:rPr>
                <w:rFonts w:ascii="宋体" w:hAnsi="宋体" w:cs="宋体" w:eastAsia="宋体" w:hint="default"/>
                <w:sz w:val="18"/>
                <w:szCs w:val="18"/>
              </w:rPr>
            </w:pPr>
            <w:r>
              <w:rPr>
                <w:rFonts w:ascii="宋体" w:hAnsi="宋体" w:cs="宋体" w:eastAsia="宋体" w:hint="default"/>
                <w:sz w:val="18"/>
                <w:szCs w:val="18"/>
              </w:rPr>
              <w:t>关于申请文件真实性、准确性和完整性的承诺函 上市公司 </w:t>
            </w:r>
            <w:r>
              <w:rPr>
                <w:rFonts w:ascii="宋体" w:hAnsi="宋体" w:cs="宋体" w:eastAsia="宋体" w:hint="default"/>
                <w:spacing w:val="-3"/>
                <w:sz w:val="18"/>
                <w:szCs w:val="18"/>
              </w:rPr>
              <w:t>全体董事、监事、高级管理人员承诺，保证重大资产重组的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信息披露和申请文件不存在虚假记载、误导性陈述或者重大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遗漏。本公司全体董事、监事、高级管理人员承诺，如本次</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交易因涉嫌所提供或者披露的信息存在虚假记载、误导性陈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述或者重大遗漏，被司法机关立案侦查或者被中国证监会立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案调查的，在案件调查结论明确之前，将暂停转让其在上市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公司拥有权益的股份。</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35" w:lineRule="auto"/>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日公 司召开第九届董事 会第七次会议审议 </w:t>
            </w:r>
            <w:r>
              <w:rPr>
                <w:rFonts w:ascii="宋体" w:hAnsi="宋体" w:cs="宋体" w:eastAsia="宋体" w:hint="default"/>
                <w:spacing w:val="-6"/>
                <w:sz w:val="18"/>
                <w:szCs w:val="18"/>
              </w:rPr>
              <w:t>通过了《关于终止重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大资产重组的议 </w:t>
            </w:r>
            <w:r>
              <w:rPr>
                <w:rFonts w:ascii="宋体" w:hAnsi="宋体" w:cs="宋体" w:eastAsia="宋体" w:hint="default"/>
                <w:spacing w:val="-30"/>
                <w:sz w:val="18"/>
                <w:szCs w:val="18"/>
              </w:rPr>
              <w:t>案》。</w:t>
            </w:r>
          </w:p>
        </w:tc>
      </w:tr>
      <w:tr>
        <w:trPr>
          <w:trHeight w:val="1490" w:hRule="exact"/>
        </w:trPr>
        <w:tc>
          <w:tcPr>
            <w:tcW w:w="1730" w:type="dxa"/>
            <w:vMerge/>
            <w:tcBorders>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20"/>
              <w:jc w:val="left"/>
              <w:rPr>
                <w:rFonts w:ascii="宋体" w:hAnsi="宋体" w:cs="宋体" w:eastAsia="宋体" w:hint="default"/>
                <w:sz w:val="18"/>
                <w:szCs w:val="18"/>
              </w:rPr>
            </w:pPr>
            <w:r>
              <w:rPr>
                <w:rFonts w:ascii="宋体" w:hAnsi="宋体" w:cs="宋体" w:eastAsia="宋体" w:hint="default"/>
                <w:spacing w:val="-10"/>
                <w:sz w:val="18"/>
                <w:szCs w:val="18"/>
              </w:rPr>
              <w:t>郭为、中信建投基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674"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37" w:lineRule="auto"/>
              <w:ind w:left="22" w:right="-45"/>
              <w:jc w:val="left"/>
              <w:rPr>
                <w:rFonts w:ascii="宋体" w:hAnsi="宋体" w:cs="宋体" w:eastAsia="宋体" w:hint="default"/>
                <w:sz w:val="18"/>
                <w:szCs w:val="18"/>
              </w:rPr>
            </w:pPr>
            <w:r>
              <w:rPr>
                <w:rFonts w:ascii="宋体" w:hAnsi="宋体" w:cs="宋体" w:eastAsia="宋体" w:hint="default"/>
                <w:sz w:val="18"/>
                <w:szCs w:val="18"/>
              </w:rPr>
              <w:t>关于保证上市公司独立性的承诺函 本次交易完成后，保证 </w:t>
            </w:r>
            <w:r>
              <w:rPr>
                <w:rFonts w:ascii="宋体" w:hAnsi="宋体" w:cs="宋体" w:eastAsia="宋体" w:hint="default"/>
                <w:spacing w:val="-3"/>
                <w:sz w:val="18"/>
                <w:szCs w:val="18"/>
              </w:rPr>
              <w:t>上市公司在人员、资产、财务、机构及业务方面与本人控制</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的其他企业完全分开，保持上市公司在业务、资产、人员、 财务和机构方面的独立。</w:t>
            </w:r>
          </w:p>
        </w:tc>
        <w:tc>
          <w:tcPr>
            <w:tcW w:w="1649"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13"/>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日公 司召开第九届董事 会第七次会议审议 </w:t>
            </w:r>
            <w:r>
              <w:rPr>
                <w:rFonts w:ascii="宋体" w:hAnsi="宋体" w:cs="宋体" w:eastAsia="宋体" w:hint="default"/>
                <w:spacing w:val="-6"/>
                <w:sz w:val="18"/>
                <w:szCs w:val="18"/>
              </w:rPr>
              <w:t>通过了《关于终止重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大资产重组的议 </w:t>
            </w:r>
            <w:r>
              <w:rPr>
                <w:rFonts w:ascii="宋体" w:hAnsi="宋体" w:cs="宋体" w:eastAsia="宋体" w:hint="default"/>
                <w:spacing w:val="-30"/>
                <w:sz w:val="18"/>
                <w:szCs w:val="18"/>
              </w:rPr>
              <w:t>案》。</w:t>
            </w:r>
          </w:p>
        </w:tc>
      </w:tr>
      <w:tr>
        <w:trPr>
          <w:trHeight w:val="2619" w:hRule="exact"/>
        </w:trPr>
        <w:tc>
          <w:tcPr>
            <w:tcW w:w="1730"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20"/>
              <w:jc w:val="left"/>
              <w:rPr>
                <w:rFonts w:ascii="宋体" w:hAnsi="宋体" w:cs="宋体" w:eastAsia="宋体" w:hint="default"/>
                <w:sz w:val="18"/>
                <w:szCs w:val="18"/>
              </w:rPr>
            </w:pPr>
            <w:r>
              <w:rPr>
                <w:rFonts w:ascii="宋体" w:hAnsi="宋体" w:cs="宋体" w:eastAsia="宋体" w:hint="default"/>
                <w:spacing w:val="-10"/>
                <w:sz w:val="18"/>
                <w:szCs w:val="18"/>
              </w:rPr>
              <w:t>郭为、中信建投基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w:t>
            </w:r>
          </w:p>
        </w:tc>
        <w:tc>
          <w:tcPr>
            <w:tcW w:w="1276"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37" w:lineRule="auto"/>
              <w:ind w:left="22" w:right="-24"/>
              <w:jc w:val="both"/>
              <w:rPr>
                <w:rFonts w:ascii="宋体" w:hAnsi="宋体" w:cs="宋体" w:eastAsia="宋体" w:hint="default"/>
                <w:sz w:val="18"/>
                <w:szCs w:val="18"/>
              </w:rPr>
            </w:pPr>
            <w:r>
              <w:rPr>
                <w:rFonts w:ascii="宋体" w:hAnsi="宋体" w:cs="宋体" w:eastAsia="宋体" w:hint="default"/>
                <w:sz w:val="18"/>
                <w:szCs w:val="18"/>
              </w:rPr>
              <w:t>关于同业竞争、 </w:t>
            </w:r>
            <w:r>
              <w:rPr>
                <w:rFonts w:ascii="宋体" w:hAnsi="宋体" w:cs="宋体" w:eastAsia="宋体" w:hint="default"/>
                <w:spacing w:val="-6"/>
                <w:sz w:val="18"/>
                <w:szCs w:val="18"/>
              </w:rPr>
              <w:t>关联交易、资金</w:t>
            </w:r>
            <w:r>
              <w:rPr>
                <w:rFonts w:ascii="宋体" w:hAnsi="宋体" w:cs="宋体" w:eastAsia="宋体" w:hint="default"/>
                <w:sz w:val="18"/>
                <w:szCs w:val="18"/>
              </w:rPr>
              <w:t> 占用方面的承</w:t>
            </w:r>
          </w:p>
          <w:p>
            <w:pPr>
              <w:pStyle w:val="TableParagraph"/>
              <w:spacing w:line="233" w:lineRule="exact"/>
              <w:ind w:left="22" w:right="0"/>
              <w:jc w:val="both"/>
              <w:rPr>
                <w:rFonts w:ascii="宋体" w:hAnsi="宋体" w:cs="宋体" w:eastAsia="宋体" w:hint="default"/>
                <w:sz w:val="18"/>
                <w:szCs w:val="18"/>
              </w:rPr>
            </w:pPr>
            <w:r>
              <w:rPr>
                <w:rFonts w:ascii="宋体" w:hAnsi="宋体" w:cs="宋体" w:eastAsia="宋体" w:hint="default"/>
                <w:sz w:val="18"/>
                <w:szCs w:val="18"/>
              </w:rPr>
              <w:t>诺</w:t>
            </w:r>
          </w:p>
        </w:tc>
        <w:tc>
          <w:tcPr>
            <w:tcW w:w="4674" w:type="dxa"/>
            <w:tcBorders>
              <w:top w:val="single" w:sz="4" w:space="0" w:color="000000"/>
              <w:left w:val="single" w:sz="9" w:space="0" w:color="FFFFFF"/>
              <w:bottom w:val="single" w:sz="4" w:space="0" w:color="000000"/>
              <w:right w:val="single" w:sz="4" w:space="0" w:color="000000"/>
            </w:tcBorders>
          </w:tcPr>
          <w:p>
            <w:pPr>
              <w:pStyle w:val="TableParagraph"/>
              <w:tabs>
                <w:tab w:pos="1726" w:val="left" w:leader="none"/>
              </w:tabs>
              <w:spacing w:line="242" w:lineRule="exact" w:before="9"/>
              <w:ind w:left="16" w:right="0"/>
              <w:jc w:val="left"/>
              <w:rPr>
                <w:rFonts w:ascii="宋体" w:hAnsi="宋体" w:cs="宋体" w:eastAsia="宋体" w:hint="default"/>
                <w:sz w:val="18"/>
                <w:szCs w:val="18"/>
              </w:rPr>
            </w:pPr>
            <w:r>
              <w:rPr>
                <w:rFonts w:ascii="宋体" w:hAnsi="宋体" w:cs="宋体" w:eastAsia="宋体" w:hint="default"/>
                <w:sz w:val="18"/>
                <w:szCs w:val="18"/>
              </w:rPr>
              <w:t>避免同业竞争承诺</w:t>
              <w:tab/>
              <w:t>本次交易完成后，本人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本公司和本人</w:t>
            </w:r>
          </w:p>
          <w:p>
            <w:pPr>
              <w:pStyle w:val="TableParagraph"/>
              <w:spacing w:line="232" w:lineRule="auto"/>
              <w:ind w:left="16"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本公司控制的其他企业不会直接或间接从事任何与上市公 司及其下属公司主要经营业务构成同业竞争或潜在同业竞 </w:t>
            </w:r>
            <w:r>
              <w:rPr>
                <w:rFonts w:ascii="宋体" w:hAnsi="宋体" w:cs="宋体" w:eastAsia="宋体" w:hint="default"/>
                <w:spacing w:val="-3"/>
                <w:sz w:val="18"/>
                <w:szCs w:val="18"/>
              </w:rPr>
              <w:t>争关系的生产与经营，亦不会投资任何与上市公司及其下属</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公司主要经营业务构成同业竞争或潜在同业竞争关系的其 他企业；在本人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本公司在上市公司任职期间，本人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 或本人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本公司控制的其他企业获得的商业机会与上市公司 及其下属公司主营业务发生同业竞争或可能发生同业竞争 的，本人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本公司将立即通知上市公司，并尽力将该商业机 </w:t>
            </w:r>
            <w:r>
              <w:rPr>
                <w:rFonts w:ascii="宋体" w:hAnsi="宋体" w:cs="宋体" w:eastAsia="宋体" w:hint="default"/>
                <w:spacing w:val="-3"/>
                <w:sz w:val="18"/>
                <w:szCs w:val="18"/>
              </w:rPr>
              <w:t>会给予上市公司，以避免与上市公司及下属公司形成同业竞</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争或潜在同业竞争，以确保上市公司及上市公司其他股东利</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right="10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35" w:lineRule="auto"/>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日公 司召开第九届董事 会第七次会议审议 </w:t>
            </w:r>
            <w:r>
              <w:rPr>
                <w:rFonts w:ascii="宋体" w:hAnsi="宋体" w:cs="宋体" w:eastAsia="宋体" w:hint="default"/>
                <w:spacing w:val="-6"/>
                <w:sz w:val="18"/>
                <w:szCs w:val="18"/>
              </w:rPr>
              <w:t>通过了《关于终止重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大资产重组的议 </w:t>
            </w:r>
            <w:r>
              <w:rPr>
                <w:rFonts w:ascii="宋体" w:hAnsi="宋体" w:cs="宋体" w:eastAsia="宋体" w:hint="default"/>
                <w:spacing w:val="-30"/>
                <w:sz w:val="18"/>
                <w:szCs w:val="18"/>
              </w:rPr>
              <w:t>案》。</w:t>
            </w:r>
          </w:p>
        </w:tc>
      </w:tr>
    </w:tbl>
    <w:p>
      <w:pPr>
        <w:spacing w:after="0" w:line="235" w:lineRule="auto"/>
        <w:jc w:val="left"/>
        <w:rPr>
          <w:rFonts w:ascii="宋体" w:hAnsi="宋体" w:cs="宋体" w:eastAsia="宋体" w:hint="default"/>
          <w:sz w:val="18"/>
          <w:szCs w:val="18"/>
        </w:rPr>
        <w:sectPr>
          <w:pgSz w:w="16840" w:h="11910" w:orient="landscape"/>
          <w:pgMar w:header="867" w:footer="979" w:top="1060" w:bottom="1160" w:left="1300" w:right="1300"/>
        </w:sectPr>
      </w:pPr>
    </w:p>
    <w:p>
      <w:pPr>
        <w:spacing w:line="240" w:lineRule="auto" w:before="4"/>
        <w:rPr>
          <w:rFonts w:ascii="Times New Roman" w:hAnsi="Times New Roman" w:cs="Times New Roman" w:eastAsia="Times New Roman" w:hint="default"/>
          <w:sz w:val="3"/>
          <w:szCs w:val="3"/>
        </w:rPr>
      </w:pPr>
      <w:r>
        <w:rPr/>
        <w:pict>
          <v:group style="position:absolute;margin-left:525.820007pt;margin-top:173.240005pt;width:81.850pt;height:70.1pt;mso-position-horizontal-relative:page;mso-position-vertical-relative:page;z-index:-1465696" coordorigin="10516,3465" coordsize="1637,1402">
            <v:shape style="position:absolute;left:10516;top:3465;width:1637;height:1402" coordorigin="10516,3465" coordsize="1637,1402" path="m10516,4866l12153,4866,12153,3465,10516,3465,10516,4866xe" filled="true" fillcolor="#ffffff" stroked="false">
              <v:path arrowok="t"/>
              <v:fill type="solid"/>
            </v:shape>
            <w10:wrap type="none"/>
          </v:group>
        </w:pict>
      </w:r>
      <w:r>
        <w:rPr/>
        <w:pict>
          <v:group style="position:absolute;margin-left:525.820007pt;margin-top:310.630005pt;width:80.7pt;height:16.8pt;mso-position-horizontal-relative:page;mso-position-vertical-relative:page;z-index:-1465672" coordorigin="10516,6213" coordsize="1614,336">
            <v:group style="position:absolute;left:10528;top:6224;width:2;height:314" coordorigin="10528,6224" coordsize="2,314">
              <v:shape style="position:absolute;left:10528;top:6224;width:2;height:314" coordorigin="10528,6224" coordsize="0,314" path="m10528,6224l10528,6537e" filled="false" stroked="true" strokeweight="1.140pt" strokecolor="#ffffff">
                <v:path arrowok="t"/>
              </v:shape>
            </v:group>
            <v:group style="position:absolute;left:10539;top:6224;width:1592;height:314" coordorigin="10539,6224" coordsize="1592,314">
              <v:shape style="position:absolute;left:10539;top:6224;width:1592;height:314" coordorigin="10539,6224" coordsize="1592,314" path="m10539,6537l12130,6537,12130,6224,10539,6224,10539,6537xe" filled="true" fillcolor="#ffffff" stroked="false">
                <v:path arrowok="t"/>
                <v:fill type="solid"/>
              </v:shape>
            </v:group>
            <w10:wrap type="none"/>
          </v:group>
        </w:pict>
      </w:r>
    </w:p>
    <w:tbl>
      <w:tblPr>
        <w:tblW w:w="0" w:type="auto"/>
        <w:jc w:val="left"/>
        <w:tblInd w:w="107" w:type="dxa"/>
        <w:tblLayout w:type="fixed"/>
        <w:tblCellMar>
          <w:top w:w="0" w:type="dxa"/>
          <w:left w:w="0" w:type="dxa"/>
          <w:bottom w:w="0" w:type="dxa"/>
          <w:right w:w="0" w:type="dxa"/>
        </w:tblCellMar>
        <w:tblLook w:val="01E0"/>
      </w:tblPr>
      <w:tblGrid>
        <w:gridCol w:w="1730"/>
        <w:gridCol w:w="1418"/>
        <w:gridCol w:w="1276"/>
        <w:gridCol w:w="4674"/>
        <w:gridCol w:w="1649"/>
        <w:gridCol w:w="1642"/>
        <w:gridCol w:w="1626"/>
      </w:tblGrid>
      <w:tr>
        <w:trPr>
          <w:trHeight w:val="338" w:hRule="exact"/>
        </w:trPr>
        <w:tc>
          <w:tcPr>
            <w:tcW w:w="1730"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10"/>
              <w:ind w:left="499"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41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4"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72"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467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649"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164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5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62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4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284" w:hRule="exact"/>
        </w:trPr>
        <w:tc>
          <w:tcPr>
            <w:tcW w:w="1730" w:type="dxa"/>
            <w:vMerge w:val="restart"/>
            <w:tcBorders>
              <w:top w:val="single" w:sz="4" w:space="0" w:color="000000"/>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益不受损害。</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r>
      <w:tr>
        <w:trPr>
          <w:trHeight w:val="3125" w:hRule="exact"/>
        </w:trPr>
        <w:tc>
          <w:tcPr>
            <w:tcW w:w="1730"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3" w:right="20"/>
              <w:jc w:val="left"/>
              <w:rPr>
                <w:rFonts w:ascii="宋体" w:hAnsi="宋体" w:cs="宋体" w:eastAsia="宋体" w:hint="default"/>
                <w:sz w:val="18"/>
                <w:szCs w:val="18"/>
              </w:rPr>
            </w:pPr>
            <w:r>
              <w:rPr>
                <w:rFonts w:ascii="宋体" w:hAnsi="宋体" w:cs="宋体" w:eastAsia="宋体" w:hint="default"/>
                <w:spacing w:val="-10"/>
                <w:sz w:val="18"/>
                <w:szCs w:val="18"/>
              </w:rPr>
              <w:t>郭为、中信建投基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w:t>
            </w:r>
          </w:p>
        </w:tc>
        <w:tc>
          <w:tcPr>
            <w:tcW w:w="1276"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2" w:right="-24"/>
              <w:jc w:val="both"/>
              <w:rPr>
                <w:rFonts w:ascii="宋体" w:hAnsi="宋体" w:cs="宋体" w:eastAsia="宋体" w:hint="default"/>
                <w:sz w:val="18"/>
                <w:szCs w:val="18"/>
              </w:rPr>
            </w:pPr>
            <w:r>
              <w:rPr>
                <w:rFonts w:ascii="宋体" w:hAnsi="宋体" w:cs="宋体" w:eastAsia="宋体" w:hint="default"/>
                <w:sz w:val="18"/>
                <w:szCs w:val="18"/>
              </w:rPr>
              <w:t>关于同业竞争、 </w:t>
            </w:r>
            <w:r>
              <w:rPr>
                <w:rFonts w:ascii="宋体" w:hAnsi="宋体" w:cs="宋体" w:eastAsia="宋体" w:hint="default"/>
                <w:spacing w:val="-6"/>
                <w:sz w:val="18"/>
                <w:szCs w:val="18"/>
              </w:rPr>
              <w:t>关联交易、资金</w:t>
            </w:r>
            <w:r>
              <w:rPr>
                <w:rFonts w:ascii="宋体" w:hAnsi="宋体" w:cs="宋体" w:eastAsia="宋体" w:hint="default"/>
                <w:sz w:val="18"/>
                <w:szCs w:val="18"/>
              </w:rPr>
              <w:t> 占用方面的承</w:t>
            </w:r>
          </w:p>
          <w:p>
            <w:pPr>
              <w:pStyle w:val="TableParagraph"/>
              <w:spacing w:line="233" w:lineRule="exact"/>
              <w:ind w:left="22" w:right="0"/>
              <w:jc w:val="both"/>
              <w:rPr>
                <w:rFonts w:ascii="宋体" w:hAnsi="宋体" w:cs="宋体" w:eastAsia="宋体" w:hint="default"/>
                <w:sz w:val="18"/>
                <w:szCs w:val="18"/>
              </w:rPr>
            </w:pPr>
            <w:r>
              <w:rPr>
                <w:rFonts w:ascii="宋体" w:hAnsi="宋体" w:cs="宋体" w:eastAsia="宋体" w:hint="default"/>
                <w:sz w:val="18"/>
                <w:szCs w:val="18"/>
              </w:rPr>
              <w:t>诺</w:t>
            </w:r>
          </w:p>
        </w:tc>
        <w:tc>
          <w:tcPr>
            <w:tcW w:w="4674" w:type="dxa"/>
            <w:tcBorders>
              <w:top w:val="single" w:sz="4" w:space="0" w:color="000000"/>
              <w:left w:val="single" w:sz="9" w:space="0" w:color="FFFFFF"/>
              <w:bottom w:val="single" w:sz="4" w:space="0" w:color="000000"/>
              <w:right w:val="single" w:sz="4" w:space="0" w:color="000000"/>
            </w:tcBorders>
          </w:tcPr>
          <w:p>
            <w:pPr>
              <w:pStyle w:val="TableParagraph"/>
              <w:spacing w:line="232" w:lineRule="auto" w:before="15"/>
              <w:ind w:left="16" w:right="-39"/>
              <w:jc w:val="left"/>
              <w:rPr>
                <w:rFonts w:ascii="宋体" w:hAnsi="宋体" w:cs="宋体" w:eastAsia="宋体" w:hint="default"/>
                <w:sz w:val="18"/>
                <w:szCs w:val="18"/>
              </w:rPr>
            </w:pPr>
            <w:r>
              <w:rPr>
                <w:rFonts w:ascii="宋体" w:hAnsi="宋体" w:cs="宋体" w:eastAsia="宋体" w:hint="default"/>
                <w:sz w:val="18"/>
                <w:szCs w:val="18"/>
              </w:rPr>
              <w:t>规范关联交易的承诺 </w:t>
            </w:r>
            <w:r>
              <w:rPr>
                <w:rFonts w:ascii="Times New Roman" w:hAnsi="Times New Roman" w:cs="Times New Roman" w:eastAsia="Times New Roman" w:hint="default"/>
                <w:sz w:val="18"/>
                <w:szCs w:val="18"/>
              </w:rPr>
              <w:t>1</w:t>
            </w:r>
            <w:r>
              <w:rPr>
                <w:rFonts w:ascii="宋体" w:hAnsi="宋体" w:cs="宋体" w:eastAsia="宋体" w:hint="default"/>
                <w:sz w:val="18"/>
                <w:szCs w:val="18"/>
              </w:rPr>
              <w:t>、在本次交易前，本人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本公司和本 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本公司控制的企业与上市公司之间不存在显失公平的关 </w:t>
            </w:r>
            <w:r>
              <w:rPr>
                <w:rFonts w:ascii="宋体" w:hAnsi="宋体" w:cs="宋体" w:eastAsia="宋体" w:hint="default"/>
                <w:spacing w:val="-3"/>
                <w:sz w:val="18"/>
                <w:szCs w:val="18"/>
              </w:rPr>
              <w:t>联交易。</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、本次交易完成后，本人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本公司和本人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本公司控</w:t>
            </w:r>
            <w:r>
              <w:rPr>
                <w:rFonts w:ascii="宋体" w:hAnsi="宋体" w:cs="宋体" w:eastAsia="宋体" w:hint="default"/>
                <w:spacing w:val="-77"/>
                <w:sz w:val="18"/>
                <w:szCs w:val="18"/>
              </w:rPr>
              <w:t> </w:t>
            </w:r>
            <w:r>
              <w:rPr>
                <w:rFonts w:ascii="宋体" w:hAnsi="宋体" w:cs="宋体" w:eastAsia="宋体" w:hint="default"/>
                <w:sz w:val="18"/>
                <w:szCs w:val="18"/>
              </w:rPr>
              <w:t>制的其他企业将尽量避免或减少与上市公司及其下属子公 </w:t>
            </w:r>
            <w:r>
              <w:rPr>
                <w:rFonts w:ascii="宋体" w:hAnsi="宋体" w:cs="宋体" w:eastAsia="宋体" w:hint="default"/>
                <w:spacing w:val="-3"/>
                <w:sz w:val="18"/>
                <w:szCs w:val="18"/>
              </w:rPr>
              <w:t>司之间的关联交易，对于无法避免或有合理理由存在的关联</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交易，将与上市公司依法签订规范的关联交易协议，并按照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有关法律、法规、规章、上市规则和其他规范性文件以及上</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市公司章程的规定履行批准程序；关联交易价格依照与无关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联关系的独立第三方进行相同或相似交易时的价格确定，保</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证关联交易价格具有公允性；保证按照有关法律、法规、上</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市公司章程的规定履行关联交易的信息披露义务。本人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 公司保证不利用关联交易非法转移上市公司的资金、利润， 不利用关联交易损害非关联股东的利益。</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0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35" w:lineRule="auto"/>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日公 司召开第九届董事 会第七次会议审议 </w:t>
            </w:r>
            <w:r>
              <w:rPr>
                <w:rFonts w:ascii="宋体" w:hAnsi="宋体" w:cs="宋体" w:eastAsia="宋体" w:hint="default"/>
                <w:spacing w:val="-6"/>
                <w:sz w:val="18"/>
                <w:szCs w:val="18"/>
              </w:rPr>
              <w:t>通过了《关于终止重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大资产重组的议 </w:t>
            </w:r>
            <w:r>
              <w:rPr>
                <w:rFonts w:ascii="宋体" w:hAnsi="宋体" w:cs="宋体" w:eastAsia="宋体" w:hint="default"/>
                <w:spacing w:val="-30"/>
                <w:sz w:val="18"/>
                <w:szCs w:val="18"/>
              </w:rPr>
              <w:t>案》。</w:t>
            </w:r>
          </w:p>
        </w:tc>
      </w:tr>
      <w:tr>
        <w:trPr>
          <w:trHeight w:val="557" w:hRule="exact"/>
        </w:trPr>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75"/>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1418" w:type="dxa"/>
            <w:tcBorders>
              <w:top w:val="single" w:sz="4" w:space="0" w:color="000000"/>
              <w:left w:val="single" w:sz="13" w:space="0" w:color="D2D2D2"/>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674"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418" w:type="dxa"/>
            <w:tcBorders>
              <w:top w:val="single" w:sz="4" w:space="0" w:color="000000"/>
              <w:left w:val="single" w:sz="13" w:space="0" w:color="D2D2D2"/>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674"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173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郝峻晟、朱丽英</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674" w:type="dxa"/>
            <w:vMerge w:val="restart"/>
            <w:tcBorders>
              <w:top w:val="single" w:sz="4" w:space="0" w:color="000000"/>
              <w:left w:val="single" w:sz="4" w:space="0" w:color="000000"/>
              <w:right w:val="single" w:sz="4" w:space="0" w:color="000000"/>
            </w:tcBorders>
          </w:tcPr>
          <w:p>
            <w:pPr>
              <w:pStyle w:val="TableParagraph"/>
              <w:spacing w:line="241" w:lineRule="exact" w:before="10"/>
              <w:ind w:left="22" w:right="0"/>
              <w:jc w:val="left"/>
              <w:rPr>
                <w:rFonts w:ascii="宋体" w:hAnsi="宋体" w:cs="宋体" w:eastAsia="宋体" w:hint="default"/>
                <w:sz w:val="18"/>
                <w:szCs w:val="18"/>
              </w:rPr>
            </w:pPr>
            <w:r>
              <w:rPr>
                <w:rFonts w:ascii="宋体" w:hAnsi="宋体" w:cs="宋体" w:eastAsia="宋体" w:hint="default"/>
                <w:sz w:val="18"/>
                <w:szCs w:val="18"/>
              </w:rPr>
              <w:t>郝峻晟、朱丽英承诺，上海云角信息技术有限公司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p>
            <w:pPr>
              <w:pStyle w:val="TableParagraph"/>
              <w:spacing w:line="230" w:lineRule="auto"/>
              <w:ind w:left="22" w:right="-34"/>
              <w:jc w:val="left"/>
              <w:rPr>
                <w:rFonts w:ascii="宋体" w:hAnsi="宋体" w:cs="宋体" w:eastAsia="宋体" w:hint="default"/>
                <w:sz w:val="18"/>
                <w:szCs w:val="18"/>
              </w:rPr>
            </w:pPr>
            <w:r>
              <w:rPr>
                <w:rFonts w:ascii="宋体" w:hAnsi="宋体" w:cs="宋体" w:eastAsia="宋体" w:hint="default"/>
                <w:sz w:val="18"/>
                <w:szCs w:val="18"/>
              </w:rPr>
              <w:t>度至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年度的经审计的扣除非经常性损益后的净利润分 别不低于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1,800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2,700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3,645</w:t>
            </w:r>
            <w:r>
              <w:rPr>
                <w:rFonts w:ascii="Times New Roman" w:hAnsi="Times New Roman" w:cs="Times New Roman" w:eastAsia="Times New Roman" w:hint="default"/>
                <w:spacing w:val="-4"/>
                <w:sz w:val="18"/>
                <w:szCs w:val="18"/>
              </w:rPr>
              <w:t> </w:t>
            </w:r>
            <w:r>
              <w:rPr>
                <w:rFonts w:ascii="宋体" w:hAnsi="宋体" w:cs="宋体" w:eastAsia="宋体" w:hint="default"/>
                <w:spacing w:val="-12"/>
                <w:sz w:val="18"/>
                <w:szCs w:val="18"/>
              </w:rPr>
              <w:t>万元。</w:t>
            </w:r>
            <w:r>
              <w:rPr>
                <w:rFonts w:ascii="宋体" w:hAnsi="宋体" w:cs="宋体" w:eastAsia="宋体" w:hint="default"/>
                <w:spacing w:val="-35"/>
                <w:sz w:val="18"/>
                <w:szCs w:val="18"/>
              </w:rPr>
              <w:t> </w:t>
            </w:r>
            <w:r>
              <w:rPr>
                <w:rFonts w:ascii="宋体" w:hAnsi="宋体" w:cs="宋体" w:eastAsia="宋体" w:hint="default"/>
                <w:spacing w:val="-3"/>
                <w:sz w:val="18"/>
                <w:szCs w:val="18"/>
              </w:rPr>
              <w:t>承诺期内实现净利润应不低于累计承诺净利润，否则郝峻晟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和朱丽英应按照协议约定对上市公司予以补偿</w:t>
            </w:r>
          </w:p>
        </w:tc>
        <w:tc>
          <w:tcPr>
            <w:tcW w:w="164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6" w:type="dxa"/>
            <w:vMerge w:val="restart"/>
            <w:tcBorders>
              <w:top w:val="single" w:sz="4" w:space="0" w:color="000000"/>
              <w:left w:val="single" w:sz="4" w:space="0" w:color="000000"/>
              <w:right w:val="single" w:sz="4" w:space="0" w:color="000000"/>
            </w:tcBorders>
          </w:tcPr>
          <w:p>
            <w:pPr>
              <w:pStyle w:val="TableParagraph"/>
              <w:spacing w:line="237" w:lineRule="auto" w:before="129"/>
              <w:ind w:left="22" w:right="-27"/>
              <w:jc w:val="left"/>
              <w:rPr>
                <w:rFonts w:ascii="宋体" w:hAnsi="宋体" w:cs="宋体" w:eastAsia="宋体" w:hint="default"/>
                <w:sz w:val="18"/>
                <w:szCs w:val="18"/>
              </w:rPr>
            </w:pPr>
            <w:r>
              <w:rPr>
                <w:rFonts w:ascii="宋体" w:hAnsi="宋体" w:cs="宋体" w:eastAsia="宋体" w:hint="default"/>
                <w:spacing w:val="-6"/>
                <w:sz w:val="18"/>
                <w:szCs w:val="18"/>
              </w:rPr>
              <w:t>截至本报告日，本承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诺仍在履行过程中， 承诺人无违反本承 诺的情况。</w:t>
            </w:r>
          </w:p>
        </w:tc>
      </w:tr>
      <w:tr>
        <w:trPr>
          <w:trHeight w:val="547" w:hRule="exact"/>
        </w:trPr>
        <w:tc>
          <w:tcPr>
            <w:tcW w:w="17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22" w:right="75"/>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1418" w:type="dxa"/>
            <w:vMerge/>
            <w:tcBorders>
              <w:left w:val="single" w:sz="9" w:space="0" w:color="D2D2D2"/>
              <w:right w:val="single" w:sz="4" w:space="0" w:color="000000"/>
            </w:tcBorders>
          </w:tcPr>
          <w:p>
            <w:pPr/>
          </w:p>
        </w:tc>
        <w:tc>
          <w:tcPr>
            <w:tcW w:w="1276" w:type="dxa"/>
            <w:vMerge/>
            <w:tcBorders>
              <w:left w:val="single" w:sz="4" w:space="0" w:color="000000"/>
              <w:right w:val="single" w:sz="4" w:space="0" w:color="000000"/>
            </w:tcBorders>
          </w:tcPr>
          <w:p>
            <w:pPr/>
          </w:p>
        </w:tc>
        <w:tc>
          <w:tcPr>
            <w:tcW w:w="4674" w:type="dxa"/>
            <w:vMerge/>
            <w:tcBorders>
              <w:left w:val="single" w:sz="4" w:space="0" w:color="000000"/>
              <w:right w:val="single" w:sz="4" w:space="0" w:color="000000"/>
            </w:tcBorders>
          </w:tcPr>
          <w:p>
            <w:pP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6" w:type="dxa"/>
            <w:vMerge/>
            <w:tcBorders>
              <w:left w:val="single" w:sz="4" w:space="0" w:color="000000"/>
              <w:right w:val="single" w:sz="4" w:space="0" w:color="000000"/>
            </w:tcBorders>
          </w:tcPr>
          <w:p>
            <w:pPr/>
          </w:p>
        </w:tc>
      </w:tr>
      <w:tr>
        <w:trPr>
          <w:trHeight w:val="355" w:hRule="exact"/>
        </w:trPr>
        <w:tc>
          <w:tcPr>
            <w:tcW w:w="173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vMerge/>
            <w:tcBorders>
              <w:left w:val="single" w:sz="9" w:space="0" w:color="D2D2D2"/>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4674" w:type="dxa"/>
            <w:vMerge/>
            <w:tcBorders>
              <w:left w:val="single" w:sz="4" w:space="0" w:color="000000"/>
              <w:bottom w:val="single" w:sz="4" w:space="0" w:color="000000"/>
              <w:right w:val="single" w:sz="4" w:space="0" w:color="000000"/>
            </w:tcBorders>
          </w:tcPr>
          <w:p>
            <w:pPr/>
          </w:p>
        </w:tc>
        <w:tc>
          <w:tcPr>
            <w:tcW w:w="1649" w:type="dxa"/>
            <w:vMerge/>
            <w:tcBorders>
              <w:left w:val="single" w:sz="4" w:space="0" w:color="000000"/>
              <w:bottom w:val="single" w:sz="4" w:space="0" w:color="000000"/>
              <w:right w:val="single" w:sz="4" w:space="0" w:color="000000"/>
            </w:tcBorders>
          </w:tcPr>
          <w:p>
            <w:pPr/>
          </w:p>
        </w:tc>
        <w:tc>
          <w:tcPr>
            <w:tcW w:w="1642" w:type="dxa"/>
            <w:vMerge/>
            <w:tcBorders>
              <w:left w:val="single" w:sz="4" w:space="0" w:color="000000"/>
              <w:bottom w:val="single" w:sz="4" w:space="0" w:color="000000"/>
              <w:right w:val="single" w:sz="4" w:space="0" w:color="000000"/>
            </w:tcBorders>
          </w:tcPr>
          <w:p>
            <w:pPr/>
          </w:p>
        </w:tc>
        <w:tc>
          <w:tcPr>
            <w:tcW w:w="1626" w:type="dxa"/>
            <w:vMerge/>
            <w:tcBorders>
              <w:left w:val="single" w:sz="4" w:space="0" w:color="000000"/>
              <w:bottom w:val="single" w:sz="4" w:space="0" w:color="000000"/>
              <w:right w:val="single" w:sz="4" w:space="0" w:color="000000"/>
            </w:tcBorders>
          </w:tcPr>
          <w:p>
            <w:pPr/>
          </w:p>
        </w:tc>
      </w:tr>
      <w:tr>
        <w:trPr>
          <w:trHeight w:val="324" w:hRule="exact"/>
        </w:trPr>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2285"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300" w:right="1300"/>
        </w:sectPr>
      </w:pPr>
    </w:p>
    <w:p>
      <w:pPr>
        <w:spacing w:line="240" w:lineRule="auto" w:before="8"/>
        <w:rPr>
          <w:rFonts w:ascii="Times New Roman" w:hAnsi="Times New Roman" w:cs="Times New Roman" w:eastAsia="Times New Roman" w:hint="default"/>
          <w:sz w:val="21"/>
          <w:szCs w:val="21"/>
        </w:rPr>
      </w:pPr>
      <w:r>
        <w:rPr/>
        <w:pict>
          <v:shape style="position:absolute;margin-left:91.980003pt;margin-top:230.899979pt;width:91.55pt;height:23.35pt;mso-position-horizontal-relative:page;mso-position-vertical-relative:page;z-index:-1465528" type="#_x0000_t202" filled="false" stroked="false">
            <v:textbox inset="0,0,0,0">
              <w:txbxContent>
                <w:p>
                  <w:pPr>
                    <w:pStyle w:val="BodyText"/>
                    <w:spacing w:line="240" w:lineRule="auto" w:before="9"/>
                    <w:ind w:left="0" w:right="0"/>
                    <w:jc w:val="left"/>
                  </w:pPr>
                  <w:r>
                    <w:rPr/>
                    <w:t>（中国）</w:t>
                  </w:r>
                </w:p>
              </w:txbxContent>
            </v:textbox>
            <w10:wrap type="none"/>
          </v:shape>
        </w:pict>
      </w:r>
      <w:r>
        <w:rPr/>
        <w:pict>
          <v:shape style="position:absolute;margin-left:91.980003pt;margin-top:305.419983pt;width:91.55pt;height:23.35pt;mso-position-horizontal-relative:page;mso-position-vertical-relative:page;z-index:-1465504" type="#_x0000_t202" filled="false" stroked="false">
            <v:textbox inset="0,0,0,0">
              <w:txbxContent>
                <w:p>
                  <w:pPr>
                    <w:pStyle w:val="BodyText"/>
                    <w:spacing w:line="240" w:lineRule="auto" w:before="9"/>
                    <w:ind w:left="0" w:right="0"/>
                    <w:jc w:val="left"/>
                  </w:pPr>
                  <w:r>
                    <w:rPr/>
                    <w:t>（中国）</w:t>
                  </w:r>
                </w:p>
              </w:txbxContent>
            </v:textbox>
            <w10:wrap type="none"/>
          </v:shape>
        </w:pict>
      </w:r>
      <w:r>
        <w:rPr/>
        <w:pict>
          <v:shape style="position:absolute;margin-left:91.980003pt;margin-top:379.999969pt;width:91.55pt;height:23.35pt;mso-position-horizontal-relative:page;mso-position-vertical-relative:page;z-index:-1465480" type="#_x0000_t202" filled="false" stroked="false">
            <v:textbox inset="0,0,0,0">
              <w:txbxContent>
                <w:p>
                  <w:pPr>
                    <w:pStyle w:val="BodyText"/>
                    <w:spacing w:line="240" w:lineRule="auto" w:before="9"/>
                    <w:ind w:left="0" w:right="0"/>
                    <w:jc w:val="left"/>
                  </w:pPr>
                  <w:r>
                    <w:rPr/>
                    <w:t>（中国）</w:t>
                  </w:r>
                </w:p>
              </w:txbxContent>
            </v:textbox>
            <w10:wrap type="none"/>
          </v:shape>
        </w:pict>
      </w:r>
    </w:p>
    <w:p>
      <w:pPr>
        <w:pStyle w:val="Heading3"/>
        <w:spacing w:line="274" w:lineRule="exact" w:before="61"/>
        <w:ind w:right="0"/>
        <w:jc w:val="left"/>
        <w:rPr>
          <w:b w:val="0"/>
          <w:bCs w:val="0"/>
        </w:rPr>
      </w:pPr>
      <w:bookmarkStart w:name="2、公司资产或项目存在盈利预测，且报告期仍处在盈利预测期间，公司就资产或项目达到" w:id="67"/>
      <w:bookmarkEnd w:id="67"/>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4"/>
        <w:rPr>
          <w:rFonts w:ascii="宋体" w:hAnsi="宋体" w:cs="宋体" w:eastAsia="宋体" w:hint="default"/>
          <w:b/>
          <w:bCs/>
          <w:sz w:val="21"/>
          <w:szCs w:val="21"/>
        </w:rPr>
      </w:pPr>
    </w:p>
    <w:p>
      <w:pPr>
        <w:pStyle w:val="BodyText"/>
        <w:spacing w:line="240" w:lineRule="auto"/>
        <w:ind w:right="0"/>
        <w:jc w:val="left"/>
      </w:pPr>
      <w:r>
        <w:rPr/>
        <w:pict>
          <v:shape style="position:absolute;margin-left:91.980003pt;margin-top:43.531715pt;width:91.55pt;height:23.35pt;mso-position-horizontal-relative:page;mso-position-vertical-relative:paragraph;z-index:-1465552" type="#_x0000_t202" filled="false" stroked="false">
            <v:textbox inset="0,0,0,0">
              <w:txbxContent>
                <w:p>
                  <w:pPr>
                    <w:pStyle w:val="BodyText"/>
                    <w:spacing w:line="240" w:lineRule="auto" w:before="9"/>
                    <w:ind w:left="0" w:right="0"/>
                    <w:jc w:val="left"/>
                  </w:pPr>
                  <w:r>
                    <w:rPr/>
                    <w:t>（中国）</w:t>
                  </w: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2"/>
        <w:rPr>
          <w:rFonts w:ascii="宋体" w:hAnsi="宋体" w:cs="宋体" w:eastAsia="宋体" w:hint="default"/>
          <w:sz w:val="4"/>
          <w:szCs w:val="4"/>
        </w:rPr>
      </w:pPr>
    </w:p>
    <w:tbl>
      <w:tblPr>
        <w:tblW w:w="0" w:type="auto"/>
        <w:jc w:val="left"/>
        <w:tblInd w:w="121" w:type="dxa"/>
        <w:tblLayout w:type="fixed"/>
        <w:tblCellMar>
          <w:top w:w="0" w:type="dxa"/>
          <w:left w:w="0" w:type="dxa"/>
          <w:bottom w:w="0" w:type="dxa"/>
          <w:right w:w="0" w:type="dxa"/>
        </w:tblCellMar>
        <w:tblLook w:val="01E0"/>
      </w:tblPr>
      <w:tblGrid>
        <w:gridCol w:w="1392"/>
        <w:gridCol w:w="1177"/>
        <w:gridCol w:w="1147"/>
        <w:gridCol w:w="1197"/>
        <w:gridCol w:w="1286"/>
        <w:gridCol w:w="1272"/>
        <w:gridCol w:w="1031"/>
        <w:gridCol w:w="1192"/>
      </w:tblGrid>
      <w:tr>
        <w:trPr>
          <w:trHeight w:val="557" w:hRule="exact"/>
        </w:trPr>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30" w:right="60" w:hanging="270"/>
              <w:jc w:val="left"/>
              <w:rPr>
                <w:rFonts w:ascii="宋体" w:hAnsi="宋体" w:cs="宋体" w:eastAsia="宋体" w:hint="default"/>
                <w:sz w:val="18"/>
                <w:szCs w:val="18"/>
              </w:rPr>
            </w:pPr>
            <w:r>
              <w:rPr>
                <w:rFonts w:ascii="宋体" w:hAnsi="宋体" w:cs="宋体" w:eastAsia="宋体" w:hint="default"/>
                <w:sz w:val="18"/>
                <w:szCs w:val="18"/>
              </w:rPr>
              <w:t>盈利预测资产或 项目名称</w:t>
            </w:r>
          </w:p>
        </w:tc>
        <w:tc>
          <w:tcPr>
            <w:tcW w:w="1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3"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8"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91" w:right="89"/>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31" w:right="59" w:hanging="270"/>
              <w:jc w:val="left"/>
              <w:rPr>
                <w:rFonts w:ascii="宋体" w:hAnsi="宋体" w:cs="宋体" w:eastAsia="宋体" w:hint="default"/>
                <w:sz w:val="18"/>
                <w:szCs w:val="18"/>
              </w:rPr>
            </w:pPr>
            <w:r>
              <w:rPr>
                <w:rFonts w:ascii="宋体" w:hAnsi="宋体" w:cs="宋体" w:eastAsia="宋体" w:hint="default"/>
                <w:sz w:val="18"/>
                <w:szCs w:val="18"/>
              </w:rPr>
              <w:t>原预测披露 日期</w:t>
            </w:r>
          </w:p>
        </w:tc>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500" w:right="49"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1490" w:hRule="exact"/>
        </w:trPr>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99"/>
              <w:jc w:val="left"/>
              <w:rPr>
                <w:rFonts w:ascii="宋体" w:hAnsi="宋体" w:cs="宋体" w:eastAsia="宋体" w:hint="default"/>
                <w:sz w:val="18"/>
                <w:szCs w:val="18"/>
              </w:rPr>
            </w:pPr>
            <w:r>
              <w:rPr>
                <w:rFonts w:ascii="宋体" w:hAnsi="宋体" w:cs="宋体" w:eastAsia="宋体" w:hint="default"/>
                <w:sz w:val="18"/>
                <w:szCs w:val="18"/>
              </w:rPr>
              <w:t>神州数码 有限公司、上海 神州数码有限公 司及广州神州数 码信息科技有限 公司</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466" w:lineRule="exact"/>
              <w:ind w:right="-50"/>
              <w:jc w:val="left"/>
              <w:rPr>
                <w:rFonts w:ascii="宋体" w:hAnsi="宋体" w:cs="宋体" w:eastAsia="宋体" w:hint="default"/>
                <w:sz w:val="20"/>
                <w:szCs w:val="20"/>
              </w:rPr>
            </w:pPr>
            <w:r>
              <w:rPr>
                <w:rFonts w:ascii="宋体" w:hAnsi="宋体" w:cs="宋体" w:eastAsia="宋体" w:hint="default"/>
                <w:position w:val="-8"/>
                <w:sz w:val="20"/>
                <w:szCs w:val="20"/>
              </w:rPr>
              <w:pict>
                <v:group style="width:58.35pt;height:23.35pt;mso-position-horizontal-relative:char;mso-position-vertical-relative:line" coordorigin="0,0" coordsize="1167,467">
                  <v:group style="position:absolute;left:0;top:0;width:1167;height:467" coordorigin="0,0" coordsize="1167,467">
                    <v:shape style="position:absolute;left:0;top:0;width:1167;height:467" coordorigin="0,0" coordsize="1167,467" path="m0,467l1166,467,1166,0,0,0,0,467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2" w:lineRule="exact" w:before="1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28" w:lineRule="exact"/>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2"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0"/>
              <w:jc w:val="center"/>
              <w:rPr>
                <w:rFonts w:ascii="Times New Roman" w:hAnsi="Times New Roman" w:cs="Times New Roman" w:eastAsia="Times New Roman" w:hint="default"/>
                <w:sz w:val="18"/>
                <w:szCs w:val="18"/>
              </w:rPr>
            </w:pPr>
            <w:r>
              <w:rPr>
                <w:rFonts w:ascii="Times New Roman"/>
                <w:sz w:val="18"/>
              </w:rPr>
              <w:t>30,225.79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0"/>
              <w:jc w:val="center"/>
              <w:rPr>
                <w:rFonts w:ascii="Times New Roman" w:hAnsi="Times New Roman" w:cs="Times New Roman" w:eastAsia="Times New Roman" w:hint="default"/>
                <w:sz w:val="18"/>
                <w:szCs w:val="18"/>
              </w:rPr>
            </w:pPr>
            <w:r>
              <w:rPr>
                <w:rFonts w:ascii="Times New Roman"/>
                <w:sz w:val="18"/>
              </w:rPr>
              <w:t>31,197.46</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359"/>
              <w:jc w:val="right"/>
              <w:rPr>
                <w:rFonts w:ascii="宋体" w:hAnsi="宋体" w:cs="宋体" w:eastAsia="宋体" w:hint="default"/>
                <w:sz w:val="18"/>
                <w:szCs w:val="18"/>
              </w:rPr>
            </w:pPr>
            <w:r>
              <w:rPr>
                <w:rFonts w:ascii="宋体" w:hAnsi="宋体" w:cs="宋体" w:eastAsia="宋体" w:hint="default"/>
                <w:sz w:val="18"/>
                <w:szCs w:val="18"/>
              </w:rPr>
              <w:t>不适用</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2"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pStyle w:val="TableParagraph"/>
              <w:spacing w:line="242"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1490" w:hRule="exact"/>
        </w:trPr>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99"/>
              <w:jc w:val="left"/>
              <w:rPr>
                <w:rFonts w:ascii="宋体" w:hAnsi="宋体" w:cs="宋体" w:eastAsia="宋体" w:hint="default"/>
                <w:sz w:val="18"/>
                <w:szCs w:val="18"/>
              </w:rPr>
            </w:pPr>
            <w:r>
              <w:rPr>
                <w:rFonts w:ascii="宋体" w:hAnsi="宋体" w:cs="宋体" w:eastAsia="宋体" w:hint="default"/>
                <w:sz w:val="18"/>
                <w:szCs w:val="18"/>
              </w:rPr>
              <w:t>神州数码 有限公司、上海 神州数码有限公 司及广州神州数 码信息科技有限 公司</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466" w:lineRule="exact"/>
              <w:ind w:right="-50"/>
              <w:jc w:val="left"/>
              <w:rPr>
                <w:rFonts w:ascii="宋体" w:hAnsi="宋体" w:cs="宋体" w:eastAsia="宋体" w:hint="default"/>
                <w:sz w:val="20"/>
                <w:szCs w:val="20"/>
              </w:rPr>
            </w:pPr>
            <w:r>
              <w:rPr>
                <w:rFonts w:ascii="宋体" w:hAnsi="宋体" w:cs="宋体" w:eastAsia="宋体" w:hint="default"/>
                <w:position w:val="-8"/>
                <w:sz w:val="20"/>
                <w:szCs w:val="20"/>
              </w:rPr>
              <w:pict>
                <v:group style="width:58.35pt;height:23.35pt;mso-position-horizontal-relative:char;mso-position-vertical-relative:line" coordorigin="0,0" coordsize="1167,467">
                  <v:group style="position:absolute;left:0;top:0;width:1167;height:467" coordorigin="0,0" coordsize="1167,467">
                    <v:shape style="position:absolute;left:0;top:0;width:1167;height:467" coordorigin="0,0" coordsize="1167,467" path="m0,467l1166,467,1166,0,0,0,0,467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2" w:lineRule="exact" w:before="1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28" w:lineRule="exact"/>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2"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32,774.95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37,350.90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359"/>
              <w:jc w:val="right"/>
              <w:rPr>
                <w:rFonts w:ascii="宋体" w:hAnsi="宋体" w:cs="宋体" w:eastAsia="宋体" w:hint="default"/>
                <w:sz w:val="18"/>
                <w:szCs w:val="18"/>
              </w:rPr>
            </w:pPr>
            <w:r>
              <w:rPr>
                <w:rFonts w:ascii="宋体" w:hAnsi="宋体" w:cs="宋体" w:eastAsia="宋体" w:hint="default"/>
                <w:sz w:val="18"/>
                <w:szCs w:val="18"/>
              </w:rPr>
              <w:t>不适用</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2"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pStyle w:val="TableParagraph"/>
              <w:spacing w:line="242"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1490" w:hRule="exact"/>
        </w:trPr>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99"/>
              <w:jc w:val="left"/>
              <w:rPr>
                <w:rFonts w:ascii="宋体" w:hAnsi="宋体" w:cs="宋体" w:eastAsia="宋体" w:hint="default"/>
                <w:sz w:val="18"/>
                <w:szCs w:val="18"/>
              </w:rPr>
            </w:pPr>
            <w:r>
              <w:rPr>
                <w:rFonts w:ascii="宋体" w:hAnsi="宋体" w:cs="宋体" w:eastAsia="宋体" w:hint="default"/>
                <w:sz w:val="18"/>
                <w:szCs w:val="18"/>
              </w:rPr>
              <w:t>神州数码 有限公司、上海 神州数码有限公 司及广州神州数 码信息科技有限 公司</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466" w:lineRule="exact"/>
              <w:ind w:right="-50"/>
              <w:jc w:val="left"/>
              <w:rPr>
                <w:rFonts w:ascii="宋体" w:hAnsi="宋体" w:cs="宋体" w:eastAsia="宋体" w:hint="default"/>
                <w:sz w:val="20"/>
                <w:szCs w:val="20"/>
              </w:rPr>
            </w:pPr>
            <w:r>
              <w:rPr>
                <w:rFonts w:ascii="宋体" w:hAnsi="宋体" w:cs="宋体" w:eastAsia="宋体" w:hint="default"/>
                <w:position w:val="-8"/>
                <w:sz w:val="20"/>
                <w:szCs w:val="20"/>
              </w:rPr>
              <w:pict>
                <v:group style="width:58.35pt;height:23.35pt;mso-position-horizontal-relative:char;mso-position-vertical-relative:line" coordorigin="0,0" coordsize="1167,467">
                  <v:group style="position:absolute;left:0;top:0;width:1167;height:467" coordorigin="0,0" coordsize="1167,467">
                    <v:shape style="position:absolute;left:0;top:0;width:1167;height:467" coordorigin="0,0" coordsize="1167,467" path="m0,467l1166,467,1166,0,0,0,0,467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2" w:lineRule="exact" w:before="1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28" w:lineRule="exact"/>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2"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33,454.66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53,398.26</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359"/>
              <w:jc w:val="right"/>
              <w:rPr>
                <w:rFonts w:ascii="宋体" w:hAnsi="宋体" w:cs="宋体" w:eastAsia="宋体" w:hint="default"/>
                <w:sz w:val="18"/>
                <w:szCs w:val="18"/>
              </w:rPr>
            </w:pPr>
            <w:r>
              <w:rPr>
                <w:rFonts w:ascii="宋体" w:hAnsi="宋体" w:cs="宋体" w:eastAsia="宋体" w:hint="default"/>
                <w:sz w:val="18"/>
                <w:szCs w:val="18"/>
              </w:rPr>
              <w:t>不适用</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2"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pStyle w:val="TableParagraph"/>
              <w:spacing w:line="242"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1491" w:hRule="exact"/>
        </w:trPr>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99"/>
              <w:jc w:val="left"/>
              <w:rPr>
                <w:rFonts w:ascii="宋体" w:hAnsi="宋体" w:cs="宋体" w:eastAsia="宋体" w:hint="default"/>
                <w:sz w:val="18"/>
                <w:szCs w:val="18"/>
              </w:rPr>
            </w:pPr>
            <w:r>
              <w:rPr>
                <w:rFonts w:ascii="宋体" w:hAnsi="宋体" w:cs="宋体" w:eastAsia="宋体" w:hint="default"/>
                <w:sz w:val="18"/>
                <w:szCs w:val="18"/>
              </w:rPr>
              <w:t>神州数码 有限公司、上海 神州数码有限公 司及广州神州数 码信息科技有限 公司</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466" w:lineRule="exact"/>
              <w:ind w:right="-50"/>
              <w:jc w:val="left"/>
              <w:rPr>
                <w:rFonts w:ascii="宋体" w:hAnsi="宋体" w:cs="宋体" w:eastAsia="宋体" w:hint="default"/>
                <w:sz w:val="20"/>
                <w:szCs w:val="20"/>
              </w:rPr>
            </w:pPr>
            <w:r>
              <w:rPr>
                <w:rFonts w:ascii="宋体" w:hAnsi="宋体" w:cs="宋体" w:eastAsia="宋体" w:hint="default"/>
                <w:position w:val="-8"/>
                <w:sz w:val="20"/>
                <w:szCs w:val="20"/>
              </w:rPr>
              <w:pict>
                <v:group style="width:58.35pt;height:23.35pt;mso-position-horizontal-relative:char;mso-position-vertical-relative:line" coordorigin="0,0" coordsize="1167,467">
                  <v:group style="position:absolute;left:0;top:0;width:1167;height:467" coordorigin="0,0" coordsize="1167,467">
                    <v:shape style="position:absolute;left:0;top:0;width:1167;height:467" coordorigin="0,0" coordsize="1167,467" path="m0,467l1166,467,1166,0,0,0,0,467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2" w:lineRule="exact" w:before="1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28" w:lineRule="exact"/>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2"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34,149.36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58,166.18</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359"/>
              <w:jc w:val="right"/>
              <w:rPr>
                <w:rFonts w:ascii="宋体" w:hAnsi="宋体" w:cs="宋体" w:eastAsia="宋体" w:hint="default"/>
                <w:sz w:val="18"/>
                <w:szCs w:val="18"/>
              </w:rPr>
            </w:pPr>
            <w:r>
              <w:rPr>
                <w:rFonts w:ascii="宋体" w:hAnsi="宋体" w:cs="宋体" w:eastAsia="宋体" w:hint="default"/>
                <w:sz w:val="18"/>
                <w:szCs w:val="18"/>
              </w:rPr>
              <w:t>不适用</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2"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pStyle w:val="TableParagraph"/>
              <w:spacing w:line="242"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558" w:hRule="exact"/>
        </w:trPr>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上海云角</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28" w:lineRule="exact"/>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1,200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1,362.51</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59"/>
              <w:jc w:val="right"/>
              <w:rPr>
                <w:rFonts w:ascii="宋体" w:hAnsi="宋体" w:cs="宋体" w:eastAsia="宋体" w:hint="default"/>
                <w:sz w:val="18"/>
                <w:szCs w:val="18"/>
              </w:rPr>
            </w:pPr>
            <w:r>
              <w:rPr>
                <w:rFonts w:ascii="宋体" w:hAnsi="宋体" w:cs="宋体" w:eastAsia="宋体" w:hint="default"/>
                <w:sz w:val="18"/>
                <w:szCs w:val="18"/>
              </w:rPr>
              <w:t>不适用</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pStyle w:val="TableParagraph"/>
              <w:spacing w:line="242"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557" w:hRule="exact"/>
        </w:trPr>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上海云角</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28" w:lineRule="exact"/>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1,800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1,868.88</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359"/>
              <w:jc w:val="right"/>
              <w:rPr>
                <w:rFonts w:ascii="宋体" w:hAnsi="宋体" w:cs="宋体" w:eastAsia="宋体" w:hint="default"/>
                <w:sz w:val="18"/>
                <w:szCs w:val="18"/>
              </w:rPr>
            </w:pPr>
            <w:r>
              <w:rPr>
                <w:rFonts w:ascii="宋体" w:hAnsi="宋体" w:cs="宋体" w:eastAsia="宋体" w:hint="default"/>
                <w:sz w:val="18"/>
                <w:szCs w:val="18"/>
              </w:rPr>
              <w:t>不适用</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pStyle w:val="TableParagraph"/>
              <w:spacing w:line="242"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巨潮资讯网</w:t>
            </w:r>
          </w:p>
        </w:tc>
      </w:tr>
    </w:tbl>
    <w:p>
      <w:pPr>
        <w:pStyle w:val="BodyText"/>
        <w:spacing w:line="240" w:lineRule="auto" w:before="10"/>
        <w:ind w:right="0"/>
        <w:jc w:val="left"/>
      </w:pPr>
      <w:r>
        <w:rPr/>
        <w:t>公司股东、交易对手方在报告年度经营业绩做出的承诺情况</w:t>
      </w:r>
    </w:p>
    <w:p>
      <w:pPr>
        <w:pStyle w:val="BodyText"/>
        <w:spacing w:line="264" w:lineRule="auto" w:before="37"/>
        <w:ind w:left="514"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郭为先生、标的资产核心管理团队向上市公司承诺，神州数码（中国）有限公司、上海神州数码有限公司及广州神州数</w:t>
      </w:r>
    </w:p>
    <w:p>
      <w:pPr>
        <w:pStyle w:val="BodyText"/>
        <w:spacing w:line="273" w:lineRule="auto" w:before="15"/>
        <w:ind w:right="1131"/>
        <w:jc w:val="both"/>
      </w:pPr>
      <w:r>
        <w:rPr/>
        <w:t>码信息科技有限公司</w:t>
      </w:r>
      <w:r>
        <w:rPr>
          <w:spacing w:val="-35"/>
        </w:rPr>
        <w:t> </w:t>
      </w:r>
      <w:r>
        <w:rPr>
          <w:rFonts w:ascii="宋体" w:hAnsi="宋体" w:cs="宋体" w:eastAsia="宋体" w:hint="default"/>
        </w:rPr>
        <w:t>2015</w:t>
      </w:r>
      <w:r>
        <w:rPr>
          <w:rFonts w:ascii="宋体" w:hAnsi="宋体" w:cs="宋体" w:eastAsia="宋体" w:hint="default"/>
          <w:spacing w:val="-35"/>
        </w:rPr>
        <w:t> </w:t>
      </w:r>
      <w:r>
        <w:rPr/>
        <w:t>年、</w:t>
      </w:r>
      <w:r>
        <w:rPr>
          <w:rFonts w:ascii="宋体" w:hAnsi="宋体" w:cs="宋体" w:eastAsia="宋体" w:hint="default"/>
        </w:rPr>
        <w:t>2016</w:t>
      </w:r>
      <w:r>
        <w:rPr>
          <w:rFonts w:ascii="宋体" w:hAnsi="宋体" w:cs="宋体" w:eastAsia="宋体" w:hint="default"/>
          <w:spacing w:val="-35"/>
        </w:rPr>
        <w:t> </w:t>
      </w:r>
      <w:r>
        <w:rPr/>
        <w:t>年、</w:t>
      </w:r>
      <w:r>
        <w:rPr>
          <w:rFonts w:ascii="宋体" w:hAnsi="宋体" w:cs="宋体" w:eastAsia="宋体" w:hint="default"/>
        </w:rPr>
        <w:t>2017</w:t>
      </w:r>
      <w:r>
        <w:rPr>
          <w:rFonts w:ascii="宋体" w:hAnsi="宋体" w:cs="宋体" w:eastAsia="宋体" w:hint="default"/>
          <w:spacing w:val="-35"/>
        </w:rPr>
        <w:t> </w:t>
      </w:r>
      <w:r>
        <w:rPr/>
        <w:t>年、</w:t>
      </w:r>
      <w:r>
        <w:rPr>
          <w:rFonts w:ascii="宋体" w:hAnsi="宋体" w:cs="宋体" w:eastAsia="宋体" w:hint="default"/>
        </w:rPr>
        <w:t>2018</w:t>
      </w:r>
      <w:r>
        <w:rPr>
          <w:rFonts w:ascii="宋体" w:hAnsi="宋体" w:cs="宋体" w:eastAsia="宋体" w:hint="default"/>
          <w:spacing w:val="-35"/>
        </w:rPr>
        <w:t> </w:t>
      </w:r>
      <w:r>
        <w:rPr/>
        <w:t>年实现的经审计的归属于母公司股东的扣除非经常性损益（该等非 </w:t>
      </w:r>
      <w:r>
        <w:rPr>
          <w:spacing w:val="-2"/>
        </w:rPr>
        <w:t>经常性损益不应包括标的资产溢余资金所产生的收益中按照会计准则规定确定为非经常性损益的部分）的税后净利润分别不</w:t>
      </w:r>
      <w:r>
        <w:rPr>
          <w:spacing w:val="-64"/>
        </w:rPr>
        <w:t> </w:t>
      </w:r>
      <w:r>
        <w:rPr>
          <w:spacing w:val="-64"/>
        </w:rPr>
      </w:r>
      <w:r>
        <w:rPr/>
        <w:t>低于人民币</w:t>
      </w:r>
      <w:r>
        <w:rPr>
          <w:spacing w:val="-46"/>
        </w:rPr>
        <w:t> </w:t>
      </w:r>
      <w:r>
        <w:rPr>
          <w:rFonts w:ascii="宋体" w:hAnsi="宋体" w:cs="宋体" w:eastAsia="宋体" w:hint="default"/>
        </w:rPr>
        <w:t>30,225.79</w:t>
      </w:r>
      <w:r>
        <w:rPr>
          <w:rFonts w:ascii="宋体" w:hAnsi="宋体" w:cs="宋体" w:eastAsia="宋体" w:hint="default"/>
          <w:spacing w:val="-46"/>
        </w:rPr>
        <w:t> </w:t>
      </w:r>
      <w:r>
        <w:rPr/>
        <w:t>万元、人民币</w:t>
      </w:r>
      <w:r>
        <w:rPr>
          <w:spacing w:val="-46"/>
        </w:rPr>
        <w:t> </w:t>
      </w:r>
      <w:r>
        <w:rPr>
          <w:rFonts w:ascii="宋体" w:hAnsi="宋体" w:cs="宋体" w:eastAsia="宋体" w:hint="default"/>
        </w:rPr>
        <w:t>32,774.95</w:t>
      </w:r>
      <w:r>
        <w:rPr>
          <w:rFonts w:ascii="宋体" w:hAnsi="宋体" w:cs="宋体" w:eastAsia="宋体" w:hint="default"/>
          <w:spacing w:val="-46"/>
        </w:rPr>
        <w:t> </w:t>
      </w:r>
      <w:r>
        <w:rPr/>
        <w:t>万元、人民币</w:t>
      </w:r>
      <w:r>
        <w:rPr>
          <w:spacing w:val="-46"/>
        </w:rPr>
        <w:t> </w:t>
      </w:r>
      <w:r>
        <w:rPr>
          <w:rFonts w:ascii="宋体" w:hAnsi="宋体" w:cs="宋体" w:eastAsia="宋体" w:hint="default"/>
        </w:rPr>
        <w:t>33,454.66</w:t>
      </w:r>
      <w:r>
        <w:rPr>
          <w:rFonts w:ascii="宋体" w:hAnsi="宋体" w:cs="宋体" w:eastAsia="宋体" w:hint="default"/>
          <w:spacing w:val="-45"/>
        </w:rPr>
        <w:t> </w:t>
      </w:r>
      <w:r>
        <w:rPr/>
        <w:t>万元、人民币</w:t>
      </w:r>
      <w:r>
        <w:rPr>
          <w:spacing w:val="-46"/>
        </w:rPr>
        <w:t> </w:t>
      </w:r>
      <w:r>
        <w:rPr>
          <w:rFonts w:ascii="宋体" w:hAnsi="宋体" w:cs="宋体" w:eastAsia="宋体" w:hint="default"/>
        </w:rPr>
        <w:t>34,149.36</w:t>
      </w:r>
      <w:r>
        <w:rPr>
          <w:rFonts w:ascii="宋体" w:hAnsi="宋体" w:cs="宋体" w:eastAsia="宋体" w:hint="default"/>
          <w:spacing w:val="-46"/>
        </w:rPr>
        <w:t> </w:t>
      </w:r>
      <w:r>
        <w:rPr/>
        <w:t>万元。</w:t>
      </w:r>
    </w:p>
    <w:p>
      <w:pPr>
        <w:pStyle w:val="BodyText"/>
        <w:spacing w:line="273" w:lineRule="auto" w:before="8"/>
        <w:ind w:right="1116" w:firstLine="360"/>
        <w:jc w:val="left"/>
      </w:pPr>
      <w:r>
        <w:rPr/>
        <w:t>郝峻晟、朱丽英承诺，上海云角</w:t>
      </w:r>
      <w:r>
        <w:rPr>
          <w:spacing w:val="-35"/>
        </w:rPr>
        <w:t> </w:t>
      </w:r>
      <w:r>
        <w:rPr>
          <w:rFonts w:ascii="宋体" w:hAnsi="宋体" w:cs="宋体" w:eastAsia="宋体" w:hint="default"/>
        </w:rPr>
        <w:t>2017</w:t>
      </w:r>
      <w:r>
        <w:rPr>
          <w:rFonts w:ascii="宋体" w:hAnsi="宋体" w:cs="宋体" w:eastAsia="宋体" w:hint="default"/>
          <w:spacing w:val="-35"/>
        </w:rPr>
        <w:t> </w:t>
      </w:r>
      <w:r>
        <w:rPr/>
        <w:t>年、</w:t>
      </w:r>
      <w:r>
        <w:rPr>
          <w:rFonts w:ascii="宋体" w:hAnsi="宋体" w:cs="宋体" w:eastAsia="宋体" w:hint="default"/>
        </w:rPr>
        <w:t>2018</w:t>
      </w:r>
      <w:r>
        <w:rPr>
          <w:rFonts w:ascii="宋体" w:hAnsi="宋体" w:cs="宋体" w:eastAsia="宋体" w:hint="default"/>
          <w:spacing w:val="-35"/>
        </w:rPr>
        <w:t> </w:t>
      </w:r>
      <w:r>
        <w:rPr/>
        <w:t>年、</w:t>
      </w:r>
      <w:r>
        <w:rPr>
          <w:rFonts w:ascii="宋体" w:hAnsi="宋体" w:cs="宋体" w:eastAsia="宋体" w:hint="default"/>
        </w:rPr>
        <w:t>2019</w:t>
      </w:r>
      <w:r>
        <w:rPr>
          <w:rFonts w:ascii="宋体" w:hAnsi="宋体" w:cs="宋体" w:eastAsia="宋体" w:hint="default"/>
          <w:spacing w:val="-34"/>
        </w:rPr>
        <w:t> </w:t>
      </w:r>
      <w:r>
        <w:rPr/>
        <w:t>年、</w:t>
      </w:r>
      <w:r>
        <w:rPr>
          <w:rFonts w:ascii="宋体" w:hAnsi="宋体" w:cs="宋体" w:eastAsia="宋体" w:hint="default"/>
        </w:rPr>
        <w:t>2020</w:t>
      </w:r>
      <w:r>
        <w:rPr>
          <w:rFonts w:ascii="宋体" w:hAnsi="宋体" w:cs="宋体" w:eastAsia="宋体" w:hint="default"/>
          <w:spacing w:val="-35"/>
        </w:rPr>
        <w:t> </w:t>
      </w:r>
      <w:r>
        <w:rPr/>
        <w:t>年实现的经审计的扣除非经常性损益的税后净利润 分别不低于人民币</w:t>
      </w:r>
      <w:r>
        <w:rPr>
          <w:spacing w:val="-46"/>
        </w:rPr>
        <w:t> </w:t>
      </w:r>
      <w:r>
        <w:rPr>
          <w:rFonts w:ascii="宋体" w:hAnsi="宋体" w:cs="宋体" w:eastAsia="宋体" w:hint="default"/>
        </w:rPr>
        <w:t>1,200</w:t>
      </w:r>
      <w:r>
        <w:rPr>
          <w:rFonts w:ascii="宋体" w:hAnsi="宋体" w:cs="宋体" w:eastAsia="宋体" w:hint="default"/>
          <w:spacing w:val="-46"/>
        </w:rPr>
        <w:t> </w:t>
      </w:r>
      <w:r>
        <w:rPr/>
        <w:t>万元、人民币</w:t>
      </w:r>
      <w:r>
        <w:rPr>
          <w:spacing w:val="-46"/>
        </w:rPr>
        <w:t> </w:t>
      </w:r>
      <w:r>
        <w:rPr>
          <w:rFonts w:ascii="宋体" w:hAnsi="宋体" w:cs="宋体" w:eastAsia="宋体" w:hint="default"/>
        </w:rPr>
        <w:t>1,800</w:t>
      </w:r>
      <w:r>
        <w:rPr>
          <w:rFonts w:ascii="宋体" w:hAnsi="宋体" w:cs="宋体" w:eastAsia="宋体" w:hint="default"/>
          <w:spacing w:val="-46"/>
        </w:rPr>
        <w:t> </w:t>
      </w:r>
      <w:r>
        <w:rPr/>
        <w:t>万元、人民币</w:t>
      </w:r>
      <w:r>
        <w:rPr>
          <w:spacing w:val="-46"/>
        </w:rPr>
        <w:t> </w:t>
      </w:r>
      <w:r>
        <w:rPr>
          <w:rFonts w:ascii="宋体" w:hAnsi="宋体" w:cs="宋体" w:eastAsia="宋体" w:hint="default"/>
        </w:rPr>
        <w:t>2,700</w:t>
      </w:r>
      <w:r>
        <w:rPr>
          <w:rFonts w:ascii="宋体" w:hAnsi="宋体" w:cs="宋体" w:eastAsia="宋体" w:hint="default"/>
          <w:spacing w:val="-46"/>
        </w:rPr>
        <w:t> </w:t>
      </w:r>
      <w:r>
        <w:rPr/>
        <w:t>万元、人民币</w:t>
      </w:r>
      <w:r>
        <w:rPr>
          <w:spacing w:val="-46"/>
        </w:rPr>
        <w:t> </w:t>
      </w:r>
      <w:r>
        <w:rPr>
          <w:rFonts w:ascii="宋体" w:hAnsi="宋体" w:cs="宋体" w:eastAsia="宋体" w:hint="default"/>
        </w:rPr>
        <w:t>3,645</w:t>
      </w:r>
      <w:r>
        <w:rPr>
          <w:rFonts w:ascii="宋体" w:hAnsi="宋体" w:cs="宋体" w:eastAsia="宋体" w:hint="default"/>
          <w:spacing w:val="-46"/>
        </w:rPr>
        <w:t> </w:t>
      </w:r>
      <w:r>
        <w:rPr/>
        <w:t>万元。</w:t>
      </w:r>
    </w:p>
    <w:p>
      <w:pPr>
        <w:spacing w:line="240" w:lineRule="auto" w:before="10"/>
        <w:rPr>
          <w:rFonts w:ascii="宋体" w:hAnsi="宋体" w:cs="宋体" w:eastAsia="宋体" w:hint="default"/>
          <w:sz w:val="18"/>
          <w:szCs w:val="18"/>
        </w:rPr>
      </w:pPr>
    </w:p>
    <w:p>
      <w:pPr>
        <w:pStyle w:val="BodyText"/>
        <w:spacing w:line="273" w:lineRule="auto"/>
        <w:ind w:left="514" w:right="6252" w:hanging="360"/>
        <w:jc w:val="left"/>
      </w:pPr>
      <w:r>
        <w:rPr/>
        <w:t>业绩承诺的完成情况及其对商誉减值测试的影响 上述业绩承诺均已完成，本报告期未发生商誉减值。</w:t>
      </w:r>
    </w:p>
    <w:p>
      <w:pPr>
        <w:spacing w:line="240" w:lineRule="auto" w:before="11"/>
        <w:rPr>
          <w:rFonts w:ascii="宋体" w:hAnsi="宋体" w:cs="宋体" w:eastAsia="宋体" w:hint="default"/>
          <w:sz w:val="22"/>
          <w:szCs w:val="22"/>
        </w:rPr>
      </w:pPr>
    </w:p>
    <w:p>
      <w:pPr>
        <w:pStyle w:val="Heading2"/>
        <w:spacing w:line="240" w:lineRule="auto"/>
        <w:ind w:right="0"/>
        <w:jc w:val="left"/>
        <w:rPr>
          <w:b w:val="0"/>
          <w:bCs w:val="0"/>
        </w:rPr>
      </w:pPr>
      <w:bookmarkStart w:name="四、控股股东及其关联方对上市公司的非经营性占用资金情况" w:id="68"/>
      <w:bookmarkEnd w:id="68"/>
      <w:r>
        <w:rPr>
          <w:b w:val="0"/>
          <w:bCs w:val="0"/>
        </w:rPr>
      </w:r>
      <w:r>
        <w:rPr/>
        <w:t>四、控股股东及其关联方对上市公司的非经营性占用资金情况</w:t>
      </w:r>
      <w:r>
        <w:rPr>
          <w:b w:val="0"/>
          <w:bCs w:val="0"/>
        </w:rPr>
      </w:r>
    </w:p>
    <w:p>
      <w:pPr>
        <w:spacing w:line="240" w:lineRule="auto" w:before="6"/>
        <w:rPr>
          <w:rFonts w:ascii="宋体" w:hAnsi="宋体" w:cs="宋体" w:eastAsia="宋体" w:hint="default"/>
          <w:b/>
          <w:bCs/>
          <w:sz w:val="23"/>
          <w:szCs w:val="23"/>
        </w:rPr>
      </w:pPr>
    </w:p>
    <w:p>
      <w:pPr>
        <w:pStyle w:val="BodyText"/>
        <w:spacing w:line="264" w:lineRule="auto"/>
        <w:ind w:right="4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after="0" w:line="264" w:lineRule="auto"/>
        <w:jc w:val="left"/>
        <w:sectPr>
          <w:headerReference w:type="default" r:id="rId25"/>
          <w:footerReference w:type="default" r:id="rId26"/>
          <w:pgSz w:w="11910" w:h="16840"/>
          <w:pgMar w:header="877" w:footer="979" w:top="1100" w:bottom="1160" w:left="980" w:right="0"/>
          <w:pgNumType w:start="44"/>
        </w:sectPr>
      </w:pPr>
    </w:p>
    <w:p>
      <w:pPr>
        <w:spacing w:line="240" w:lineRule="auto" w:before="7"/>
        <w:rPr>
          <w:rFonts w:ascii="宋体" w:hAnsi="宋体" w:cs="宋体" w:eastAsia="宋体" w:hint="default"/>
          <w:sz w:val="19"/>
          <w:szCs w:val="19"/>
        </w:rPr>
      </w:pPr>
    </w:p>
    <w:p>
      <w:pPr>
        <w:pStyle w:val="Heading2"/>
        <w:spacing w:line="240" w:lineRule="auto" w:before="26"/>
        <w:ind w:right="0"/>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2"/>
        <w:rPr>
          <w:rFonts w:ascii="宋体" w:hAnsi="宋体" w:cs="宋体" w:eastAsia="宋体" w:hint="default"/>
          <w:sz w:val="21"/>
          <w:szCs w:val="21"/>
        </w:rPr>
      </w:pPr>
    </w:p>
    <w:p>
      <w:pPr>
        <w:pStyle w:val="Heading2"/>
        <w:spacing w:line="240" w:lineRule="auto"/>
        <w:ind w:right="0"/>
        <w:jc w:val="left"/>
        <w:rPr>
          <w:b w:val="0"/>
          <w:bCs w:val="0"/>
        </w:rPr>
      </w:pPr>
      <w:bookmarkStart w:name="六、与上年度财务报告相比，会计政策、会计估计和核算方法发生变化的情况说明" w:id="70"/>
      <w:bookmarkEnd w:id="70"/>
      <w:r>
        <w:rPr>
          <w:b w:val="0"/>
          <w:bCs w:val="0"/>
        </w:rPr>
      </w:r>
      <w:r>
        <w:rPr/>
        <w:t>六、与上年度财务报告相比，会计政策、会计估计和核算方法发生变化的情况说明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59" w:lineRule="auto" w:before="24"/>
        <w:ind w:left="514" w:right="0"/>
        <w:jc w:val="left"/>
      </w:pPr>
      <w:r>
        <w:rPr/>
        <w:t>（</w:t>
      </w:r>
      <w:r>
        <w:rPr>
          <w:rFonts w:ascii="Times New Roman" w:hAnsi="Times New Roman" w:cs="Times New Roman" w:eastAsia="Times New Roman" w:hint="default"/>
        </w:rPr>
        <w:t>1</w:t>
      </w:r>
      <w:r>
        <w:rPr/>
        <w:t>）重要会计政策变更 </w:t>
      </w:r>
      <w:r>
        <w:rPr>
          <w:spacing w:val="-2"/>
        </w:rPr>
        <w:t>财政部于</w:t>
      </w:r>
      <w:r>
        <w:rPr>
          <w:rFonts w:ascii="Times New Roman" w:hAnsi="Times New Roman" w:cs="Times New Roman" w:eastAsia="Times New Roman" w:hint="default"/>
          <w:spacing w:val="-2"/>
        </w:rPr>
        <w:t>2018</w:t>
      </w:r>
      <w:r>
        <w:rPr>
          <w:spacing w:val="-2"/>
        </w:rPr>
        <w:t>年颁布了《关于修订印发</w:t>
      </w:r>
      <w:r>
        <w:rPr>
          <w:rFonts w:ascii="Times New Roman" w:hAnsi="Times New Roman" w:cs="Times New Roman" w:eastAsia="Times New Roman" w:hint="default"/>
          <w:spacing w:val="-2"/>
        </w:rPr>
        <w:t>2018</w:t>
      </w:r>
      <w:r>
        <w:rPr>
          <w:spacing w:val="-2"/>
        </w:rPr>
        <w:t>年度一般企业财务报表格式的通知》（财会【</w:t>
      </w:r>
      <w:r>
        <w:rPr>
          <w:rFonts w:ascii="Times New Roman" w:hAnsi="Times New Roman" w:cs="Times New Roman" w:eastAsia="Times New Roman" w:hint="default"/>
          <w:spacing w:val="-2"/>
        </w:rPr>
        <w:t>2018</w:t>
      </w:r>
      <w:r>
        <w:rPr>
          <w:spacing w:val="-2"/>
        </w:rPr>
        <w:t>】</w:t>
      </w:r>
      <w:r>
        <w:rPr>
          <w:rFonts w:ascii="Times New Roman" w:hAnsi="Times New Roman" w:cs="Times New Roman" w:eastAsia="Times New Roman" w:hint="default"/>
          <w:spacing w:val="-2"/>
        </w:rPr>
        <w:t>15</w:t>
      </w:r>
      <w:r>
        <w:rPr>
          <w:spacing w:val="-2"/>
        </w:rPr>
        <w:t>号）及其解读，本集</w:t>
      </w:r>
    </w:p>
    <w:p>
      <w:pPr>
        <w:pStyle w:val="BodyText"/>
        <w:spacing w:line="256" w:lineRule="auto" w:before="3"/>
        <w:ind w:right="0"/>
        <w:jc w:val="left"/>
      </w:pPr>
      <w:r>
        <w:rPr>
          <w:spacing w:val="-2"/>
        </w:rPr>
        <w:t>团已按照上述通知编制</w:t>
      </w:r>
      <w:r>
        <w:rPr>
          <w:rFonts w:ascii="Times New Roman" w:hAnsi="Times New Roman" w:cs="Times New Roman" w:eastAsia="Times New Roman" w:hint="default"/>
          <w:spacing w:val="-2"/>
        </w:rPr>
        <w:t>2018</w:t>
      </w:r>
      <w:r>
        <w:rPr>
          <w:spacing w:val="-2"/>
        </w:rPr>
        <w:t>年度的财务报表，比较财务报表相应调整。会计政策变更对本集团财务报表的具体影响见本报告</w:t>
      </w:r>
      <w:r>
        <w:rPr>
          <w:spacing w:val="-60"/>
        </w:rPr>
        <w:t> </w:t>
      </w:r>
      <w:r>
        <w:rPr>
          <w:spacing w:val="-60"/>
        </w:rPr>
      </w:r>
      <w:r>
        <w:rPr/>
        <w:t>第十一节财务报告、五、重要会计政策及会计估计、</w:t>
      </w:r>
      <w:r>
        <w:rPr>
          <w:rFonts w:ascii="Times New Roman" w:hAnsi="Times New Roman" w:cs="Times New Roman" w:eastAsia="Times New Roman" w:hint="default"/>
        </w:rPr>
        <w:t>31</w:t>
      </w:r>
      <w:r>
        <w:rPr/>
        <w:t>重要会计政策和会计估计变更。</w:t>
      </w:r>
    </w:p>
    <w:p>
      <w:pPr>
        <w:pStyle w:val="BodyText"/>
        <w:spacing w:line="259" w:lineRule="auto" w:before="5"/>
        <w:ind w:left="514" w:right="7692"/>
        <w:jc w:val="left"/>
      </w:pPr>
      <w:r>
        <w:rPr/>
        <w:t>（</w:t>
      </w:r>
      <w:r>
        <w:rPr>
          <w:rFonts w:ascii="Times New Roman" w:hAnsi="Times New Roman" w:cs="Times New Roman" w:eastAsia="Times New Roman" w:hint="default"/>
        </w:rPr>
        <w:t>2</w:t>
      </w:r>
      <w:r>
        <w:rPr/>
        <w:t>）会计估计变更 本集团本年未发生会计估计变更。</w:t>
      </w:r>
    </w:p>
    <w:p>
      <w:pPr>
        <w:spacing w:line="240" w:lineRule="auto" w:before="9"/>
        <w:rPr>
          <w:rFonts w:ascii="宋体" w:hAnsi="宋体" w:cs="宋体" w:eastAsia="宋体" w:hint="default"/>
          <w:sz w:val="23"/>
          <w:szCs w:val="23"/>
        </w:rPr>
      </w:pPr>
    </w:p>
    <w:p>
      <w:pPr>
        <w:pStyle w:val="Heading2"/>
        <w:spacing w:line="240" w:lineRule="auto"/>
        <w:ind w:right="0"/>
        <w:jc w:val="left"/>
        <w:rPr>
          <w:b w:val="0"/>
          <w:bCs w:val="0"/>
        </w:rPr>
      </w:pPr>
      <w:bookmarkStart w:name="七、报告期内发生重大会计差错更正需追溯重述的情况说明" w:id="71"/>
      <w:bookmarkEnd w:id="71"/>
      <w:r>
        <w:rPr>
          <w:b w:val="0"/>
          <w:bCs w:val="0"/>
        </w:rPr>
      </w:r>
      <w:r>
        <w:rPr/>
        <w:t>七、报告期内发生重大会计差错更正需追溯重述的情况说明</w:t>
      </w:r>
      <w:r>
        <w:rPr>
          <w:b w:val="0"/>
          <w:bCs w:val="0"/>
        </w:rPr>
      </w:r>
    </w:p>
    <w:p>
      <w:pPr>
        <w:spacing w:line="240" w:lineRule="auto" w:before="6"/>
        <w:rPr>
          <w:rFonts w:ascii="宋体" w:hAnsi="宋体" w:cs="宋体" w:eastAsia="宋体" w:hint="default"/>
          <w:b/>
          <w:bCs/>
          <w:sz w:val="23"/>
          <w:szCs w:val="23"/>
        </w:rPr>
      </w:pPr>
    </w:p>
    <w:p>
      <w:pPr>
        <w:pStyle w:val="BodyText"/>
        <w:spacing w:line="264" w:lineRule="auto"/>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八、与上年度财务报告相比，合并报表范围发生变化的情况说明" w:id="72"/>
      <w:bookmarkEnd w:id="72"/>
      <w:r>
        <w:rPr>
          <w:b w:val="0"/>
          <w:bCs w:val="0"/>
        </w:rPr>
      </w:r>
      <w:r>
        <w:rPr/>
        <w:t>八、与上年度财务报告相比，合并报表范围发生变化的情况说明</w:t>
      </w:r>
      <w:r>
        <w:rPr>
          <w:b w:val="0"/>
          <w:bCs w:val="0"/>
        </w:rPr>
      </w:r>
    </w:p>
    <w:p>
      <w:pPr>
        <w:spacing w:line="240" w:lineRule="auto" w:before="6"/>
        <w:rPr>
          <w:rFonts w:ascii="宋体" w:hAnsi="宋体" w:cs="宋体" w:eastAsia="宋体" w:hint="default"/>
          <w:b/>
          <w:bCs/>
          <w:sz w:val="23"/>
          <w:szCs w:val="23"/>
        </w:rPr>
      </w:pPr>
    </w:p>
    <w:p>
      <w:pPr>
        <w:pStyle w:val="BodyText"/>
        <w:spacing w:line="264" w:lineRule="auto"/>
        <w:ind w:left="514"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本集团合并财务报表范围包括本公司、神码中国、神码上海、神码广州信息等</w:t>
      </w:r>
      <w:r>
        <w:rPr>
          <w:rFonts w:ascii="Times New Roman" w:hAnsi="Times New Roman" w:cs="Times New Roman" w:eastAsia="Times New Roman" w:hint="default"/>
          <w:spacing w:val="-2"/>
        </w:rPr>
        <w:t>44</w:t>
      </w:r>
      <w:r>
        <w:rPr>
          <w:spacing w:val="-2"/>
        </w:rPr>
        <w:t>家公司。与上年相比，本年因非同一控</w:t>
      </w:r>
    </w:p>
    <w:p>
      <w:pPr>
        <w:pStyle w:val="BodyText"/>
        <w:spacing w:line="259" w:lineRule="auto"/>
        <w:ind w:right="1112"/>
        <w:jc w:val="left"/>
      </w:pPr>
      <w:r>
        <w:rPr/>
        <w:t>制下企业合并增加智慧神州（北京）投资管理有限公司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智慧神州</w:t>
      </w:r>
      <w:r>
        <w:rPr>
          <w:rFonts w:ascii="Times New Roman" w:hAnsi="Times New Roman" w:cs="Times New Roman" w:eastAsia="Times New Roman" w:hint="default"/>
        </w:rPr>
        <w:t>”</w:t>
      </w:r>
      <w:r>
        <w:rPr>
          <w:rFonts w:ascii="Times New Roman" w:hAnsi="Times New Roman" w:cs="Times New Roman" w:eastAsia="Times New Roman" w:hint="default"/>
        </w:rPr>
        <w:t>)</w:t>
      </w:r>
      <w:r>
        <w:rPr/>
        <w:t>，因设立新增深圳神州数码电商服务有限公司</w:t>
      </w:r>
      <w:r>
        <w:rPr>
          <w:w w:val="99"/>
        </w:rPr>
        <w:t> </w:t>
      </w:r>
      <w:r>
        <w:rPr/>
        <w:t>及</w:t>
      </w:r>
      <w:r>
        <w:rPr>
          <w:rFonts w:ascii="Times New Roman" w:hAnsi="Times New Roman" w:cs="Times New Roman" w:eastAsia="Times New Roman" w:hint="default"/>
        </w:rPr>
        <w:t>Digital China Technology (Malaysia)</w:t>
      </w:r>
      <w:r>
        <w:rPr>
          <w:rFonts w:ascii="Times New Roman" w:hAnsi="Times New Roman" w:cs="Times New Roman" w:eastAsia="Times New Roman" w:hint="default"/>
          <w:spacing w:val="-8"/>
        </w:rPr>
        <w:t> </w:t>
      </w:r>
      <w:r>
        <w:rPr>
          <w:rFonts w:ascii="Times New Roman" w:hAnsi="Times New Roman" w:cs="Times New Roman" w:eastAsia="Times New Roman" w:hint="default"/>
        </w:rPr>
        <w:t>Sdn.Bhd</w:t>
      </w:r>
      <w:r>
        <w:rPr/>
        <w:t>。</w:t>
      </w:r>
    </w:p>
    <w:p>
      <w:pPr>
        <w:spacing w:line="240" w:lineRule="auto" w:before="7"/>
        <w:rPr>
          <w:rFonts w:ascii="宋体" w:hAnsi="宋体" w:cs="宋体" w:eastAsia="宋体" w:hint="default"/>
          <w:sz w:val="22"/>
          <w:szCs w:val="22"/>
        </w:rPr>
      </w:pPr>
    </w:p>
    <w:p>
      <w:pPr>
        <w:pStyle w:val="Heading2"/>
        <w:spacing w:line="240" w:lineRule="auto"/>
        <w:ind w:right="0"/>
        <w:jc w:val="left"/>
        <w:rPr>
          <w:b w:val="0"/>
          <w:bCs w:val="0"/>
        </w:rPr>
      </w:pPr>
      <w:bookmarkStart w:name="九、聘任、解聘会计师事务所情况" w:id="73"/>
      <w:bookmarkEnd w:id="73"/>
      <w:r>
        <w:rPr>
          <w:b w:val="0"/>
          <w:bCs w:val="0"/>
        </w:rPr>
      </w:r>
      <w:r>
        <w:rPr/>
        <w:t>九、聘任、解聘会计师事务所情况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right="0"/>
        <w:jc w:val="left"/>
      </w:pPr>
      <w:r>
        <w:rPr/>
        <w:t>现聘任的会计师事务所</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324"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296"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3" w:right="0"/>
              <w:jc w:val="left"/>
              <w:rPr>
                <w:rFonts w:ascii="Times New Roman" w:hAnsi="Times New Roman" w:cs="Times New Roman" w:eastAsia="Times New Roman" w:hint="default"/>
                <w:sz w:val="18"/>
                <w:szCs w:val="18"/>
              </w:rPr>
            </w:pPr>
            <w:r>
              <w:rPr>
                <w:rFonts w:ascii="Times New Roman"/>
                <w:sz w:val="18"/>
              </w:rPr>
              <w:t>243</w:t>
            </w:r>
          </w:p>
        </w:tc>
      </w:tr>
      <w:tr>
        <w:trPr>
          <w:trHeight w:val="324"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2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唐炫、唐静</w:t>
            </w:r>
          </w:p>
        </w:tc>
      </w:tr>
      <w:tr>
        <w:trPr>
          <w:trHeight w:val="324"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10"/>
        <w:ind w:right="0"/>
        <w:jc w:val="left"/>
      </w:pPr>
      <w:r>
        <w:rPr/>
        <w:t>当期是否改聘会计师事务所</w:t>
      </w:r>
    </w:p>
    <w:p>
      <w:pPr>
        <w:pStyle w:val="BodyText"/>
        <w:spacing w:line="264" w:lineRule="auto" w:before="37"/>
        <w:ind w:right="62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2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24"/>
        <w:ind w:left="514" w:right="0"/>
        <w:jc w:val="left"/>
      </w:pPr>
      <w:r>
        <w:rPr>
          <w:spacing w:val="-3"/>
        </w:rPr>
        <w:t>报告期内公司聘请信永中和会计师事务所（特殊普通合伙）为</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年度内部控制审计机构，审计费用为人民币</w:t>
      </w:r>
      <w:r>
        <w:rPr>
          <w:spacing w:val="-46"/>
        </w:rPr>
        <w:t> </w:t>
      </w:r>
      <w:r>
        <w:rPr>
          <w:rFonts w:ascii="Times New Roman" w:hAnsi="Times New Roman" w:cs="Times New Roman" w:eastAsia="Times New Roman" w:hint="default"/>
        </w:rPr>
        <w:t>35</w:t>
      </w:r>
      <w:r>
        <w:rPr>
          <w:rFonts w:ascii="Times New Roman" w:hAnsi="Times New Roman" w:cs="Times New Roman" w:eastAsia="Times New Roman" w:hint="default"/>
          <w:spacing w:val="-1"/>
        </w:rPr>
        <w:t> </w:t>
      </w:r>
      <w:r>
        <w:rPr/>
        <w:t>万元</w:t>
      </w:r>
    </w:p>
    <w:p>
      <w:pPr>
        <w:pStyle w:val="BodyText"/>
        <w:spacing w:line="240" w:lineRule="auto" w:before="21"/>
        <w:ind w:right="0"/>
        <w:jc w:val="left"/>
      </w:pPr>
      <w:r>
        <w:rPr/>
        <w:t>（此费用不包括在上述</w:t>
      </w:r>
      <w:r>
        <w:rPr>
          <w:spacing w:val="-46"/>
        </w:rPr>
        <w:t> </w:t>
      </w:r>
      <w:r>
        <w:rPr>
          <w:rFonts w:ascii="Times New Roman" w:hAnsi="Times New Roman" w:cs="Times New Roman" w:eastAsia="Times New Roman" w:hint="default"/>
        </w:rPr>
        <w:t>243 </w:t>
      </w:r>
      <w:r>
        <w:rPr/>
        <w:t>万中），截止</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月尚未支付。</w:t>
      </w:r>
    </w:p>
    <w:p>
      <w:pPr>
        <w:spacing w:line="240" w:lineRule="auto" w:before="9"/>
        <w:rPr>
          <w:rFonts w:ascii="宋体" w:hAnsi="宋体" w:cs="宋体" w:eastAsia="宋体" w:hint="default"/>
          <w:sz w:val="23"/>
          <w:szCs w:val="23"/>
        </w:rPr>
      </w:pPr>
    </w:p>
    <w:p>
      <w:pPr>
        <w:pStyle w:val="Heading2"/>
        <w:spacing w:line="240" w:lineRule="auto"/>
        <w:ind w:right="0"/>
        <w:jc w:val="left"/>
        <w:rPr>
          <w:b w:val="0"/>
          <w:bCs w:val="0"/>
        </w:rPr>
      </w:pPr>
      <w:bookmarkStart w:name="十、年度报告披露后面临暂停上市和终止上市情况" w:id="74"/>
      <w:bookmarkEnd w:id="74"/>
      <w:r>
        <w:rPr>
          <w:b w:val="0"/>
          <w:bCs w:val="0"/>
        </w:rPr>
      </w:r>
      <w:r>
        <w:rPr/>
        <w:t>十、年度报告披露后面临暂停上市和终止上市情况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1"/>
          <w:szCs w:val="21"/>
        </w:rPr>
      </w:pPr>
    </w:p>
    <w:p>
      <w:pPr>
        <w:pStyle w:val="Heading2"/>
        <w:spacing w:line="240" w:lineRule="auto"/>
        <w:ind w:right="0"/>
        <w:jc w:val="left"/>
        <w:rPr>
          <w:b w:val="0"/>
          <w:bCs w:val="0"/>
        </w:rPr>
      </w:pPr>
      <w:bookmarkStart w:name="十一、破产重整相关事项" w:id="75"/>
      <w:bookmarkEnd w:id="75"/>
      <w:r>
        <w:rPr>
          <w:b w:val="0"/>
          <w:bCs w:val="0"/>
        </w:rPr>
      </w:r>
      <w:r>
        <w:rPr/>
        <w:t>十一、破产重整相关事项</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10"/>
        <w:rPr>
          <w:rFonts w:ascii="宋体" w:hAnsi="宋体" w:cs="宋体" w:eastAsia="宋体" w:hint="default"/>
          <w:sz w:val="18"/>
          <w:szCs w:val="18"/>
        </w:rPr>
      </w:pPr>
    </w:p>
    <w:p>
      <w:pPr>
        <w:pStyle w:val="BodyText"/>
        <w:spacing w:line="240" w:lineRule="auto" w:before="44"/>
        <w:ind w:right="0"/>
        <w:jc w:val="left"/>
      </w:pPr>
      <w:r>
        <w:rPr/>
        <w:t>公司报告期未发生破产重整相关事项。</w:t>
      </w:r>
    </w:p>
    <w:p>
      <w:pPr>
        <w:spacing w:line="240" w:lineRule="auto" w:before="2"/>
        <w:rPr>
          <w:rFonts w:ascii="宋体" w:hAnsi="宋体" w:cs="宋体" w:eastAsia="宋体" w:hint="default"/>
          <w:sz w:val="22"/>
          <w:szCs w:val="22"/>
        </w:rPr>
      </w:pPr>
    </w:p>
    <w:p>
      <w:pPr>
        <w:pStyle w:val="Heading2"/>
        <w:spacing w:line="240" w:lineRule="auto"/>
        <w:ind w:right="0"/>
        <w:jc w:val="left"/>
        <w:rPr>
          <w:b w:val="0"/>
          <w:bCs w:val="0"/>
        </w:rPr>
      </w:pPr>
      <w:bookmarkStart w:name="十二、重大诉讼、仲裁事项" w:id="76"/>
      <w:bookmarkEnd w:id="76"/>
      <w:r>
        <w:rPr>
          <w:b w:val="0"/>
          <w:bCs w:val="0"/>
        </w:rPr>
      </w:r>
      <w:r>
        <w:rPr/>
        <w:t>十二、重大诉讼、仲裁事项</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right="0"/>
        <w:jc w:val="left"/>
      </w:pPr>
      <w:r>
        <w:rPr/>
        <w:pict>
          <v:shape style="position:absolute;margin-left:382.299988pt;margin-top:55.231712pt;width:50pt;height:29.2pt;mso-position-horizontal-relative:page;mso-position-vertical-relative:paragraph;z-index:-1465432" type="#_x0000_t202" filled="false" stroked="false">
            <v:textbox inset="0,0,0,0">
              <w:txbxContent>
                <w:p>
                  <w:pPr>
                    <w:spacing w:line="240" w:lineRule="auto" w:before="8"/>
                    <w:rPr>
                      <w:rFonts w:ascii="宋体" w:hAnsi="宋体" w:cs="宋体" w:eastAsia="宋体" w:hint="default"/>
                      <w:sz w:val="18"/>
                      <w:szCs w:val="18"/>
                    </w:rPr>
                  </w:pPr>
                </w:p>
                <w:p>
                  <w:pPr>
                    <w:pStyle w:val="BodyText"/>
                    <w:spacing w:line="240" w:lineRule="auto"/>
                    <w:ind w:left="0" w:right="0"/>
                    <w:jc w:val="left"/>
                  </w:pPr>
                  <w:r>
                    <w:rPr/>
                    <w:t>）</w:t>
                  </w: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3"/>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2094"/>
        <w:gridCol w:w="708"/>
        <w:gridCol w:w="709"/>
        <w:gridCol w:w="993"/>
        <w:gridCol w:w="2126"/>
        <w:gridCol w:w="886"/>
        <w:gridCol w:w="1064"/>
        <w:gridCol w:w="1064"/>
      </w:tblGrid>
      <w:tr>
        <w:trPr>
          <w:trHeight w:val="790" w:hRule="exact"/>
        </w:trPr>
        <w:tc>
          <w:tcPr>
            <w:tcW w:w="2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基本情况</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77" w:right="78"/>
              <w:jc w:val="both"/>
              <w:rPr>
                <w:rFonts w:ascii="宋体" w:hAnsi="宋体" w:cs="宋体" w:eastAsia="宋体" w:hint="default"/>
                <w:sz w:val="18"/>
                <w:szCs w:val="18"/>
              </w:rPr>
            </w:pPr>
            <w:r>
              <w:rPr>
                <w:rFonts w:ascii="宋体" w:hAnsi="宋体" w:cs="宋体" w:eastAsia="宋体" w:hint="default"/>
                <w:sz w:val="18"/>
                <w:szCs w:val="18"/>
              </w:rPr>
              <w:t>涉案金 额（万 元）</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79" w:right="78"/>
              <w:jc w:val="both"/>
              <w:rPr>
                <w:rFonts w:ascii="宋体" w:hAnsi="宋体" w:cs="宋体" w:eastAsia="宋体" w:hint="default"/>
                <w:sz w:val="18"/>
                <w:szCs w:val="18"/>
              </w:rPr>
            </w:pPr>
            <w:r>
              <w:rPr>
                <w:rFonts w:ascii="宋体" w:hAnsi="宋体" w:cs="宋体" w:eastAsia="宋体" w:hint="default"/>
                <w:sz w:val="18"/>
                <w:szCs w:val="18"/>
              </w:rPr>
              <w:t>是否形 成预计 负债</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148"/>
              <w:ind w:left="311" w:right="70" w:hanging="24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148"/>
              <w:ind w:left="968" w:right="96" w:hanging="87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审理结果及影 响</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48" w:right="46"/>
              <w:jc w:val="center"/>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 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判决执 行情况</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492" w:hRule="exact"/>
        </w:trPr>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37" w:lineRule="auto"/>
              <w:ind w:left="22" w:right="81"/>
              <w:jc w:val="both"/>
              <w:rPr>
                <w:rFonts w:ascii="宋体" w:hAnsi="宋体" w:cs="宋体" w:eastAsia="宋体" w:hint="default"/>
                <w:sz w:val="18"/>
                <w:szCs w:val="18"/>
              </w:rPr>
            </w:pPr>
            <w:r>
              <w:rPr>
                <w:rFonts w:ascii="宋体" w:hAnsi="宋体" w:cs="宋体" w:eastAsia="宋体" w:hint="default"/>
                <w:sz w:val="18"/>
                <w:szCs w:val="18"/>
              </w:rPr>
              <w:t>寰球实业（安徽）有限公 司就神码北京、北京卓优 世纪科技有限公司、神码 中国合同纠纷提起诉讼</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5,697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2" w:right="58"/>
              <w:jc w:val="left"/>
              <w:rPr>
                <w:rFonts w:ascii="宋体" w:hAnsi="宋体" w:cs="宋体" w:eastAsia="宋体" w:hint="default"/>
                <w:sz w:val="18"/>
                <w:szCs w:val="18"/>
              </w:rPr>
            </w:pPr>
            <w:r>
              <w:rPr>
                <w:rFonts w:ascii="宋体" w:hAnsi="宋体" w:cs="宋体" w:eastAsia="宋体" w:hint="default"/>
                <w:sz w:val="18"/>
                <w:szCs w:val="18"/>
              </w:rPr>
              <w:t>民事裁定书 生效</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9"/>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日，安徽省 高级人民法院作出（</w:t>
            </w:r>
            <w:r>
              <w:rPr>
                <w:rFonts w:ascii="Times New Roman" w:hAnsi="Times New Roman" w:cs="Times New Roman" w:eastAsia="Times New Roman" w:hint="default"/>
                <w:sz w:val="18"/>
                <w:szCs w:val="18"/>
              </w:rPr>
              <w:t>2017 </w:t>
            </w:r>
            <w:r>
              <w:rPr>
                <w:rFonts w:ascii="宋体" w:hAnsi="宋体" w:cs="宋体" w:eastAsia="宋体" w:hint="default"/>
                <w:sz w:val="18"/>
                <w:szCs w:val="18"/>
              </w:rPr>
              <w:t>皖民终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号《民事裁定 </w:t>
            </w:r>
            <w:r>
              <w:rPr>
                <w:rFonts w:ascii="宋体" w:hAnsi="宋体" w:cs="宋体" w:eastAsia="宋体" w:hint="default"/>
                <w:spacing w:val="-8"/>
                <w:sz w:val="18"/>
                <w:szCs w:val="18"/>
              </w:rPr>
              <w:t>书》，裁定驳回上诉，维持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原裁定。本裁定为终审裁 定。</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583" w:lineRule="exact"/>
              <w:ind w:right="-51"/>
              <w:jc w:val="left"/>
              <w:rPr>
                <w:rFonts w:ascii="宋体" w:hAnsi="宋体" w:cs="宋体" w:eastAsia="宋体" w:hint="default"/>
                <w:sz w:val="20"/>
                <w:szCs w:val="20"/>
              </w:rPr>
            </w:pPr>
            <w:r>
              <w:rPr>
                <w:rFonts w:ascii="宋体" w:hAnsi="宋体" w:cs="宋体" w:eastAsia="宋体" w:hint="default"/>
                <w:position w:val="-11"/>
                <w:sz w:val="20"/>
                <w:szCs w:val="20"/>
              </w:rPr>
              <w:pict>
                <v:group style="width:43.85pt;height:29.2pt;mso-position-horizontal-relative:char;mso-position-vertical-relative:line" coordorigin="0,0" coordsize="877,584">
                  <v:group style="position:absolute;left:0;top:0;width:877;height:584" coordorigin="0,0" coordsize="877,584">
                    <v:shape style="position:absolute;left:0;top:0;width:877;height:584" coordorigin="0,0" coordsize="877,584" path="m0,583l876,583,876,0,0,0,0,583xe" filled="true" fillcolor="#ffffff" stroked="false">
                      <v:path arrowok="t"/>
                      <v:fill type="solid"/>
                    </v:shape>
                  </v:group>
                </v:group>
              </w:pict>
            </w:r>
            <w:r>
              <w:rPr>
                <w:rFonts w:ascii="宋体" w:hAnsi="宋体" w:cs="宋体" w:eastAsia="宋体" w:hint="default"/>
                <w:position w:val="-11"/>
                <w:sz w:val="20"/>
                <w:szCs w:val="20"/>
              </w:rPr>
            </w:r>
          </w:p>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32" w:lineRule="exact"/>
              <w:ind w:left="22" w:right="-49"/>
              <w:jc w:val="left"/>
              <w:rPr>
                <w:rFonts w:ascii="宋体" w:hAnsi="宋体" w:cs="宋体" w:eastAsia="宋体" w:hint="default"/>
                <w:sz w:val="18"/>
                <w:szCs w:val="18"/>
              </w:rPr>
            </w:pPr>
            <w:r>
              <w:rPr>
                <w:rFonts w:ascii="宋体" w:hAnsi="宋体" w:cs="宋体" w:eastAsia="宋体" w:hint="default"/>
                <w:sz w:val="18"/>
                <w:szCs w:val="18"/>
              </w:rPr>
              <w:t>巨潮资讯网， 公告编号</w:t>
            </w:r>
          </w:p>
          <w:p>
            <w:pPr>
              <w:pStyle w:val="TableParagraph"/>
              <w:spacing w:line="240" w:lineRule="auto" w:before="2"/>
              <w:ind w:left="22" w:right="0"/>
              <w:jc w:val="left"/>
              <w:rPr>
                <w:rFonts w:ascii="Times New Roman" w:hAnsi="Times New Roman" w:cs="Times New Roman" w:eastAsia="Times New Roman" w:hint="default"/>
                <w:sz w:val="18"/>
                <w:szCs w:val="18"/>
              </w:rPr>
            </w:pPr>
            <w:r>
              <w:rPr>
                <w:rFonts w:ascii="Times New Roman"/>
                <w:sz w:val="18"/>
              </w:rPr>
              <w:t>2018-100</w:t>
            </w:r>
          </w:p>
        </w:tc>
      </w:tr>
      <w:tr>
        <w:trPr>
          <w:trHeight w:val="790" w:hRule="exact"/>
        </w:trPr>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81"/>
              <w:jc w:val="both"/>
              <w:rPr>
                <w:rFonts w:ascii="宋体" w:hAnsi="宋体" w:cs="宋体" w:eastAsia="宋体" w:hint="default"/>
                <w:sz w:val="18"/>
                <w:szCs w:val="18"/>
              </w:rPr>
            </w:pPr>
            <w:r>
              <w:rPr>
                <w:rFonts w:ascii="宋体" w:hAnsi="宋体" w:cs="宋体" w:eastAsia="宋体" w:hint="default"/>
                <w:sz w:val="18"/>
                <w:szCs w:val="18"/>
              </w:rPr>
              <w:t>山西省物产集团进出口有 限公司就神码中国合同纠 纷提起诉讼</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3,399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再审审理中</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49"/>
              <w:jc w:val="left"/>
              <w:rPr>
                <w:rFonts w:ascii="宋体" w:hAnsi="宋体" w:cs="宋体" w:eastAsia="宋体" w:hint="default"/>
                <w:sz w:val="18"/>
                <w:szCs w:val="18"/>
              </w:rPr>
            </w:pPr>
            <w:r>
              <w:rPr>
                <w:rFonts w:ascii="宋体" w:hAnsi="宋体" w:cs="宋体" w:eastAsia="宋体" w:hint="default"/>
                <w:sz w:val="18"/>
                <w:szCs w:val="18"/>
              </w:rPr>
              <w:t>巨潮资讯网， 公告编号</w:t>
            </w:r>
          </w:p>
          <w:p>
            <w:pPr>
              <w:pStyle w:val="TableParagraph"/>
              <w:spacing w:line="240" w:lineRule="auto" w:before="22"/>
              <w:ind w:left="22" w:right="0"/>
              <w:jc w:val="left"/>
              <w:rPr>
                <w:rFonts w:ascii="Times New Roman" w:hAnsi="Times New Roman" w:cs="Times New Roman" w:eastAsia="Times New Roman" w:hint="default"/>
                <w:sz w:val="18"/>
                <w:szCs w:val="18"/>
              </w:rPr>
            </w:pPr>
            <w:r>
              <w:rPr>
                <w:rFonts w:ascii="Times New Roman"/>
                <w:sz w:val="18"/>
              </w:rPr>
              <w:t>2019-016</w:t>
            </w:r>
          </w:p>
        </w:tc>
      </w:tr>
      <w:tr>
        <w:trPr>
          <w:trHeight w:val="1724" w:hRule="exact"/>
        </w:trPr>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37" w:lineRule="auto"/>
              <w:ind w:left="22" w:right="81"/>
              <w:jc w:val="both"/>
              <w:rPr>
                <w:rFonts w:ascii="宋体" w:hAnsi="宋体" w:cs="宋体" w:eastAsia="宋体" w:hint="default"/>
                <w:sz w:val="18"/>
                <w:szCs w:val="18"/>
              </w:rPr>
            </w:pPr>
            <w:r>
              <w:rPr>
                <w:rFonts w:ascii="宋体" w:hAnsi="宋体" w:cs="宋体" w:eastAsia="宋体" w:hint="default"/>
                <w:sz w:val="18"/>
                <w:szCs w:val="18"/>
              </w:rPr>
              <w:t>神码中国就北京华胜天成 股份有限公司合同纠纷提 起仲裁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3,911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58"/>
              <w:jc w:val="left"/>
              <w:rPr>
                <w:rFonts w:ascii="宋体" w:hAnsi="宋体" w:cs="宋体" w:eastAsia="宋体" w:hint="default"/>
                <w:sz w:val="18"/>
                <w:szCs w:val="18"/>
              </w:rPr>
            </w:pPr>
            <w:r>
              <w:rPr>
                <w:rFonts w:ascii="宋体" w:hAnsi="宋体" w:cs="宋体" w:eastAsia="宋体" w:hint="default"/>
                <w:sz w:val="18"/>
                <w:szCs w:val="18"/>
              </w:rPr>
              <w:t>仲裁裁决书 生效</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9"/>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pacing w:val="-9"/>
                <w:sz w:val="18"/>
                <w:szCs w:val="18"/>
              </w:rPr>
              <w:t>日，中国国</w:t>
            </w:r>
            <w:r>
              <w:rPr>
                <w:rFonts w:ascii="宋体" w:hAnsi="宋体" w:cs="宋体" w:eastAsia="宋体" w:hint="default"/>
                <w:sz w:val="18"/>
                <w:szCs w:val="18"/>
              </w:rPr>
              <w:t> 际经济贸易仲裁委员会作 </w:t>
            </w:r>
            <w:r>
              <w:rPr>
                <w:rFonts w:ascii="宋体" w:hAnsi="宋体" w:cs="宋体" w:eastAsia="宋体" w:hint="default"/>
                <w:spacing w:val="-7"/>
                <w:sz w:val="18"/>
                <w:szCs w:val="18"/>
              </w:rPr>
              <w:t>出（</w:t>
            </w:r>
            <w:r>
              <w:rPr>
                <w:rFonts w:ascii="Times New Roman" w:hAnsi="Times New Roman" w:cs="Times New Roman" w:eastAsia="Times New Roman" w:hint="default"/>
                <w:spacing w:val="-7"/>
                <w:sz w:val="18"/>
                <w:szCs w:val="18"/>
              </w:rPr>
              <w:t>2018</w:t>
            </w:r>
            <w:r>
              <w:rPr>
                <w:rFonts w:ascii="宋体" w:hAnsi="宋体" w:cs="宋体" w:eastAsia="宋体" w:hint="default"/>
                <w:spacing w:val="-7"/>
                <w:sz w:val="18"/>
                <w:szCs w:val="18"/>
              </w:rPr>
              <w:t>）中国贸仲京裁字</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0335</w:t>
            </w:r>
            <w:r>
              <w:rPr>
                <w:rFonts w:ascii="Times New Roman" w:hAnsi="Times New Roman" w:cs="Times New Roman" w:eastAsia="Times New Roman" w:hint="default"/>
                <w:spacing w:val="-1"/>
                <w:sz w:val="18"/>
                <w:szCs w:val="18"/>
              </w:rPr>
              <w:t> </w:t>
            </w:r>
            <w:r>
              <w:rPr>
                <w:rFonts w:ascii="宋体" w:hAnsi="宋体" w:cs="宋体" w:eastAsia="宋体" w:hint="default"/>
                <w:spacing w:val="-20"/>
                <w:sz w:val="18"/>
                <w:szCs w:val="18"/>
              </w:rPr>
              <w:t>号《裁决书》。本裁</w:t>
            </w:r>
            <w:r>
              <w:rPr>
                <w:rFonts w:ascii="宋体" w:hAnsi="宋体" w:cs="宋体" w:eastAsia="宋体" w:hint="default"/>
                <w:sz w:val="18"/>
                <w:szCs w:val="18"/>
              </w:rPr>
              <w:t> </w:t>
            </w:r>
            <w:r>
              <w:rPr>
                <w:rFonts w:ascii="宋体" w:hAnsi="宋体" w:cs="宋体" w:eastAsia="宋体" w:hint="default"/>
                <w:spacing w:val="-8"/>
                <w:sz w:val="18"/>
                <w:szCs w:val="18"/>
              </w:rPr>
              <w:t>决为终局裁决，自作出之日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起生效。当前该生效裁决书</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已执行完毕。</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6"/>
              <w:ind w:left="22" w:right="131"/>
              <w:jc w:val="both"/>
              <w:rPr>
                <w:rFonts w:ascii="宋体" w:hAnsi="宋体" w:cs="宋体" w:eastAsia="宋体" w:hint="default"/>
                <w:sz w:val="18"/>
                <w:szCs w:val="18"/>
              </w:rPr>
            </w:pPr>
            <w:r>
              <w:rPr>
                <w:rFonts w:ascii="宋体" w:hAnsi="宋体" w:cs="宋体" w:eastAsia="宋体" w:hint="default"/>
                <w:sz w:val="18"/>
                <w:szCs w:val="18"/>
              </w:rPr>
              <w:t>当前该生 效裁决书 已执行完 毕</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2" w:lineRule="exact"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2" w:right="-49"/>
              <w:jc w:val="left"/>
              <w:rPr>
                <w:rFonts w:ascii="宋体" w:hAnsi="宋体" w:cs="宋体" w:eastAsia="宋体" w:hint="default"/>
                <w:sz w:val="18"/>
                <w:szCs w:val="18"/>
              </w:rPr>
            </w:pPr>
            <w:r>
              <w:rPr>
                <w:rFonts w:ascii="宋体" w:hAnsi="宋体" w:cs="宋体" w:eastAsia="宋体" w:hint="default"/>
                <w:sz w:val="18"/>
                <w:szCs w:val="18"/>
              </w:rPr>
              <w:t>巨潮资讯网， 公告编号</w:t>
            </w:r>
          </w:p>
          <w:p>
            <w:pPr>
              <w:pStyle w:val="TableParagraph"/>
              <w:spacing w:line="240" w:lineRule="auto" w:before="22"/>
              <w:ind w:left="22" w:right="0"/>
              <w:jc w:val="left"/>
              <w:rPr>
                <w:rFonts w:ascii="Times New Roman" w:hAnsi="Times New Roman" w:cs="Times New Roman" w:eastAsia="Times New Roman" w:hint="default"/>
                <w:sz w:val="18"/>
                <w:szCs w:val="18"/>
              </w:rPr>
            </w:pPr>
            <w:r>
              <w:rPr>
                <w:rFonts w:ascii="Times New Roman"/>
                <w:sz w:val="18"/>
              </w:rPr>
              <w:t>2018-054</w:t>
            </w:r>
          </w:p>
        </w:tc>
      </w:tr>
      <w:tr>
        <w:trPr>
          <w:trHeight w:val="557" w:hRule="exact"/>
        </w:trPr>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涉及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年至报告期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257</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件购销合同纠纷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49,960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7"/>
          <w:szCs w:val="17"/>
        </w:rPr>
      </w:pPr>
    </w:p>
    <w:p>
      <w:pPr>
        <w:pStyle w:val="Heading2"/>
        <w:spacing w:line="240" w:lineRule="auto" w:before="26"/>
        <w:ind w:right="0"/>
        <w:jc w:val="left"/>
        <w:rPr>
          <w:b w:val="0"/>
          <w:bCs w:val="0"/>
        </w:rPr>
      </w:pPr>
      <w:bookmarkStart w:name="十三、处罚及整改情况" w:id="77"/>
      <w:bookmarkEnd w:id="77"/>
      <w:r>
        <w:rPr>
          <w:b w:val="0"/>
          <w:bCs w:val="0"/>
        </w:rPr>
      </w:r>
      <w:r>
        <w:rPr/>
        <w:t>十三、处罚及整改情况</w:t>
      </w:r>
      <w:r>
        <w:rPr>
          <w:b w:val="0"/>
          <w:bCs w:val="0"/>
        </w:rPr>
      </w:r>
    </w:p>
    <w:p>
      <w:pPr>
        <w:spacing w:line="240" w:lineRule="auto" w:before="7"/>
        <w:rPr>
          <w:rFonts w:ascii="宋体" w:hAnsi="宋体" w:cs="宋体" w:eastAsia="宋体" w:hint="default"/>
          <w:b/>
          <w:bCs/>
          <w:sz w:val="23"/>
          <w:szCs w:val="23"/>
        </w:rPr>
      </w:pPr>
    </w:p>
    <w:p>
      <w:pPr>
        <w:pStyle w:val="BodyText"/>
        <w:spacing w:line="264" w:lineRule="auto"/>
        <w:ind w:right="78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十四、公司及其控股股东、实际控制人的诚信状况" w:id="78"/>
      <w:bookmarkEnd w:id="78"/>
      <w:r>
        <w:rPr>
          <w:b w:val="0"/>
          <w:bCs w:val="0"/>
        </w:rPr>
      </w:r>
      <w:r>
        <w:rPr/>
        <w:t>十四、公司及其控股股东、实际控制人的诚信状况</w:t>
      </w:r>
      <w:r>
        <w:rPr>
          <w:b w:val="0"/>
          <w:bCs w:val="0"/>
        </w:rPr>
      </w:r>
    </w:p>
    <w:p>
      <w:pPr>
        <w:spacing w:line="240" w:lineRule="auto" w:before="6"/>
        <w:rPr>
          <w:rFonts w:ascii="宋体" w:hAnsi="宋体" w:cs="宋体" w:eastAsia="宋体" w:hint="default"/>
          <w:b/>
          <w:bCs/>
          <w:sz w:val="23"/>
          <w:szCs w:val="23"/>
        </w:rPr>
      </w:pPr>
    </w:p>
    <w:p>
      <w:pPr>
        <w:pStyle w:val="BodyText"/>
        <w:spacing w:line="264" w:lineRule="auto"/>
        <w:ind w:left="514"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报告期内，公司及其控股股东、实际控制人的诚信状况良好，不存在未履行法院生效判决、所负数额较大的债务到期未</w:t>
      </w:r>
    </w:p>
    <w:p>
      <w:pPr>
        <w:pStyle w:val="BodyText"/>
        <w:spacing w:line="215" w:lineRule="exact"/>
        <w:ind w:right="0"/>
        <w:jc w:val="left"/>
      </w:pPr>
      <w:r>
        <w:rPr/>
        <w:t>清偿等情况。</w:t>
      </w:r>
    </w:p>
    <w:p>
      <w:pPr>
        <w:spacing w:line="240" w:lineRule="auto" w:before="2"/>
        <w:rPr>
          <w:rFonts w:ascii="宋体" w:hAnsi="宋体" w:cs="宋体" w:eastAsia="宋体" w:hint="default"/>
          <w:sz w:val="22"/>
          <w:szCs w:val="22"/>
        </w:rPr>
      </w:pPr>
    </w:p>
    <w:p>
      <w:pPr>
        <w:pStyle w:val="Heading2"/>
        <w:spacing w:line="240" w:lineRule="auto"/>
        <w:ind w:right="0"/>
        <w:jc w:val="left"/>
        <w:rPr>
          <w:b w:val="0"/>
          <w:bCs w:val="0"/>
        </w:rPr>
      </w:pPr>
      <w:bookmarkStart w:name="十五、公司股权激励计划、员工持股计划或其他员工激励措施的实施情况" w:id="79"/>
      <w:bookmarkEnd w:id="79"/>
      <w:r>
        <w:rPr>
          <w:b w:val="0"/>
          <w:bCs w:val="0"/>
        </w:rPr>
      </w:r>
      <w:r>
        <w:rPr/>
        <w:t>十五、公司股权激励计划、员工持股计划或其他员工激励措施的实施情况</w:t>
      </w:r>
      <w:r>
        <w:rPr>
          <w:b w:val="0"/>
          <w:bCs w:val="0"/>
        </w:rPr>
      </w:r>
    </w:p>
    <w:p>
      <w:pPr>
        <w:spacing w:line="240" w:lineRule="auto" w:before="6"/>
        <w:rPr>
          <w:rFonts w:ascii="宋体" w:hAnsi="宋体" w:cs="宋体" w:eastAsia="宋体" w:hint="default"/>
          <w:b/>
          <w:bCs/>
          <w:sz w:val="23"/>
          <w:szCs w:val="23"/>
        </w:rPr>
      </w:pPr>
    </w:p>
    <w:p>
      <w:pPr>
        <w:pStyle w:val="BodyText"/>
        <w:spacing w:line="259"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21</w:t>
      </w:r>
      <w:r>
        <w:rPr>
          <w:spacing w:val="-1"/>
        </w:rPr>
        <w:t>日公司第八届董事会第十次会议、第八届监事会第八次会议审议通过《关于公司</w:t>
      </w:r>
      <w:r>
        <w:rPr>
          <w:rFonts w:ascii="Times New Roman" w:hAnsi="Times New Roman" w:cs="Times New Roman" w:eastAsia="Times New Roman" w:hint="default"/>
          <w:spacing w:val="-1"/>
        </w:rPr>
        <w:t>2016</w:t>
      </w:r>
      <w:r>
        <w:rPr>
          <w:spacing w:val="-1"/>
        </w:rPr>
        <w:t>年非公开发行</w:t>
      </w:r>
      <w:r>
        <w:rPr>
          <w:rFonts w:ascii="Times New Roman" w:hAnsi="Times New Roman" w:cs="Times New Roman" w:eastAsia="Times New Roman" w:hint="default"/>
          <w:spacing w:val="-1"/>
        </w:rPr>
        <w:t>A</w:t>
      </w:r>
      <w:r>
        <w:rPr>
          <w:spacing w:val="-1"/>
        </w:rPr>
        <w:t>股股票</w:t>
      </w:r>
      <w:r>
        <w:rPr>
          <w:spacing w:val="-64"/>
        </w:rPr>
        <w:t> </w:t>
      </w:r>
      <w:r>
        <w:rPr>
          <w:spacing w:val="-1"/>
        </w:rPr>
        <w:t>预案的议案》、《关于公司</w:t>
      </w:r>
      <w:r>
        <w:rPr>
          <w:rFonts w:ascii="Times New Roman" w:hAnsi="Times New Roman" w:cs="Times New Roman" w:eastAsia="Times New Roman" w:hint="default"/>
          <w:spacing w:val="-1"/>
        </w:rPr>
        <w:t>2016</w:t>
      </w:r>
      <w:r>
        <w:rPr>
          <w:spacing w:val="-1"/>
        </w:rPr>
        <w:t>年第一期员工持股计划（草案）（认购非公开发行</w:t>
      </w:r>
      <w:r>
        <w:rPr>
          <w:rFonts w:ascii="Times New Roman" w:hAnsi="Times New Roman" w:cs="Times New Roman" w:eastAsia="Times New Roman" w:hint="default"/>
          <w:spacing w:val="-1"/>
        </w:rPr>
        <w:t>A</w:t>
      </w:r>
      <w:r>
        <w:rPr>
          <w:spacing w:val="-1"/>
        </w:rPr>
        <w:t>股股票方式）及其摘要的议案》等相关</w:t>
      </w:r>
      <w:r>
        <w:rPr>
          <w:spacing w:val="-71"/>
        </w:rPr>
        <w:t> </w:t>
      </w:r>
      <w:r>
        <w:rPr>
          <w:spacing w:val="-71"/>
        </w:rPr>
      </w:r>
      <w:r>
        <w:rPr/>
        <w:t>议案，同意公司</w:t>
      </w:r>
      <w:r>
        <w:rPr>
          <w:rFonts w:ascii="Times New Roman" w:hAnsi="Times New Roman" w:cs="Times New Roman" w:eastAsia="Times New Roman" w:hint="default"/>
        </w:rPr>
        <w:t>10</w:t>
      </w:r>
      <w:r>
        <w:rPr/>
        <w:t>名董事、监事及高级管理人员及公司</w:t>
      </w:r>
      <w:r>
        <w:rPr>
          <w:rFonts w:ascii="Times New Roman" w:hAnsi="Times New Roman" w:cs="Times New Roman" w:eastAsia="Times New Roman" w:hint="default"/>
        </w:rPr>
        <w:t>1456</w:t>
      </w:r>
      <w:r>
        <w:rPr/>
        <w:t>名其他员工参加员工持股计划。 </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8</w:t>
      </w:r>
      <w:r>
        <w:rPr/>
        <w:t>日</w:t>
      </w:r>
      <w:r>
        <w:rPr>
          <w:rFonts w:ascii="Times New Roman" w:hAnsi="Times New Roman" w:cs="Times New Roman" w:eastAsia="Times New Roman" w:hint="default"/>
        </w:rPr>
        <w:t>2016</w:t>
      </w:r>
      <w:r>
        <w:rPr/>
        <w:t>年度第六次</w:t>
      </w:r>
      <w:r>
        <w:rPr>
          <w:spacing w:val="-86"/>
        </w:rPr>
        <w:t> </w:t>
      </w:r>
      <w:r>
        <w:rPr>
          <w:spacing w:val="-86"/>
        </w:rPr>
      </w:r>
      <w:r>
        <w:rPr/>
        <w:t>临时股东大会审议通过了上述议案。</w:t>
      </w:r>
    </w:p>
    <w:p>
      <w:pPr>
        <w:pStyle w:val="BodyText"/>
        <w:spacing w:line="240" w:lineRule="auto" w:before="19"/>
        <w:ind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w:t>
      </w:r>
      <w:r>
        <w:rPr/>
        <w:t>日公司非公开发行股票事项获中国证监会发行审核委员会审核通过。</w:t>
      </w:r>
    </w:p>
    <w:p>
      <w:pPr>
        <w:pStyle w:val="BodyText"/>
        <w:spacing w:line="261" w:lineRule="auto" w:before="18"/>
        <w:ind w:right="1124"/>
        <w:jc w:val="left"/>
      </w:pPr>
      <w:r>
        <w:rPr>
          <w:rFonts w:ascii="Times New Roman" w:hAnsi="Times New Roman" w:cs="Times New Roman" w:eastAsia="Times New Roman" w:hint="default"/>
          <w:spacing w:val="-2"/>
        </w:rPr>
        <w:t>3</w:t>
      </w:r>
      <w:r>
        <w:rPr>
          <w:spacing w:val="-2"/>
        </w:rPr>
        <w:t>、考虑到资本市场政策变化的影响，</w:t>
      </w:r>
      <w:r>
        <w:rPr>
          <w:spacing w:val="-11"/>
        </w:rPr>
        <w:t> </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27</w:t>
      </w:r>
      <w:r>
        <w:rPr>
          <w:spacing w:val="-1"/>
        </w:rPr>
        <w:t>日公司第八届董事会第二十四次会议和</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18</w:t>
      </w:r>
      <w:r>
        <w:rPr>
          <w:spacing w:val="-1"/>
        </w:rPr>
        <w:t>日公司</w:t>
      </w:r>
      <w:r>
        <w:rPr>
          <w:rFonts w:ascii="Times New Roman" w:hAnsi="Times New Roman" w:cs="Times New Roman" w:eastAsia="Times New Roman" w:hint="default"/>
          <w:spacing w:val="-1"/>
        </w:rPr>
        <w:t>2017</w:t>
      </w:r>
      <w:r>
        <w:rPr>
          <w:spacing w:val="-1"/>
        </w:rPr>
        <w:t>年第三</w:t>
      </w:r>
      <w:r>
        <w:rPr>
          <w:spacing w:val="-83"/>
        </w:rPr>
        <w:t> </w:t>
      </w:r>
      <w:r>
        <w:rPr>
          <w:spacing w:val="-1"/>
        </w:rPr>
        <w:t>次临时股东大会审议并通过了《关于终止</w:t>
      </w:r>
      <w:r>
        <w:rPr>
          <w:rFonts w:ascii="Times New Roman" w:hAnsi="Times New Roman" w:cs="Times New Roman" w:eastAsia="Times New Roman" w:hint="default"/>
          <w:spacing w:val="-1"/>
        </w:rPr>
        <w:t>2016</w:t>
      </w:r>
      <w:r>
        <w:rPr>
          <w:spacing w:val="-1"/>
        </w:rPr>
        <w:t>年非公开发行</w:t>
      </w:r>
      <w:r>
        <w:rPr>
          <w:rFonts w:ascii="Times New Roman" w:hAnsi="Times New Roman" w:cs="Times New Roman" w:eastAsia="Times New Roman" w:hint="default"/>
          <w:spacing w:val="-1"/>
        </w:rPr>
        <w:t>A</w:t>
      </w:r>
      <w:r>
        <w:rPr>
          <w:spacing w:val="-1"/>
        </w:rPr>
        <w:t>股股票的议案》等议案，同意公司终止上述非公开发行股票方</w:t>
      </w:r>
      <w:r>
        <w:rPr>
          <w:spacing w:val="-68"/>
        </w:rPr>
        <w:t> </w:t>
      </w:r>
      <w:r>
        <w:rPr>
          <w:spacing w:val="-68"/>
        </w:rPr>
      </w:r>
      <w:r>
        <w:rPr/>
        <w:t>案。 </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w:t>
      </w:r>
      <w:r>
        <w:rPr/>
        <w:t>日，公司取得《中国证监会行政许可申请终止审查通知书》（</w:t>
      </w:r>
      <w:r>
        <w:rPr>
          <w:rFonts w:ascii="Times New Roman" w:hAnsi="Times New Roman" w:cs="Times New Roman" w:eastAsia="Times New Roman" w:hint="default"/>
        </w:rPr>
        <w:t>[2018]69</w:t>
      </w:r>
      <w:r>
        <w:rPr/>
        <w:t>号），中国证监会根据《中国证券监</w:t>
      </w:r>
      <w:r>
        <w:rPr>
          <w:spacing w:val="-31"/>
        </w:rPr>
        <w:t> </w:t>
      </w:r>
      <w:r>
        <w:rPr>
          <w:spacing w:val="-31"/>
        </w:rPr>
      </w:r>
      <w:r>
        <w:rPr/>
        <w:t>督管理委员会行政许可实施程序规定》第二十条的有关规定，决定终止对该行政许可申请的审查。</w:t>
      </w:r>
    </w:p>
    <w:p>
      <w:pPr>
        <w:spacing w:after="0" w:line="261" w:lineRule="auto"/>
        <w:jc w:val="left"/>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Heading2"/>
        <w:spacing w:line="240" w:lineRule="auto" w:before="26"/>
        <w:ind w:right="0"/>
        <w:jc w:val="left"/>
        <w:rPr>
          <w:b w:val="0"/>
          <w:bCs w:val="0"/>
        </w:rPr>
      </w:pPr>
      <w:bookmarkStart w:name="十六、重大关联交易" w:id="80"/>
      <w:bookmarkEnd w:id="80"/>
      <w:r>
        <w:rPr>
          <w:b w:val="0"/>
          <w:bCs w:val="0"/>
        </w:rPr>
      </w:r>
      <w:r>
        <w:rPr/>
        <w:t>十六、重大关联交易</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right="0"/>
        <w:jc w:val="left"/>
        <w:rPr>
          <w:b w:val="0"/>
          <w:bCs w:val="0"/>
        </w:rPr>
      </w:pPr>
      <w:bookmarkStart w:name="1、与日常经营相关的关联交易" w:id="81"/>
      <w:bookmarkEnd w:id="81"/>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3"/>
        <w:rPr>
          <w:rFonts w:ascii="宋体" w:hAnsi="宋体" w:cs="宋体" w:eastAsia="宋体" w:hint="default"/>
          <w:sz w:val="4"/>
          <w:szCs w:val="4"/>
        </w:rPr>
      </w:pPr>
    </w:p>
    <w:tbl>
      <w:tblPr>
        <w:tblW w:w="0" w:type="auto"/>
        <w:jc w:val="left"/>
        <w:tblInd w:w="121" w:type="dxa"/>
        <w:tblLayout w:type="fixed"/>
        <w:tblCellMar>
          <w:top w:w="0" w:type="dxa"/>
          <w:left w:w="0" w:type="dxa"/>
          <w:bottom w:w="0" w:type="dxa"/>
          <w:right w:w="0" w:type="dxa"/>
        </w:tblCellMar>
        <w:tblLook w:val="01E0"/>
      </w:tblPr>
      <w:tblGrid>
        <w:gridCol w:w="802"/>
        <w:gridCol w:w="678"/>
        <w:gridCol w:w="678"/>
        <w:gridCol w:w="707"/>
        <w:gridCol w:w="682"/>
        <w:gridCol w:w="675"/>
        <w:gridCol w:w="781"/>
        <w:gridCol w:w="676"/>
        <w:gridCol w:w="674"/>
        <w:gridCol w:w="676"/>
        <w:gridCol w:w="674"/>
        <w:gridCol w:w="676"/>
        <w:gridCol w:w="671"/>
        <w:gridCol w:w="646"/>
      </w:tblGrid>
      <w:tr>
        <w:trPr>
          <w:trHeight w:val="102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06" w:right="34"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43" w:right="62"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63" w:right="62"/>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78"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8"/>
              <w:ind w:left="64" w:right="65"/>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62" w:right="60"/>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8"/>
              <w:ind w:left="25" w:right="24"/>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62" w:right="61"/>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62"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8"/>
              <w:ind w:left="62" w:right="63"/>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8"/>
              <w:ind w:left="62"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62" w:right="61"/>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40"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7" w:right="47"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791"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47"/>
              <w:jc w:val="both"/>
              <w:rPr>
                <w:rFonts w:ascii="宋体" w:hAnsi="宋体" w:cs="宋体" w:eastAsia="宋体" w:hint="default"/>
                <w:sz w:val="18"/>
                <w:szCs w:val="18"/>
              </w:rPr>
            </w:pPr>
            <w:r>
              <w:rPr>
                <w:rFonts w:ascii="宋体" w:hAnsi="宋体" w:cs="宋体" w:eastAsia="宋体" w:hint="default"/>
                <w:sz w:val="18"/>
                <w:szCs w:val="18"/>
              </w:rPr>
              <w:t>神州数码 控股有限 公司</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103"/>
              <w:jc w:val="left"/>
              <w:rPr>
                <w:rFonts w:ascii="宋体" w:hAnsi="宋体" w:cs="宋体" w:eastAsia="宋体" w:hint="default"/>
                <w:sz w:val="18"/>
                <w:szCs w:val="18"/>
              </w:rPr>
            </w:pPr>
            <w:r>
              <w:rPr>
                <w:rFonts w:ascii="宋体" w:hAnsi="宋体" w:cs="宋体" w:eastAsia="宋体" w:hint="default"/>
                <w:sz w:val="18"/>
                <w:szCs w:val="18"/>
              </w:rPr>
              <w:t>关联采 购</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132"/>
              <w:jc w:val="left"/>
              <w:rPr>
                <w:rFonts w:ascii="宋体" w:hAnsi="宋体" w:cs="宋体" w:eastAsia="宋体" w:hint="default"/>
                <w:sz w:val="18"/>
                <w:szCs w:val="18"/>
              </w:rPr>
            </w:pPr>
            <w:r>
              <w:rPr>
                <w:rFonts w:ascii="宋体" w:hAnsi="宋体" w:cs="宋体" w:eastAsia="宋体" w:hint="default"/>
                <w:sz w:val="18"/>
                <w:szCs w:val="18"/>
              </w:rPr>
              <w:t>采购商 品</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107"/>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1,567.99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101"/>
              <w:jc w:val="both"/>
              <w:rPr>
                <w:rFonts w:ascii="宋体" w:hAnsi="宋体" w:cs="宋体" w:eastAsia="宋体" w:hint="default"/>
                <w:sz w:val="18"/>
                <w:szCs w:val="18"/>
              </w:rPr>
            </w:pPr>
            <w:r>
              <w:rPr>
                <w:rFonts w:ascii="宋体" w:hAnsi="宋体" w:cs="宋体" w:eastAsia="宋体" w:hint="default"/>
                <w:sz w:val="18"/>
                <w:szCs w:val="18"/>
              </w:rPr>
              <w:t>按照合 同进行 结算</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29</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71"/>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1258"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37" w:lineRule="auto"/>
              <w:ind w:left="22" w:right="47"/>
              <w:jc w:val="both"/>
              <w:rPr>
                <w:rFonts w:ascii="宋体" w:hAnsi="宋体" w:cs="宋体" w:eastAsia="宋体" w:hint="default"/>
                <w:sz w:val="18"/>
                <w:szCs w:val="18"/>
              </w:rPr>
            </w:pPr>
            <w:r>
              <w:rPr>
                <w:rFonts w:ascii="宋体" w:hAnsi="宋体" w:cs="宋体" w:eastAsia="宋体" w:hint="default"/>
                <w:sz w:val="18"/>
                <w:szCs w:val="18"/>
              </w:rPr>
              <w:t>神州数码 控股有限 公司</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103"/>
              <w:jc w:val="left"/>
              <w:rPr>
                <w:rFonts w:ascii="宋体" w:hAnsi="宋体" w:cs="宋体" w:eastAsia="宋体" w:hint="default"/>
                <w:sz w:val="18"/>
                <w:szCs w:val="18"/>
              </w:rPr>
            </w:pPr>
            <w:r>
              <w:rPr>
                <w:rFonts w:ascii="宋体" w:hAnsi="宋体" w:cs="宋体" w:eastAsia="宋体" w:hint="default"/>
                <w:sz w:val="18"/>
                <w:szCs w:val="18"/>
              </w:rPr>
              <w:t>关联采 购</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20"/>
              <w:jc w:val="left"/>
              <w:rPr>
                <w:rFonts w:ascii="宋体" w:hAnsi="宋体" w:cs="宋体" w:eastAsia="宋体" w:hint="default"/>
                <w:sz w:val="18"/>
                <w:szCs w:val="18"/>
              </w:rPr>
            </w:pPr>
            <w:r>
              <w:rPr>
                <w:rFonts w:ascii="宋体" w:hAnsi="宋体" w:cs="宋体" w:eastAsia="宋体" w:hint="default"/>
                <w:sz w:val="18"/>
                <w:szCs w:val="18"/>
              </w:rPr>
              <w:t>采购行 政办公 </w:t>
            </w:r>
            <w:r>
              <w:rPr>
                <w:rFonts w:ascii="宋体" w:hAnsi="宋体" w:cs="宋体" w:eastAsia="宋体" w:hint="default"/>
                <w:spacing w:val="-18"/>
                <w:sz w:val="18"/>
                <w:szCs w:val="18"/>
              </w:rPr>
              <w:t>服务、货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运服务 及其它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107"/>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36,885.54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37" w:lineRule="auto"/>
              <w:ind w:left="22" w:right="101"/>
              <w:jc w:val="both"/>
              <w:rPr>
                <w:rFonts w:ascii="宋体" w:hAnsi="宋体" w:cs="宋体" w:eastAsia="宋体" w:hint="default"/>
                <w:sz w:val="18"/>
                <w:szCs w:val="18"/>
              </w:rPr>
            </w:pPr>
            <w:r>
              <w:rPr>
                <w:rFonts w:ascii="宋体" w:hAnsi="宋体" w:cs="宋体" w:eastAsia="宋体" w:hint="default"/>
                <w:sz w:val="18"/>
                <w:szCs w:val="18"/>
              </w:rPr>
              <w:t>按照合 同进行 结算</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29</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71"/>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790"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47"/>
              <w:jc w:val="both"/>
              <w:rPr>
                <w:rFonts w:ascii="宋体" w:hAnsi="宋体" w:cs="宋体" w:eastAsia="宋体" w:hint="default"/>
                <w:sz w:val="18"/>
                <w:szCs w:val="18"/>
              </w:rPr>
            </w:pPr>
            <w:r>
              <w:rPr>
                <w:rFonts w:ascii="宋体" w:hAnsi="宋体" w:cs="宋体" w:eastAsia="宋体" w:hint="default"/>
                <w:sz w:val="18"/>
                <w:szCs w:val="18"/>
              </w:rPr>
              <w:t>神州数码 控股有限 公司</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103"/>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132"/>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107"/>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Times New Roman" w:hAnsi="Times New Roman" w:cs="Times New Roman" w:eastAsia="Times New Roman" w:hint="default"/>
                <w:sz w:val="18"/>
                <w:szCs w:val="18"/>
              </w:rPr>
            </w:pPr>
            <w:r>
              <w:rPr>
                <w:rFonts w:ascii="Times New Roman"/>
                <w:sz w:val="18"/>
              </w:rPr>
              <w:t>8,712.9</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0.11%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01"/>
              <w:jc w:val="both"/>
              <w:rPr>
                <w:rFonts w:ascii="宋体" w:hAnsi="宋体" w:cs="宋体" w:eastAsia="宋体" w:hint="default"/>
                <w:sz w:val="18"/>
                <w:szCs w:val="18"/>
              </w:rPr>
            </w:pPr>
            <w:r>
              <w:rPr>
                <w:rFonts w:ascii="宋体" w:hAnsi="宋体" w:cs="宋体" w:eastAsia="宋体" w:hint="default"/>
                <w:sz w:val="18"/>
                <w:szCs w:val="18"/>
              </w:rPr>
              <w:t>按照合 同进行 结算</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29</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71"/>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791"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47"/>
              <w:jc w:val="both"/>
              <w:rPr>
                <w:rFonts w:ascii="宋体" w:hAnsi="宋体" w:cs="宋体" w:eastAsia="宋体" w:hint="default"/>
                <w:sz w:val="18"/>
                <w:szCs w:val="18"/>
              </w:rPr>
            </w:pPr>
            <w:r>
              <w:rPr>
                <w:rFonts w:ascii="宋体" w:hAnsi="宋体" w:cs="宋体" w:eastAsia="宋体" w:hint="default"/>
                <w:sz w:val="18"/>
                <w:szCs w:val="18"/>
              </w:rPr>
              <w:t>神州数码 控股有限 公司</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103"/>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132"/>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107"/>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1"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101"/>
              <w:jc w:val="both"/>
              <w:rPr>
                <w:rFonts w:ascii="宋体" w:hAnsi="宋体" w:cs="宋体" w:eastAsia="宋体" w:hint="default"/>
                <w:sz w:val="18"/>
                <w:szCs w:val="18"/>
              </w:rPr>
            </w:pPr>
            <w:r>
              <w:rPr>
                <w:rFonts w:ascii="宋体" w:hAnsi="宋体" w:cs="宋体" w:eastAsia="宋体" w:hint="default"/>
                <w:sz w:val="18"/>
                <w:szCs w:val="18"/>
              </w:rPr>
              <w:t>按照合 同进行 结算</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29</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71"/>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790"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47"/>
              <w:jc w:val="both"/>
              <w:rPr>
                <w:rFonts w:ascii="宋体" w:hAnsi="宋体" w:cs="宋体" w:eastAsia="宋体" w:hint="default"/>
                <w:sz w:val="18"/>
                <w:szCs w:val="18"/>
              </w:rPr>
            </w:pPr>
            <w:r>
              <w:rPr>
                <w:rFonts w:ascii="宋体" w:hAnsi="宋体" w:cs="宋体" w:eastAsia="宋体" w:hint="default"/>
                <w:sz w:val="18"/>
                <w:szCs w:val="18"/>
              </w:rPr>
              <w:t>神州数码 控股有限 公司</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103"/>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32"/>
              <w:jc w:val="both"/>
              <w:rPr>
                <w:rFonts w:ascii="宋体" w:hAnsi="宋体" w:cs="宋体" w:eastAsia="宋体" w:hint="default"/>
                <w:sz w:val="18"/>
                <w:szCs w:val="18"/>
              </w:rPr>
            </w:pPr>
            <w:r>
              <w:rPr>
                <w:rFonts w:ascii="宋体" w:hAnsi="宋体" w:cs="宋体" w:eastAsia="宋体" w:hint="default"/>
                <w:sz w:val="18"/>
                <w:szCs w:val="18"/>
              </w:rPr>
              <w:t>销售服 务及其 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107"/>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1,634.19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01"/>
              <w:jc w:val="both"/>
              <w:rPr>
                <w:rFonts w:ascii="宋体" w:hAnsi="宋体" w:cs="宋体" w:eastAsia="宋体" w:hint="default"/>
                <w:sz w:val="18"/>
                <w:szCs w:val="18"/>
              </w:rPr>
            </w:pPr>
            <w:r>
              <w:rPr>
                <w:rFonts w:ascii="宋体" w:hAnsi="宋体" w:cs="宋体" w:eastAsia="宋体" w:hint="default"/>
                <w:sz w:val="18"/>
                <w:szCs w:val="18"/>
              </w:rPr>
              <w:t>按照合 同进行 结算</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29</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71"/>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1025"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3"/>
              <w:ind w:left="22" w:right="47"/>
              <w:jc w:val="both"/>
              <w:rPr>
                <w:rFonts w:ascii="宋体" w:hAnsi="宋体" w:cs="宋体" w:eastAsia="宋体" w:hint="default"/>
                <w:sz w:val="18"/>
                <w:szCs w:val="18"/>
              </w:rPr>
            </w:pPr>
            <w:r>
              <w:rPr>
                <w:rFonts w:ascii="宋体" w:hAnsi="宋体" w:cs="宋体" w:eastAsia="宋体" w:hint="default"/>
                <w:sz w:val="18"/>
                <w:szCs w:val="18"/>
              </w:rPr>
              <w:t>神州数码 信息服务 股份有限 公司</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103"/>
              <w:jc w:val="left"/>
              <w:rPr>
                <w:rFonts w:ascii="宋体" w:hAnsi="宋体" w:cs="宋体" w:eastAsia="宋体" w:hint="default"/>
                <w:sz w:val="18"/>
                <w:szCs w:val="18"/>
              </w:rPr>
            </w:pPr>
            <w:r>
              <w:rPr>
                <w:rFonts w:ascii="宋体" w:hAnsi="宋体" w:cs="宋体" w:eastAsia="宋体" w:hint="default"/>
                <w:sz w:val="18"/>
                <w:szCs w:val="18"/>
              </w:rPr>
              <w:t>关联采 购</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132"/>
              <w:jc w:val="left"/>
              <w:rPr>
                <w:rFonts w:ascii="宋体" w:hAnsi="宋体" w:cs="宋体" w:eastAsia="宋体" w:hint="default"/>
                <w:sz w:val="18"/>
                <w:szCs w:val="18"/>
              </w:rPr>
            </w:pPr>
            <w:r>
              <w:rPr>
                <w:rFonts w:ascii="宋体" w:hAnsi="宋体" w:cs="宋体" w:eastAsia="宋体" w:hint="default"/>
                <w:sz w:val="18"/>
                <w:szCs w:val="18"/>
              </w:rPr>
              <w:t>采购商 品</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107"/>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1"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9"/>
              <w:ind w:left="22" w:right="101"/>
              <w:jc w:val="both"/>
              <w:rPr>
                <w:rFonts w:ascii="宋体" w:hAnsi="宋体" w:cs="宋体" w:eastAsia="宋体" w:hint="default"/>
                <w:sz w:val="18"/>
                <w:szCs w:val="18"/>
              </w:rPr>
            </w:pPr>
            <w:r>
              <w:rPr>
                <w:rFonts w:ascii="宋体" w:hAnsi="宋体" w:cs="宋体" w:eastAsia="宋体" w:hint="default"/>
                <w:sz w:val="18"/>
                <w:szCs w:val="18"/>
              </w:rPr>
              <w:t>按照合 同进行 结算</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29</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71"/>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1024"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47"/>
              <w:jc w:val="both"/>
              <w:rPr>
                <w:rFonts w:ascii="宋体" w:hAnsi="宋体" w:cs="宋体" w:eastAsia="宋体" w:hint="default"/>
                <w:sz w:val="18"/>
                <w:szCs w:val="18"/>
              </w:rPr>
            </w:pPr>
            <w:r>
              <w:rPr>
                <w:rFonts w:ascii="宋体" w:hAnsi="宋体" w:cs="宋体" w:eastAsia="宋体" w:hint="default"/>
                <w:sz w:val="18"/>
                <w:szCs w:val="18"/>
              </w:rPr>
              <w:t>神州数码 信息服务 股份有限 公司</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103"/>
              <w:jc w:val="left"/>
              <w:rPr>
                <w:rFonts w:ascii="宋体" w:hAnsi="宋体" w:cs="宋体" w:eastAsia="宋体" w:hint="default"/>
                <w:sz w:val="18"/>
                <w:szCs w:val="18"/>
              </w:rPr>
            </w:pPr>
            <w:r>
              <w:rPr>
                <w:rFonts w:ascii="宋体" w:hAnsi="宋体" w:cs="宋体" w:eastAsia="宋体" w:hint="default"/>
                <w:sz w:val="18"/>
                <w:szCs w:val="18"/>
              </w:rPr>
              <w:t>关联采 购</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8"/>
              <w:ind w:left="22" w:right="132"/>
              <w:jc w:val="both"/>
              <w:rPr>
                <w:rFonts w:ascii="宋体" w:hAnsi="宋体" w:cs="宋体" w:eastAsia="宋体" w:hint="default"/>
                <w:sz w:val="18"/>
                <w:szCs w:val="18"/>
              </w:rPr>
            </w:pPr>
            <w:r>
              <w:rPr>
                <w:rFonts w:ascii="宋体" w:hAnsi="宋体" w:cs="宋体" w:eastAsia="宋体" w:hint="default"/>
                <w:sz w:val="18"/>
                <w:szCs w:val="18"/>
              </w:rPr>
              <w:t>采购技 术服务 或劳务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107"/>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185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8"/>
              <w:ind w:left="22" w:right="101"/>
              <w:jc w:val="both"/>
              <w:rPr>
                <w:rFonts w:ascii="宋体" w:hAnsi="宋体" w:cs="宋体" w:eastAsia="宋体" w:hint="default"/>
                <w:sz w:val="18"/>
                <w:szCs w:val="18"/>
              </w:rPr>
            </w:pPr>
            <w:r>
              <w:rPr>
                <w:rFonts w:ascii="宋体" w:hAnsi="宋体" w:cs="宋体" w:eastAsia="宋体" w:hint="default"/>
                <w:sz w:val="18"/>
                <w:szCs w:val="18"/>
              </w:rPr>
              <w:t>按照合 同进行 结算</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29</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71"/>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1024"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47"/>
              <w:jc w:val="both"/>
              <w:rPr>
                <w:rFonts w:ascii="宋体" w:hAnsi="宋体" w:cs="宋体" w:eastAsia="宋体" w:hint="default"/>
                <w:sz w:val="18"/>
                <w:szCs w:val="18"/>
              </w:rPr>
            </w:pPr>
            <w:r>
              <w:rPr>
                <w:rFonts w:ascii="宋体" w:hAnsi="宋体" w:cs="宋体" w:eastAsia="宋体" w:hint="default"/>
                <w:sz w:val="18"/>
                <w:szCs w:val="18"/>
              </w:rPr>
              <w:t>神州数码 信息服务 股份有限 公司</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103"/>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132"/>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107"/>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9,229.81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0.11%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101"/>
              <w:jc w:val="both"/>
              <w:rPr>
                <w:rFonts w:ascii="宋体" w:hAnsi="宋体" w:cs="宋体" w:eastAsia="宋体" w:hint="default"/>
                <w:sz w:val="18"/>
                <w:szCs w:val="18"/>
              </w:rPr>
            </w:pPr>
            <w:r>
              <w:rPr>
                <w:rFonts w:ascii="宋体" w:hAnsi="宋体" w:cs="宋体" w:eastAsia="宋体" w:hint="default"/>
                <w:sz w:val="18"/>
                <w:szCs w:val="18"/>
              </w:rPr>
              <w:t>按照合 同进行 结算</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29</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71"/>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1256"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8"/>
              <w:ind w:left="22" w:right="47"/>
              <w:jc w:val="both"/>
              <w:rPr>
                <w:rFonts w:ascii="宋体" w:hAnsi="宋体" w:cs="宋体" w:eastAsia="宋体" w:hint="default"/>
                <w:sz w:val="18"/>
                <w:szCs w:val="18"/>
              </w:rPr>
            </w:pPr>
            <w:r>
              <w:rPr>
                <w:rFonts w:ascii="宋体" w:hAnsi="宋体" w:cs="宋体" w:eastAsia="宋体" w:hint="default"/>
                <w:sz w:val="18"/>
                <w:szCs w:val="18"/>
              </w:rPr>
              <w:t>神州数码 信息服务 股份有限 公司</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103"/>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20"/>
              <w:jc w:val="left"/>
              <w:rPr>
                <w:rFonts w:ascii="宋体" w:hAnsi="宋体" w:cs="宋体" w:eastAsia="宋体" w:hint="default"/>
                <w:sz w:val="18"/>
                <w:szCs w:val="18"/>
              </w:rPr>
            </w:pPr>
            <w:r>
              <w:rPr>
                <w:rFonts w:ascii="宋体" w:hAnsi="宋体" w:cs="宋体" w:eastAsia="宋体" w:hint="default"/>
                <w:sz w:val="18"/>
                <w:szCs w:val="18"/>
              </w:rPr>
              <w:t>销售行 政办公 </w:t>
            </w:r>
            <w:r>
              <w:rPr>
                <w:rFonts w:ascii="宋体" w:hAnsi="宋体" w:cs="宋体" w:eastAsia="宋体" w:hint="default"/>
                <w:spacing w:val="-18"/>
                <w:sz w:val="18"/>
                <w:szCs w:val="18"/>
              </w:rPr>
              <w:t>服务、货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运服务 及其它</w:t>
            </w:r>
          </w:p>
        </w:tc>
        <w:tc>
          <w:tcPr>
            <w:tcW w:w="682"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107"/>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5"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1,895.08</w:t>
            </w:r>
          </w:p>
        </w:tc>
        <w:tc>
          <w:tcPr>
            <w:tcW w:w="676"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2,100</w:t>
            </w:r>
          </w:p>
        </w:tc>
        <w:tc>
          <w:tcPr>
            <w:tcW w:w="676"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37" w:lineRule="auto"/>
              <w:ind w:left="22" w:right="101"/>
              <w:jc w:val="both"/>
              <w:rPr>
                <w:rFonts w:ascii="宋体" w:hAnsi="宋体" w:cs="宋体" w:eastAsia="宋体" w:hint="default"/>
                <w:sz w:val="18"/>
                <w:szCs w:val="18"/>
              </w:rPr>
            </w:pPr>
            <w:r>
              <w:rPr>
                <w:rFonts w:ascii="宋体" w:hAnsi="宋体" w:cs="宋体" w:eastAsia="宋体" w:hint="default"/>
                <w:sz w:val="18"/>
                <w:szCs w:val="18"/>
              </w:rPr>
              <w:t>按照合 同进行 结算</w:t>
            </w:r>
          </w:p>
        </w:tc>
        <w:tc>
          <w:tcPr>
            <w:tcW w:w="676"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1"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29</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71"/>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324" w:hRule="exact"/>
        </w:trPr>
        <w:tc>
          <w:tcPr>
            <w:tcW w:w="286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60,110.51</w:t>
            </w:r>
          </w:p>
        </w:tc>
        <w:tc>
          <w:tcPr>
            <w:tcW w:w="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88,700</w:t>
            </w:r>
          </w:p>
        </w:tc>
        <w:tc>
          <w:tcPr>
            <w:tcW w:w="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w:t>
            </w:r>
          </w:p>
        </w:tc>
        <w:tc>
          <w:tcPr>
            <w:tcW w:w="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r>
      <w:tr>
        <w:trPr>
          <w:trHeight w:val="323" w:hRule="exact"/>
        </w:trPr>
        <w:tc>
          <w:tcPr>
            <w:tcW w:w="286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830" w:type="dxa"/>
            <w:gridSpan w:val="10"/>
            <w:tcBorders>
              <w:top w:val="single" w:sz="5" w:space="0" w:color="D2D2D2"/>
              <w:left w:val="single" w:sz="13" w:space="0" w:color="D2D2D2"/>
              <w:bottom w:val="single" w:sz="4" w:space="0" w:color="000000"/>
              <w:right w:val="single" w:sz="4" w:space="0" w:color="000000"/>
            </w:tcBorders>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22" w:hRule="exact"/>
        </w:trPr>
        <w:tc>
          <w:tcPr>
            <w:tcW w:w="2865"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830" w:type="dxa"/>
            <w:gridSpan w:val="10"/>
            <w:vMerge w:val="restart"/>
            <w:tcBorders>
              <w:top w:val="single" w:sz="4" w:space="0" w:color="000000"/>
              <w:left w:val="single" w:sz="13" w:space="0" w:color="D2D2D2"/>
              <w:right w:val="single" w:sz="4" w:space="0" w:color="000000"/>
            </w:tcBorders>
          </w:tcPr>
          <w:p>
            <w:pPr>
              <w:pStyle w:val="TableParagraph"/>
              <w:spacing w:line="242" w:lineRule="exact"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年度关联方交易</w:t>
            </w:r>
            <w:r>
              <w:rPr>
                <w:rFonts w:ascii="宋体" w:hAnsi="宋体" w:cs="宋体" w:eastAsia="宋体" w:hint="default"/>
                <w:spacing w:val="-78"/>
                <w:sz w:val="18"/>
                <w:szCs w:val="18"/>
              </w:rPr>
              <w:t>：</w:t>
            </w:r>
            <w:r>
              <w:rPr>
                <w:rFonts w:ascii="宋体" w:hAnsi="宋体" w:cs="宋体" w:eastAsia="宋体" w:hint="default"/>
                <w:sz w:val="18"/>
                <w:szCs w:val="18"/>
              </w:rPr>
              <w:t>对神州控股关联采购预计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41,000.00 </w:t>
            </w:r>
            <w:r>
              <w:rPr>
                <w:rFonts w:ascii="宋体" w:hAnsi="宋体" w:cs="宋体" w:eastAsia="宋体" w:hint="default"/>
                <w:sz w:val="18"/>
                <w:szCs w:val="18"/>
              </w:rPr>
              <w:t>万元</w:t>
            </w:r>
            <w:r>
              <w:rPr>
                <w:rFonts w:ascii="宋体" w:hAnsi="宋体" w:cs="宋体" w:eastAsia="宋体" w:hint="default"/>
                <w:spacing w:val="-78"/>
                <w:sz w:val="18"/>
                <w:szCs w:val="18"/>
              </w:rPr>
              <w:t>，</w:t>
            </w:r>
            <w:r>
              <w:rPr>
                <w:rFonts w:ascii="宋体" w:hAnsi="宋体" w:cs="宋体" w:eastAsia="宋体" w:hint="default"/>
                <w:sz w:val="18"/>
                <w:szCs w:val="18"/>
              </w:rPr>
              <w:t>实际履行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38,453.53  </w:t>
            </w:r>
            <w:r>
              <w:rPr>
                <w:rFonts w:ascii="宋体" w:hAnsi="宋体" w:cs="宋体" w:eastAsia="宋体" w:hint="default"/>
                <w:sz w:val="18"/>
                <w:szCs w:val="18"/>
              </w:rPr>
              <w:t>万</w:t>
            </w:r>
          </w:p>
          <w:p>
            <w:pPr>
              <w:pStyle w:val="TableParagraph"/>
              <w:spacing w:line="233" w:lineRule="exact"/>
              <w:ind w:left="11" w:right="0"/>
              <w:jc w:val="left"/>
              <w:rPr>
                <w:rFonts w:ascii="宋体" w:hAnsi="宋体" w:cs="宋体" w:eastAsia="宋体" w:hint="default"/>
                <w:sz w:val="18"/>
                <w:szCs w:val="18"/>
              </w:rPr>
            </w:pPr>
            <w:r>
              <w:rPr>
                <w:rFonts w:ascii="宋体" w:hAnsi="宋体" w:cs="宋体" w:eastAsia="宋体" w:hint="default"/>
                <w:sz w:val="18"/>
                <w:szCs w:val="18"/>
              </w:rPr>
              <w:t>元；对神州控股关联销售预计</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12,700.00</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万元，实际履行</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10,347.09</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万元；对神州信息关</w:t>
            </w:r>
          </w:p>
          <w:p>
            <w:pPr>
              <w:pStyle w:val="TableParagraph"/>
              <w:spacing w:line="234" w:lineRule="exact"/>
              <w:ind w:left="11" w:right="0"/>
              <w:jc w:val="left"/>
              <w:rPr>
                <w:rFonts w:ascii="宋体" w:hAnsi="宋体" w:cs="宋体" w:eastAsia="宋体" w:hint="default"/>
                <w:sz w:val="18"/>
                <w:szCs w:val="18"/>
              </w:rPr>
            </w:pPr>
            <w:r>
              <w:rPr>
                <w:rFonts w:ascii="宋体" w:hAnsi="宋体" w:cs="宋体" w:eastAsia="宋体" w:hint="default"/>
                <w:sz w:val="18"/>
                <w:szCs w:val="18"/>
              </w:rPr>
              <w:t>联采购预计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900.00 </w:t>
            </w:r>
            <w:r>
              <w:rPr>
                <w:rFonts w:ascii="宋体" w:hAnsi="宋体" w:cs="宋体" w:eastAsia="宋体" w:hint="default"/>
                <w:spacing w:val="-5"/>
                <w:sz w:val="18"/>
                <w:szCs w:val="18"/>
              </w:rPr>
              <w:t>万元，实际履行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185.00 </w:t>
            </w:r>
            <w:r>
              <w:rPr>
                <w:rFonts w:ascii="宋体" w:hAnsi="宋体" w:cs="宋体" w:eastAsia="宋体" w:hint="default"/>
                <w:spacing w:val="-3"/>
                <w:sz w:val="18"/>
                <w:szCs w:val="18"/>
              </w:rPr>
              <w:t>万元；对神州信息关联销售预计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34,100.00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242" w:lineRule="exact"/>
              <w:ind w:left="11" w:right="0"/>
              <w:jc w:val="left"/>
              <w:rPr>
                <w:rFonts w:ascii="宋体" w:hAnsi="宋体" w:cs="宋体" w:eastAsia="宋体" w:hint="default"/>
                <w:sz w:val="18"/>
                <w:szCs w:val="18"/>
              </w:rPr>
            </w:pPr>
            <w:r>
              <w:rPr>
                <w:rFonts w:ascii="宋体" w:hAnsi="宋体" w:cs="宋体" w:eastAsia="宋体" w:hint="default"/>
                <w:sz w:val="18"/>
                <w:szCs w:val="18"/>
              </w:rPr>
              <w:t>元，实际履行</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11,124.89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p>
        </w:tc>
      </w:tr>
      <w:tr>
        <w:trPr>
          <w:trHeight w:val="903" w:hRule="exact"/>
        </w:trPr>
        <w:tc>
          <w:tcPr>
            <w:tcW w:w="2865" w:type="dxa"/>
            <w:gridSpan w:val="4"/>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37" w:lineRule="auto" w:before="11"/>
              <w:ind w:left="22" w:right="21"/>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实际履行情况（如有）</w:t>
            </w:r>
          </w:p>
        </w:tc>
        <w:tc>
          <w:tcPr>
            <w:tcW w:w="6830" w:type="dxa"/>
            <w:gridSpan w:val="10"/>
            <w:vMerge/>
            <w:tcBorders>
              <w:left w:val="single" w:sz="13" w:space="0" w:color="D2D2D2"/>
              <w:bottom w:val="single" w:sz="4" w:space="0" w:color="000000"/>
              <w:right w:val="single" w:sz="4" w:space="0" w:color="000000"/>
            </w:tcBorders>
          </w:tcPr>
          <w:p>
            <w:pPr/>
          </w:p>
        </w:tc>
      </w:tr>
      <w:tr>
        <w:trPr>
          <w:trHeight w:val="557" w:hRule="exact"/>
        </w:trPr>
        <w:tc>
          <w:tcPr>
            <w:tcW w:w="286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130"/>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83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7"/>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2、资产或股权收购、出售发生的关联交易" w:id="82"/>
      <w:bookmarkEnd w:id="82"/>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spacing w:line="273" w:lineRule="exact"/>
        <w:ind w:left="2715" w:right="0" w:firstLine="0"/>
        <w:rPr>
          <w:rFonts w:ascii="宋体" w:hAnsi="宋体" w:cs="宋体" w:eastAsia="宋体" w:hint="default"/>
          <w:sz w:val="20"/>
          <w:szCs w:val="20"/>
        </w:rPr>
      </w:pPr>
      <w:r>
        <w:rPr>
          <w:rFonts w:ascii="宋体" w:hAnsi="宋体" w:cs="宋体" w:eastAsia="宋体" w:hint="default"/>
          <w:position w:val="-4"/>
          <w:sz w:val="20"/>
          <w:szCs w:val="20"/>
        </w:rPr>
        <w:pict>
          <v:group style="width:31.65pt;height:13.7pt;mso-position-horizontal-relative:char;mso-position-vertical-relative:line" coordorigin="0,0" coordsize="633,274">
            <v:group style="position:absolute;left:0;top:0;width:633;height:274" coordorigin="0,0" coordsize="633,274">
              <v:shape style="position:absolute;left:0;top:0;width:633;height:274" coordorigin="0,0" coordsize="633,274" path="m0,274l632,274,632,0,0,0,0,274xe" filled="true" fillcolor="#ffffff" stroked="false">
                <v:path arrowok="t"/>
                <v:fill type="solid"/>
              </v:shape>
            </v:group>
          </v:group>
        </w:pict>
      </w:r>
      <w:r>
        <w:rPr>
          <w:rFonts w:ascii="宋体" w:hAnsi="宋体" w:cs="宋体" w:eastAsia="宋体" w:hint="default"/>
          <w:position w:val="-4"/>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before="44"/>
        <w:ind w:left="0" w:right="1041"/>
        <w:jc w:val="right"/>
      </w:pPr>
      <w:r>
        <w:rPr/>
        <w:pict>
          <v:shape style="position:absolute;margin-left:55.080002pt;margin-top:-383.148254pt;width:485.5pt;height:502.9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09"/>
                    <w:gridCol w:w="1752"/>
                    <w:gridCol w:w="688"/>
                    <w:gridCol w:w="988"/>
                    <w:gridCol w:w="883"/>
                    <w:gridCol w:w="690"/>
                    <w:gridCol w:w="689"/>
                    <w:gridCol w:w="591"/>
                    <w:gridCol w:w="592"/>
                    <w:gridCol w:w="590"/>
                    <w:gridCol w:w="692"/>
                    <w:gridCol w:w="731"/>
                  </w:tblGrid>
                  <w:tr>
                    <w:trPr>
                      <w:trHeight w:val="1024" w:hRule="exact"/>
                    </w:trPr>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28"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50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0"/>
                            <w:szCs w:val="20"/>
                          </w:rPr>
                        </w:pPr>
                      </w:p>
                      <w:p>
                        <w:pPr>
                          <w:pStyle w:val="TableParagraph"/>
                          <w:spacing w:line="234" w:lineRule="exact"/>
                          <w:ind w:left="68" w:right="67"/>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0"/>
                            <w:szCs w:val="20"/>
                          </w:rPr>
                        </w:pPr>
                      </w:p>
                      <w:p>
                        <w:pPr>
                          <w:pStyle w:val="TableParagraph"/>
                          <w:spacing w:line="234" w:lineRule="exact"/>
                          <w:ind w:left="398" w:right="39" w:hanging="360"/>
                          <w:jc w:val="left"/>
                          <w:rPr>
                            <w:rFonts w:ascii="宋体" w:hAnsi="宋体" w:cs="宋体" w:eastAsia="宋体" w:hint="default"/>
                            <w:sz w:val="18"/>
                            <w:szCs w:val="18"/>
                          </w:rPr>
                        </w:pPr>
                        <w:r>
                          <w:rPr>
                            <w:rFonts w:ascii="宋体" w:hAnsi="宋体" w:cs="宋体" w:eastAsia="宋体" w:hint="default"/>
                            <w:sz w:val="18"/>
                            <w:szCs w:val="18"/>
                          </w:rPr>
                          <w:t>关联交易内 容</w:t>
                        </w:r>
                      </w:p>
                    </w:tc>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0"/>
                            <w:szCs w:val="20"/>
                          </w:rPr>
                        </w:pPr>
                      </w:p>
                      <w:p>
                        <w:pPr>
                          <w:pStyle w:val="TableParagraph"/>
                          <w:spacing w:line="234" w:lineRule="exact"/>
                          <w:ind w:left="76" w:right="74"/>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
                          <w:ind w:left="70" w:right="67"/>
                          <w:jc w:val="both"/>
                          <w:rPr>
                            <w:rFonts w:ascii="宋体" w:hAnsi="宋体" w:cs="宋体" w:eastAsia="宋体" w:hint="default"/>
                            <w:sz w:val="18"/>
                            <w:szCs w:val="18"/>
                          </w:rPr>
                        </w:pPr>
                        <w:r>
                          <w:rPr>
                            <w:rFonts w:ascii="宋体" w:hAnsi="宋体" w:cs="宋体" w:eastAsia="宋体" w:hint="default"/>
                            <w:sz w:val="18"/>
                            <w:szCs w:val="18"/>
                          </w:rPr>
                          <w:t>转让资 产的账 面价值</w:t>
                        </w:r>
                      </w:p>
                      <w:p>
                        <w:pPr>
                          <w:pStyle w:val="TableParagraph"/>
                          <w:spacing w:line="234" w:lineRule="exact"/>
                          <w:ind w:left="23" w:right="0"/>
                          <w:jc w:val="both"/>
                          <w:rPr>
                            <w:rFonts w:ascii="宋体" w:hAnsi="宋体" w:cs="宋体" w:eastAsia="宋体" w:hint="default"/>
                            <w:sz w:val="18"/>
                            <w:szCs w:val="18"/>
                          </w:rPr>
                        </w:pPr>
                        <w:r>
                          <w:rPr>
                            <w:rFonts w:ascii="宋体" w:hAnsi="宋体" w:cs="宋体" w:eastAsia="宋体" w:hint="default"/>
                            <w:sz w:val="18"/>
                            <w:szCs w:val="18"/>
                          </w:rPr>
                          <w:t>（万元</w:t>
                        </w:r>
                        <w:r>
                          <w:rPr>
                            <w:rFonts w:ascii="宋体" w:hAnsi="宋体" w:cs="宋体" w:eastAsia="宋体" w:hint="default"/>
                            <w:spacing w:val="-30"/>
                            <w:sz w:val="18"/>
                            <w:szCs w:val="18"/>
                          </w:rPr>
                          <w:t>）</w:t>
                        </w:r>
                        <w:r>
                          <w:rPr>
                            <w:rFonts w:ascii="宋体" w:hAnsi="宋体" w:cs="宋体" w:eastAsia="宋体" w:hint="default"/>
                            <w:sz w:val="18"/>
                            <w:szCs w:val="18"/>
                          </w:rPr>
                        </w:r>
                      </w:p>
                    </w:tc>
                    <w:tc>
                      <w:tcPr>
                        <w:tcW w:w="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
                          <w:ind w:left="69" w:right="67"/>
                          <w:jc w:val="both"/>
                          <w:rPr>
                            <w:rFonts w:ascii="宋体" w:hAnsi="宋体" w:cs="宋体" w:eastAsia="宋体" w:hint="default"/>
                            <w:sz w:val="18"/>
                            <w:szCs w:val="18"/>
                          </w:rPr>
                        </w:pPr>
                        <w:r>
                          <w:rPr>
                            <w:rFonts w:ascii="宋体" w:hAnsi="宋体" w:cs="宋体" w:eastAsia="宋体" w:hint="default"/>
                            <w:sz w:val="18"/>
                            <w:szCs w:val="18"/>
                          </w:rPr>
                          <w:t>转让资 产的评 估价值</w:t>
                        </w:r>
                      </w:p>
                      <w:p>
                        <w:pPr>
                          <w:pStyle w:val="TableParagraph"/>
                          <w:spacing w:line="234" w:lineRule="exact"/>
                          <w:ind w:left="23"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0" w:right="108"/>
                          <w:jc w:val="left"/>
                          <w:rPr>
                            <w:rFonts w:ascii="宋体" w:hAnsi="宋体" w:cs="宋体" w:eastAsia="宋体" w:hint="default"/>
                            <w:sz w:val="18"/>
                            <w:szCs w:val="18"/>
                          </w:rPr>
                        </w:pPr>
                        <w:r>
                          <w:rPr>
                            <w:rFonts w:ascii="宋体" w:hAnsi="宋体" w:cs="宋体" w:eastAsia="宋体" w:hint="default"/>
                            <w:sz w:val="18"/>
                            <w:szCs w:val="18"/>
                          </w:rPr>
                          <w:t>转让 价格</w:t>
                        </w:r>
                      </w:p>
                      <w:p>
                        <w:pPr>
                          <w:pStyle w:val="TableParagraph"/>
                          <w:spacing w:line="232" w:lineRule="exact"/>
                          <w:ind w:left="110" w:right="0"/>
                          <w:jc w:val="left"/>
                          <w:rPr>
                            <w:rFonts w:ascii="宋体" w:hAnsi="宋体" w:cs="宋体" w:eastAsia="宋体" w:hint="default"/>
                            <w:sz w:val="18"/>
                            <w:szCs w:val="18"/>
                          </w:rPr>
                        </w:pPr>
                        <w:r>
                          <w:rPr>
                            <w:rFonts w:ascii="宋体" w:hAnsi="宋体" w:cs="宋体" w:eastAsia="宋体" w:hint="default"/>
                            <w:sz w:val="18"/>
                            <w:szCs w:val="18"/>
                          </w:rPr>
                          <w:t>（万</w:t>
                        </w:r>
                      </w:p>
                      <w:p>
                        <w:pPr>
                          <w:pStyle w:val="TableParagraph"/>
                          <w:spacing w:line="235" w:lineRule="exact"/>
                          <w:ind w:left="-12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35"/>
                            <w:sz w:val="18"/>
                            <w:szCs w:val="18"/>
                          </w:rPr>
                          <w:t> </w:t>
                        </w:r>
                        <w:r>
                          <w:rPr>
                            <w:rFonts w:ascii="宋体" w:hAnsi="宋体" w:cs="宋体" w:eastAsia="宋体" w:hint="default"/>
                            <w:sz w:val="18"/>
                            <w:szCs w:val="18"/>
                          </w:rPr>
                          <w:t>元）</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
                          <w:ind w:left="110" w:right="109"/>
                          <w:jc w:val="both"/>
                          <w:rPr>
                            <w:rFonts w:ascii="宋体" w:hAnsi="宋体" w:cs="宋体" w:eastAsia="宋体" w:hint="default"/>
                            <w:sz w:val="18"/>
                            <w:szCs w:val="18"/>
                          </w:rPr>
                        </w:pPr>
                        <w:r>
                          <w:rPr>
                            <w:rFonts w:ascii="宋体" w:hAnsi="宋体" w:cs="宋体" w:eastAsia="宋体" w:hint="default"/>
                            <w:sz w:val="18"/>
                            <w:szCs w:val="18"/>
                          </w:rPr>
                          <w:t>关联 交易 结算 方式</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0" w:right="108"/>
                          <w:jc w:val="left"/>
                          <w:rPr>
                            <w:rFonts w:ascii="宋体" w:hAnsi="宋体" w:cs="宋体" w:eastAsia="宋体" w:hint="default"/>
                            <w:sz w:val="18"/>
                            <w:szCs w:val="18"/>
                          </w:rPr>
                        </w:pPr>
                        <w:r>
                          <w:rPr>
                            <w:rFonts w:ascii="宋体" w:hAnsi="宋体" w:cs="宋体" w:eastAsia="宋体" w:hint="default"/>
                            <w:sz w:val="18"/>
                            <w:szCs w:val="18"/>
                          </w:rPr>
                          <w:t>交易 损益</w:t>
                        </w:r>
                      </w:p>
                      <w:p>
                        <w:pPr>
                          <w:pStyle w:val="TableParagraph"/>
                          <w:spacing w:line="234" w:lineRule="exact" w:before="20"/>
                          <w:ind w:left="110" w:right="108"/>
                          <w:jc w:val="left"/>
                          <w:rPr>
                            <w:rFonts w:ascii="宋体" w:hAnsi="宋体" w:cs="宋体" w:eastAsia="宋体" w:hint="default"/>
                            <w:sz w:val="18"/>
                            <w:szCs w:val="18"/>
                          </w:rPr>
                        </w:pPr>
                        <w:r>
                          <w:rPr>
                            <w:rFonts w:ascii="宋体" w:hAnsi="宋体" w:cs="宋体" w:eastAsia="宋体" w:hint="default"/>
                            <w:sz w:val="18"/>
                            <w:szCs w:val="18"/>
                          </w:rPr>
                          <w:t>（万 元）</w:t>
                        </w:r>
                      </w:p>
                    </w:tc>
                    <w:tc>
                      <w:tcPr>
                        <w:tcW w:w="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0"/>
                            <w:szCs w:val="20"/>
                          </w:rPr>
                        </w:pPr>
                      </w:p>
                      <w:p>
                        <w:pPr>
                          <w:pStyle w:val="TableParagraph"/>
                          <w:spacing w:line="234" w:lineRule="exact"/>
                          <w:ind w:left="250" w:right="71"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0"/>
                            <w:szCs w:val="20"/>
                          </w:rPr>
                        </w:pPr>
                      </w:p>
                      <w:p>
                        <w:pPr>
                          <w:pStyle w:val="TableParagraph"/>
                          <w:spacing w:line="234" w:lineRule="exact"/>
                          <w:ind w:left="270" w:right="89"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957" w:hRule="exact"/>
                    </w:trPr>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54"/>
                          <w:jc w:val="left"/>
                          <w:rPr>
                            <w:rFonts w:ascii="宋体" w:hAnsi="宋体" w:cs="宋体" w:eastAsia="宋体" w:hint="default"/>
                            <w:sz w:val="18"/>
                            <w:szCs w:val="18"/>
                          </w:rPr>
                        </w:pPr>
                        <w:r>
                          <w:rPr>
                            <w:rFonts w:ascii="宋体" w:hAnsi="宋体" w:cs="宋体" w:eastAsia="宋体" w:hint="default"/>
                            <w:sz w:val="18"/>
                            <w:szCs w:val="18"/>
                          </w:rPr>
                          <w:t>深圳神州 普惠信息 有限公 司、神州 数码金融 服务（深 圳）有限 公司</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37" w:lineRule="auto"/>
                          <w:ind w:left="22" w:right="97"/>
                          <w:jc w:val="both"/>
                          <w:rPr>
                            <w:rFonts w:ascii="宋体" w:hAnsi="宋体" w:cs="宋体" w:eastAsia="宋体" w:hint="default"/>
                            <w:sz w:val="18"/>
                            <w:szCs w:val="18"/>
                          </w:rPr>
                        </w:pPr>
                        <w:r>
                          <w:rPr>
                            <w:rFonts w:ascii="宋体" w:hAnsi="宋体" w:cs="宋体" w:eastAsia="宋体" w:hint="default"/>
                            <w:sz w:val="18"/>
                            <w:szCs w:val="18"/>
                          </w:rPr>
                          <w:t>交易对方的最终控制 方是神州控股，郭为 先生担任神州控股董 事局主席，同时任我 公司控股股东、实际 控制人。</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4"/>
                          <w:ind w:left="22" w:right="113"/>
                          <w:jc w:val="both"/>
                          <w:rPr>
                            <w:rFonts w:ascii="宋体" w:hAnsi="宋体" w:cs="宋体" w:eastAsia="宋体" w:hint="default"/>
                            <w:sz w:val="18"/>
                            <w:szCs w:val="18"/>
                          </w:rPr>
                        </w:pPr>
                        <w:r>
                          <w:rPr>
                            <w:rFonts w:ascii="宋体" w:hAnsi="宋体" w:cs="宋体" w:eastAsia="宋体" w:hint="default"/>
                            <w:sz w:val="18"/>
                            <w:szCs w:val="18"/>
                          </w:rPr>
                          <w:t>资产购 买暨关 联交易</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37" w:lineRule="auto"/>
                          <w:ind w:left="22" w:right="53"/>
                          <w:jc w:val="both"/>
                          <w:rPr>
                            <w:rFonts w:ascii="宋体" w:hAnsi="宋体" w:cs="宋体" w:eastAsia="宋体" w:hint="default"/>
                            <w:sz w:val="18"/>
                            <w:szCs w:val="18"/>
                          </w:rPr>
                        </w:pPr>
                        <w:r>
                          <w:rPr>
                            <w:rFonts w:ascii="宋体" w:hAnsi="宋体" w:cs="宋体" w:eastAsia="宋体" w:hint="default"/>
                            <w:sz w:val="18"/>
                            <w:szCs w:val="18"/>
                          </w:rPr>
                          <w:t>购买智慧神 州（北京） 投资管理有 限公司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37" w:lineRule="auto"/>
                          <w:ind w:left="22" w:right="20"/>
                          <w:jc w:val="left"/>
                          <w:rPr>
                            <w:rFonts w:ascii="宋体" w:hAnsi="宋体" w:cs="宋体" w:eastAsia="宋体" w:hint="default"/>
                            <w:sz w:val="18"/>
                            <w:szCs w:val="18"/>
                          </w:rPr>
                        </w:pPr>
                        <w:r>
                          <w:rPr>
                            <w:rFonts w:ascii="宋体" w:hAnsi="宋体" w:cs="宋体" w:eastAsia="宋体" w:hint="default"/>
                            <w:sz w:val="18"/>
                            <w:szCs w:val="18"/>
                          </w:rPr>
                          <w:t>以净资产 账面价值 为定价依 </w:t>
                        </w:r>
                        <w:r>
                          <w:rPr>
                            <w:rFonts w:ascii="宋体" w:hAnsi="宋体" w:cs="宋体" w:eastAsia="宋体" w:hint="default"/>
                            <w:spacing w:val="-15"/>
                            <w:sz w:val="18"/>
                            <w:szCs w:val="18"/>
                          </w:rPr>
                          <w:t>据，并经双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方协商一 致</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19"/>
                          <w:jc w:val="right"/>
                          <w:rPr>
                            <w:rFonts w:ascii="Times New Roman" w:hAnsi="Times New Roman" w:cs="Times New Roman" w:eastAsia="Times New Roman" w:hint="default"/>
                            <w:sz w:val="18"/>
                            <w:szCs w:val="18"/>
                          </w:rPr>
                        </w:pPr>
                        <w:r>
                          <w:rPr>
                            <w:rFonts w:ascii="Times New Roman"/>
                            <w:sz w:val="18"/>
                          </w:rPr>
                          <w:t>164.43</w:t>
                        </w:r>
                      </w:p>
                    </w:tc>
                    <w:tc>
                      <w:tcPr>
                        <w:tcW w:w="689"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20"/>
                          <w:jc w:val="right"/>
                          <w:rPr>
                            <w:rFonts w:ascii="Times New Roman" w:hAnsi="Times New Roman" w:cs="Times New Roman" w:eastAsia="Times New Roman" w:hint="default"/>
                            <w:sz w:val="18"/>
                            <w:szCs w:val="18"/>
                          </w:rPr>
                        </w:pPr>
                        <w:r>
                          <w:rPr>
                            <w:rFonts w:ascii="Times New Roman"/>
                            <w:sz w:val="18"/>
                          </w:rPr>
                          <w:t>164.43</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20"/>
                          <w:jc w:val="right"/>
                          <w:rPr>
                            <w:rFonts w:ascii="Times New Roman" w:hAnsi="Times New Roman" w:cs="Times New Roman" w:eastAsia="Times New Roman" w:hint="default"/>
                            <w:sz w:val="18"/>
                            <w:szCs w:val="18"/>
                          </w:rPr>
                        </w:pPr>
                        <w:r>
                          <w:rPr>
                            <w:rFonts w:ascii="Times New Roman"/>
                            <w:sz w:val="18"/>
                          </w:rPr>
                          <w:t>0</w:t>
                        </w:r>
                      </w:p>
                    </w:tc>
                    <w:tc>
                      <w:tcPr>
                        <w:tcW w:w="692"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r>
                  <w:tr>
                    <w:trPr>
                      <w:trHeight w:val="2424" w:hRule="exact"/>
                    </w:trPr>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1752"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32" w:lineRule="exact"/>
                          <w:ind w:left="22" w:right="-39"/>
                          <w:jc w:val="left"/>
                          <w:rPr>
                            <w:rFonts w:ascii="宋体" w:hAnsi="宋体" w:cs="宋体" w:eastAsia="宋体" w:hint="default"/>
                            <w:sz w:val="18"/>
                            <w:szCs w:val="18"/>
                          </w:rPr>
                        </w:pPr>
                        <w:r>
                          <w:rPr>
                            <w:rFonts w:ascii="宋体" w:hAnsi="宋体" w:cs="宋体" w:eastAsia="宋体" w:hint="default"/>
                            <w:sz w:val="18"/>
                            <w:szCs w:val="18"/>
                          </w:rPr>
                          <w:t>郭为先生为本公司控 </w:t>
                        </w:r>
                        <w:r>
                          <w:rPr>
                            <w:rFonts w:ascii="宋体" w:hAnsi="宋体" w:cs="宋体" w:eastAsia="宋体" w:hint="default"/>
                            <w:spacing w:val="-5"/>
                            <w:sz w:val="18"/>
                            <w:szCs w:val="18"/>
                          </w:rPr>
                          <w:t>股股东、实际控制人。</w:t>
                        </w:r>
                        <w:r>
                          <w:rPr>
                            <w:rFonts w:ascii="宋体" w:hAnsi="宋体" w:cs="宋体" w:eastAsia="宋体" w:hint="default"/>
                            <w:sz w:val="18"/>
                            <w:szCs w:val="18"/>
                          </w:rPr>
                        </w:r>
                      </w:p>
                    </w:tc>
                    <w:tc>
                      <w:tcPr>
                        <w:tcW w:w="688"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32" w:lineRule="exact"/>
                          <w:ind w:left="16" w:right="113"/>
                          <w:jc w:val="left"/>
                          <w:rPr>
                            <w:rFonts w:ascii="宋体" w:hAnsi="宋体" w:cs="宋体" w:eastAsia="宋体" w:hint="default"/>
                            <w:sz w:val="18"/>
                            <w:szCs w:val="18"/>
                          </w:rPr>
                        </w:pPr>
                        <w:r>
                          <w:rPr>
                            <w:rFonts w:ascii="宋体" w:hAnsi="宋体" w:cs="宋体" w:eastAsia="宋体" w:hint="default"/>
                            <w:sz w:val="18"/>
                            <w:szCs w:val="18"/>
                          </w:rPr>
                          <w:t>关联共 同投资</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4"/>
                            <w:szCs w:val="24"/>
                          </w:rPr>
                        </w:pP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22" w:right="53"/>
                          <w:jc w:val="both"/>
                          <w:rPr>
                            <w:rFonts w:ascii="宋体" w:hAnsi="宋体" w:cs="宋体" w:eastAsia="宋体" w:hint="default"/>
                            <w:sz w:val="18"/>
                            <w:szCs w:val="18"/>
                          </w:rPr>
                        </w:pPr>
                        <w:r>
                          <w:rPr>
                            <w:rFonts w:ascii="宋体" w:hAnsi="宋体" w:cs="宋体" w:eastAsia="宋体" w:hint="default"/>
                            <w:sz w:val="18"/>
                            <w:szCs w:val="18"/>
                          </w:rPr>
                          <w:t>购买北京神 州数码云计 算有限公司 </w:t>
                        </w:r>
                        <w:r>
                          <w:rPr>
                            <w:rFonts w:ascii="Times New Roman" w:hAnsi="Times New Roman" w:cs="Times New Roman" w:eastAsia="Times New Roman" w:hint="default"/>
                            <w:sz w:val="18"/>
                            <w:szCs w:val="18"/>
                          </w:rPr>
                          <w:t>49%</w:t>
                        </w:r>
                        <w:r>
                          <w:rPr>
                            <w:rFonts w:ascii="宋体" w:hAnsi="宋体" w:cs="宋体" w:eastAsia="宋体" w:hint="default"/>
                            <w:sz w:val="18"/>
                            <w:szCs w:val="18"/>
                          </w:rPr>
                          <w:t>的股权</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37" w:lineRule="auto"/>
                          <w:ind w:left="22" w:right="20"/>
                          <w:jc w:val="left"/>
                          <w:rPr>
                            <w:rFonts w:ascii="宋体" w:hAnsi="宋体" w:cs="宋体" w:eastAsia="宋体" w:hint="default"/>
                            <w:sz w:val="18"/>
                            <w:szCs w:val="18"/>
                          </w:rPr>
                        </w:pPr>
                        <w:r>
                          <w:rPr>
                            <w:rFonts w:ascii="宋体" w:hAnsi="宋体" w:cs="宋体" w:eastAsia="宋体" w:hint="default"/>
                            <w:sz w:val="18"/>
                            <w:szCs w:val="18"/>
                          </w:rPr>
                          <w:t>以净资产 账面价值 为定价依 </w:t>
                        </w:r>
                        <w:r>
                          <w:rPr>
                            <w:rFonts w:ascii="宋体" w:hAnsi="宋体" w:cs="宋体" w:eastAsia="宋体" w:hint="default"/>
                            <w:spacing w:val="-15"/>
                            <w:sz w:val="18"/>
                            <w:szCs w:val="18"/>
                          </w:rPr>
                          <w:t>据，并经双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方协商一 致</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z w:val="18"/>
                          </w:rPr>
                          <w:t>669.46</w:t>
                        </w:r>
                      </w:p>
                    </w:tc>
                    <w:tc>
                      <w:tcPr>
                        <w:tcW w:w="689"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z w:val="18"/>
                          </w:rPr>
                          <w:t>669.46</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z w:val="18"/>
                          </w:rPr>
                          <w:t>0</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2" w:lineRule="exact" w:before="12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22"/>
                          <w:jc w:val="left"/>
                          <w:rPr>
                            <w:rFonts w:ascii="宋体" w:hAnsi="宋体" w:cs="宋体" w:eastAsia="宋体" w:hint="default"/>
                            <w:sz w:val="18"/>
                            <w:szCs w:val="18"/>
                          </w:rPr>
                        </w:pPr>
                        <w:r>
                          <w:rPr>
                            <w:rFonts w:ascii="宋体" w:hAnsi="宋体" w:cs="宋体" w:eastAsia="宋体" w:hint="default"/>
                            <w:sz w:val="18"/>
                            <w:szCs w:val="18"/>
                          </w:rPr>
                          <w:t>巨潮资 </w:t>
                        </w:r>
                        <w:r>
                          <w:rPr>
                            <w:rFonts w:ascii="宋体" w:hAnsi="宋体" w:cs="宋体" w:eastAsia="宋体" w:hint="default"/>
                            <w:spacing w:val="-12"/>
                            <w:sz w:val="18"/>
                            <w:szCs w:val="18"/>
                          </w:rPr>
                          <w:t>讯网《关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于购买 北京神 州数码 云计算 有限公 司暨关 联交易 的公告》</w:t>
                        </w:r>
                      </w:p>
                    </w:tc>
                  </w:tr>
                  <w:tr>
                    <w:trPr>
                      <w:trHeight w:val="1492" w:hRule="exact"/>
                    </w:trPr>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7"/>
                          <w:ind w:left="22" w:right="54"/>
                          <w:jc w:val="both"/>
                          <w:rPr>
                            <w:rFonts w:ascii="宋体" w:hAnsi="宋体" w:cs="宋体" w:eastAsia="宋体" w:hint="default"/>
                            <w:sz w:val="18"/>
                            <w:szCs w:val="18"/>
                          </w:rPr>
                        </w:pPr>
                        <w:r>
                          <w:rPr>
                            <w:rFonts w:ascii="宋体" w:hAnsi="宋体" w:cs="宋体" w:eastAsia="宋体" w:hint="default"/>
                            <w:sz w:val="18"/>
                            <w:szCs w:val="18"/>
                          </w:rPr>
                          <w:t>深圳神州 惠众科技 有限公司</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97"/>
                          <w:jc w:val="both"/>
                          <w:rPr>
                            <w:rFonts w:ascii="宋体" w:hAnsi="宋体" w:cs="宋体" w:eastAsia="宋体" w:hint="default"/>
                            <w:sz w:val="18"/>
                            <w:szCs w:val="18"/>
                          </w:rPr>
                        </w:pPr>
                        <w:r>
                          <w:rPr>
                            <w:rFonts w:ascii="宋体" w:hAnsi="宋体" w:cs="宋体" w:eastAsia="宋体" w:hint="default"/>
                            <w:sz w:val="18"/>
                            <w:szCs w:val="18"/>
                          </w:rPr>
                          <w:t>交易对方神州惠众的 最终控制方是神州控 股，郭为先生担任神 州控股董事局主席， 同时任我公司控股股 东、实际控制人。</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7"/>
                          <w:ind w:left="22" w:right="113"/>
                          <w:jc w:val="both"/>
                          <w:rPr>
                            <w:rFonts w:ascii="宋体" w:hAnsi="宋体" w:cs="宋体" w:eastAsia="宋体" w:hint="default"/>
                            <w:sz w:val="18"/>
                            <w:szCs w:val="18"/>
                          </w:rPr>
                        </w:pPr>
                        <w:r>
                          <w:rPr>
                            <w:rFonts w:ascii="宋体" w:hAnsi="宋体" w:cs="宋体" w:eastAsia="宋体" w:hint="default"/>
                            <w:sz w:val="18"/>
                            <w:szCs w:val="18"/>
                          </w:rPr>
                          <w:t>资产购 买暨关 联交易</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37" w:lineRule="auto"/>
                          <w:ind w:left="22" w:right="53"/>
                          <w:jc w:val="left"/>
                          <w:rPr>
                            <w:rFonts w:ascii="宋体" w:hAnsi="宋体" w:cs="宋体" w:eastAsia="宋体" w:hint="default"/>
                            <w:sz w:val="18"/>
                            <w:szCs w:val="18"/>
                          </w:rPr>
                        </w:pPr>
                        <w:r>
                          <w:rPr>
                            <w:rFonts w:ascii="宋体" w:hAnsi="宋体" w:cs="宋体" w:eastAsia="宋体" w:hint="default"/>
                            <w:sz w:val="18"/>
                            <w:szCs w:val="18"/>
                          </w:rPr>
                          <w:t>购买神州云 盾信息安全 有限公司 </w:t>
                        </w:r>
                        <w:r>
                          <w:rPr>
                            <w:rFonts w:ascii="Times New Roman" w:hAnsi="Times New Roman" w:cs="Times New Roman" w:eastAsia="Times New Roman" w:hint="default"/>
                            <w:sz w:val="18"/>
                            <w:szCs w:val="18"/>
                          </w:rPr>
                          <w:t>40%</w:t>
                        </w:r>
                        <w:r>
                          <w:rPr>
                            <w:rFonts w:ascii="宋体" w:hAnsi="宋体" w:cs="宋体" w:eastAsia="宋体" w:hint="default"/>
                            <w:sz w:val="18"/>
                            <w:szCs w:val="18"/>
                          </w:rPr>
                          <w:t>的股权</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20"/>
                          <w:jc w:val="left"/>
                          <w:rPr>
                            <w:rFonts w:ascii="宋体" w:hAnsi="宋体" w:cs="宋体" w:eastAsia="宋体" w:hint="default"/>
                            <w:sz w:val="18"/>
                            <w:szCs w:val="18"/>
                          </w:rPr>
                        </w:pPr>
                        <w:r>
                          <w:rPr>
                            <w:rFonts w:ascii="宋体" w:hAnsi="宋体" w:cs="宋体" w:eastAsia="宋体" w:hint="default"/>
                            <w:sz w:val="18"/>
                            <w:szCs w:val="18"/>
                          </w:rPr>
                          <w:t>以净资产 账面价值 为定价依 </w:t>
                        </w:r>
                        <w:r>
                          <w:rPr>
                            <w:rFonts w:ascii="宋体" w:hAnsi="宋体" w:cs="宋体" w:eastAsia="宋体" w:hint="default"/>
                            <w:spacing w:val="-15"/>
                            <w:sz w:val="18"/>
                            <w:szCs w:val="18"/>
                          </w:rPr>
                          <w:t>据，并经双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方协商一 致</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1,390</w:t>
                        </w:r>
                      </w:p>
                    </w:tc>
                    <w:tc>
                      <w:tcPr>
                        <w:tcW w:w="689"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1,390</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92"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23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62"/>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转让价格与账面价值或评估价值差异较大的原因（如 有）</w:t>
                        </w:r>
                      </w:p>
                    </w:tc>
                    <w:tc>
                      <w:tcPr>
                        <w:tcW w:w="545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038" w:hRule="exact"/>
                    </w:trPr>
                    <w:tc>
                      <w:tcPr>
                        <w:tcW w:w="423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对公司经营成果与财务状况的影响情况</w:t>
                        </w:r>
                      </w:p>
                    </w:tc>
                    <w:tc>
                      <w:tcPr>
                        <w:tcW w:w="5458" w:type="dxa"/>
                        <w:gridSpan w:val="8"/>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、购买智慧神州（北京）投资管理有限公司</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股权，上市公司拥 </w:t>
                        </w:r>
                        <w:r>
                          <w:rPr>
                            <w:rFonts w:ascii="宋体" w:hAnsi="宋体" w:cs="宋体" w:eastAsia="宋体" w:hint="default"/>
                            <w:spacing w:val="-3"/>
                            <w:sz w:val="18"/>
                            <w:szCs w:val="18"/>
                          </w:rPr>
                          <w:t>有对外投资管理平台，有利于上市公司利用对外投资实现云战略布局</w:t>
                        </w:r>
                      </w:p>
                      <w:p>
                        <w:pPr>
                          <w:pStyle w:val="TableParagraph"/>
                          <w:spacing w:line="232" w:lineRule="auto" w:before="23"/>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、购买北京神州数码云计算有限公司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的股权，云计算的资产、 业务完全纳入上市公司平台结构，有助于云计算拓宽资金来源，促进 </w:t>
                        </w:r>
                        <w:r>
                          <w:rPr>
                            <w:rFonts w:ascii="宋体" w:hAnsi="宋体" w:cs="宋体" w:eastAsia="宋体" w:hint="default"/>
                            <w:spacing w:val="-3"/>
                            <w:sz w:val="18"/>
                            <w:szCs w:val="18"/>
                          </w:rPr>
                          <w:t>业务发展、完善产业布局、整合优势资源，与上市公司业务协同一致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互相促进，对实现上市公司战略目标具有积极意义。</w:t>
                        </w:r>
                      </w:p>
                      <w:p>
                        <w:pPr>
                          <w:pStyle w:val="TableParagraph"/>
                          <w:spacing w:line="234" w:lineRule="exact" w:before="62"/>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、购买神州云盾信息安全有限公司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的股权，有利于上市公司在 信息安全领域的布局。</w:t>
                        </w:r>
                      </w:p>
                    </w:tc>
                  </w:tr>
                  <w:tr>
                    <w:trPr>
                      <w:trHeight w:val="557" w:hRule="exact"/>
                    </w:trPr>
                    <w:tc>
                      <w:tcPr>
                        <w:tcW w:w="423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62"/>
                          <w:jc w:val="left"/>
                          <w:rPr>
                            <w:rFonts w:ascii="宋体" w:hAnsi="宋体" w:cs="宋体" w:eastAsia="宋体" w:hint="default"/>
                            <w:sz w:val="18"/>
                            <w:szCs w:val="18"/>
                          </w:rPr>
                        </w:pPr>
                        <w:r>
                          <w:rPr>
                            <w:rFonts w:ascii="宋体" w:hAnsi="宋体" w:cs="宋体" w:eastAsia="宋体" w:hint="default"/>
                            <w:sz w:val="18"/>
                            <w:szCs w:val="18"/>
                          </w:rPr>
                          <w:t>如相关交易涉及业绩约定的，报告期内的业绩实现情 况</w:t>
                        </w:r>
                      </w:p>
                    </w:tc>
                    <w:tc>
                      <w:tcPr>
                        <w:tcW w:w="545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before="44"/>
        <w:ind w:left="0" w:right="1041"/>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3"/>
        <w:spacing w:line="240" w:lineRule="auto" w:before="35"/>
        <w:ind w:right="0"/>
        <w:jc w:val="left"/>
        <w:rPr>
          <w:b w:val="0"/>
          <w:bCs w:val="0"/>
        </w:rPr>
      </w:pPr>
      <w:bookmarkStart w:name="3、共同对外投资的关联交易" w:id="83"/>
      <w:bookmarkEnd w:id="83"/>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0"/>
        <w:rPr>
          <w:rFonts w:ascii="宋体" w:hAnsi="宋体" w:cs="宋体" w:eastAsia="宋体" w:hint="default"/>
          <w:b/>
          <w:bCs/>
          <w:sz w:val="22"/>
          <w:szCs w:val="22"/>
        </w:rPr>
      </w:pPr>
    </w:p>
    <w:p>
      <w:pPr>
        <w:pStyle w:val="BodyText"/>
        <w:spacing w:line="264" w:lineRule="auto"/>
        <w:ind w:right="7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after="0" w:line="264" w:lineRule="auto"/>
        <w:jc w:val="left"/>
        <w:sectPr>
          <w:pgSz w:w="11910" w:h="16840"/>
          <w:pgMar w:header="877" w:footer="979" w:top="1100" w:bottom="1160" w:left="980" w:right="0"/>
        </w:sectPr>
      </w:pPr>
    </w:p>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4、关联债权债务往来" w:id="84"/>
      <w:bookmarkEnd w:id="84"/>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0"/>
        <w:rPr>
          <w:rFonts w:ascii="宋体" w:hAnsi="宋体" w:cs="宋体" w:eastAsia="宋体" w:hint="default"/>
          <w:b/>
          <w:bCs/>
          <w:sz w:val="22"/>
          <w:szCs w:val="22"/>
        </w:rPr>
      </w:pPr>
    </w:p>
    <w:p>
      <w:pPr>
        <w:pStyle w:val="BodyText"/>
        <w:spacing w:line="264" w:lineRule="auto"/>
        <w:ind w:right="78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是否存在非经营性关联债权债务往来</w:t>
      </w:r>
    </w:p>
    <w:p>
      <w:pPr>
        <w:pStyle w:val="BodyText"/>
        <w:spacing w:line="261" w:lineRule="auto" w:before="20"/>
        <w:ind w:right="94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应收关联方债权</w:t>
      </w:r>
    </w:p>
    <w:p>
      <w:pPr>
        <w:spacing w:line="240" w:lineRule="auto" w:before="0"/>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935"/>
        <w:gridCol w:w="944"/>
        <w:gridCol w:w="956"/>
        <w:gridCol w:w="958"/>
        <w:gridCol w:w="956"/>
        <w:gridCol w:w="958"/>
        <w:gridCol w:w="956"/>
        <w:gridCol w:w="958"/>
        <w:gridCol w:w="956"/>
        <w:gridCol w:w="991"/>
      </w:tblGrid>
      <w:tr>
        <w:trPr>
          <w:trHeight w:val="790"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23" w:right="22"/>
              <w:jc w:val="center"/>
              <w:rPr>
                <w:rFonts w:ascii="宋体" w:hAnsi="宋体" w:cs="宋体" w:eastAsia="宋体" w:hint="default"/>
                <w:sz w:val="18"/>
                <w:szCs w:val="18"/>
              </w:rPr>
            </w:pPr>
            <w:r>
              <w:rPr>
                <w:rFonts w:ascii="宋体" w:hAnsi="宋体" w:cs="宋体" w:eastAsia="宋体" w:hint="default"/>
                <w:sz w:val="18"/>
                <w:szCs w:val="18"/>
              </w:rPr>
              <w:t>是否存在非 经营性资金 占用</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126"/>
              <w:ind w:left="112"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35" w:lineRule="exact"/>
              <w:ind w:left="11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23" w:right="23"/>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22" w:right="23"/>
              <w:jc w:val="left"/>
              <w:rPr>
                <w:rFonts w:ascii="宋体" w:hAnsi="宋体" w:cs="宋体" w:eastAsia="宋体" w:hint="default"/>
                <w:sz w:val="18"/>
                <w:szCs w:val="18"/>
              </w:rPr>
            </w:pPr>
            <w:r>
              <w:rPr>
                <w:rFonts w:ascii="宋体" w:hAnsi="宋体" w:cs="宋体" w:eastAsia="宋体" w:hint="default"/>
                <w:sz w:val="18"/>
                <w:szCs w:val="18"/>
              </w:rPr>
              <w:t>本期收回金 额（万元）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126"/>
              <w:ind w:left="112"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35" w:lineRule="exact"/>
              <w:ind w:left="11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126"/>
              <w:ind w:left="130"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35" w:lineRule="exact"/>
              <w:ind w:left="130"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1024" w:hRule="exact"/>
        </w:trPr>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80"/>
              <w:jc w:val="both"/>
              <w:rPr>
                <w:rFonts w:ascii="宋体" w:hAnsi="宋体" w:cs="宋体" w:eastAsia="宋体" w:hint="default"/>
                <w:sz w:val="18"/>
                <w:szCs w:val="18"/>
              </w:rPr>
            </w:pPr>
            <w:r>
              <w:rPr>
                <w:rFonts w:ascii="宋体" w:hAnsi="宋体" w:cs="宋体" w:eastAsia="宋体" w:hint="default"/>
                <w:sz w:val="18"/>
                <w:szCs w:val="18"/>
              </w:rPr>
              <w:t>北京神州 数码置业 发展有限 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16,187.09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20" w:right="0"/>
              <w:jc w:val="left"/>
              <w:rPr>
                <w:rFonts w:ascii="Times New Roman" w:hAnsi="Times New Roman" w:cs="Times New Roman" w:eastAsia="Times New Roman" w:hint="default"/>
                <w:sz w:val="18"/>
                <w:szCs w:val="18"/>
              </w:rPr>
            </w:pPr>
            <w:r>
              <w:rPr>
                <w:rFonts w:ascii="Times New Roman"/>
                <w:sz w:val="18"/>
              </w:rPr>
              <w:t>1,750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93" w:right="0"/>
              <w:jc w:val="left"/>
              <w:rPr>
                <w:rFonts w:ascii="Times New Roman" w:hAnsi="Times New Roman" w:cs="Times New Roman" w:eastAsia="Times New Roman" w:hint="default"/>
                <w:sz w:val="18"/>
                <w:szCs w:val="18"/>
              </w:rPr>
            </w:pPr>
            <w:r>
              <w:rPr>
                <w:rFonts w:ascii="Times New Roman"/>
                <w:sz w:val="18"/>
              </w:rPr>
              <w:t>3,228.54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61" w:right="0"/>
              <w:jc w:val="left"/>
              <w:rPr>
                <w:rFonts w:ascii="Times New Roman" w:hAnsi="Times New Roman" w:cs="Times New Roman" w:eastAsia="Times New Roman" w:hint="default"/>
                <w:sz w:val="18"/>
                <w:szCs w:val="18"/>
              </w:rPr>
            </w:pPr>
            <w:r>
              <w:rPr>
                <w:rFonts w:ascii="Times New Roman"/>
                <w:sz w:val="18"/>
              </w:rPr>
              <w:t>4.35%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29" w:right="0"/>
              <w:jc w:val="left"/>
              <w:rPr>
                <w:rFonts w:ascii="Times New Roman" w:hAnsi="Times New Roman" w:cs="Times New Roman" w:eastAsia="Times New Roman" w:hint="default"/>
                <w:sz w:val="18"/>
                <w:szCs w:val="18"/>
              </w:rPr>
            </w:pPr>
            <w:r>
              <w:rPr>
                <w:rFonts w:ascii="Times New Roman"/>
                <w:sz w:val="18"/>
              </w:rPr>
              <w:t>651.38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15,359.94</w:t>
            </w:r>
          </w:p>
        </w:tc>
      </w:tr>
      <w:tr>
        <w:trPr>
          <w:trHeight w:val="557" w:hRule="exact"/>
        </w:trPr>
        <w:tc>
          <w:tcPr>
            <w:tcW w:w="1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45"/>
              <w:jc w:val="left"/>
              <w:rPr>
                <w:rFonts w:ascii="宋体" w:hAnsi="宋体" w:cs="宋体" w:eastAsia="宋体" w:hint="default"/>
                <w:sz w:val="18"/>
                <w:szCs w:val="18"/>
              </w:rPr>
            </w:pPr>
            <w:r>
              <w:rPr>
                <w:rFonts w:ascii="宋体" w:hAnsi="宋体" w:cs="宋体" w:eastAsia="宋体" w:hint="default"/>
                <w:sz w:val="18"/>
                <w:szCs w:val="18"/>
              </w:rPr>
              <w:t>关联债权对公司经营成 果及财务状况的影响</w:t>
            </w:r>
          </w:p>
        </w:tc>
        <w:tc>
          <w:tcPr>
            <w:tcW w:w="769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公司对北京神州数码置业发展有限公司提供的借款对公司经营成果及财务状况影响较小。</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5、其他重大关联交易" w:id="85"/>
      <w:bookmarkEnd w:id="85"/>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0"/>
        <w:rPr>
          <w:rFonts w:ascii="宋体" w:hAnsi="宋体" w:cs="宋体" w:eastAsia="宋体" w:hint="default"/>
          <w:b/>
          <w:bCs/>
          <w:sz w:val="22"/>
          <w:szCs w:val="22"/>
        </w:rPr>
      </w:pPr>
    </w:p>
    <w:p>
      <w:pPr>
        <w:pStyle w:val="BodyText"/>
        <w:spacing w:line="264" w:lineRule="auto"/>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十七、重大合同及其履行情况" w:id="86"/>
      <w:bookmarkEnd w:id="86"/>
      <w:r>
        <w:rPr>
          <w:b w:val="0"/>
          <w:bCs w:val="0"/>
        </w:rPr>
      </w:r>
      <w:r>
        <w:rPr/>
        <w:t>十七、重大合同及其履行情况</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right="0"/>
        <w:jc w:val="left"/>
        <w:rPr>
          <w:b w:val="0"/>
          <w:bCs w:val="0"/>
        </w:rPr>
      </w:pPr>
      <w:bookmarkStart w:name="1、托管、承包、租赁事项情况" w:id="87"/>
      <w:bookmarkEnd w:id="87"/>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bookmarkStart w:name="（1）托管情况" w:id="88"/>
      <w:bookmarkEnd w:id="88"/>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0"/>
        <w:rPr>
          <w:rFonts w:ascii="宋体" w:hAnsi="宋体" w:cs="宋体" w:eastAsia="宋体" w:hint="default"/>
          <w:b/>
          <w:bCs/>
          <w:sz w:val="22"/>
          <w:szCs w:val="22"/>
        </w:rPr>
      </w:pPr>
    </w:p>
    <w:p>
      <w:pPr>
        <w:pStyle w:val="BodyText"/>
        <w:spacing w:line="264"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承包情况" w:id="89"/>
      <w:bookmarkEnd w:id="89"/>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12"/>
        <w:rPr>
          <w:rFonts w:ascii="宋体" w:hAnsi="宋体" w:cs="宋体" w:eastAsia="宋体" w:hint="default"/>
          <w:b/>
          <w:bCs/>
          <w:sz w:val="21"/>
          <w:szCs w:val="21"/>
        </w:rPr>
      </w:pPr>
    </w:p>
    <w:p>
      <w:pPr>
        <w:pStyle w:val="BodyText"/>
        <w:spacing w:line="264"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租赁情况" w:id="90"/>
      <w:bookmarkEnd w:id="90"/>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0"/>
        <w:rPr>
          <w:rFonts w:ascii="宋体" w:hAnsi="宋体" w:cs="宋体" w:eastAsia="宋体" w:hint="default"/>
          <w:b/>
          <w:bCs/>
          <w:sz w:val="22"/>
          <w:szCs w:val="22"/>
        </w:rPr>
      </w:pPr>
    </w:p>
    <w:p>
      <w:pPr>
        <w:pStyle w:val="BodyText"/>
        <w:spacing w:line="261"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重大担保" w:id="91"/>
      <w:bookmarkEnd w:id="91"/>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1）担保情况" w:id="92"/>
      <w:bookmarkEnd w:id="92"/>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30"/>
        <w:jc w:val="right"/>
      </w:pPr>
      <w:r>
        <w:rPr/>
        <w:t>单位：万元</w:t>
      </w:r>
    </w:p>
    <w:p>
      <w:pPr>
        <w:spacing w:line="240" w:lineRule="auto" w:before="3"/>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1134"/>
        <w:gridCol w:w="1286"/>
        <w:gridCol w:w="1184"/>
        <w:gridCol w:w="1313"/>
        <w:gridCol w:w="1076"/>
        <w:gridCol w:w="1049"/>
        <w:gridCol w:w="1064"/>
        <w:gridCol w:w="802"/>
        <w:gridCol w:w="785"/>
      </w:tblGrid>
      <w:tr>
        <w:trPr>
          <w:trHeight w:val="323" w:hRule="exact"/>
        </w:trPr>
        <w:tc>
          <w:tcPr>
            <w:tcW w:w="969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59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557"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71" w:right="111" w:hanging="360"/>
              <w:jc w:val="left"/>
              <w:rPr>
                <w:rFonts w:ascii="宋体" w:hAnsi="宋体" w:cs="宋体" w:eastAsia="宋体" w:hint="default"/>
                <w:sz w:val="18"/>
                <w:szCs w:val="18"/>
              </w:rPr>
            </w:pPr>
            <w:r>
              <w:rPr>
                <w:rFonts w:ascii="宋体" w:hAnsi="宋体" w:cs="宋体" w:eastAsia="宋体" w:hint="default"/>
                <w:sz w:val="18"/>
                <w:szCs w:val="18"/>
              </w:rPr>
              <w:t>担保对象名 称</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98" w:right="96"/>
              <w:jc w:val="left"/>
              <w:rPr>
                <w:rFonts w:ascii="宋体" w:hAnsi="宋体" w:cs="宋体" w:eastAsia="宋体" w:hint="default"/>
                <w:sz w:val="18"/>
                <w:szCs w:val="18"/>
              </w:rPr>
            </w:pPr>
            <w:r>
              <w:rPr>
                <w:rFonts w:ascii="宋体" w:hAnsi="宋体" w:cs="宋体" w:eastAsia="宋体" w:hint="default"/>
                <w:sz w:val="18"/>
                <w:szCs w:val="18"/>
              </w:rPr>
              <w:t>担保额度相关 公告披露日期</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2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11"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42" w:right="83"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58"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56"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16" w:right="35"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6" w:right="26"/>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1134"/>
        <w:gridCol w:w="1281"/>
        <w:gridCol w:w="1190"/>
        <w:gridCol w:w="1319"/>
        <w:gridCol w:w="1071"/>
        <w:gridCol w:w="1043"/>
        <w:gridCol w:w="1064"/>
        <w:gridCol w:w="808"/>
        <w:gridCol w:w="785"/>
      </w:tblGrid>
      <w:tr>
        <w:trPr>
          <w:trHeight w:val="557" w:hRule="exact"/>
        </w:trPr>
        <w:tc>
          <w:tcPr>
            <w:tcW w:w="241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40"/>
              <w:jc w:val="left"/>
              <w:rPr>
                <w:rFonts w:ascii="宋体" w:hAnsi="宋体" w:cs="宋体" w:eastAsia="宋体" w:hint="default"/>
                <w:sz w:val="18"/>
                <w:szCs w:val="18"/>
              </w:rPr>
            </w:pPr>
            <w:r>
              <w:rPr>
                <w:rFonts w:ascii="宋体" w:hAnsi="宋体" w:cs="宋体" w:eastAsia="宋体" w:hint="default"/>
                <w:sz w:val="18"/>
                <w:szCs w:val="18"/>
              </w:rPr>
              <w:t>报告期内审批的对外担保额度 合计（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509"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211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7" w:right="105"/>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5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562" w:hRule="exact"/>
        </w:trPr>
        <w:tc>
          <w:tcPr>
            <w:tcW w:w="241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40"/>
              <w:jc w:val="left"/>
              <w:rPr>
                <w:rFonts w:ascii="宋体" w:hAnsi="宋体" w:cs="宋体" w:eastAsia="宋体" w:hint="default"/>
                <w:sz w:val="18"/>
                <w:szCs w:val="18"/>
              </w:rPr>
            </w:pPr>
            <w:r>
              <w:rPr>
                <w:rFonts w:ascii="宋体" w:hAnsi="宋体" w:cs="宋体" w:eastAsia="宋体" w:hint="default"/>
                <w:sz w:val="18"/>
                <w:szCs w:val="18"/>
              </w:rPr>
              <w:t>报告期末已审批的对外担保额 度合计（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509"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211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7" w:right="105"/>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5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15" w:hRule="exact"/>
        </w:trPr>
        <w:tc>
          <w:tcPr>
            <w:tcW w:w="969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26" w:hRule="exact"/>
        </w:trPr>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left="471" w:right="111" w:hanging="360"/>
              <w:jc w:val="left"/>
              <w:rPr>
                <w:rFonts w:ascii="宋体" w:hAnsi="宋体" w:cs="宋体" w:eastAsia="宋体" w:hint="default"/>
                <w:sz w:val="18"/>
                <w:szCs w:val="18"/>
              </w:rPr>
            </w:pPr>
            <w:r>
              <w:rPr>
                <w:rFonts w:ascii="宋体" w:hAnsi="宋体" w:cs="宋体" w:eastAsia="宋体" w:hint="default"/>
                <w:sz w:val="18"/>
                <w:szCs w:val="18"/>
              </w:rPr>
              <w:t>担保对象名 称</w:t>
            </w:r>
          </w:p>
        </w:tc>
        <w:tc>
          <w:tcPr>
            <w:tcW w:w="12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left="98" w:right="90"/>
              <w:jc w:val="left"/>
              <w:rPr>
                <w:rFonts w:ascii="宋体" w:hAnsi="宋体" w:cs="宋体" w:eastAsia="宋体" w:hint="default"/>
                <w:sz w:val="18"/>
                <w:szCs w:val="18"/>
              </w:rPr>
            </w:pPr>
            <w:r>
              <w:rPr>
                <w:rFonts w:ascii="宋体" w:hAnsi="宋体" w:cs="宋体" w:eastAsia="宋体" w:hint="default"/>
                <w:sz w:val="18"/>
                <w:szCs w:val="18"/>
              </w:rPr>
              <w:t>担保额度相关 公告披露日期</w:t>
            </w:r>
          </w:p>
        </w:tc>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left="437" w:right="83"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8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left="219" w:right="3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left="26" w:right="26"/>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36"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1281" w:type="dxa"/>
            <w:vMerge/>
            <w:tcBorders>
              <w:left w:val="single" w:sz="4" w:space="0" w:color="000000"/>
              <w:bottom w:val="single" w:sz="4" w:space="0" w:color="000000"/>
              <w:right w:val="single" w:sz="4" w:space="0" w:color="000000"/>
            </w:tcBorders>
            <w:shd w:val="clear" w:color="auto" w:fill="D2D2D2"/>
          </w:tcPr>
          <w:p>
            <w:pPr/>
          </w:p>
        </w:tc>
        <w:tc>
          <w:tcPr>
            <w:tcW w:w="119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3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11"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71" w:type="dxa"/>
            <w:vMerge/>
            <w:tcBorders>
              <w:left w:val="single" w:sz="4" w:space="0" w:color="000000"/>
              <w:bottom w:val="single" w:sz="4" w:space="0" w:color="000000"/>
              <w:right w:val="single" w:sz="4" w:space="0" w:color="000000"/>
            </w:tcBorders>
            <w:shd w:val="clear" w:color="auto" w:fill="D2D2D2"/>
          </w:tcPr>
          <w:p>
            <w:pPr/>
          </w:p>
        </w:tc>
        <w:tc>
          <w:tcPr>
            <w:tcW w:w="104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58"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60"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808" w:type="dxa"/>
            <w:vMerge/>
            <w:tcBorders>
              <w:left w:val="single" w:sz="4" w:space="0" w:color="000000"/>
              <w:bottom w:val="single" w:sz="4" w:space="0" w:color="000000"/>
              <w:right w:val="single" w:sz="4" w:space="0" w:color="000000"/>
            </w:tcBorders>
            <w:shd w:val="clear" w:color="auto" w:fill="D2D2D2"/>
          </w:tcPr>
          <w:p>
            <w:pPr/>
          </w:p>
        </w:tc>
        <w:tc>
          <w:tcPr>
            <w:tcW w:w="785" w:type="dxa"/>
            <w:vMerge/>
            <w:tcBorders>
              <w:left w:val="single" w:sz="4" w:space="0" w:color="000000"/>
              <w:bottom w:val="single" w:sz="4" w:space="0" w:color="000000"/>
              <w:right w:val="single" w:sz="4" w:space="0" w:color="000000"/>
            </w:tcBorders>
            <w:shd w:val="clear" w:color="auto" w:fill="D2D2D2"/>
          </w:tcPr>
          <w:p>
            <w:pPr/>
          </w:p>
        </w:tc>
      </w:tr>
      <w:tr>
        <w:trPr>
          <w:trHeight w:val="102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281"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7"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21"/>
              <w:jc w:val="right"/>
              <w:rPr>
                <w:rFonts w:ascii="Times New Roman" w:hAnsi="Times New Roman" w:cs="Times New Roman" w:eastAsia="Times New Roman" w:hint="default"/>
                <w:sz w:val="18"/>
                <w:szCs w:val="18"/>
              </w:rPr>
            </w:pPr>
            <w:r>
              <w:rPr>
                <w:rFonts w:ascii="Times New Roman"/>
                <w:sz w:val="18"/>
              </w:rPr>
              <w:t>35,000</w:t>
            </w:r>
          </w:p>
        </w:tc>
        <w:tc>
          <w:tcPr>
            <w:tcW w:w="1319" w:type="dxa"/>
            <w:tcBorders>
              <w:top w:val="single" w:sz="47" w:space="0" w:color="D2D2D2"/>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22,872.42</w:t>
            </w:r>
          </w:p>
        </w:tc>
        <w:tc>
          <w:tcPr>
            <w:tcW w:w="1043" w:type="dxa"/>
            <w:tcBorders>
              <w:top w:val="single" w:sz="47" w:space="0" w:color="D2D2D2"/>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32" w:lineRule="exact"/>
              <w:ind w:left="22" w:right="10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64" w:type="dxa"/>
            <w:tcBorders>
              <w:top w:val="single" w:sz="47" w:space="0" w:color="D2D2D2"/>
              <w:left w:val="single" w:sz="4" w:space="0" w:color="000000"/>
              <w:bottom w:val="single" w:sz="4" w:space="0" w:color="000000"/>
              <w:right w:val="single" w:sz="4" w:space="0" w:color="000000"/>
            </w:tcBorders>
          </w:tcPr>
          <w:p>
            <w:pPr>
              <w:pStyle w:val="TableParagraph"/>
              <w:spacing w:line="190" w:lineRule="exact"/>
              <w:ind w:left="28" w:right="0"/>
              <w:jc w:val="both"/>
              <w:rPr>
                <w:rFonts w:ascii="宋体" w:hAnsi="宋体" w:cs="宋体" w:eastAsia="宋体" w:hint="default"/>
                <w:sz w:val="18"/>
                <w:szCs w:val="18"/>
              </w:rPr>
            </w:pPr>
            <w:r>
              <w:rPr>
                <w:rFonts w:ascii="宋体" w:hAnsi="宋体" w:cs="宋体" w:eastAsia="宋体" w:hint="default"/>
                <w:sz w:val="18"/>
                <w:szCs w:val="18"/>
              </w:rPr>
              <w:t>自不特定债</w:t>
            </w:r>
          </w:p>
          <w:p>
            <w:pPr>
              <w:pStyle w:val="TableParagraph"/>
              <w:spacing w:line="237" w:lineRule="auto" w:before="1"/>
              <w:ind w:left="28" w:right="125"/>
              <w:jc w:val="both"/>
              <w:rPr>
                <w:rFonts w:ascii="宋体" w:hAnsi="宋体" w:cs="宋体" w:eastAsia="宋体" w:hint="default"/>
                <w:sz w:val="18"/>
                <w:szCs w:val="18"/>
              </w:rPr>
            </w:pPr>
            <w:r>
              <w:rPr>
                <w:rFonts w:ascii="宋体" w:hAnsi="宋体" w:cs="宋体" w:eastAsia="宋体" w:hint="default"/>
                <w:sz w:val="18"/>
                <w:szCs w:val="18"/>
              </w:rPr>
              <w:t>权的确定期 间届满之日 起两年</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281"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35,000</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10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8" w:right="125"/>
              <w:jc w:val="both"/>
              <w:rPr>
                <w:rFonts w:ascii="宋体" w:hAnsi="宋体" w:cs="宋体" w:eastAsia="宋体" w:hint="default"/>
                <w:sz w:val="18"/>
                <w:szCs w:val="18"/>
              </w:rPr>
            </w:pPr>
            <w:r>
              <w:rPr>
                <w:rFonts w:ascii="宋体" w:hAnsi="宋体" w:cs="宋体" w:eastAsia="宋体" w:hint="default"/>
                <w:sz w:val="18"/>
                <w:szCs w:val="18"/>
              </w:rPr>
              <w:t>自不特定债 权的确定期 间届满之日 起两年</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1"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1281"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24,540.04</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15,838.36</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34" w:lineRule="exact"/>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30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2020</w:t>
            </w:r>
          </w:p>
          <w:p>
            <w:pPr>
              <w:pStyle w:val="TableParagraph"/>
              <w:spacing w:line="242" w:lineRule="exact"/>
              <w:ind w:left="28"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201"/>
              <w:jc w:val="left"/>
              <w:rPr>
                <w:rFonts w:ascii="宋体" w:hAnsi="宋体" w:cs="宋体" w:eastAsia="宋体" w:hint="default"/>
                <w:sz w:val="18"/>
                <w:szCs w:val="18"/>
              </w:rPr>
            </w:pPr>
            <w:r>
              <w:rPr>
                <w:rFonts w:ascii="宋体" w:hAnsi="宋体" w:cs="宋体" w:eastAsia="宋体" w:hint="default"/>
                <w:sz w:val="18"/>
                <w:szCs w:val="18"/>
              </w:rPr>
              <w:t>神码科技发 展</w:t>
            </w:r>
          </w:p>
        </w:tc>
        <w:tc>
          <w:tcPr>
            <w:tcW w:w="1281"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24,540.04</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1,292.66</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33" w:lineRule="exact"/>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30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2020</w:t>
            </w:r>
          </w:p>
          <w:p>
            <w:pPr>
              <w:pStyle w:val="TableParagraph"/>
              <w:spacing w:line="241" w:lineRule="exact"/>
              <w:ind w:left="28"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10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34" w:lineRule="exact"/>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33" w:lineRule="exact"/>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27" w:lineRule="exact"/>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1"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281"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45,000</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10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34" w:lineRule="exact"/>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26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2" w:lineRule="exact"/>
              <w:ind w:left="28"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28</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52,800</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10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34" w:lineRule="exact"/>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2" w:lineRule="exact"/>
              <w:ind w:left="28"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28</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11,000</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10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33" w:lineRule="exact"/>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33" w:lineRule="exact"/>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28" w:lineRule="exact"/>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32,198.4</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10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7</w:t>
            </w:r>
          </w:p>
          <w:p>
            <w:pPr>
              <w:pStyle w:val="TableParagraph"/>
              <w:spacing w:line="233" w:lineRule="exact"/>
              <w:ind w:left="28" w:right="0"/>
              <w:jc w:val="left"/>
              <w:rPr>
                <w:rFonts w:ascii="宋体" w:hAnsi="宋体" w:cs="宋体" w:eastAsia="宋体" w:hint="default"/>
                <w:sz w:val="18"/>
                <w:szCs w:val="18"/>
              </w:rPr>
            </w:pP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1" w:lineRule="exact"/>
              <w:ind w:left="28"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49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89,440</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8" w:right="125"/>
              <w:jc w:val="both"/>
              <w:rPr>
                <w:rFonts w:ascii="宋体" w:hAnsi="宋体" w:cs="宋体" w:eastAsia="宋体" w:hint="default"/>
                <w:sz w:val="18"/>
                <w:szCs w:val="18"/>
              </w:rPr>
            </w:pPr>
            <w:r>
              <w:rPr>
                <w:rFonts w:ascii="宋体" w:hAnsi="宋体" w:cs="宋体" w:eastAsia="宋体" w:hint="default"/>
                <w:sz w:val="18"/>
                <w:szCs w:val="18"/>
              </w:rPr>
              <w:t>自签署之日 起至银行收 到担保人书 面通知终止 担保后三个 月止</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49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201"/>
              <w:jc w:val="left"/>
              <w:rPr>
                <w:rFonts w:ascii="宋体" w:hAnsi="宋体" w:cs="宋体" w:eastAsia="宋体" w:hint="default"/>
                <w:sz w:val="18"/>
                <w:szCs w:val="18"/>
              </w:rPr>
            </w:pPr>
            <w:r>
              <w:rPr>
                <w:rFonts w:ascii="宋体" w:hAnsi="宋体" w:cs="宋体" w:eastAsia="宋体" w:hint="default"/>
                <w:sz w:val="18"/>
                <w:szCs w:val="18"/>
              </w:rPr>
              <w:t>神码科技发 展</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89,440</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50,943.97</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8" w:right="125"/>
              <w:jc w:val="both"/>
              <w:rPr>
                <w:rFonts w:ascii="宋体" w:hAnsi="宋体" w:cs="宋体" w:eastAsia="宋体" w:hint="default"/>
                <w:sz w:val="18"/>
                <w:szCs w:val="18"/>
              </w:rPr>
            </w:pPr>
            <w:r>
              <w:rPr>
                <w:rFonts w:ascii="宋体" w:hAnsi="宋体" w:cs="宋体" w:eastAsia="宋体" w:hint="default"/>
                <w:sz w:val="18"/>
                <w:szCs w:val="18"/>
              </w:rPr>
              <w:t>自签署之日 起至银行收 到担保人书 面通知终止 担保后三个 月止</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281"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10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33" w:lineRule="exact"/>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1" w:lineRule="exact"/>
              <w:ind w:left="28"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1134"/>
        <w:gridCol w:w="1286"/>
        <w:gridCol w:w="1184"/>
        <w:gridCol w:w="1313"/>
        <w:gridCol w:w="1076"/>
        <w:gridCol w:w="1049"/>
        <w:gridCol w:w="1058"/>
        <w:gridCol w:w="808"/>
        <w:gridCol w:w="785"/>
      </w:tblGrid>
      <w:tr>
        <w:trPr>
          <w:trHeight w:val="791"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128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20,640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19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z w:val="18"/>
              </w:rPr>
              <w:t>160,000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z w:val="18"/>
              </w:rPr>
              <w:t>26,000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20"/>
              <w:jc w:val="left"/>
              <w:rPr>
                <w:rFonts w:ascii="宋体" w:hAnsi="宋体" w:cs="宋体" w:eastAsia="宋体" w:hint="default"/>
                <w:sz w:val="18"/>
                <w:szCs w:val="18"/>
              </w:rPr>
            </w:pPr>
            <w:r>
              <w:rPr>
                <w:rFonts w:ascii="宋体" w:hAnsi="宋体" w:cs="宋体" w:eastAsia="宋体" w:hint="default"/>
                <w:sz w:val="18"/>
                <w:szCs w:val="18"/>
              </w:rPr>
              <w:t>自保证书签 署之日起至 银行收到保 </w:t>
            </w:r>
            <w:r>
              <w:rPr>
                <w:rFonts w:ascii="宋体" w:hAnsi="宋体" w:cs="宋体" w:eastAsia="宋体" w:hint="default"/>
                <w:spacing w:val="-13"/>
                <w:sz w:val="18"/>
                <w:szCs w:val="18"/>
              </w:rPr>
              <w:t>证人、保证人</w:t>
            </w:r>
            <w:r>
              <w:rPr>
                <w:rFonts w:ascii="宋体" w:hAnsi="宋体" w:cs="宋体" w:eastAsia="宋体" w:hint="default"/>
                <w:sz w:val="18"/>
                <w:szCs w:val="18"/>
              </w:rPr>
              <w:t> 的清算人或 接管人终止 本保证书的 书面通知后 一个日历月</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191"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神码供应链</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Times New Roman" w:hAnsi="Times New Roman" w:cs="Times New Roman" w:eastAsia="Times New Roman" w:hint="default"/>
                <w:sz w:val="18"/>
                <w:szCs w:val="18"/>
              </w:rPr>
            </w:pPr>
            <w:r>
              <w:rPr>
                <w:rFonts w:ascii="Times New Roman"/>
                <w:sz w:val="18"/>
              </w:rPr>
              <w:t>150,000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Times New Roman" w:hAnsi="Times New Roman" w:cs="Times New Roman" w:eastAsia="Times New Roman" w:hint="default"/>
                <w:sz w:val="18"/>
                <w:szCs w:val="18"/>
              </w:rPr>
            </w:pPr>
            <w:r>
              <w:rPr>
                <w:rFonts w:ascii="Times New Roman"/>
                <w:sz w:val="18"/>
              </w:rPr>
              <w:t>30,000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32" w:lineRule="exact"/>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20"/>
              <w:jc w:val="left"/>
              <w:rPr>
                <w:rFonts w:ascii="宋体" w:hAnsi="宋体" w:cs="宋体" w:eastAsia="宋体" w:hint="default"/>
                <w:sz w:val="18"/>
                <w:szCs w:val="18"/>
              </w:rPr>
            </w:pPr>
            <w:r>
              <w:rPr>
                <w:rFonts w:ascii="宋体" w:hAnsi="宋体" w:cs="宋体" w:eastAsia="宋体" w:hint="default"/>
                <w:sz w:val="18"/>
                <w:szCs w:val="18"/>
              </w:rPr>
              <w:t>自保证书签 署之日起至 银行收到保 </w:t>
            </w:r>
            <w:r>
              <w:rPr>
                <w:rFonts w:ascii="宋体" w:hAnsi="宋体" w:cs="宋体" w:eastAsia="宋体" w:hint="default"/>
                <w:spacing w:val="-13"/>
                <w:sz w:val="18"/>
                <w:szCs w:val="18"/>
              </w:rPr>
              <w:t>证人、保证人</w:t>
            </w:r>
            <w:r>
              <w:rPr>
                <w:rFonts w:ascii="宋体" w:hAnsi="宋体" w:cs="宋体" w:eastAsia="宋体" w:hint="default"/>
                <w:sz w:val="18"/>
                <w:szCs w:val="18"/>
              </w:rPr>
              <w:t> 的清算人或 接管人终止 本保证书的 书面通知后 一个日历月</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19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神码广州</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Times New Roman" w:hAnsi="Times New Roman" w:cs="Times New Roman" w:eastAsia="Times New Roman" w:hint="default"/>
                <w:sz w:val="18"/>
                <w:szCs w:val="18"/>
              </w:rPr>
            </w:pPr>
            <w:r>
              <w:rPr>
                <w:rFonts w:ascii="Times New Roman"/>
                <w:sz w:val="18"/>
              </w:rPr>
              <w:t>60,000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20"/>
              <w:jc w:val="left"/>
              <w:rPr>
                <w:rFonts w:ascii="宋体" w:hAnsi="宋体" w:cs="宋体" w:eastAsia="宋体" w:hint="default"/>
                <w:sz w:val="18"/>
                <w:szCs w:val="18"/>
              </w:rPr>
            </w:pPr>
            <w:r>
              <w:rPr>
                <w:rFonts w:ascii="宋体" w:hAnsi="宋体" w:cs="宋体" w:eastAsia="宋体" w:hint="default"/>
                <w:sz w:val="18"/>
                <w:szCs w:val="18"/>
              </w:rPr>
              <w:t>自保证书签 署之日起至 银行收到保 </w:t>
            </w:r>
            <w:r>
              <w:rPr>
                <w:rFonts w:ascii="宋体" w:hAnsi="宋体" w:cs="宋体" w:eastAsia="宋体" w:hint="default"/>
                <w:spacing w:val="-13"/>
                <w:sz w:val="18"/>
                <w:szCs w:val="18"/>
              </w:rPr>
              <w:t>证人、保证人</w:t>
            </w:r>
            <w:r>
              <w:rPr>
                <w:rFonts w:ascii="宋体" w:hAnsi="宋体" w:cs="宋体" w:eastAsia="宋体" w:hint="default"/>
                <w:sz w:val="18"/>
                <w:szCs w:val="18"/>
              </w:rPr>
              <w:t> 的清算人或 接管人终止 本保证书的 书面通知后 一个日历月</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191"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神码上海</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z w:val="18"/>
              </w:rPr>
              <w:t>40,000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20"/>
              <w:jc w:val="left"/>
              <w:rPr>
                <w:rFonts w:ascii="宋体" w:hAnsi="宋体" w:cs="宋体" w:eastAsia="宋体" w:hint="default"/>
                <w:sz w:val="18"/>
                <w:szCs w:val="18"/>
              </w:rPr>
            </w:pPr>
            <w:r>
              <w:rPr>
                <w:rFonts w:ascii="宋体" w:hAnsi="宋体" w:cs="宋体" w:eastAsia="宋体" w:hint="default"/>
                <w:sz w:val="18"/>
                <w:szCs w:val="18"/>
              </w:rPr>
              <w:t>自保证书签 署之日起至 银行收到保 </w:t>
            </w:r>
            <w:r>
              <w:rPr>
                <w:rFonts w:ascii="宋体" w:hAnsi="宋体" w:cs="宋体" w:eastAsia="宋体" w:hint="default"/>
                <w:spacing w:val="-13"/>
                <w:sz w:val="18"/>
                <w:szCs w:val="18"/>
              </w:rPr>
              <w:t>证人、保证人</w:t>
            </w:r>
            <w:r>
              <w:rPr>
                <w:rFonts w:ascii="宋体" w:hAnsi="宋体" w:cs="宋体" w:eastAsia="宋体" w:hint="default"/>
                <w:sz w:val="18"/>
                <w:szCs w:val="18"/>
              </w:rPr>
              <w:t> 的清算人或 接管人终止 本保证书的 书面通知后 一个日历月</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191"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28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z w:val="18"/>
              </w:rPr>
              <w:t>87,000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z w:val="18"/>
              </w:rPr>
              <w:t>53,300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20"/>
              <w:jc w:val="left"/>
              <w:rPr>
                <w:rFonts w:ascii="宋体" w:hAnsi="宋体" w:cs="宋体" w:eastAsia="宋体" w:hint="default"/>
                <w:sz w:val="18"/>
                <w:szCs w:val="18"/>
              </w:rPr>
            </w:pPr>
            <w:r>
              <w:rPr>
                <w:rFonts w:ascii="宋体" w:hAnsi="宋体" w:cs="宋体" w:eastAsia="宋体" w:hint="default"/>
                <w:sz w:val="18"/>
                <w:szCs w:val="18"/>
              </w:rPr>
              <w:t>自保证书签 署之日起至 银行收到保 </w:t>
            </w:r>
            <w:r>
              <w:rPr>
                <w:rFonts w:ascii="宋体" w:hAnsi="宋体" w:cs="宋体" w:eastAsia="宋体" w:hint="default"/>
                <w:spacing w:val="-13"/>
                <w:sz w:val="18"/>
                <w:szCs w:val="18"/>
              </w:rPr>
              <w:t>证人、保证人</w:t>
            </w:r>
            <w:r>
              <w:rPr>
                <w:rFonts w:ascii="宋体" w:hAnsi="宋体" w:cs="宋体" w:eastAsia="宋体" w:hint="default"/>
                <w:sz w:val="18"/>
                <w:szCs w:val="18"/>
              </w:rPr>
              <w:t> 的清算人或 接管人终止 本保证书的 书面通知后 一个日历月</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日至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218"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1" w:lineRule="exact" w:before="13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1" w:lineRule="exact" w:before="13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29.8</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58"/>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20"/>
              <w:jc w:val="left"/>
              <w:rPr>
                <w:rFonts w:ascii="宋体" w:hAnsi="宋体" w:cs="宋体" w:eastAsia="宋体" w:hint="default"/>
                <w:sz w:val="18"/>
                <w:szCs w:val="18"/>
              </w:rPr>
            </w:pPr>
            <w:r>
              <w:rPr>
                <w:rFonts w:ascii="宋体" w:hAnsi="宋体" w:cs="宋体" w:eastAsia="宋体" w:hint="default"/>
                <w:sz w:val="18"/>
                <w:szCs w:val="18"/>
              </w:rPr>
              <w:t>自保证书签 署之日起至 银行收到保 </w:t>
            </w:r>
            <w:r>
              <w:rPr>
                <w:rFonts w:ascii="宋体" w:hAnsi="宋体" w:cs="宋体" w:eastAsia="宋体" w:hint="default"/>
                <w:spacing w:val="-13"/>
                <w:sz w:val="18"/>
                <w:szCs w:val="18"/>
              </w:rPr>
              <w:t>证人、保证人</w:t>
            </w:r>
            <w:r>
              <w:rPr>
                <w:rFonts w:ascii="宋体" w:hAnsi="宋体" w:cs="宋体" w:eastAsia="宋体" w:hint="default"/>
                <w:sz w:val="18"/>
                <w:szCs w:val="18"/>
              </w:rPr>
              <w:t> 的清算人或</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1134"/>
        <w:gridCol w:w="1286"/>
        <w:gridCol w:w="1184"/>
        <w:gridCol w:w="1313"/>
        <w:gridCol w:w="1076"/>
        <w:gridCol w:w="1049"/>
        <w:gridCol w:w="1058"/>
        <w:gridCol w:w="808"/>
        <w:gridCol w:w="785"/>
      </w:tblGrid>
      <w:tr>
        <w:trPr>
          <w:trHeight w:val="984" w:hRule="exact"/>
        </w:trPr>
        <w:tc>
          <w:tcPr>
            <w:tcW w:w="1134"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both"/>
              <w:rPr>
                <w:rFonts w:ascii="宋体" w:hAnsi="宋体" w:cs="宋体" w:eastAsia="宋体" w:hint="default"/>
                <w:sz w:val="18"/>
                <w:szCs w:val="18"/>
              </w:rPr>
            </w:pPr>
            <w:r>
              <w:rPr>
                <w:rFonts w:ascii="宋体" w:hAnsi="宋体" w:cs="宋体" w:eastAsia="宋体" w:hint="default"/>
                <w:sz w:val="18"/>
                <w:szCs w:val="18"/>
              </w:rPr>
              <w:t>接管人终止</w:t>
            </w:r>
          </w:p>
          <w:p>
            <w:pPr>
              <w:pStyle w:val="TableParagraph"/>
              <w:spacing w:line="237" w:lineRule="auto" w:before="1"/>
              <w:ind w:left="22" w:right="125"/>
              <w:jc w:val="both"/>
              <w:rPr>
                <w:rFonts w:ascii="宋体" w:hAnsi="宋体" w:cs="宋体" w:eastAsia="宋体" w:hint="default"/>
                <w:sz w:val="18"/>
                <w:szCs w:val="18"/>
              </w:rPr>
            </w:pPr>
            <w:r>
              <w:rPr>
                <w:rFonts w:ascii="宋体" w:hAnsi="宋体" w:cs="宋体" w:eastAsia="宋体" w:hint="default"/>
                <w:sz w:val="18"/>
                <w:szCs w:val="18"/>
              </w:rPr>
              <w:t>本保证书的 书面通知后 一个日历月</w:t>
            </w:r>
          </w:p>
        </w:tc>
        <w:tc>
          <w:tcPr>
            <w:tcW w:w="80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15</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1"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15</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1"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128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20,640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日至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2020</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201"/>
              <w:jc w:val="left"/>
              <w:rPr>
                <w:rFonts w:ascii="宋体" w:hAnsi="宋体" w:cs="宋体" w:eastAsia="宋体" w:hint="default"/>
                <w:sz w:val="18"/>
                <w:szCs w:val="18"/>
              </w:rPr>
            </w:pPr>
            <w:r>
              <w:rPr>
                <w:rFonts w:ascii="宋体" w:hAnsi="宋体" w:cs="宋体" w:eastAsia="宋体" w:hint="default"/>
                <w:sz w:val="18"/>
                <w:szCs w:val="18"/>
              </w:rPr>
              <w:t>神码科技发 展</w:t>
            </w:r>
          </w:p>
        </w:tc>
        <w:tc>
          <w:tcPr>
            <w:tcW w:w="128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20,640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2,553.3</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日至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2020</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72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28</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20,000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1,000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125"/>
              <w:jc w:val="both"/>
              <w:rPr>
                <w:rFonts w:ascii="宋体" w:hAnsi="宋体" w:cs="宋体" w:eastAsia="宋体" w:hint="default"/>
                <w:sz w:val="18"/>
                <w:szCs w:val="18"/>
              </w:rPr>
            </w:pPr>
            <w:r>
              <w:rPr>
                <w:rFonts w:ascii="宋体" w:hAnsi="宋体" w:cs="宋体" w:eastAsia="宋体" w:hint="default"/>
                <w:sz w:val="18"/>
                <w:szCs w:val="18"/>
              </w:rPr>
              <w:t>合同项下债 务人每次使 用授信额度 而发生的债 务履行期限 届满之日起 两年</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725"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28</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40,000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2" w:lineRule="exact"/>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25"/>
              <w:jc w:val="both"/>
              <w:rPr>
                <w:rFonts w:ascii="宋体" w:hAnsi="宋体" w:cs="宋体" w:eastAsia="宋体" w:hint="default"/>
                <w:sz w:val="18"/>
                <w:szCs w:val="18"/>
              </w:rPr>
            </w:pPr>
            <w:r>
              <w:rPr>
                <w:rFonts w:ascii="宋体" w:hAnsi="宋体" w:cs="宋体" w:eastAsia="宋体" w:hint="default"/>
                <w:sz w:val="18"/>
                <w:szCs w:val="18"/>
              </w:rPr>
              <w:t>合同项下债 务人每次使 用授信额度 而发生的债 务履行期限 届满之日起 两年</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26</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28</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15</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125"/>
              <w:jc w:val="both"/>
              <w:rPr>
                <w:rFonts w:ascii="宋体" w:hAnsi="宋体" w:cs="宋体" w:eastAsia="宋体" w:hint="default"/>
                <w:sz w:val="18"/>
                <w:szCs w:val="18"/>
              </w:rPr>
            </w:pPr>
            <w:r>
              <w:rPr>
                <w:rFonts w:ascii="宋体" w:hAnsi="宋体" w:cs="宋体" w:eastAsia="宋体" w:hint="default"/>
                <w:sz w:val="18"/>
                <w:szCs w:val="18"/>
              </w:rPr>
              <w:t>主合同项下 每笔债务履 行期届满之 日起两年</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1"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35,776</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14,620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2020</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1"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201"/>
              <w:jc w:val="left"/>
              <w:rPr>
                <w:rFonts w:ascii="宋体" w:hAnsi="宋体" w:cs="宋体" w:eastAsia="宋体" w:hint="default"/>
                <w:sz w:val="18"/>
                <w:szCs w:val="18"/>
              </w:rPr>
            </w:pPr>
            <w:r>
              <w:rPr>
                <w:rFonts w:ascii="宋体" w:hAnsi="宋体" w:cs="宋体" w:eastAsia="宋体" w:hint="default"/>
                <w:sz w:val="18"/>
                <w:szCs w:val="18"/>
              </w:rPr>
              <w:t>神码科技发 展</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35,776</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2020</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神码香港</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35,776</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35.71</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2020</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1"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29</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55,040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神码科技发</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29</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55,040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1134"/>
        <w:gridCol w:w="1286"/>
        <w:gridCol w:w="1184"/>
        <w:gridCol w:w="1313"/>
        <w:gridCol w:w="1076"/>
        <w:gridCol w:w="1049"/>
        <w:gridCol w:w="1058"/>
        <w:gridCol w:w="808"/>
        <w:gridCol w:w="785"/>
      </w:tblGrid>
      <w:tr>
        <w:trPr>
          <w:trHeight w:val="517"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展</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28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 </w:t>
            </w:r>
            <w:r>
              <w:rPr>
                <w:rFonts w:ascii="宋体" w:hAnsi="宋体" w:cs="宋体" w:eastAsia="宋体" w:hint="default"/>
                <w:sz w:val="18"/>
                <w:szCs w:val="18"/>
              </w:rPr>
              <w:t>日子</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1"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神码供应链</w:t>
            </w:r>
          </w:p>
        </w:tc>
        <w:tc>
          <w:tcPr>
            <w:tcW w:w="128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 </w:t>
            </w:r>
            <w:r>
              <w:rPr>
                <w:rFonts w:ascii="宋体" w:hAnsi="宋体" w:cs="宋体" w:eastAsia="宋体" w:hint="default"/>
                <w:sz w:val="18"/>
                <w:szCs w:val="18"/>
              </w:rPr>
              <w:t>日子</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1"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28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1"/>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 </w:t>
            </w:r>
            <w:r>
              <w:rPr>
                <w:rFonts w:ascii="宋体" w:hAnsi="宋体" w:cs="宋体" w:eastAsia="宋体" w:hint="default"/>
                <w:sz w:val="18"/>
                <w:szCs w:val="18"/>
              </w:rPr>
              <w:t>日子</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神码广州</w:t>
            </w:r>
          </w:p>
        </w:tc>
        <w:tc>
          <w:tcPr>
            <w:tcW w:w="128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1"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神码上海</w:t>
            </w:r>
          </w:p>
        </w:tc>
        <w:tc>
          <w:tcPr>
            <w:tcW w:w="128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25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2" w:lineRule="exact" w:before="1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2" w:lineRule="exact" w:before="1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25"/>
              <w:jc w:val="both"/>
              <w:rPr>
                <w:rFonts w:ascii="宋体" w:hAnsi="宋体" w:cs="宋体" w:eastAsia="宋体" w:hint="default"/>
                <w:sz w:val="18"/>
                <w:szCs w:val="18"/>
              </w:rPr>
            </w:pPr>
            <w:r>
              <w:rPr>
                <w:rFonts w:ascii="宋体" w:hAnsi="宋体" w:cs="宋体" w:eastAsia="宋体" w:hint="default"/>
                <w:sz w:val="18"/>
                <w:szCs w:val="18"/>
              </w:rPr>
              <w:t>主合同约定 的债务人履 行债务期限 届满之日起 两年</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1"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14</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125"/>
              <w:jc w:val="both"/>
              <w:rPr>
                <w:rFonts w:ascii="宋体" w:hAnsi="宋体" w:cs="宋体" w:eastAsia="宋体" w:hint="default"/>
                <w:sz w:val="18"/>
                <w:szCs w:val="18"/>
              </w:rPr>
            </w:pPr>
            <w:r>
              <w:rPr>
                <w:rFonts w:ascii="宋体" w:hAnsi="宋体" w:cs="宋体" w:eastAsia="宋体" w:hint="default"/>
                <w:sz w:val="18"/>
                <w:szCs w:val="18"/>
              </w:rPr>
              <w:t>债务履行期 限届满之日 后两年止</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1"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28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34,400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50"/>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128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26,144</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1"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201"/>
              <w:jc w:val="left"/>
              <w:rPr>
                <w:rFonts w:ascii="宋体" w:hAnsi="宋体" w:cs="宋体" w:eastAsia="宋体" w:hint="default"/>
                <w:sz w:val="18"/>
                <w:szCs w:val="18"/>
              </w:rPr>
            </w:pPr>
            <w:r>
              <w:rPr>
                <w:rFonts w:ascii="宋体" w:hAnsi="宋体" w:cs="宋体" w:eastAsia="宋体" w:hint="default"/>
                <w:sz w:val="18"/>
                <w:szCs w:val="18"/>
              </w:rPr>
              <w:t>神码科技发 展</w:t>
            </w:r>
          </w:p>
        </w:tc>
        <w:tc>
          <w:tcPr>
            <w:tcW w:w="128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26,144</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201"/>
              <w:jc w:val="left"/>
              <w:rPr>
                <w:rFonts w:ascii="宋体" w:hAnsi="宋体" w:cs="宋体" w:eastAsia="宋体" w:hint="default"/>
                <w:sz w:val="18"/>
                <w:szCs w:val="18"/>
              </w:rPr>
            </w:pPr>
            <w:r>
              <w:rPr>
                <w:rFonts w:ascii="宋体" w:hAnsi="宋体" w:cs="宋体" w:eastAsia="宋体" w:hint="default"/>
                <w:sz w:val="18"/>
                <w:szCs w:val="18"/>
              </w:rPr>
              <w:t>神码科技发 展</w:t>
            </w:r>
          </w:p>
        </w:tc>
        <w:tc>
          <w:tcPr>
            <w:tcW w:w="128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23,500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1"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34,180.77</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7</w:t>
            </w:r>
          </w:p>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128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6,836.15</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30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1"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08</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25"/>
              <w:jc w:val="both"/>
              <w:rPr>
                <w:rFonts w:ascii="宋体" w:hAnsi="宋体" w:cs="宋体" w:eastAsia="宋体" w:hint="default"/>
                <w:sz w:val="18"/>
                <w:szCs w:val="18"/>
              </w:rPr>
            </w:pPr>
            <w:r>
              <w:rPr>
                <w:rFonts w:ascii="宋体" w:hAnsi="宋体" w:cs="宋体" w:eastAsia="宋体" w:hint="default"/>
                <w:sz w:val="18"/>
                <w:szCs w:val="18"/>
              </w:rPr>
              <w:t>主债权发生 期间届满之 日起两年</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2" w:right="201"/>
              <w:jc w:val="left"/>
              <w:rPr>
                <w:rFonts w:ascii="宋体" w:hAnsi="宋体" w:cs="宋体" w:eastAsia="宋体" w:hint="default"/>
                <w:sz w:val="18"/>
                <w:szCs w:val="18"/>
              </w:rPr>
            </w:pPr>
            <w:r>
              <w:rPr>
                <w:rFonts w:ascii="宋体" w:hAnsi="宋体" w:cs="宋体" w:eastAsia="宋体" w:hint="default"/>
                <w:sz w:val="18"/>
                <w:szCs w:val="18"/>
              </w:rPr>
              <w:t>神码科技发 展</w:t>
            </w:r>
          </w:p>
        </w:tc>
        <w:tc>
          <w:tcPr>
            <w:tcW w:w="128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17,406.4</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8</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1"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201"/>
              <w:jc w:val="left"/>
              <w:rPr>
                <w:rFonts w:ascii="宋体" w:hAnsi="宋体" w:cs="宋体" w:eastAsia="宋体" w:hint="default"/>
                <w:sz w:val="18"/>
                <w:szCs w:val="18"/>
              </w:rPr>
            </w:pPr>
            <w:r>
              <w:rPr>
                <w:rFonts w:ascii="宋体" w:hAnsi="宋体" w:cs="宋体" w:eastAsia="宋体" w:hint="default"/>
                <w:sz w:val="18"/>
                <w:szCs w:val="18"/>
              </w:rPr>
              <w:t>神码科技发 展</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28</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39,439.35</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19,978.47</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26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2020</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1134"/>
        <w:gridCol w:w="1286"/>
        <w:gridCol w:w="1184"/>
        <w:gridCol w:w="1313"/>
        <w:gridCol w:w="1076"/>
        <w:gridCol w:w="1049"/>
        <w:gridCol w:w="1058"/>
        <w:gridCol w:w="808"/>
        <w:gridCol w:w="785"/>
      </w:tblGrid>
      <w:tr>
        <w:trPr>
          <w:trHeight w:val="791"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28</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43,821.5</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30,261.11</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26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2020</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28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1"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28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25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2" w:lineRule="exact" w:before="1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28</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2" w:lineRule="exact" w:before="1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13"/>
              <w:ind w:left="22" w:right="125"/>
              <w:jc w:val="both"/>
              <w:rPr>
                <w:rFonts w:ascii="宋体" w:hAnsi="宋体" w:cs="宋体" w:eastAsia="宋体" w:hint="default"/>
                <w:sz w:val="18"/>
                <w:szCs w:val="18"/>
              </w:rPr>
            </w:pPr>
            <w:r>
              <w:rPr>
                <w:rFonts w:ascii="宋体" w:hAnsi="宋体" w:cs="宋体" w:eastAsia="宋体" w:hint="default"/>
                <w:sz w:val="18"/>
                <w:szCs w:val="18"/>
              </w:rPr>
              <w:t>主合同项下 债务人债务 履行期限届 满之日起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16</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24,997.41</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125"/>
              <w:jc w:val="both"/>
              <w:rPr>
                <w:rFonts w:ascii="宋体" w:hAnsi="宋体" w:cs="宋体" w:eastAsia="宋体" w:hint="default"/>
                <w:sz w:val="18"/>
                <w:szCs w:val="18"/>
              </w:rPr>
            </w:pPr>
            <w:r>
              <w:rPr>
                <w:rFonts w:ascii="宋体" w:hAnsi="宋体" w:cs="宋体" w:eastAsia="宋体" w:hint="default"/>
                <w:sz w:val="18"/>
                <w:szCs w:val="18"/>
              </w:rPr>
              <w:t>自主合同债 务人履行债 务期限届满 之日起两年</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60,500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25"/>
              <w:jc w:val="both"/>
              <w:rPr>
                <w:rFonts w:ascii="宋体" w:hAnsi="宋体" w:cs="宋体" w:eastAsia="宋体" w:hint="default"/>
                <w:sz w:val="18"/>
                <w:szCs w:val="18"/>
              </w:rPr>
            </w:pPr>
            <w:r>
              <w:rPr>
                <w:rFonts w:ascii="宋体" w:hAnsi="宋体" w:cs="宋体" w:eastAsia="宋体" w:hint="default"/>
                <w:sz w:val="18"/>
                <w:szCs w:val="18"/>
              </w:rPr>
              <w:t>债务履行期 限届满之日 起两年</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1"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5,026.59</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25"/>
              <w:jc w:val="both"/>
              <w:rPr>
                <w:rFonts w:ascii="宋体" w:hAnsi="宋体" w:cs="宋体" w:eastAsia="宋体" w:hint="default"/>
                <w:sz w:val="18"/>
                <w:szCs w:val="18"/>
              </w:rPr>
            </w:pPr>
            <w:r>
              <w:rPr>
                <w:rFonts w:ascii="宋体" w:hAnsi="宋体" w:cs="宋体" w:eastAsia="宋体" w:hint="default"/>
                <w:sz w:val="18"/>
                <w:szCs w:val="18"/>
              </w:rPr>
              <w:t>债务履行期 限届满之日 起两年</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16</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49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30</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29,800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125"/>
              <w:jc w:val="both"/>
              <w:rPr>
                <w:rFonts w:ascii="宋体" w:hAnsi="宋体" w:cs="宋体" w:eastAsia="宋体" w:hint="default"/>
                <w:sz w:val="18"/>
                <w:szCs w:val="18"/>
              </w:rPr>
            </w:pPr>
            <w:r>
              <w:rPr>
                <w:rFonts w:ascii="宋体" w:hAnsi="宋体" w:cs="宋体" w:eastAsia="宋体" w:hint="default"/>
                <w:sz w:val="18"/>
                <w:szCs w:val="18"/>
              </w:rPr>
              <w:t>从签署日起 至主合同项 下被保证人 债务履行期 届满之后两 年止。</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13,760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25"/>
              <w:jc w:val="left"/>
              <w:rPr>
                <w:rFonts w:ascii="宋体" w:hAnsi="宋体" w:cs="宋体" w:eastAsia="宋体" w:hint="default"/>
                <w:sz w:val="18"/>
                <w:szCs w:val="18"/>
              </w:rPr>
            </w:pPr>
            <w:r>
              <w:rPr>
                <w:rFonts w:ascii="宋体" w:hAnsi="宋体" w:cs="宋体" w:eastAsia="宋体" w:hint="default"/>
                <w:sz w:val="18"/>
                <w:szCs w:val="18"/>
              </w:rPr>
              <w:t>债务到期日 起两年</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13,760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25"/>
              <w:jc w:val="left"/>
              <w:rPr>
                <w:rFonts w:ascii="宋体" w:hAnsi="宋体" w:cs="宋体" w:eastAsia="宋体" w:hint="default"/>
                <w:sz w:val="18"/>
                <w:szCs w:val="18"/>
              </w:rPr>
            </w:pPr>
            <w:r>
              <w:rPr>
                <w:rFonts w:ascii="宋体" w:hAnsi="宋体" w:cs="宋体" w:eastAsia="宋体" w:hint="default"/>
                <w:sz w:val="18"/>
                <w:szCs w:val="18"/>
              </w:rPr>
              <w:t>债务到期日 起两年</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25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2" w:lineRule="exact" w:before="1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2" w:lineRule="exact" w:before="1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25"/>
              <w:jc w:val="both"/>
              <w:rPr>
                <w:rFonts w:ascii="宋体" w:hAnsi="宋体" w:cs="宋体" w:eastAsia="宋体" w:hint="default"/>
                <w:sz w:val="18"/>
                <w:szCs w:val="18"/>
              </w:rPr>
            </w:pPr>
            <w:r>
              <w:rPr>
                <w:rFonts w:ascii="宋体" w:hAnsi="宋体" w:cs="宋体" w:eastAsia="宋体" w:hint="default"/>
                <w:sz w:val="18"/>
                <w:szCs w:val="18"/>
              </w:rPr>
              <w:t>担保合同生 效之日至主 合同项下债 务到期后满 两年</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258"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2" w:lineRule="exact" w:before="1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2" w:lineRule="exact" w:before="1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125"/>
              <w:jc w:val="both"/>
              <w:rPr>
                <w:rFonts w:ascii="宋体" w:hAnsi="宋体" w:cs="宋体" w:eastAsia="宋体" w:hint="default"/>
                <w:sz w:val="18"/>
                <w:szCs w:val="18"/>
              </w:rPr>
            </w:pPr>
            <w:r>
              <w:rPr>
                <w:rFonts w:ascii="宋体" w:hAnsi="宋体" w:cs="宋体" w:eastAsia="宋体" w:hint="default"/>
                <w:sz w:val="18"/>
                <w:szCs w:val="18"/>
              </w:rPr>
              <w:t>担保合同生 效之日至主 合同项下债 务到期后满 两年</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258"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2" w:lineRule="exact" w:before="1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31</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2" w:lineRule="exact" w:before="1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25"/>
              <w:jc w:val="both"/>
              <w:rPr>
                <w:rFonts w:ascii="宋体" w:hAnsi="宋体" w:cs="宋体" w:eastAsia="宋体" w:hint="default"/>
                <w:sz w:val="18"/>
                <w:szCs w:val="18"/>
              </w:rPr>
            </w:pPr>
            <w:r>
              <w:rPr>
                <w:rFonts w:ascii="宋体" w:hAnsi="宋体" w:cs="宋体" w:eastAsia="宋体" w:hint="default"/>
                <w:sz w:val="18"/>
                <w:szCs w:val="18"/>
              </w:rPr>
              <w:t>主合同项下 最后到期的 主债务履行 期限届满之 日后两年</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17"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31</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z w:val="18"/>
              </w:rPr>
              <w:t>45,000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连带责任保</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25"/>
              <w:jc w:val="left"/>
              <w:rPr>
                <w:rFonts w:ascii="宋体" w:hAnsi="宋体" w:cs="宋体" w:eastAsia="宋体" w:hint="default"/>
                <w:sz w:val="18"/>
                <w:szCs w:val="18"/>
              </w:rPr>
            </w:pPr>
            <w:r>
              <w:rPr>
                <w:rFonts w:ascii="宋体" w:hAnsi="宋体" w:cs="宋体" w:eastAsia="宋体" w:hint="default"/>
                <w:sz w:val="18"/>
                <w:szCs w:val="18"/>
              </w:rPr>
              <w:t>主合同项下 最后到期的</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r>
        <w:rPr/>
        <w:pict>
          <v:group style="position:absolute;margin-left:460.679993pt;margin-top:631.779968pt;width:39.9pt;height:45.45pt;mso-position-horizontal-relative:page;mso-position-vertical-relative:page;z-index:-1465360" coordorigin="9214,12636" coordsize="798,909">
            <v:group style="position:absolute;left:9214;top:12636;width:798;height:584" coordorigin="9214,12636" coordsize="798,584">
              <v:shape style="position:absolute;left:9214;top:12636;width:798;height:584" coordorigin="9214,12636" coordsize="798,584" path="m9214,13219l10012,13219,10012,12636,9214,12636,9214,13219xe" filled="true" fillcolor="#ffffff" stroked="false">
                <v:path arrowok="t"/>
                <v:fill type="solid"/>
              </v:shape>
            </v:group>
            <v:group style="position:absolute;left:9226;top:13219;width:2;height:314" coordorigin="9226,13219" coordsize="2,314">
              <v:shape style="position:absolute;left:9226;top:13219;width:2;height:314" coordorigin="9226,13219" coordsize="0,314" path="m9226,13219l9226,13532e" filled="false" stroked="true" strokeweight="1.2pt" strokecolor="#ffffff">
                <v:path arrowok="t"/>
              </v:shape>
            </v:group>
            <v:group style="position:absolute;left:9238;top:13219;width:750;height:314" coordorigin="9238,13219" coordsize="750,314">
              <v:shape style="position:absolute;left:9238;top:13219;width:750;height:314" coordorigin="9238,13219" coordsize="750,314" path="m9238,13532l9988,13532,9988,13219,9238,13219,9238,13532xe" filled="true" fillcolor="#ffffff" stroked="false">
                <v:path arrowok="t"/>
                <v:fill type="solid"/>
              </v:shape>
            </v:group>
            <w10:wrap type="none"/>
          </v:group>
        </w:pict>
      </w:r>
      <w:r>
        <w:rPr/>
        <w:pict>
          <v:group style="position:absolute;margin-left:461.880005pt;margin-top:728.639954pt;width:37.5pt;height:15.75pt;mso-position-horizontal-relative:page;mso-position-vertical-relative:page;z-index:-1465336" coordorigin="9238,14573" coordsize="750,315">
            <v:shape style="position:absolute;left:9238;top:14573;width:750;height:315" coordorigin="9238,14573" coordsize="750,315" path="m9238,14887l9988,14887,9988,14573,9238,14573,9238,14887xe" filled="true" fillcolor="#ffffff" stroked="false">
              <v:path arrowok="t"/>
              <v:fill type="solid"/>
            </v:shape>
            <w10:wrap type="none"/>
          </v:group>
        </w:pict>
      </w:r>
    </w:p>
    <w:tbl>
      <w:tblPr>
        <w:tblW w:w="0" w:type="auto"/>
        <w:jc w:val="left"/>
        <w:tblInd w:w="121" w:type="dxa"/>
        <w:tblLayout w:type="fixed"/>
        <w:tblCellMar>
          <w:top w:w="0" w:type="dxa"/>
          <w:left w:w="0" w:type="dxa"/>
          <w:bottom w:w="0" w:type="dxa"/>
          <w:right w:w="0" w:type="dxa"/>
        </w:tblCellMar>
        <w:tblLook w:val="01E0"/>
      </w:tblPr>
      <w:tblGrid>
        <w:gridCol w:w="1134"/>
        <w:gridCol w:w="1286"/>
        <w:gridCol w:w="1184"/>
        <w:gridCol w:w="1313"/>
        <w:gridCol w:w="1076"/>
        <w:gridCol w:w="1049"/>
        <w:gridCol w:w="1058"/>
        <w:gridCol w:w="808"/>
        <w:gridCol w:w="785"/>
      </w:tblGrid>
      <w:tr>
        <w:trPr>
          <w:trHeight w:val="750" w:hRule="exact"/>
        </w:trPr>
        <w:tc>
          <w:tcPr>
            <w:tcW w:w="1134"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主债务履行</w:t>
            </w:r>
          </w:p>
          <w:p>
            <w:pPr>
              <w:pStyle w:val="TableParagraph"/>
              <w:spacing w:line="232" w:lineRule="exact" w:before="24"/>
              <w:ind w:left="22" w:right="125"/>
              <w:jc w:val="left"/>
              <w:rPr>
                <w:rFonts w:ascii="宋体" w:hAnsi="宋体" w:cs="宋体" w:eastAsia="宋体" w:hint="default"/>
                <w:sz w:val="18"/>
                <w:szCs w:val="18"/>
              </w:rPr>
            </w:pPr>
            <w:r>
              <w:rPr>
                <w:rFonts w:ascii="宋体" w:hAnsi="宋体" w:cs="宋体" w:eastAsia="宋体" w:hint="default"/>
                <w:sz w:val="18"/>
                <w:szCs w:val="18"/>
              </w:rPr>
              <w:t>期限届满之 日后两年</w:t>
            </w:r>
          </w:p>
        </w:tc>
        <w:tc>
          <w:tcPr>
            <w:tcW w:w="80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02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28</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13,184.51</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125"/>
              <w:jc w:val="both"/>
              <w:rPr>
                <w:rFonts w:ascii="宋体" w:hAnsi="宋体" w:cs="宋体" w:eastAsia="宋体" w:hint="default"/>
                <w:sz w:val="18"/>
                <w:szCs w:val="18"/>
              </w:rPr>
            </w:pPr>
            <w:r>
              <w:rPr>
                <w:rFonts w:ascii="宋体" w:hAnsi="宋体" w:cs="宋体" w:eastAsia="宋体" w:hint="default"/>
                <w:sz w:val="18"/>
                <w:szCs w:val="18"/>
              </w:rPr>
              <w:t>主合同项下 的债务期限 届满之日起 两年</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06</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25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2" w:lineRule="exact" w:before="1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22</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2" w:lineRule="exact" w:before="1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25"/>
              <w:jc w:val="both"/>
              <w:rPr>
                <w:rFonts w:ascii="宋体" w:hAnsi="宋体" w:cs="宋体" w:eastAsia="宋体" w:hint="default"/>
                <w:sz w:val="18"/>
                <w:szCs w:val="18"/>
              </w:rPr>
            </w:pPr>
            <w:r>
              <w:rPr>
                <w:rFonts w:ascii="宋体" w:hAnsi="宋体" w:cs="宋体" w:eastAsia="宋体" w:hint="default"/>
                <w:sz w:val="18"/>
                <w:szCs w:val="18"/>
              </w:rPr>
              <w:t>主合同项下 各具体授信 的债务履行 期限届满之 日后两年</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258"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2" w:lineRule="exact" w:before="1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2" w:lineRule="exact" w:before="1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r>
              <w:rPr>
                <w:rFonts w:ascii="Times New Roman" w:hAnsi="Times New Roman" w:cs="Times New Roman" w:eastAsia="Times New Roman" w:hint="default"/>
                <w:sz w:val="18"/>
                <w:szCs w:val="18"/>
              </w:rPr>
              <w:t>;</w:t>
            </w:r>
            <w:r>
              <w:rPr>
                <w:rFonts w:ascii="宋体" w:hAnsi="宋体" w:cs="宋体" w:eastAsia="宋体" w:hint="default"/>
                <w:sz w:val="18"/>
                <w:szCs w:val="18"/>
              </w:rPr>
              <w:t>抵押</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125"/>
              <w:jc w:val="both"/>
              <w:rPr>
                <w:rFonts w:ascii="宋体" w:hAnsi="宋体" w:cs="宋体" w:eastAsia="宋体" w:hint="default"/>
                <w:sz w:val="18"/>
                <w:szCs w:val="18"/>
              </w:rPr>
            </w:pPr>
            <w:r>
              <w:rPr>
                <w:rFonts w:ascii="宋体" w:hAnsi="宋体" w:cs="宋体" w:eastAsia="宋体" w:hint="default"/>
                <w:sz w:val="18"/>
                <w:szCs w:val="18"/>
              </w:rPr>
              <w:t>主合同项下 各具体授信 的债务履行 期限届满之 日后两年</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958"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31</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25"/>
              <w:jc w:val="both"/>
              <w:rPr>
                <w:rFonts w:ascii="宋体" w:hAnsi="宋体" w:cs="宋体" w:eastAsia="宋体" w:hint="default"/>
                <w:sz w:val="18"/>
                <w:szCs w:val="18"/>
              </w:rPr>
            </w:pPr>
            <w:r>
              <w:rPr>
                <w:rFonts w:ascii="宋体" w:hAnsi="宋体" w:cs="宋体" w:eastAsia="宋体" w:hint="default"/>
                <w:sz w:val="18"/>
                <w:szCs w:val="18"/>
              </w:rPr>
              <w:t>自每笔债权 合同债务履 行期届满之 日起至该债 权合同约定 的债务履行 期届满之日 后两年止。</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957"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31</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34,800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25"/>
              <w:jc w:val="both"/>
              <w:rPr>
                <w:rFonts w:ascii="宋体" w:hAnsi="宋体" w:cs="宋体" w:eastAsia="宋体" w:hint="default"/>
                <w:sz w:val="18"/>
                <w:szCs w:val="18"/>
              </w:rPr>
            </w:pPr>
            <w:r>
              <w:rPr>
                <w:rFonts w:ascii="宋体" w:hAnsi="宋体" w:cs="宋体" w:eastAsia="宋体" w:hint="default"/>
                <w:sz w:val="18"/>
                <w:szCs w:val="18"/>
              </w:rPr>
              <w:t>自每笔债权 合同债务履 行期届满之 日起至该债 权合同约定 的债务履行 期届满之日 后两年止。</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958"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49,500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125"/>
              <w:jc w:val="both"/>
              <w:rPr>
                <w:rFonts w:ascii="宋体" w:hAnsi="宋体" w:cs="宋体" w:eastAsia="宋体" w:hint="default"/>
                <w:sz w:val="18"/>
                <w:szCs w:val="18"/>
              </w:rPr>
            </w:pPr>
            <w:r>
              <w:rPr>
                <w:rFonts w:ascii="宋体" w:hAnsi="宋体" w:cs="宋体" w:eastAsia="宋体" w:hint="default"/>
                <w:sz w:val="18"/>
                <w:szCs w:val="18"/>
              </w:rPr>
              <w:t>自每笔债权 合同债务履 行期届满之 日起至该债 权合同约定 的债务履行 期届满之日 后两年止。</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491"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06</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32,600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25"/>
              <w:jc w:val="both"/>
              <w:rPr>
                <w:rFonts w:ascii="宋体" w:hAnsi="宋体" w:cs="宋体" w:eastAsia="宋体" w:hint="default"/>
                <w:sz w:val="18"/>
                <w:szCs w:val="18"/>
              </w:rPr>
            </w:pPr>
            <w:r>
              <w:rPr>
                <w:rFonts w:ascii="宋体" w:hAnsi="宋体" w:cs="宋体" w:eastAsia="宋体" w:hint="default"/>
                <w:sz w:val="18"/>
                <w:szCs w:val="18"/>
              </w:rPr>
              <w:t>自担保书生 效之日起至</w:t>
            </w:r>
          </w:p>
          <w:p>
            <w:pPr>
              <w:pStyle w:val="TableParagraph"/>
              <w:spacing w:line="237" w:lineRule="auto"/>
              <w:ind w:left="22" w:right="125"/>
              <w:jc w:val="both"/>
              <w:rPr>
                <w:rFonts w:ascii="宋体" w:hAnsi="宋体" w:cs="宋体" w:eastAsia="宋体" w:hint="default"/>
                <w:sz w:val="18"/>
                <w:szCs w:val="18"/>
              </w:rPr>
            </w:pPr>
            <w:r>
              <w:rPr>
                <w:rFonts w:ascii="宋体" w:hAnsi="宋体" w:cs="宋体" w:eastAsia="宋体" w:hint="default"/>
                <w:sz w:val="18"/>
                <w:szCs w:val="18"/>
              </w:rPr>
              <w:t>《授信协议 项下每笔融 资的到期日 另加三年</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177" w:lineRule="exact"/>
              <w:ind w:left="-13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77"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217"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神码供应链</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2" w:lineRule="exact" w:before="13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06</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2" w:lineRule="exact" w:before="13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9"/>
              <w:ind w:left="22" w:right="116"/>
              <w:jc w:val="left"/>
              <w:rPr>
                <w:rFonts w:ascii="宋体" w:hAnsi="宋体" w:cs="宋体" w:eastAsia="宋体" w:hint="default"/>
                <w:sz w:val="18"/>
                <w:szCs w:val="18"/>
              </w:rPr>
            </w:pPr>
            <w:r>
              <w:rPr>
                <w:rFonts w:ascii="宋体" w:hAnsi="宋体" w:cs="宋体" w:eastAsia="宋体" w:hint="default"/>
                <w:sz w:val="18"/>
                <w:szCs w:val="18"/>
              </w:rPr>
              <w:t>自担保书生 效之日起至</w:t>
            </w:r>
          </w:p>
          <w:p>
            <w:pPr>
              <w:pStyle w:val="TableParagraph"/>
              <w:spacing w:line="234" w:lineRule="exact" w:before="20"/>
              <w:ind w:left="22" w:right="-41"/>
              <w:jc w:val="left"/>
              <w:rPr>
                <w:rFonts w:ascii="宋体" w:hAnsi="宋体" w:cs="宋体" w:eastAsia="宋体" w:hint="default"/>
                <w:sz w:val="18"/>
                <w:szCs w:val="18"/>
              </w:rPr>
            </w:pPr>
            <w:r>
              <w:rPr>
                <w:rFonts w:ascii="宋体" w:hAnsi="宋体" w:cs="宋体" w:eastAsia="宋体" w:hint="default"/>
                <w:spacing w:val="-4"/>
                <w:sz w:val="18"/>
                <w:szCs w:val="18"/>
              </w:rPr>
              <w:t>《授信协议》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项下每笔融</w:t>
            </w:r>
            <w:r>
              <w:rPr>
                <w:rFonts w:ascii="宋体" w:hAnsi="宋体" w:cs="宋体" w:eastAsia="宋体" w:hint="default"/>
                <w:sz w:val="18"/>
                <w:szCs w:val="18"/>
              </w:rPr>
              <w:t> 资的到期日</w:t>
            </w:r>
          </w:p>
        </w:tc>
        <w:tc>
          <w:tcPr>
            <w:tcW w:w="808"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3"/>
        <w:rPr>
          <w:rFonts w:ascii="Times New Roman" w:hAnsi="Times New Roman" w:cs="Times New Roman" w:eastAsia="Times New Roman" w:hint="default"/>
          <w:sz w:val="28"/>
          <w:szCs w:val="28"/>
        </w:rPr>
      </w:pPr>
    </w:p>
    <w:tbl>
      <w:tblPr>
        <w:tblW w:w="0" w:type="auto"/>
        <w:jc w:val="left"/>
        <w:tblInd w:w="126" w:type="dxa"/>
        <w:tblLayout w:type="fixed"/>
        <w:tblCellMar>
          <w:top w:w="0" w:type="dxa"/>
          <w:left w:w="0" w:type="dxa"/>
          <w:bottom w:w="0" w:type="dxa"/>
          <w:right w:w="0" w:type="dxa"/>
        </w:tblCellMar>
        <w:tblLook w:val="01E0"/>
      </w:tblPr>
      <w:tblGrid>
        <w:gridCol w:w="1134"/>
        <w:gridCol w:w="1286"/>
        <w:gridCol w:w="1184"/>
        <w:gridCol w:w="1313"/>
        <w:gridCol w:w="1076"/>
        <w:gridCol w:w="1049"/>
        <w:gridCol w:w="1058"/>
        <w:gridCol w:w="808"/>
        <w:gridCol w:w="785"/>
      </w:tblGrid>
      <w:tr>
        <w:trPr>
          <w:trHeight w:val="283" w:hRule="exact"/>
        </w:trPr>
        <w:tc>
          <w:tcPr>
            <w:tcW w:w="7044" w:type="dxa"/>
            <w:gridSpan w:val="6"/>
            <w:tcBorders>
              <w:top w:val="single" w:sz="4" w:space="0" w:color="000000"/>
              <w:left w:val="nil" w:sz="6" w:space="0" w:color="auto"/>
              <w:bottom w:val="single" w:sz="4" w:space="0" w:color="000000"/>
              <w:right w:val="nil" w:sz="6" w:space="0" w:color="auto"/>
            </w:tcBorders>
          </w:tcPr>
          <w:p>
            <w:pPr/>
          </w:p>
        </w:tc>
        <w:tc>
          <w:tcPr>
            <w:tcW w:w="1058" w:type="dxa"/>
            <w:tcBorders>
              <w:top w:val="single" w:sz="4" w:space="0" w:color="000000"/>
              <w:left w:val="nil" w:sz="6" w:space="0" w:color="auto"/>
              <w:bottom w:val="single" w:sz="4" w:space="0" w:color="000000"/>
              <w:right w:val="nil" w:sz="6" w:space="0" w:color="auto"/>
            </w:tcBorders>
          </w:tcPr>
          <w:p>
            <w:pPr>
              <w:pStyle w:val="TableParagraph"/>
              <w:spacing w:line="205" w:lineRule="exact"/>
              <w:ind w:left="27" w:right="0"/>
              <w:jc w:val="left"/>
              <w:rPr>
                <w:rFonts w:ascii="宋体" w:hAnsi="宋体" w:cs="宋体" w:eastAsia="宋体" w:hint="default"/>
                <w:sz w:val="18"/>
                <w:szCs w:val="18"/>
              </w:rPr>
            </w:pPr>
            <w:r>
              <w:rPr>
                <w:rFonts w:ascii="宋体" w:hAnsi="宋体" w:cs="宋体" w:eastAsia="宋体" w:hint="default"/>
                <w:sz w:val="18"/>
                <w:szCs w:val="18"/>
              </w:rPr>
              <w:t>另加三年</w:t>
            </w:r>
          </w:p>
        </w:tc>
        <w:tc>
          <w:tcPr>
            <w:tcW w:w="1592" w:type="dxa"/>
            <w:gridSpan w:val="2"/>
            <w:tcBorders>
              <w:top w:val="single" w:sz="4" w:space="0" w:color="000000"/>
              <w:left w:val="nil" w:sz="6" w:space="0" w:color="auto"/>
              <w:bottom w:val="single" w:sz="4" w:space="0" w:color="000000"/>
              <w:right w:val="nil" w:sz="6" w:space="0" w:color="auto"/>
            </w:tcBorders>
          </w:tcPr>
          <w:p>
            <w:pPr/>
          </w:p>
        </w:tc>
      </w:tr>
      <w:tr>
        <w:trPr>
          <w:trHeight w:val="1491" w:hRule="exact"/>
        </w:trPr>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286"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1" w:lineRule="exact"/>
              <w:ind w:left="2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06</w:t>
            </w:r>
          </w:p>
          <w:p>
            <w:pPr>
              <w:pStyle w:val="TableParagraph"/>
              <w:spacing w:line="227" w:lineRule="exact"/>
              <w:ind w:left="2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37,000</w:t>
            </w:r>
          </w:p>
        </w:tc>
        <w:tc>
          <w:tcPr>
            <w:tcW w:w="1313"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1" w:lineRule="exact"/>
              <w:ind w:left="2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27" w:lineRule="exact"/>
              <w:ind w:left="2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28,772.42</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32" w:lineRule="exact"/>
              <w:ind w:left="27"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866" w:type="dxa"/>
            <w:gridSpan w:val="2"/>
            <w:tcBorders>
              <w:top w:val="single" w:sz="4" w:space="0" w:color="000000"/>
              <w:left w:val="nil" w:sz="6" w:space="0" w:color="auto"/>
              <w:bottom w:val="single" w:sz="4" w:space="0" w:color="000000"/>
              <w:right w:val="nil" w:sz="6" w:space="0" w:color="auto"/>
            </w:tcBorders>
          </w:tcPr>
          <w:p>
            <w:pPr>
              <w:pStyle w:val="TableParagraph"/>
              <w:spacing w:line="232" w:lineRule="exact" w:before="35"/>
              <w:ind w:left="27" w:right="936"/>
              <w:jc w:val="left"/>
              <w:rPr>
                <w:rFonts w:ascii="宋体" w:hAnsi="宋体" w:cs="宋体" w:eastAsia="宋体" w:hint="default"/>
                <w:sz w:val="18"/>
                <w:szCs w:val="18"/>
              </w:rPr>
            </w:pPr>
            <w:r>
              <w:rPr>
                <w:rFonts w:ascii="宋体" w:hAnsi="宋体" w:cs="宋体" w:eastAsia="宋体" w:hint="default"/>
                <w:sz w:val="18"/>
                <w:szCs w:val="18"/>
              </w:rPr>
              <w:t>自担保书生 效之日起至</w:t>
            </w:r>
          </w:p>
          <w:p>
            <w:pPr>
              <w:pStyle w:val="TableParagraph"/>
              <w:spacing w:line="115" w:lineRule="auto" w:before="86"/>
              <w:ind w:left="27" w:right="596"/>
              <w:jc w:val="left"/>
              <w:rPr>
                <w:rFonts w:ascii="宋体" w:hAnsi="宋体" w:cs="宋体" w:eastAsia="宋体" w:hint="default"/>
                <w:sz w:val="18"/>
                <w:szCs w:val="18"/>
              </w:rPr>
            </w:pPr>
            <w:r>
              <w:rPr>
                <w:rFonts w:ascii="宋体" w:hAnsi="宋体" w:cs="宋体" w:eastAsia="宋体" w:hint="default"/>
                <w:sz w:val="18"/>
                <w:szCs w:val="18"/>
              </w:rPr>
              <w:t>《授信协议》 项下每笔融</w:t>
            </w:r>
            <w:r>
              <w:rPr>
                <w:rFonts w:ascii="宋体" w:hAnsi="宋体" w:cs="宋体" w:eastAsia="宋体" w:hint="default"/>
                <w:spacing w:val="69"/>
                <w:sz w:val="18"/>
                <w:szCs w:val="18"/>
              </w:rPr>
              <w:t> </w:t>
            </w:r>
            <w:r>
              <w:rPr>
                <w:rFonts w:ascii="宋体" w:hAnsi="宋体" w:cs="宋体" w:eastAsia="宋体" w:hint="default"/>
                <w:position w:val="12"/>
                <w:sz w:val="18"/>
                <w:szCs w:val="18"/>
              </w:rPr>
              <w:t>否</w:t>
            </w:r>
            <w:r>
              <w:rPr>
                <w:rFonts w:ascii="宋体" w:hAnsi="宋体" w:cs="宋体" w:eastAsia="宋体" w:hint="default"/>
                <w:sz w:val="18"/>
                <w:szCs w:val="18"/>
              </w:rPr>
            </w:r>
          </w:p>
          <w:p>
            <w:pPr>
              <w:pStyle w:val="TableParagraph"/>
              <w:spacing w:line="240" w:lineRule="auto" w:before="12"/>
              <w:ind w:left="27" w:right="936"/>
              <w:jc w:val="left"/>
              <w:rPr>
                <w:rFonts w:ascii="宋体" w:hAnsi="宋体" w:cs="宋体" w:eastAsia="宋体" w:hint="default"/>
                <w:sz w:val="18"/>
                <w:szCs w:val="18"/>
              </w:rPr>
            </w:pPr>
            <w:r>
              <w:rPr>
                <w:rFonts w:ascii="宋体" w:hAnsi="宋体" w:cs="宋体" w:eastAsia="宋体" w:hint="default"/>
                <w:sz w:val="18"/>
                <w:szCs w:val="18"/>
              </w:rPr>
              <w:t>资的到期日 另加三年</w:t>
            </w:r>
          </w:p>
        </w:tc>
        <w:tc>
          <w:tcPr>
            <w:tcW w:w="785"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492" w:hRule="exact"/>
        </w:trPr>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神码广州</w:t>
            </w:r>
          </w:p>
        </w:tc>
        <w:tc>
          <w:tcPr>
            <w:tcW w:w="1286"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2" w:lineRule="exact"/>
              <w:ind w:left="2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06</w:t>
            </w:r>
          </w:p>
          <w:p>
            <w:pPr>
              <w:pStyle w:val="TableParagraph"/>
              <w:spacing w:line="228" w:lineRule="exact"/>
              <w:ind w:left="2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20,000</w:t>
            </w:r>
          </w:p>
        </w:tc>
        <w:tc>
          <w:tcPr>
            <w:tcW w:w="1313"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2" w:lineRule="exact"/>
              <w:ind w:left="2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28" w:lineRule="exact"/>
              <w:ind w:left="2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20,000</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7"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866"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27" w:right="936"/>
              <w:jc w:val="left"/>
              <w:rPr>
                <w:rFonts w:ascii="宋体" w:hAnsi="宋体" w:cs="宋体" w:eastAsia="宋体" w:hint="default"/>
                <w:sz w:val="18"/>
                <w:szCs w:val="18"/>
              </w:rPr>
            </w:pPr>
            <w:r>
              <w:rPr>
                <w:rFonts w:ascii="宋体" w:hAnsi="宋体" w:cs="宋体" w:eastAsia="宋体" w:hint="default"/>
                <w:sz w:val="18"/>
                <w:szCs w:val="18"/>
              </w:rPr>
              <w:t>自担保书生 效之日起至</w:t>
            </w:r>
          </w:p>
          <w:p>
            <w:pPr>
              <w:pStyle w:val="TableParagraph"/>
              <w:spacing w:line="115" w:lineRule="auto" w:before="106"/>
              <w:ind w:left="27" w:right="596"/>
              <w:jc w:val="left"/>
              <w:rPr>
                <w:rFonts w:ascii="宋体" w:hAnsi="宋体" w:cs="宋体" w:eastAsia="宋体" w:hint="default"/>
                <w:sz w:val="18"/>
                <w:szCs w:val="18"/>
              </w:rPr>
            </w:pPr>
            <w:r>
              <w:rPr>
                <w:rFonts w:ascii="宋体" w:hAnsi="宋体" w:cs="宋体" w:eastAsia="宋体" w:hint="default"/>
                <w:sz w:val="18"/>
                <w:szCs w:val="18"/>
              </w:rPr>
              <w:t>《授信协议》 项下每笔融</w:t>
            </w:r>
            <w:r>
              <w:rPr>
                <w:rFonts w:ascii="宋体" w:hAnsi="宋体" w:cs="宋体" w:eastAsia="宋体" w:hint="default"/>
                <w:spacing w:val="69"/>
                <w:sz w:val="18"/>
                <w:szCs w:val="18"/>
              </w:rPr>
              <w:t> </w:t>
            </w:r>
            <w:r>
              <w:rPr>
                <w:rFonts w:ascii="宋体" w:hAnsi="宋体" w:cs="宋体" w:eastAsia="宋体" w:hint="default"/>
                <w:position w:val="12"/>
                <w:sz w:val="18"/>
                <w:szCs w:val="18"/>
              </w:rPr>
              <w:t>否</w:t>
            </w:r>
            <w:r>
              <w:rPr>
                <w:rFonts w:ascii="宋体" w:hAnsi="宋体" w:cs="宋体" w:eastAsia="宋体" w:hint="default"/>
                <w:sz w:val="18"/>
                <w:szCs w:val="18"/>
              </w:rPr>
            </w:r>
          </w:p>
          <w:p>
            <w:pPr>
              <w:pStyle w:val="TableParagraph"/>
              <w:spacing w:line="240" w:lineRule="auto" w:before="10"/>
              <w:ind w:left="27" w:right="936"/>
              <w:jc w:val="left"/>
              <w:rPr>
                <w:rFonts w:ascii="宋体" w:hAnsi="宋体" w:cs="宋体" w:eastAsia="宋体" w:hint="default"/>
                <w:sz w:val="18"/>
                <w:szCs w:val="18"/>
              </w:rPr>
            </w:pPr>
            <w:r>
              <w:rPr>
                <w:rFonts w:ascii="宋体" w:hAnsi="宋体" w:cs="宋体" w:eastAsia="宋体" w:hint="default"/>
                <w:sz w:val="18"/>
                <w:szCs w:val="18"/>
              </w:rPr>
              <w:t>资的到期日 另加三年</w:t>
            </w:r>
          </w:p>
        </w:tc>
        <w:tc>
          <w:tcPr>
            <w:tcW w:w="785"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40"/>
          <w:szCs w:val="40"/>
        </w:rPr>
      </w:pPr>
    </w:p>
    <w:p>
      <w:pPr>
        <w:pStyle w:val="BodyText"/>
        <w:tabs>
          <w:tab w:pos="1288" w:val="left" w:leader="none"/>
        </w:tabs>
        <w:spacing w:line="173" w:lineRule="exact"/>
        <w:ind w:right="-17"/>
        <w:jc w:val="left"/>
        <w:rPr>
          <w:rFonts w:ascii="Times New Roman" w:hAnsi="Times New Roman" w:cs="Times New Roman" w:eastAsia="Times New Roman" w:hint="default"/>
        </w:rPr>
      </w:pPr>
      <w:r>
        <w:rPr>
          <w:position w:val="-11"/>
        </w:rPr>
        <w:t>神码上海</w:t>
        <w:tab/>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53"/>
        </w:rPr>
        <w:t> </w:t>
      </w:r>
      <w:r>
        <w:rPr>
          <w:rFonts w:ascii="Times New Roman" w:hAnsi="Times New Roman" w:cs="Times New Roman" w:eastAsia="Times New Roman" w:hint="default"/>
        </w:rPr>
        <w:t>02</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06</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11"/>
        <w:rPr>
          <w:rFonts w:ascii="Times New Roman" w:hAnsi="Times New Roman" w:cs="Times New Roman" w:eastAsia="Times New Roman" w:hint="default"/>
          <w:sz w:val="22"/>
          <w:szCs w:val="22"/>
        </w:rPr>
      </w:pPr>
    </w:p>
    <w:p>
      <w:pPr>
        <w:pStyle w:val="BodyText"/>
        <w:spacing w:line="173" w:lineRule="exact"/>
        <w:ind w:right="-17"/>
        <w:jc w:val="left"/>
        <w:rPr>
          <w:rFonts w:ascii="Times New Roman" w:hAnsi="Times New Roman" w:cs="Times New Roman" w:eastAsia="Times New Roman" w:hint="default"/>
        </w:rPr>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01</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31</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11"/>
        <w:rPr>
          <w:rFonts w:ascii="Times New Roman" w:hAnsi="Times New Roman" w:cs="Times New Roman" w:eastAsia="Times New Roman" w:hint="default"/>
          <w:sz w:val="22"/>
          <w:szCs w:val="22"/>
        </w:rPr>
      </w:pPr>
    </w:p>
    <w:p>
      <w:pPr>
        <w:pStyle w:val="BodyText"/>
        <w:spacing w:line="173" w:lineRule="exact"/>
        <w:ind w:left="153" w:right="-19"/>
        <w:jc w:val="left"/>
      </w:pPr>
      <w:r>
        <w:rPr/>
        <w:t>连带责任保</w:t>
      </w:r>
    </w:p>
    <w:p>
      <w:pPr>
        <w:pStyle w:val="BodyText"/>
        <w:spacing w:line="240" w:lineRule="auto" w:before="4"/>
        <w:ind w:left="109" w:right="2808"/>
        <w:jc w:val="left"/>
      </w:pPr>
      <w:r>
        <w:rPr/>
        <w:br w:type="column"/>
      </w:r>
      <w:r>
        <w:rPr/>
        <w:t>自担保书生 效之日起至</w:t>
      </w:r>
    </w:p>
    <w:p>
      <w:pPr>
        <w:pStyle w:val="BodyText"/>
        <w:spacing w:line="170" w:lineRule="exact"/>
        <w:ind w:left="109" w:right="0"/>
        <w:jc w:val="left"/>
      </w:pPr>
      <w:r>
        <w:rPr/>
        <w:t>《授信协议》</w:t>
      </w:r>
    </w:p>
    <w:p>
      <w:pPr>
        <w:spacing w:after="0" w:line="170" w:lineRule="exact"/>
        <w:jc w:val="left"/>
        <w:sectPr>
          <w:type w:val="continuous"/>
          <w:pgSz w:w="11910" w:h="16840"/>
          <w:pgMar w:top="1580" w:bottom="700" w:left="980" w:right="0"/>
          <w:cols w:num="4" w:equalWidth="0">
            <w:col w:w="2521" w:space="1084"/>
            <w:col w:w="1410" w:space="979"/>
            <w:col w:w="1055" w:space="40"/>
            <w:col w:w="3841"/>
          </w:cols>
        </w:sectPr>
      </w:pPr>
    </w:p>
    <w:p>
      <w:pPr>
        <w:pStyle w:val="BodyText"/>
        <w:tabs>
          <w:tab w:pos="3208" w:val="left" w:leader="none"/>
          <w:tab w:pos="5597" w:val="left" w:leader="none"/>
        </w:tabs>
        <w:spacing w:line="296" w:lineRule="exact"/>
        <w:ind w:left="1288" w:right="-19"/>
        <w:jc w:val="left"/>
      </w:pPr>
      <w:r>
        <w:rPr>
          <w:position w:val="-11"/>
        </w:rPr>
        <w:t>日</w:t>
        <w:tab/>
      </w:r>
      <w:r>
        <w:rPr>
          <w:rFonts w:ascii="Times New Roman" w:hAnsi="Times New Roman" w:cs="Times New Roman" w:eastAsia="Times New Roman" w:hint="default"/>
        </w:rPr>
        <w:t>30,000</w:t>
      </w:r>
      <w:r>
        <w:rPr>
          <w:rFonts w:ascii="Times New Roman" w:hAnsi="Times New Roman" w:cs="Times New Roman" w:eastAsia="Times New Roman" w:hint="default"/>
          <w:spacing w:val="10"/>
        </w:rPr>
        <w:t> </w:t>
      </w:r>
      <w:r>
        <w:rPr>
          <w:position w:val="-11"/>
        </w:rPr>
        <w:t>日</w:t>
        <w:tab/>
      </w:r>
      <w:r>
        <w:rPr>
          <w:rFonts w:ascii="Times New Roman" w:hAnsi="Times New Roman" w:cs="Times New Roman" w:eastAsia="Times New Roman" w:hint="default"/>
        </w:rPr>
        <w:t>20,000</w:t>
      </w:r>
      <w:r>
        <w:rPr>
          <w:rFonts w:ascii="Times New Roman" w:hAnsi="Times New Roman" w:cs="Times New Roman" w:eastAsia="Times New Roman" w:hint="default"/>
          <w:spacing w:val="10"/>
        </w:rPr>
        <w:t> </w:t>
      </w:r>
      <w:r>
        <w:rPr>
          <w:position w:val="-11"/>
        </w:rPr>
        <w:t>证</w:t>
      </w:r>
      <w:r>
        <w:rPr/>
      </w:r>
    </w:p>
    <w:p>
      <w:pPr>
        <w:pStyle w:val="BodyText"/>
        <w:tabs>
          <w:tab w:pos="2695" w:val="left" w:leader="none"/>
        </w:tabs>
        <w:spacing w:line="295" w:lineRule="exact"/>
        <w:ind w:left="829" w:right="0"/>
        <w:jc w:val="left"/>
      </w:pPr>
      <w:r>
        <w:rPr/>
        <w:br w:type="column"/>
      </w:r>
      <w:r>
        <w:rPr/>
        <w:t>项下每笔融</w:t>
      </w:r>
      <w:r>
        <w:rPr>
          <w:spacing w:val="69"/>
        </w:rPr>
        <w:t> </w:t>
      </w:r>
      <w:r>
        <w:rPr>
          <w:position w:val="12"/>
        </w:rPr>
        <w:t>否</w:t>
        <w:tab/>
        <w:t>是</w:t>
      </w:r>
      <w:r>
        <w:rPr/>
      </w:r>
    </w:p>
    <w:p>
      <w:pPr>
        <w:pStyle w:val="BodyText"/>
        <w:spacing w:line="240" w:lineRule="auto"/>
        <w:ind w:left="829" w:right="2808"/>
        <w:jc w:val="left"/>
      </w:pPr>
      <w:r>
        <w:rPr/>
        <w:t>资的到期日 另加三年</w:t>
      </w:r>
    </w:p>
    <w:p>
      <w:pPr>
        <w:pStyle w:val="BodyText"/>
        <w:spacing w:line="240" w:lineRule="auto" w:before="87"/>
        <w:ind w:left="829" w:right="2808"/>
        <w:jc w:val="left"/>
      </w:pPr>
      <w:r>
        <w:rPr/>
        <w:t>自担保书生 效之日起至</w:t>
      </w:r>
    </w:p>
    <w:p>
      <w:pPr>
        <w:spacing w:after="0" w:line="240" w:lineRule="auto"/>
        <w:jc w:val="left"/>
        <w:sectPr>
          <w:type w:val="continuous"/>
          <w:pgSz w:w="11910" w:h="16840"/>
          <w:pgMar w:top="1580" w:bottom="700" w:left="980" w:right="0"/>
          <w:cols w:num="2" w:equalWidth="0">
            <w:col w:w="6329" w:space="40"/>
            <w:col w:w="4561"/>
          </w:cols>
        </w:sectPr>
      </w:pPr>
    </w:p>
    <w:p>
      <w:pPr>
        <w:pStyle w:val="BodyText"/>
        <w:tabs>
          <w:tab w:pos="1288" w:val="left" w:leader="none"/>
        </w:tabs>
        <w:spacing w:line="170" w:lineRule="exact"/>
        <w:ind w:right="-17"/>
        <w:jc w:val="left"/>
        <w:rPr>
          <w:rFonts w:ascii="Times New Roman" w:hAnsi="Times New Roman" w:cs="Times New Roman" w:eastAsia="Times New Roman" w:hint="default"/>
        </w:rPr>
      </w:pPr>
      <w:r>
        <w:rPr>
          <w:position w:val="-11"/>
        </w:rPr>
        <w:t>神码深圳</w:t>
        <w:tab/>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53"/>
        </w:rPr>
        <w:t> </w:t>
      </w:r>
      <w:r>
        <w:rPr>
          <w:rFonts w:ascii="Times New Roman" w:hAnsi="Times New Roman" w:cs="Times New Roman" w:eastAsia="Times New Roman" w:hint="default"/>
        </w:rPr>
        <w:t>02</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06</w:t>
      </w:r>
    </w:p>
    <w:p>
      <w:pPr>
        <w:pStyle w:val="BodyText"/>
        <w:spacing w:line="170" w:lineRule="exact"/>
        <w:ind w:right="-17"/>
        <w:jc w:val="left"/>
        <w:rPr>
          <w:rFonts w:ascii="Times New Roman" w:hAnsi="Times New Roman" w:cs="Times New Roman" w:eastAsia="Times New Roman" w:hint="default"/>
        </w:rPr>
      </w:pPr>
      <w:r>
        <w:rPr/>
        <w:br w:type="column"/>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01</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31</w:t>
      </w:r>
    </w:p>
    <w:p>
      <w:pPr>
        <w:pStyle w:val="BodyText"/>
        <w:spacing w:line="170" w:lineRule="exact"/>
        <w:ind w:left="153" w:right="-19"/>
        <w:jc w:val="left"/>
      </w:pPr>
      <w:r>
        <w:rPr/>
        <w:br w:type="column"/>
      </w:r>
      <w:r>
        <w:rPr/>
        <w:t>连带责任保</w:t>
      </w:r>
    </w:p>
    <w:p>
      <w:pPr>
        <w:pStyle w:val="BodyText"/>
        <w:spacing w:line="170" w:lineRule="exact"/>
        <w:ind w:left="109" w:right="0"/>
        <w:jc w:val="left"/>
      </w:pPr>
      <w:r>
        <w:rPr/>
        <w:br w:type="column"/>
      </w:r>
      <w:r>
        <w:rPr/>
        <w:t>《授信协议》</w:t>
      </w:r>
    </w:p>
    <w:p>
      <w:pPr>
        <w:spacing w:after="0" w:line="170" w:lineRule="exact"/>
        <w:jc w:val="left"/>
        <w:sectPr>
          <w:type w:val="continuous"/>
          <w:pgSz w:w="11910" w:h="16840"/>
          <w:pgMar w:top="1580" w:bottom="700" w:left="980" w:right="0"/>
          <w:cols w:num="4" w:equalWidth="0">
            <w:col w:w="2521" w:space="1084"/>
            <w:col w:w="1410" w:space="979"/>
            <w:col w:w="1055" w:space="40"/>
            <w:col w:w="3841"/>
          </w:cols>
        </w:sectPr>
      </w:pPr>
    </w:p>
    <w:p>
      <w:pPr>
        <w:pStyle w:val="BodyText"/>
        <w:tabs>
          <w:tab w:pos="3208" w:val="left" w:leader="none"/>
          <w:tab w:pos="5597" w:val="left" w:leader="none"/>
        </w:tabs>
        <w:spacing w:line="296" w:lineRule="exact"/>
        <w:ind w:left="1288" w:right="-19"/>
        <w:jc w:val="left"/>
      </w:pPr>
      <w:r>
        <w:rPr>
          <w:position w:val="-11"/>
        </w:rPr>
        <w:t>日</w:t>
        <w:tab/>
      </w:r>
      <w:r>
        <w:rPr>
          <w:rFonts w:ascii="Times New Roman" w:hAnsi="Times New Roman" w:cs="Times New Roman" w:eastAsia="Times New Roman" w:hint="default"/>
        </w:rPr>
        <w:t>20,000</w:t>
      </w:r>
      <w:r>
        <w:rPr>
          <w:rFonts w:ascii="Times New Roman" w:hAnsi="Times New Roman" w:cs="Times New Roman" w:eastAsia="Times New Roman" w:hint="default"/>
          <w:spacing w:val="10"/>
        </w:rPr>
        <w:t> </w:t>
      </w:r>
      <w:r>
        <w:rPr>
          <w:position w:val="-11"/>
        </w:rPr>
        <w:t>日</w:t>
        <w:tab/>
      </w:r>
      <w:r>
        <w:rPr>
          <w:rFonts w:ascii="Times New Roman" w:hAnsi="Times New Roman" w:cs="Times New Roman" w:eastAsia="Times New Roman" w:hint="default"/>
        </w:rPr>
        <w:t>20,000</w:t>
      </w:r>
      <w:r>
        <w:rPr>
          <w:rFonts w:ascii="Times New Roman" w:hAnsi="Times New Roman" w:cs="Times New Roman" w:eastAsia="Times New Roman" w:hint="default"/>
          <w:spacing w:val="10"/>
        </w:rPr>
        <w:t> </w:t>
      </w:r>
      <w:r>
        <w:rPr>
          <w:position w:val="-11"/>
        </w:rPr>
        <w:t>证</w:t>
      </w:r>
      <w:r>
        <w:rPr/>
      </w:r>
    </w:p>
    <w:p>
      <w:pPr>
        <w:pStyle w:val="BodyText"/>
        <w:tabs>
          <w:tab w:pos="2695" w:val="left" w:leader="none"/>
        </w:tabs>
        <w:spacing w:line="296" w:lineRule="exact"/>
        <w:ind w:left="829" w:right="0"/>
        <w:jc w:val="left"/>
      </w:pPr>
      <w:r>
        <w:rPr/>
        <w:br w:type="column"/>
      </w:r>
      <w:r>
        <w:rPr/>
        <w:t>项下每笔融</w:t>
      </w:r>
      <w:r>
        <w:rPr>
          <w:spacing w:val="69"/>
        </w:rPr>
        <w:t> </w:t>
      </w:r>
      <w:r>
        <w:rPr>
          <w:position w:val="12"/>
        </w:rPr>
        <w:t>否</w:t>
        <w:tab/>
        <w:t>是</w:t>
      </w:r>
      <w:r>
        <w:rPr/>
      </w:r>
    </w:p>
    <w:p>
      <w:pPr>
        <w:pStyle w:val="BodyText"/>
        <w:spacing w:line="232" w:lineRule="exact" w:before="24"/>
        <w:ind w:left="829" w:right="2808"/>
        <w:jc w:val="left"/>
      </w:pPr>
      <w:r>
        <w:rPr/>
        <w:t>资的到期日 另加三年</w:t>
      </w:r>
    </w:p>
    <w:p>
      <w:pPr>
        <w:pStyle w:val="BodyText"/>
        <w:spacing w:line="240" w:lineRule="auto" w:before="66"/>
        <w:ind w:left="829" w:right="0"/>
        <w:jc w:val="left"/>
      </w:pPr>
      <w:r>
        <w:rPr/>
        <w:t>主合同项下</w:t>
      </w:r>
    </w:p>
    <w:p>
      <w:pPr>
        <w:spacing w:after="0" w:line="240" w:lineRule="auto"/>
        <w:jc w:val="left"/>
        <w:sectPr>
          <w:type w:val="continuous"/>
          <w:pgSz w:w="11910" w:h="16840"/>
          <w:pgMar w:top="1580" w:bottom="700" w:left="980" w:right="0"/>
          <w:cols w:num="2" w:equalWidth="0">
            <w:col w:w="6329" w:space="40"/>
            <w:col w:w="4561"/>
          </w:cols>
        </w:sectPr>
      </w:pPr>
    </w:p>
    <w:p>
      <w:pPr>
        <w:pStyle w:val="BodyText"/>
        <w:tabs>
          <w:tab w:pos="1288" w:val="left" w:leader="none"/>
        </w:tabs>
        <w:spacing w:line="172" w:lineRule="exact"/>
        <w:ind w:right="-17"/>
        <w:jc w:val="left"/>
        <w:rPr>
          <w:rFonts w:ascii="Times New Roman" w:hAnsi="Times New Roman" w:cs="Times New Roman" w:eastAsia="Times New Roman" w:hint="default"/>
        </w:rPr>
      </w:pPr>
      <w:r>
        <w:rPr>
          <w:position w:val="-11"/>
        </w:rPr>
        <w:t>神码深圳</w:t>
        <w:tab/>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53"/>
        </w:rPr>
        <w:t> </w:t>
      </w:r>
      <w:r>
        <w:rPr>
          <w:rFonts w:ascii="Times New Roman" w:hAnsi="Times New Roman" w:cs="Times New Roman" w:eastAsia="Times New Roman" w:hint="default"/>
        </w:rPr>
        <w:t>09</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29</w:t>
      </w:r>
    </w:p>
    <w:p>
      <w:pPr>
        <w:pStyle w:val="BodyText"/>
        <w:spacing w:line="172" w:lineRule="exact"/>
        <w:ind w:right="-17"/>
        <w:jc w:val="left"/>
        <w:rPr>
          <w:rFonts w:ascii="Times New Roman" w:hAnsi="Times New Roman" w:cs="Times New Roman" w:eastAsia="Times New Roman" w:hint="default"/>
        </w:rPr>
      </w:pPr>
      <w:r>
        <w:rPr/>
        <w:br w:type="column"/>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08</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31</w:t>
      </w:r>
    </w:p>
    <w:p>
      <w:pPr>
        <w:pStyle w:val="BodyText"/>
        <w:spacing w:line="172" w:lineRule="exact"/>
        <w:ind w:left="153" w:right="-19"/>
        <w:jc w:val="left"/>
      </w:pPr>
      <w:r>
        <w:rPr/>
        <w:br w:type="column"/>
      </w:r>
      <w:r>
        <w:rPr/>
        <w:t>连带责任保</w:t>
      </w:r>
    </w:p>
    <w:p>
      <w:pPr>
        <w:pStyle w:val="BodyText"/>
        <w:spacing w:line="172" w:lineRule="exact"/>
        <w:ind w:left="109" w:right="0"/>
        <w:jc w:val="left"/>
      </w:pPr>
      <w:r>
        <w:rPr/>
        <w:br w:type="column"/>
      </w:r>
      <w:r>
        <w:rPr/>
        <w:t>的债务期限</w:t>
      </w:r>
    </w:p>
    <w:p>
      <w:pPr>
        <w:spacing w:after="0" w:line="172" w:lineRule="exact"/>
        <w:jc w:val="left"/>
        <w:sectPr>
          <w:type w:val="continuous"/>
          <w:pgSz w:w="11910" w:h="16840"/>
          <w:pgMar w:top="1580" w:bottom="700" w:left="980" w:right="0"/>
          <w:cols w:num="4" w:equalWidth="0">
            <w:col w:w="2521" w:space="1084"/>
            <w:col w:w="1410" w:space="979"/>
            <w:col w:w="1055" w:space="40"/>
            <w:col w:w="3841"/>
          </w:cols>
        </w:sectPr>
      </w:pPr>
    </w:p>
    <w:p>
      <w:pPr>
        <w:pStyle w:val="BodyText"/>
        <w:tabs>
          <w:tab w:pos="3208" w:val="left" w:leader="none"/>
          <w:tab w:pos="5597" w:val="left" w:leader="none"/>
        </w:tabs>
        <w:spacing w:line="296" w:lineRule="exact"/>
        <w:ind w:left="1288" w:right="-19"/>
        <w:jc w:val="left"/>
      </w:pPr>
      <w:r>
        <w:rPr>
          <w:position w:val="-11"/>
        </w:rPr>
        <w:t>日</w:t>
        <w:tab/>
      </w:r>
      <w:r>
        <w:rPr>
          <w:rFonts w:ascii="Times New Roman" w:hAnsi="Times New Roman" w:cs="Times New Roman" w:eastAsia="Times New Roman" w:hint="default"/>
        </w:rPr>
        <w:t>70,000</w:t>
      </w:r>
      <w:r>
        <w:rPr>
          <w:rFonts w:ascii="Times New Roman" w:hAnsi="Times New Roman" w:cs="Times New Roman" w:eastAsia="Times New Roman" w:hint="default"/>
          <w:spacing w:val="10"/>
        </w:rPr>
        <w:t> </w:t>
      </w:r>
      <w:r>
        <w:rPr>
          <w:position w:val="-11"/>
        </w:rPr>
        <w:t>日</w:t>
        <w:tab/>
      </w:r>
      <w:r>
        <w:rPr>
          <w:rFonts w:ascii="Times New Roman" w:hAnsi="Times New Roman" w:cs="Times New Roman" w:eastAsia="Times New Roman" w:hint="default"/>
        </w:rPr>
        <w:t>30,000</w:t>
      </w:r>
      <w:r>
        <w:rPr>
          <w:rFonts w:ascii="Times New Roman" w:hAnsi="Times New Roman" w:cs="Times New Roman" w:eastAsia="Times New Roman" w:hint="default"/>
          <w:spacing w:val="10"/>
        </w:rPr>
        <w:t> </w:t>
      </w:r>
      <w:r>
        <w:rPr>
          <w:position w:val="-11"/>
        </w:rPr>
        <w:t>证</w:t>
      </w:r>
      <w:r>
        <w:rPr/>
      </w:r>
    </w:p>
    <w:p>
      <w:pPr>
        <w:pStyle w:val="BodyText"/>
        <w:tabs>
          <w:tab w:pos="2695" w:val="left" w:leader="none"/>
        </w:tabs>
        <w:spacing w:line="295" w:lineRule="exact"/>
        <w:ind w:left="829" w:right="0"/>
        <w:jc w:val="left"/>
      </w:pPr>
      <w:r>
        <w:rPr/>
        <w:br w:type="column"/>
      </w:r>
      <w:r>
        <w:rPr/>
        <w:t>届满之次日</w:t>
      </w:r>
      <w:r>
        <w:rPr>
          <w:spacing w:val="69"/>
        </w:rPr>
        <w:t> </w:t>
      </w:r>
      <w:r>
        <w:rPr>
          <w:position w:val="12"/>
        </w:rPr>
        <w:t>否</w:t>
        <w:tab/>
        <w:t>是</w:t>
      </w:r>
      <w:r>
        <w:rPr/>
      </w:r>
    </w:p>
    <w:p>
      <w:pPr>
        <w:pStyle w:val="BodyText"/>
        <w:spacing w:line="234" w:lineRule="exact"/>
        <w:ind w:left="829" w:right="0"/>
        <w:jc w:val="left"/>
      </w:pPr>
      <w:r>
        <w:rPr/>
        <w:t>起两年</w:t>
      </w:r>
    </w:p>
    <w:p>
      <w:pPr>
        <w:pStyle w:val="BodyText"/>
        <w:spacing w:line="173" w:lineRule="exact" w:before="87"/>
        <w:ind w:left="829"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p>
    <w:p>
      <w:pPr>
        <w:spacing w:after="0" w:line="173" w:lineRule="exact"/>
        <w:jc w:val="left"/>
        <w:sectPr>
          <w:type w:val="continuous"/>
          <w:pgSz w:w="11910" w:h="16840"/>
          <w:pgMar w:top="1580" w:bottom="700" w:left="980" w:right="0"/>
          <w:cols w:num="2" w:equalWidth="0">
            <w:col w:w="6329" w:space="40"/>
            <w:col w:w="4561"/>
          </w:cols>
        </w:sectPr>
      </w:pPr>
    </w:p>
    <w:p>
      <w:pPr>
        <w:pStyle w:val="BodyText"/>
        <w:tabs>
          <w:tab w:pos="1288" w:val="left" w:leader="none"/>
        </w:tabs>
        <w:spacing w:line="116" w:lineRule="exact"/>
        <w:ind w:right="-17"/>
        <w:jc w:val="left"/>
        <w:rPr>
          <w:rFonts w:ascii="Times New Roman" w:hAnsi="Times New Roman" w:cs="Times New Roman" w:eastAsia="Times New Roman" w:hint="default"/>
        </w:rPr>
      </w:pPr>
      <w:r>
        <w:rPr>
          <w:position w:val="-11"/>
        </w:rPr>
        <w:t>神码深圳</w:t>
        <w:tab/>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53"/>
        </w:rPr>
        <w:t> </w:t>
      </w:r>
      <w:r>
        <w:rPr>
          <w:rFonts w:ascii="Times New Roman" w:hAnsi="Times New Roman" w:cs="Times New Roman" w:eastAsia="Times New Roman" w:hint="default"/>
        </w:rPr>
        <w:t>01</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19</w:t>
      </w:r>
    </w:p>
    <w:p>
      <w:pPr>
        <w:pStyle w:val="BodyText"/>
        <w:spacing w:line="116" w:lineRule="exact"/>
        <w:ind w:right="-17"/>
        <w:jc w:val="left"/>
        <w:rPr>
          <w:rFonts w:ascii="Times New Roman" w:hAnsi="Times New Roman" w:cs="Times New Roman" w:eastAsia="Times New Roman" w:hint="default"/>
        </w:rPr>
      </w:pPr>
      <w:r>
        <w:rPr/>
        <w:br w:type="column"/>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01</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17</w:t>
      </w:r>
    </w:p>
    <w:p>
      <w:pPr>
        <w:pStyle w:val="BodyText"/>
        <w:spacing w:line="116" w:lineRule="exact"/>
        <w:ind w:left="153" w:right="0"/>
        <w:jc w:val="left"/>
      </w:pPr>
      <w:r>
        <w:rPr/>
        <w:br w:type="column"/>
      </w:r>
      <w:r>
        <w:rPr/>
        <w:t>连带责任保</w:t>
      </w:r>
    </w:p>
    <w:p>
      <w:pPr>
        <w:spacing w:after="0" w:line="116" w:lineRule="exact"/>
        <w:jc w:val="left"/>
        <w:sectPr>
          <w:type w:val="continuous"/>
          <w:pgSz w:w="11910" w:h="16840"/>
          <w:pgMar w:top="1580" w:bottom="700" w:left="980" w:right="0"/>
          <w:cols w:num="3" w:equalWidth="0">
            <w:col w:w="2521" w:space="1084"/>
            <w:col w:w="1410" w:space="979"/>
            <w:col w:w="4936"/>
          </w:cols>
        </w:sectPr>
      </w:pPr>
    </w:p>
    <w:p>
      <w:pPr>
        <w:pStyle w:val="BodyText"/>
        <w:tabs>
          <w:tab w:pos="3208" w:val="left" w:leader="none"/>
          <w:tab w:pos="6002" w:val="left" w:leader="none"/>
        </w:tabs>
        <w:spacing w:line="298" w:lineRule="exact"/>
        <w:ind w:left="1288" w:right="-20"/>
        <w:jc w:val="left"/>
      </w:pPr>
      <w:r>
        <w:rPr>
          <w:position w:val="-11"/>
        </w:rPr>
        <w:t>日</w:t>
        <w:tab/>
      </w:r>
      <w:r>
        <w:rPr>
          <w:rFonts w:ascii="Times New Roman" w:hAnsi="Times New Roman" w:cs="Times New Roman" w:eastAsia="Times New Roman" w:hint="default"/>
        </w:rPr>
        <w:t>70,000</w:t>
      </w:r>
      <w:r>
        <w:rPr>
          <w:rFonts w:ascii="Times New Roman" w:hAnsi="Times New Roman" w:cs="Times New Roman" w:eastAsia="Times New Roman" w:hint="default"/>
          <w:spacing w:val="10"/>
        </w:rPr>
        <w:t> </w:t>
      </w:r>
      <w:r>
        <w:rPr>
          <w:position w:val="-11"/>
        </w:rPr>
        <w:t>日</w:t>
        <w:tab/>
      </w:r>
      <w:r>
        <w:rPr>
          <w:rFonts w:ascii="Times New Roman" w:hAnsi="Times New Roman" w:cs="Times New Roman" w:eastAsia="Times New Roman" w:hint="default"/>
        </w:rPr>
        <w:t>0</w:t>
      </w:r>
      <w:r>
        <w:rPr>
          <w:rFonts w:ascii="Times New Roman" w:hAnsi="Times New Roman" w:cs="Times New Roman" w:eastAsia="Times New Roman" w:hint="default"/>
          <w:spacing w:val="11"/>
        </w:rPr>
        <w:t> </w:t>
      </w:r>
      <w:r>
        <w:rPr>
          <w:position w:val="-11"/>
        </w:rPr>
        <w:t>证</w:t>
      </w:r>
      <w:r>
        <w:rPr/>
      </w:r>
    </w:p>
    <w:p>
      <w:pPr>
        <w:pStyle w:val="BodyText"/>
        <w:tabs>
          <w:tab w:pos="2695" w:val="left" w:leader="none"/>
        </w:tabs>
        <w:spacing w:line="187" w:lineRule="exact"/>
        <w:ind w:left="829" w:right="0"/>
        <w:jc w:val="left"/>
      </w:pPr>
      <w:r>
        <w:rPr/>
        <w:br w:type="column"/>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5"/>
        </w:rPr>
        <w:t> </w:t>
      </w:r>
      <w:r>
        <w:rPr/>
        <w:t>是</w:t>
        <w:tab/>
        <w:t>是</w:t>
      </w:r>
    </w:p>
    <w:p>
      <w:pPr>
        <w:pStyle w:val="BodyText"/>
        <w:spacing w:line="241" w:lineRule="exact"/>
        <w:ind w:left="829" w:right="0"/>
        <w:jc w:val="left"/>
      </w:pP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pStyle w:val="BodyText"/>
        <w:spacing w:line="172" w:lineRule="exact" w:before="73"/>
        <w:ind w:left="829" w:right="0"/>
        <w:jc w:val="left"/>
      </w:pPr>
      <w:r>
        <w:rPr/>
        <w:t>履行债务期</w:t>
      </w:r>
    </w:p>
    <w:p>
      <w:pPr>
        <w:spacing w:after="0" w:line="172" w:lineRule="exact"/>
        <w:jc w:val="left"/>
        <w:sectPr>
          <w:type w:val="continuous"/>
          <w:pgSz w:w="11910" w:h="16840"/>
          <w:pgMar w:top="1580" w:bottom="700" w:left="980" w:right="0"/>
          <w:cols w:num="2" w:equalWidth="0">
            <w:col w:w="6329" w:space="40"/>
            <w:col w:w="4561"/>
          </w:cols>
        </w:sectPr>
      </w:pPr>
    </w:p>
    <w:p>
      <w:pPr>
        <w:pStyle w:val="BodyText"/>
        <w:tabs>
          <w:tab w:pos="1288" w:val="left" w:leader="none"/>
        </w:tabs>
        <w:spacing w:line="118" w:lineRule="exact"/>
        <w:ind w:right="-17"/>
        <w:jc w:val="left"/>
        <w:rPr>
          <w:rFonts w:ascii="Times New Roman" w:hAnsi="Times New Roman" w:cs="Times New Roman" w:eastAsia="Times New Roman" w:hint="default"/>
        </w:rPr>
      </w:pPr>
      <w:r>
        <w:rPr>
          <w:position w:val="-11"/>
        </w:rPr>
        <w:t>神码北京</w:t>
        <w:tab/>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53"/>
        </w:rPr>
        <w:t> </w:t>
      </w:r>
      <w:r>
        <w:rPr>
          <w:rFonts w:ascii="Times New Roman" w:hAnsi="Times New Roman" w:cs="Times New Roman" w:eastAsia="Times New Roman" w:hint="default"/>
        </w:rPr>
        <w:t>07</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13</w:t>
      </w:r>
    </w:p>
    <w:p>
      <w:pPr>
        <w:pStyle w:val="BodyText"/>
        <w:spacing w:line="118" w:lineRule="exact"/>
        <w:ind w:right="-17"/>
        <w:jc w:val="left"/>
        <w:rPr>
          <w:rFonts w:ascii="Times New Roman" w:hAnsi="Times New Roman" w:cs="Times New Roman" w:eastAsia="Times New Roman" w:hint="default"/>
        </w:rPr>
      </w:pPr>
      <w:r>
        <w:rPr/>
        <w:br w:type="column"/>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06</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29</w:t>
      </w:r>
    </w:p>
    <w:p>
      <w:pPr>
        <w:pStyle w:val="BodyText"/>
        <w:spacing w:line="118" w:lineRule="exact"/>
        <w:ind w:left="153" w:right="0"/>
        <w:jc w:val="left"/>
      </w:pPr>
      <w:r>
        <w:rPr/>
        <w:br w:type="column"/>
      </w:r>
      <w:r>
        <w:rPr/>
        <w:t>连带责任保</w:t>
      </w:r>
    </w:p>
    <w:p>
      <w:pPr>
        <w:spacing w:after="0" w:line="118" w:lineRule="exact"/>
        <w:jc w:val="left"/>
        <w:sectPr>
          <w:type w:val="continuous"/>
          <w:pgSz w:w="11910" w:h="16840"/>
          <w:pgMar w:top="1580" w:bottom="700" w:left="980" w:right="0"/>
          <w:cols w:num="3" w:equalWidth="0">
            <w:col w:w="2521" w:space="1084"/>
            <w:col w:w="1410" w:space="979"/>
            <w:col w:w="4936"/>
          </w:cols>
        </w:sectPr>
      </w:pPr>
    </w:p>
    <w:p>
      <w:pPr>
        <w:pStyle w:val="BodyText"/>
        <w:tabs>
          <w:tab w:pos="3208" w:val="left" w:leader="none"/>
          <w:tab w:pos="6002" w:val="left" w:leader="none"/>
        </w:tabs>
        <w:spacing w:line="298" w:lineRule="exact"/>
        <w:ind w:left="1288" w:right="-20"/>
        <w:jc w:val="left"/>
      </w:pPr>
      <w:r>
        <w:rPr>
          <w:position w:val="-11"/>
        </w:rPr>
        <w:t>日</w:t>
        <w:tab/>
      </w:r>
      <w:r>
        <w:rPr>
          <w:rFonts w:ascii="Times New Roman" w:hAnsi="Times New Roman" w:cs="Times New Roman" w:eastAsia="Times New Roman" w:hint="default"/>
        </w:rPr>
        <w:t>15,000</w:t>
      </w:r>
      <w:r>
        <w:rPr>
          <w:rFonts w:ascii="Times New Roman" w:hAnsi="Times New Roman" w:cs="Times New Roman" w:eastAsia="Times New Roman" w:hint="default"/>
          <w:spacing w:val="10"/>
        </w:rPr>
        <w:t> </w:t>
      </w:r>
      <w:r>
        <w:rPr>
          <w:position w:val="-11"/>
        </w:rPr>
        <w:t>日</w:t>
        <w:tab/>
      </w:r>
      <w:r>
        <w:rPr>
          <w:rFonts w:ascii="Times New Roman" w:hAnsi="Times New Roman" w:cs="Times New Roman" w:eastAsia="Times New Roman" w:hint="default"/>
        </w:rPr>
        <w:t>0</w:t>
      </w:r>
      <w:r>
        <w:rPr>
          <w:rFonts w:ascii="Times New Roman" w:hAnsi="Times New Roman" w:cs="Times New Roman" w:eastAsia="Times New Roman" w:hint="default"/>
          <w:spacing w:val="11"/>
        </w:rPr>
        <w:t> </w:t>
      </w:r>
      <w:r>
        <w:rPr>
          <w:position w:val="-11"/>
        </w:rPr>
        <w:t>证</w:t>
      </w:r>
      <w:r>
        <w:rPr/>
      </w:r>
    </w:p>
    <w:p>
      <w:pPr>
        <w:pStyle w:val="BodyText"/>
        <w:tabs>
          <w:tab w:pos="2695" w:val="left" w:leader="none"/>
        </w:tabs>
        <w:spacing w:line="179" w:lineRule="exact"/>
        <w:ind w:left="829" w:right="0"/>
        <w:jc w:val="left"/>
      </w:pPr>
      <w:r>
        <w:rPr/>
        <w:br w:type="column"/>
      </w:r>
      <w:r>
        <w:rPr/>
        <w:t>限届满之日</w:t>
      </w:r>
      <w:r>
        <w:rPr>
          <w:spacing w:val="69"/>
        </w:rPr>
        <w:t> </w:t>
      </w:r>
      <w:r>
        <w:rPr/>
        <w:t>否</w:t>
        <w:tab/>
        <w:t>是</w:t>
      </w:r>
    </w:p>
    <w:p>
      <w:pPr>
        <w:pStyle w:val="BodyText"/>
        <w:spacing w:line="234" w:lineRule="exact"/>
        <w:ind w:left="829" w:right="0"/>
        <w:jc w:val="left"/>
      </w:pPr>
      <w:r>
        <w:rPr/>
        <w:t>起两年</w:t>
      </w:r>
    </w:p>
    <w:p>
      <w:pPr>
        <w:pStyle w:val="BodyText"/>
        <w:spacing w:line="172" w:lineRule="exact" w:before="88"/>
        <w:ind w:left="829" w:right="0"/>
        <w:jc w:val="left"/>
      </w:pPr>
      <w:r>
        <w:rPr/>
        <w:t>履行债务期</w:t>
      </w:r>
    </w:p>
    <w:p>
      <w:pPr>
        <w:spacing w:after="0" w:line="172" w:lineRule="exact"/>
        <w:jc w:val="left"/>
        <w:sectPr>
          <w:type w:val="continuous"/>
          <w:pgSz w:w="11910" w:h="16840"/>
          <w:pgMar w:top="1580" w:bottom="700" w:left="980" w:right="0"/>
          <w:cols w:num="2" w:equalWidth="0">
            <w:col w:w="6329" w:space="40"/>
            <w:col w:w="4561"/>
          </w:cols>
        </w:sectPr>
      </w:pPr>
    </w:p>
    <w:p>
      <w:pPr>
        <w:pStyle w:val="BodyText"/>
        <w:tabs>
          <w:tab w:pos="1288" w:val="left" w:leader="none"/>
        </w:tabs>
        <w:spacing w:line="116" w:lineRule="exact"/>
        <w:ind w:right="-17"/>
        <w:jc w:val="left"/>
        <w:rPr>
          <w:rFonts w:ascii="Times New Roman" w:hAnsi="Times New Roman" w:cs="Times New Roman" w:eastAsia="Times New Roman" w:hint="default"/>
        </w:rPr>
      </w:pPr>
      <w:r>
        <w:rPr>
          <w:position w:val="-11"/>
        </w:rPr>
        <w:t>神码深圳</w:t>
        <w:tab/>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53"/>
        </w:rPr>
        <w:t> </w:t>
      </w:r>
      <w:r>
        <w:rPr>
          <w:rFonts w:ascii="Times New Roman" w:hAnsi="Times New Roman" w:cs="Times New Roman" w:eastAsia="Times New Roman" w:hint="default"/>
        </w:rPr>
        <w:t>04</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12</w:t>
      </w:r>
    </w:p>
    <w:p>
      <w:pPr>
        <w:pStyle w:val="BodyText"/>
        <w:spacing w:line="116" w:lineRule="exact"/>
        <w:ind w:right="-17"/>
        <w:jc w:val="left"/>
        <w:rPr>
          <w:rFonts w:ascii="Times New Roman" w:hAnsi="Times New Roman" w:cs="Times New Roman" w:eastAsia="Times New Roman" w:hint="default"/>
        </w:rPr>
      </w:pPr>
      <w:r>
        <w:rPr/>
        <w:br w:type="column"/>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04</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08</w:t>
      </w:r>
    </w:p>
    <w:p>
      <w:pPr>
        <w:pStyle w:val="BodyText"/>
        <w:spacing w:line="116" w:lineRule="exact"/>
        <w:ind w:left="153" w:right="0"/>
        <w:jc w:val="left"/>
      </w:pPr>
      <w:r>
        <w:rPr/>
        <w:br w:type="column"/>
      </w:r>
      <w:r>
        <w:rPr/>
        <w:t>连带责任保</w:t>
      </w:r>
    </w:p>
    <w:p>
      <w:pPr>
        <w:spacing w:after="0" w:line="116" w:lineRule="exact"/>
        <w:jc w:val="left"/>
        <w:sectPr>
          <w:type w:val="continuous"/>
          <w:pgSz w:w="11910" w:h="16840"/>
          <w:pgMar w:top="1580" w:bottom="700" w:left="980" w:right="0"/>
          <w:cols w:num="3" w:equalWidth="0">
            <w:col w:w="2521" w:space="1084"/>
            <w:col w:w="1410" w:space="979"/>
            <w:col w:w="4936"/>
          </w:cols>
        </w:sectPr>
      </w:pPr>
    </w:p>
    <w:p>
      <w:pPr>
        <w:pStyle w:val="BodyText"/>
        <w:tabs>
          <w:tab w:pos="3208" w:val="left" w:leader="none"/>
          <w:tab w:pos="6002" w:val="left" w:leader="none"/>
        </w:tabs>
        <w:spacing w:line="298" w:lineRule="exact"/>
        <w:ind w:left="1288" w:right="-20"/>
        <w:jc w:val="left"/>
      </w:pPr>
      <w:r>
        <w:rPr>
          <w:position w:val="-11"/>
        </w:rPr>
        <w:t>日</w:t>
        <w:tab/>
      </w:r>
      <w:r>
        <w:rPr>
          <w:rFonts w:ascii="Times New Roman" w:hAnsi="Times New Roman" w:cs="Times New Roman" w:eastAsia="Times New Roman" w:hint="default"/>
        </w:rPr>
        <w:t>10,000</w:t>
      </w:r>
      <w:r>
        <w:rPr>
          <w:rFonts w:ascii="Times New Roman" w:hAnsi="Times New Roman" w:cs="Times New Roman" w:eastAsia="Times New Roman" w:hint="default"/>
          <w:spacing w:val="10"/>
        </w:rPr>
        <w:t> </w:t>
      </w:r>
      <w:r>
        <w:rPr>
          <w:position w:val="-11"/>
        </w:rPr>
        <w:t>日</w:t>
        <w:tab/>
      </w:r>
      <w:r>
        <w:rPr>
          <w:rFonts w:ascii="Times New Roman" w:hAnsi="Times New Roman" w:cs="Times New Roman" w:eastAsia="Times New Roman" w:hint="default"/>
        </w:rPr>
        <w:t>0</w:t>
      </w:r>
      <w:r>
        <w:rPr>
          <w:rFonts w:ascii="Times New Roman" w:hAnsi="Times New Roman" w:cs="Times New Roman" w:eastAsia="Times New Roman" w:hint="default"/>
          <w:spacing w:val="11"/>
        </w:rPr>
        <w:t> </w:t>
      </w:r>
      <w:r>
        <w:rPr>
          <w:position w:val="-11"/>
        </w:rPr>
        <w:t>证</w:t>
      </w:r>
      <w:r>
        <w:rPr/>
      </w:r>
    </w:p>
    <w:p>
      <w:pPr>
        <w:pStyle w:val="BodyText"/>
        <w:tabs>
          <w:tab w:pos="2695" w:val="left" w:leader="none"/>
        </w:tabs>
        <w:spacing w:line="180" w:lineRule="exact"/>
        <w:ind w:left="829" w:right="0"/>
        <w:jc w:val="left"/>
      </w:pPr>
      <w:r>
        <w:rPr/>
        <w:br w:type="column"/>
      </w:r>
      <w:r>
        <w:rPr/>
        <w:t>限届满之日</w:t>
      </w:r>
      <w:r>
        <w:rPr>
          <w:spacing w:val="69"/>
        </w:rPr>
        <w:t> </w:t>
      </w:r>
      <w:r>
        <w:rPr/>
        <w:t>否</w:t>
        <w:tab/>
        <w:t>是</w:t>
      </w:r>
    </w:p>
    <w:p>
      <w:pPr>
        <w:pStyle w:val="BodyText"/>
        <w:spacing w:line="234" w:lineRule="exact"/>
        <w:ind w:left="829" w:right="0"/>
        <w:jc w:val="left"/>
      </w:pPr>
      <w:r>
        <w:rPr/>
        <w:t>起两年</w:t>
      </w:r>
    </w:p>
    <w:p>
      <w:pPr>
        <w:pStyle w:val="BodyText"/>
        <w:spacing w:line="240" w:lineRule="auto" w:before="87"/>
        <w:ind w:left="829" w:right="0"/>
        <w:jc w:val="left"/>
      </w:pPr>
      <w:r>
        <w:rPr/>
        <w:t>主合同项下</w:t>
      </w:r>
    </w:p>
    <w:p>
      <w:pPr>
        <w:spacing w:after="0" w:line="240" w:lineRule="auto"/>
        <w:jc w:val="left"/>
        <w:sectPr>
          <w:type w:val="continuous"/>
          <w:pgSz w:w="11910" w:h="16840"/>
          <w:pgMar w:top="1580" w:bottom="700" w:left="980" w:right="0"/>
          <w:cols w:num="2" w:equalWidth="0">
            <w:col w:w="6329" w:space="40"/>
            <w:col w:w="4561"/>
          </w:cols>
        </w:sectPr>
      </w:pPr>
    </w:p>
    <w:p>
      <w:pPr>
        <w:pStyle w:val="BodyText"/>
        <w:tabs>
          <w:tab w:pos="1288" w:val="left" w:leader="none"/>
        </w:tabs>
        <w:spacing w:line="172" w:lineRule="exact"/>
        <w:ind w:right="-17"/>
        <w:jc w:val="left"/>
        <w:rPr>
          <w:rFonts w:ascii="Times New Roman" w:hAnsi="Times New Roman" w:cs="Times New Roman" w:eastAsia="Times New Roman" w:hint="default"/>
        </w:rPr>
      </w:pPr>
      <w:r>
        <w:rPr>
          <w:position w:val="-11"/>
        </w:rPr>
        <w:t>神码北京</w:t>
        <w:tab/>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53"/>
        </w:rPr>
        <w:t> </w:t>
      </w:r>
      <w:r>
        <w:rPr>
          <w:rFonts w:ascii="Times New Roman" w:hAnsi="Times New Roman" w:cs="Times New Roman" w:eastAsia="Times New Roman" w:hint="default"/>
        </w:rPr>
        <w:t>06</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15</w:t>
      </w:r>
    </w:p>
    <w:p>
      <w:pPr>
        <w:pStyle w:val="BodyText"/>
        <w:spacing w:line="172" w:lineRule="exact"/>
        <w:ind w:right="-17"/>
        <w:jc w:val="left"/>
        <w:rPr>
          <w:rFonts w:ascii="Times New Roman" w:hAnsi="Times New Roman" w:cs="Times New Roman" w:eastAsia="Times New Roman" w:hint="default"/>
        </w:rPr>
      </w:pPr>
      <w:r>
        <w:rPr/>
        <w:br w:type="column"/>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06</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06</w:t>
      </w:r>
    </w:p>
    <w:p>
      <w:pPr>
        <w:pStyle w:val="BodyText"/>
        <w:spacing w:line="172" w:lineRule="exact"/>
        <w:ind w:left="153" w:right="-19"/>
        <w:jc w:val="left"/>
      </w:pPr>
      <w:r>
        <w:rPr/>
        <w:br w:type="column"/>
      </w:r>
      <w:r>
        <w:rPr/>
        <w:t>连带责任保</w:t>
      </w:r>
    </w:p>
    <w:p>
      <w:pPr>
        <w:pStyle w:val="BodyText"/>
        <w:spacing w:line="172" w:lineRule="exact"/>
        <w:ind w:left="109" w:right="0"/>
        <w:jc w:val="left"/>
      </w:pPr>
      <w:r>
        <w:rPr/>
        <w:br w:type="column"/>
      </w:r>
      <w:r>
        <w:rPr/>
        <w:t>的债务履行</w:t>
      </w:r>
    </w:p>
    <w:p>
      <w:pPr>
        <w:spacing w:after="0" w:line="172" w:lineRule="exact"/>
        <w:jc w:val="left"/>
        <w:sectPr>
          <w:type w:val="continuous"/>
          <w:pgSz w:w="11910" w:h="16840"/>
          <w:pgMar w:top="1580" w:bottom="700" w:left="980" w:right="0"/>
          <w:cols w:num="4" w:equalWidth="0">
            <w:col w:w="2521" w:space="1084"/>
            <w:col w:w="1410" w:space="979"/>
            <w:col w:w="1055" w:space="40"/>
            <w:col w:w="3841"/>
          </w:cols>
        </w:sectPr>
      </w:pPr>
    </w:p>
    <w:p>
      <w:pPr>
        <w:pStyle w:val="BodyText"/>
        <w:tabs>
          <w:tab w:pos="3208" w:val="left" w:leader="none"/>
          <w:tab w:pos="5597" w:val="left" w:leader="none"/>
        </w:tabs>
        <w:spacing w:line="296" w:lineRule="exact"/>
        <w:ind w:left="1288" w:right="-19"/>
        <w:jc w:val="left"/>
      </w:pPr>
      <w:r>
        <w:rPr>
          <w:position w:val="-11"/>
        </w:rPr>
        <w:t>日</w:t>
        <w:tab/>
      </w:r>
      <w:r>
        <w:rPr>
          <w:rFonts w:ascii="Times New Roman" w:hAnsi="Times New Roman" w:cs="Times New Roman" w:eastAsia="Times New Roman" w:hint="default"/>
        </w:rPr>
        <w:t>15,000</w:t>
      </w:r>
      <w:r>
        <w:rPr>
          <w:rFonts w:ascii="Times New Roman" w:hAnsi="Times New Roman" w:cs="Times New Roman" w:eastAsia="Times New Roman" w:hint="default"/>
          <w:spacing w:val="10"/>
        </w:rPr>
        <w:t> </w:t>
      </w:r>
      <w:r>
        <w:rPr>
          <w:position w:val="-11"/>
        </w:rPr>
        <w:t>日</w:t>
        <w:tab/>
      </w:r>
      <w:r>
        <w:rPr>
          <w:rFonts w:ascii="Times New Roman" w:hAnsi="Times New Roman" w:cs="Times New Roman" w:eastAsia="Times New Roman" w:hint="default"/>
        </w:rPr>
        <w:t>15,000</w:t>
      </w:r>
      <w:r>
        <w:rPr>
          <w:rFonts w:ascii="Times New Roman" w:hAnsi="Times New Roman" w:cs="Times New Roman" w:eastAsia="Times New Roman" w:hint="default"/>
          <w:spacing w:val="10"/>
        </w:rPr>
        <w:t> </w:t>
      </w:r>
      <w:r>
        <w:rPr>
          <w:position w:val="-11"/>
        </w:rPr>
        <w:t>证</w:t>
      </w:r>
      <w:r>
        <w:rPr/>
      </w:r>
    </w:p>
    <w:p>
      <w:pPr>
        <w:pStyle w:val="BodyText"/>
        <w:tabs>
          <w:tab w:pos="2695" w:val="left" w:leader="none"/>
        </w:tabs>
        <w:spacing w:line="295" w:lineRule="exact"/>
        <w:ind w:left="829" w:right="0"/>
        <w:jc w:val="left"/>
      </w:pPr>
      <w:r>
        <w:rPr/>
        <w:br w:type="column"/>
      </w:r>
      <w:r>
        <w:rPr/>
        <w:t>期限届满日</w:t>
      </w:r>
      <w:r>
        <w:rPr>
          <w:spacing w:val="69"/>
        </w:rPr>
        <w:t> </w:t>
      </w:r>
      <w:r>
        <w:rPr>
          <w:position w:val="12"/>
        </w:rPr>
        <w:t>否</w:t>
        <w:tab/>
        <w:t>是</w:t>
      </w:r>
      <w:r>
        <w:rPr/>
      </w:r>
    </w:p>
    <w:p>
      <w:pPr>
        <w:pStyle w:val="BodyText"/>
        <w:spacing w:line="234" w:lineRule="exact"/>
        <w:ind w:left="829" w:right="0"/>
        <w:jc w:val="left"/>
      </w:pPr>
      <w:r>
        <w:rPr/>
        <w:t>后三年</w:t>
      </w:r>
    </w:p>
    <w:p>
      <w:pPr>
        <w:pStyle w:val="BodyText"/>
        <w:spacing w:line="240" w:lineRule="auto" w:before="87"/>
        <w:ind w:left="829" w:right="0"/>
        <w:jc w:val="left"/>
      </w:pPr>
      <w:r>
        <w:rPr/>
        <w:t>主合同项下</w:t>
      </w:r>
    </w:p>
    <w:p>
      <w:pPr>
        <w:spacing w:after="0" w:line="240" w:lineRule="auto"/>
        <w:jc w:val="left"/>
        <w:sectPr>
          <w:type w:val="continuous"/>
          <w:pgSz w:w="11910" w:h="16840"/>
          <w:pgMar w:top="1580" w:bottom="700" w:left="980" w:right="0"/>
          <w:cols w:num="2" w:equalWidth="0">
            <w:col w:w="6329" w:space="40"/>
            <w:col w:w="4561"/>
          </w:cols>
        </w:sectPr>
      </w:pPr>
    </w:p>
    <w:p>
      <w:pPr>
        <w:pStyle w:val="BodyText"/>
        <w:tabs>
          <w:tab w:pos="1288" w:val="left" w:leader="none"/>
        </w:tabs>
        <w:spacing w:line="172" w:lineRule="exact"/>
        <w:ind w:right="-17"/>
        <w:jc w:val="left"/>
        <w:rPr>
          <w:rFonts w:ascii="Times New Roman" w:hAnsi="Times New Roman" w:cs="Times New Roman" w:eastAsia="Times New Roman" w:hint="default"/>
        </w:rPr>
      </w:pPr>
      <w:r>
        <w:rPr>
          <w:position w:val="-11"/>
        </w:rPr>
        <w:t>神码北京</w:t>
        <w:tab/>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53"/>
        </w:rPr>
        <w:t> </w:t>
      </w:r>
      <w:r>
        <w:rPr>
          <w:rFonts w:ascii="Times New Roman" w:hAnsi="Times New Roman" w:cs="Times New Roman" w:eastAsia="Times New Roman" w:hint="default"/>
        </w:rPr>
        <w:t>01</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19</w:t>
      </w:r>
    </w:p>
    <w:p>
      <w:pPr>
        <w:pStyle w:val="BodyText"/>
        <w:spacing w:line="172" w:lineRule="exact"/>
        <w:ind w:right="-17"/>
        <w:jc w:val="left"/>
        <w:rPr>
          <w:rFonts w:ascii="Times New Roman" w:hAnsi="Times New Roman" w:cs="Times New Roman" w:eastAsia="Times New Roman" w:hint="default"/>
        </w:rPr>
      </w:pPr>
      <w:r>
        <w:rPr/>
        <w:br w:type="column"/>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01</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18</w:t>
      </w:r>
    </w:p>
    <w:p>
      <w:pPr>
        <w:pStyle w:val="BodyText"/>
        <w:spacing w:line="172" w:lineRule="exact"/>
        <w:ind w:left="153" w:right="-19"/>
        <w:jc w:val="left"/>
      </w:pPr>
      <w:r>
        <w:rPr/>
        <w:br w:type="column"/>
      </w:r>
      <w:r>
        <w:rPr/>
        <w:t>连带责任保</w:t>
      </w:r>
    </w:p>
    <w:p>
      <w:pPr>
        <w:pStyle w:val="BodyText"/>
        <w:spacing w:line="172" w:lineRule="exact"/>
        <w:ind w:left="109" w:right="0"/>
        <w:jc w:val="left"/>
      </w:pPr>
      <w:r>
        <w:rPr/>
        <w:br w:type="column"/>
      </w:r>
      <w:r>
        <w:rPr/>
        <w:t>债务履行期</w:t>
      </w:r>
    </w:p>
    <w:p>
      <w:pPr>
        <w:spacing w:after="0" w:line="172" w:lineRule="exact"/>
        <w:jc w:val="left"/>
        <w:sectPr>
          <w:type w:val="continuous"/>
          <w:pgSz w:w="11910" w:h="16840"/>
          <w:pgMar w:top="1580" w:bottom="700" w:left="980" w:right="0"/>
          <w:cols w:num="4" w:equalWidth="0">
            <w:col w:w="2521" w:space="1084"/>
            <w:col w:w="1410" w:space="979"/>
            <w:col w:w="1055" w:space="40"/>
            <w:col w:w="3841"/>
          </w:cols>
        </w:sectPr>
      </w:pPr>
    </w:p>
    <w:p>
      <w:pPr>
        <w:pStyle w:val="BodyText"/>
        <w:tabs>
          <w:tab w:pos="3208" w:val="left" w:leader="none"/>
          <w:tab w:pos="5597" w:val="left" w:leader="none"/>
        </w:tabs>
        <w:spacing w:line="296" w:lineRule="exact"/>
        <w:ind w:left="1288" w:right="-19"/>
        <w:jc w:val="left"/>
      </w:pPr>
      <w:r>
        <w:rPr>
          <w:position w:val="-11"/>
        </w:rPr>
        <w:t>日</w:t>
        <w:tab/>
      </w:r>
      <w:r>
        <w:rPr>
          <w:rFonts w:ascii="Times New Roman" w:hAnsi="Times New Roman" w:cs="Times New Roman" w:eastAsia="Times New Roman" w:hint="default"/>
        </w:rPr>
        <w:t>20,000</w:t>
      </w:r>
      <w:r>
        <w:rPr>
          <w:rFonts w:ascii="Times New Roman" w:hAnsi="Times New Roman" w:cs="Times New Roman" w:eastAsia="Times New Roman" w:hint="default"/>
          <w:spacing w:val="10"/>
        </w:rPr>
        <w:t> </w:t>
      </w:r>
      <w:r>
        <w:rPr>
          <w:position w:val="-11"/>
        </w:rPr>
        <w:t>日</w:t>
        <w:tab/>
      </w:r>
      <w:r>
        <w:rPr>
          <w:rFonts w:ascii="Times New Roman" w:hAnsi="Times New Roman" w:cs="Times New Roman" w:eastAsia="Times New Roman" w:hint="default"/>
        </w:rPr>
        <w:t>20,000</w:t>
      </w:r>
      <w:r>
        <w:rPr>
          <w:rFonts w:ascii="Times New Roman" w:hAnsi="Times New Roman" w:cs="Times New Roman" w:eastAsia="Times New Roman" w:hint="default"/>
          <w:spacing w:val="10"/>
        </w:rPr>
        <w:t> </w:t>
      </w:r>
      <w:r>
        <w:rPr>
          <w:position w:val="-11"/>
        </w:rPr>
        <w:t>证</w:t>
      </w:r>
      <w:r>
        <w:rPr/>
      </w:r>
    </w:p>
    <w:p>
      <w:pPr>
        <w:pStyle w:val="BodyText"/>
        <w:tabs>
          <w:tab w:pos="2695" w:val="left" w:leader="none"/>
        </w:tabs>
        <w:spacing w:line="295" w:lineRule="exact"/>
        <w:ind w:left="829" w:right="0"/>
        <w:jc w:val="left"/>
      </w:pPr>
      <w:r>
        <w:rPr/>
        <w:br w:type="column"/>
      </w:r>
      <w:r>
        <w:rPr/>
        <w:t>限届满之日</w:t>
      </w:r>
      <w:r>
        <w:rPr>
          <w:spacing w:val="69"/>
        </w:rPr>
        <w:t> </w:t>
      </w:r>
      <w:r>
        <w:rPr>
          <w:position w:val="12"/>
        </w:rPr>
        <w:t>否</w:t>
        <w:tab/>
        <w:t>是</w:t>
      </w:r>
      <w:r>
        <w:rPr/>
      </w:r>
    </w:p>
    <w:p>
      <w:pPr>
        <w:pStyle w:val="BodyText"/>
        <w:spacing w:line="234" w:lineRule="exact"/>
        <w:ind w:left="829" w:right="0"/>
        <w:jc w:val="left"/>
      </w:pPr>
      <w:r>
        <w:rPr/>
        <w:t>起两年</w:t>
      </w:r>
    </w:p>
    <w:p>
      <w:pPr>
        <w:pStyle w:val="BodyText"/>
        <w:spacing w:line="240" w:lineRule="auto" w:before="87"/>
        <w:ind w:left="829" w:right="0"/>
        <w:jc w:val="left"/>
      </w:pPr>
      <w:r>
        <w:rPr/>
        <w:t>主合同项下</w:t>
      </w:r>
    </w:p>
    <w:p>
      <w:pPr>
        <w:spacing w:after="0" w:line="240" w:lineRule="auto"/>
        <w:jc w:val="left"/>
        <w:sectPr>
          <w:type w:val="continuous"/>
          <w:pgSz w:w="11910" w:h="16840"/>
          <w:pgMar w:top="1580" w:bottom="700" w:left="980" w:right="0"/>
          <w:cols w:num="2" w:equalWidth="0">
            <w:col w:w="6329" w:space="40"/>
            <w:col w:w="4561"/>
          </w:cols>
        </w:sectPr>
      </w:pPr>
    </w:p>
    <w:p>
      <w:pPr>
        <w:pStyle w:val="BodyText"/>
        <w:tabs>
          <w:tab w:pos="1288" w:val="left" w:leader="none"/>
        </w:tabs>
        <w:spacing w:line="172" w:lineRule="exact"/>
        <w:ind w:right="-17"/>
        <w:jc w:val="left"/>
        <w:rPr>
          <w:rFonts w:ascii="Times New Roman" w:hAnsi="Times New Roman" w:cs="Times New Roman" w:eastAsia="Times New Roman" w:hint="default"/>
        </w:rPr>
      </w:pPr>
      <w:r>
        <w:rPr>
          <w:position w:val="-11"/>
        </w:rPr>
        <w:t>神码深圳</w:t>
        <w:tab/>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53"/>
        </w:rPr>
        <w:t> </w:t>
      </w:r>
      <w:r>
        <w:rPr>
          <w:rFonts w:ascii="Times New Roman" w:hAnsi="Times New Roman" w:cs="Times New Roman" w:eastAsia="Times New Roman" w:hint="default"/>
        </w:rPr>
        <w:t>06</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15</w:t>
      </w:r>
    </w:p>
    <w:p>
      <w:pPr>
        <w:pStyle w:val="BodyText"/>
        <w:spacing w:line="172" w:lineRule="exact"/>
        <w:ind w:right="-17"/>
        <w:jc w:val="left"/>
        <w:rPr>
          <w:rFonts w:ascii="Times New Roman" w:hAnsi="Times New Roman" w:cs="Times New Roman" w:eastAsia="Times New Roman" w:hint="default"/>
        </w:rPr>
      </w:pPr>
      <w:r>
        <w:rPr/>
        <w:br w:type="column"/>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06</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13</w:t>
      </w:r>
    </w:p>
    <w:p>
      <w:pPr>
        <w:pStyle w:val="BodyText"/>
        <w:spacing w:line="172" w:lineRule="exact"/>
        <w:ind w:left="153" w:right="-19"/>
        <w:jc w:val="left"/>
      </w:pPr>
      <w:r>
        <w:rPr/>
        <w:br w:type="column"/>
      </w:r>
      <w:r>
        <w:rPr/>
        <w:t>连带责任保</w:t>
      </w:r>
    </w:p>
    <w:p>
      <w:pPr>
        <w:pStyle w:val="BodyText"/>
        <w:spacing w:line="172" w:lineRule="exact"/>
        <w:ind w:left="109" w:right="0"/>
        <w:jc w:val="left"/>
      </w:pPr>
      <w:r>
        <w:rPr/>
        <w:br w:type="column"/>
      </w:r>
      <w:r>
        <w:rPr/>
        <w:t>债务履行期</w:t>
      </w:r>
    </w:p>
    <w:p>
      <w:pPr>
        <w:spacing w:after="0" w:line="172" w:lineRule="exact"/>
        <w:jc w:val="left"/>
        <w:sectPr>
          <w:type w:val="continuous"/>
          <w:pgSz w:w="11910" w:h="16840"/>
          <w:pgMar w:top="1580" w:bottom="700" w:left="980" w:right="0"/>
          <w:cols w:num="4" w:equalWidth="0">
            <w:col w:w="2521" w:space="1084"/>
            <w:col w:w="1410" w:space="979"/>
            <w:col w:w="1055" w:space="40"/>
            <w:col w:w="3841"/>
          </w:cols>
        </w:sectPr>
      </w:pPr>
    </w:p>
    <w:p>
      <w:pPr>
        <w:pStyle w:val="BodyText"/>
        <w:tabs>
          <w:tab w:pos="3208" w:val="left" w:leader="none"/>
          <w:tab w:pos="5597" w:val="left" w:leader="none"/>
        </w:tabs>
        <w:spacing w:line="296" w:lineRule="exact"/>
        <w:ind w:left="1288" w:right="-19"/>
        <w:jc w:val="left"/>
      </w:pPr>
      <w:r>
        <w:rPr>
          <w:position w:val="-11"/>
        </w:rPr>
        <w:t>日</w:t>
        <w:tab/>
      </w:r>
      <w:r>
        <w:rPr>
          <w:rFonts w:ascii="Times New Roman" w:hAnsi="Times New Roman" w:cs="Times New Roman" w:eastAsia="Times New Roman" w:hint="default"/>
        </w:rPr>
        <w:t>10,000</w:t>
      </w:r>
      <w:r>
        <w:rPr>
          <w:rFonts w:ascii="Times New Roman" w:hAnsi="Times New Roman" w:cs="Times New Roman" w:eastAsia="Times New Roman" w:hint="default"/>
          <w:spacing w:val="10"/>
        </w:rPr>
        <w:t> </w:t>
      </w:r>
      <w:r>
        <w:rPr>
          <w:position w:val="-11"/>
        </w:rPr>
        <w:t>日</w:t>
        <w:tab/>
      </w:r>
      <w:r>
        <w:rPr>
          <w:rFonts w:ascii="Times New Roman" w:hAnsi="Times New Roman" w:cs="Times New Roman" w:eastAsia="Times New Roman" w:hint="default"/>
        </w:rPr>
        <w:t>10,000</w:t>
      </w:r>
      <w:r>
        <w:rPr>
          <w:rFonts w:ascii="Times New Roman" w:hAnsi="Times New Roman" w:cs="Times New Roman" w:eastAsia="Times New Roman" w:hint="default"/>
          <w:spacing w:val="10"/>
        </w:rPr>
        <w:t> </w:t>
      </w:r>
      <w:r>
        <w:rPr>
          <w:position w:val="-11"/>
        </w:rPr>
        <w:t>证</w:t>
      </w:r>
      <w:r>
        <w:rPr/>
      </w:r>
    </w:p>
    <w:p>
      <w:pPr>
        <w:pStyle w:val="BodyText"/>
        <w:tabs>
          <w:tab w:pos="2695" w:val="left" w:leader="none"/>
        </w:tabs>
        <w:spacing w:line="295" w:lineRule="exact"/>
        <w:ind w:left="829" w:right="0"/>
        <w:jc w:val="left"/>
      </w:pPr>
      <w:r>
        <w:rPr/>
        <w:br w:type="column"/>
      </w:r>
      <w:r>
        <w:rPr/>
        <w:t>限届满之日</w:t>
      </w:r>
      <w:r>
        <w:rPr>
          <w:spacing w:val="69"/>
        </w:rPr>
        <w:t> </w:t>
      </w:r>
      <w:r>
        <w:rPr>
          <w:position w:val="12"/>
        </w:rPr>
        <w:t>否</w:t>
        <w:tab/>
        <w:t>是</w:t>
      </w:r>
      <w:r>
        <w:rPr/>
      </w:r>
    </w:p>
    <w:p>
      <w:pPr>
        <w:pStyle w:val="BodyText"/>
        <w:spacing w:line="234" w:lineRule="exact"/>
        <w:ind w:left="829" w:right="0"/>
        <w:jc w:val="left"/>
      </w:pPr>
      <w:r>
        <w:rPr/>
        <w:t>起两年</w:t>
      </w:r>
    </w:p>
    <w:p>
      <w:pPr>
        <w:pStyle w:val="BodyText"/>
        <w:spacing w:line="240" w:lineRule="auto" w:before="88"/>
        <w:ind w:left="829" w:right="0"/>
        <w:jc w:val="left"/>
      </w:pPr>
      <w:r>
        <w:rPr/>
        <w:t>主合同项下</w:t>
      </w:r>
    </w:p>
    <w:p>
      <w:pPr>
        <w:spacing w:after="0" w:line="240" w:lineRule="auto"/>
        <w:jc w:val="left"/>
        <w:sectPr>
          <w:type w:val="continuous"/>
          <w:pgSz w:w="11910" w:h="16840"/>
          <w:pgMar w:top="1580" w:bottom="700" w:left="980" w:right="0"/>
          <w:cols w:num="2" w:equalWidth="0">
            <w:col w:w="6329" w:space="40"/>
            <w:col w:w="4561"/>
          </w:cols>
        </w:sectPr>
      </w:pPr>
    </w:p>
    <w:p>
      <w:pPr>
        <w:pStyle w:val="BodyText"/>
        <w:tabs>
          <w:tab w:pos="1288" w:val="left" w:leader="none"/>
        </w:tabs>
        <w:spacing w:line="170" w:lineRule="exact"/>
        <w:ind w:right="-17"/>
        <w:jc w:val="left"/>
        <w:rPr>
          <w:rFonts w:ascii="Times New Roman" w:hAnsi="Times New Roman" w:cs="Times New Roman" w:eastAsia="Times New Roman" w:hint="default"/>
        </w:rPr>
      </w:pPr>
      <w:r>
        <w:rPr>
          <w:position w:val="-11"/>
        </w:rPr>
        <w:t>神码中国</w:t>
        <w:tab/>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53"/>
        </w:rPr>
        <w:t> </w:t>
      </w:r>
      <w:r>
        <w:rPr>
          <w:rFonts w:ascii="Times New Roman" w:hAnsi="Times New Roman" w:cs="Times New Roman" w:eastAsia="Times New Roman" w:hint="default"/>
        </w:rPr>
        <w:t>06</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15</w:t>
      </w:r>
    </w:p>
    <w:p>
      <w:pPr>
        <w:pStyle w:val="BodyText"/>
        <w:spacing w:line="170" w:lineRule="exact"/>
        <w:ind w:right="-17"/>
        <w:jc w:val="left"/>
        <w:rPr>
          <w:rFonts w:ascii="Times New Roman" w:hAnsi="Times New Roman" w:cs="Times New Roman" w:eastAsia="Times New Roman" w:hint="default"/>
        </w:rPr>
      </w:pPr>
      <w:r>
        <w:rPr/>
        <w:br w:type="column"/>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06</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13</w:t>
      </w:r>
    </w:p>
    <w:p>
      <w:pPr>
        <w:pStyle w:val="BodyText"/>
        <w:spacing w:line="170" w:lineRule="exact"/>
        <w:ind w:left="153" w:right="-19"/>
        <w:jc w:val="left"/>
      </w:pPr>
      <w:r>
        <w:rPr/>
        <w:br w:type="column"/>
      </w:r>
      <w:r>
        <w:rPr/>
        <w:t>连带责任保</w:t>
      </w:r>
    </w:p>
    <w:p>
      <w:pPr>
        <w:pStyle w:val="BodyText"/>
        <w:spacing w:line="170" w:lineRule="exact"/>
        <w:ind w:left="109" w:right="0"/>
        <w:jc w:val="left"/>
      </w:pPr>
      <w:r>
        <w:rPr/>
        <w:br w:type="column"/>
      </w:r>
      <w:r>
        <w:rPr/>
        <w:t>债务履行期</w:t>
      </w:r>
    </w:p>
    <w:p>
      <w:pPr>
        <w:spacing w:after="0" w:line="170" w:lineRule="exact"/>
        <w:jc w:val="left"/>
        <w:sectPr>
          <w:type w:val="continuous"/>
          <w:pgSz w:w="11910" w:h="16840"/>
          <w:pgMar w:top="1580" w:bottom="700" w:left="980" w:right="0"/>
          <w:cols w:num="4" w:equalWidth="0">
            <w:col w:w="2521" w:space="1084"/>
            <w:col w:w="1410" w:space="979"/>
            <w:col w:w="1055" w:space="40"/>
            <w:col w:w="3841"/>
          </w:cols>
        </w:sectPr>
      </w:pPr>
    </w:p>
    <w:p>
      <w:pPr>
        <w:pStyle w:val="BodyText"/>
        <w:tabs>
          <w:tab w:pos="3208" w:val="left" w:leader="none"/>
          <w:tab w:pos="5597" w:val="left" w:leader="none"/>
        </w:tabs>
        <w:spacing w:line="296" w:lineRule="exact"/>
        <w:ind w:left="1288" w:right="-19"/>
        <w:jc w:val="left"/>
      </w:pPr>
      <w:r>
        <w:rPr/>
        <w:pict>
          <v:group style="position:absolute;margin-left:55.080002pt;margin-top:71.759979pt;width:485.25pt;height:687.85pt;mso-position-horizontal-relative:page;mso-position-vertical-relative:page;z-index:-1465312" coordorigin="1102,1435" coordsize="9705,13757">
            <v:group style="position:absolute;left:9214;top:1734;width:798;height:584" coordorigin="9214,1734" coordsize="798,584">
              <v:shape style="position:absolute;left:9214;top:1734;width:798;height:584" coordorigin="9214,1734" coordsize="798,584" path="m9214,2317l10012,2317,10012,1734,9214,1734,9214,2317xe" filled="true" fillcolor="#ffffff" stroked="false">
                <v:path arrowok="t"/>
                <v:fill type="solid"/>
              </v:shape>
            </v:group>
            <v:group style="position:absolute;left:9226;top:2317;width:2;height:314" coordorigin="9226,2317" coordsize="2,314">
              <v:shape style="position:absolute;left:9226;top:2317;width:2;height:314" coordorigin="9226,2317" coordsize="0,314" path="m9226,2317l9226,2630e" filled="false" stroked="true" strokeweight="1.2pt" strokecolor="#ffffff">
                <v:path arrowok="t"/>
              </v:shape>
            </v:group>
            <v:group style="position:absolute;left:9238;top:2317;width:750;height:314" coordorigin="9238,2317" coordsize="750,314">
              <v:shape style="position:absolute;left:9238;top:2317;width:750;height:314" coordorigin="9238,2317" coordsize="750,314" path="m9238,2630l9988,2630,9988,2317,9238,2317,9238,2630xe" filled="true" fillcolor="#ffffff" stroked="false">
                <v:path arrowok="t"/>
                <v:fill type="solid"/>
              </v:shape>
            </v:group>
            <v:group style="position:absolute;left:9214;top:3225;width:798;height:584" coordorigin="9214,3225" coordsize="798,584">
              <v:shape style="position:absolute;left:9214;top:3225;width:798;height:584" coordorigin="9214,3225" coordsize="798,584" path="m9214,3808l10012,3808,10012,3225,9214,3225,9214,3808xe" filled="true" fillcolor="#ffffff" stroked="false">
                <v:path arrowok="t"/>
                <v:fill type="solid"/>
              </v:shape>
            </v:group>
            <v:group style="position:absolute;left:9226;top:3808;width:2;height:314" coordorigin="9226,3808" coordsize="2,314">
              <v:shape style="position:absolute;left:9226;top:3808;width:2;height:314" coordorigin="9226,3808" coordsize="0,314" path="m9226,3808l9226,4121e" filled="false" stroked="true" strokeweight="1.2pt" strokecolor="#ffffff">
                <v:path arrowok="t"/>
              </v:shape>
            </v:group>
            <v:group style="position:absolute;left:9238;top:3808;width:750;height:314" coordorigin="9238,3808" coordsize="750,314">
              <v:shape style="position:absolute;left:9238;top:3808;width:750;height:314" coordorigin="9238,3808" coordsize="750,314" path="m9238,4121l9988,4121,9988,3808,9238,3808,9238,4121xe" filled="true" fillcolor="#ffffff" stroked="false">
                <v:path arrowok="t"/>
                <v:fill type="solid"/>
              </v:shape>
            </v:group>
            <v:group style="position:absolute;left:9214;top:4715;width:798;height:584" coordorigin="9214,4715" coordsize="798,584">
              <v:shape style="position:absolute;left:9214;top:4715;width:798;height:584" coordorigin="9214,4715" coordsize="798,584" path="m9214,5298l10012,5298,10012,4715,9214,4715,9214,5298xe" filled="true" fillcolor="#ffffff" stroked="false">
                <v:path arrowok="t"/>
                <v:fill type="solid"/>
              </v:shape>
            </v:group>
            <v:group style="position:absolute;left:9226;top:5298;width:2;height:314" coordorigin="9226,5298" coordsize="2,314">
              <v:shape style="position:absolute;left:9226;top:5298;width:2;height:314" coordorigin="9226,5298" coordsize="0,314" path="m9226,5298l9226,5612e" filled="false" stroked="true" strokeweight="1.2pt" strokecolor="#ffffff">
                <v:path arrowok="t"/>
              </v:shape>
            </v:group>
            <v:group style="position:absolute;left:9238;top:5298;width:750;height:314" coordorigin="9238,5298" coordsize="750,314">
              <v:shape style="position:absolute;left:9238;top:5298;width:750;height:314" coordorigin="9238,5298" coordsize="750,314" path="m9238,5612l9988,5612,9988,5298,9238,5298,9238,5612xe" filled="true" fillcolor="#ffffff" stroked="false">
                <v:path arrowok="t"/>
                <v:fill type="solid"/>
              </v:shape>
            </v:group>
            <v:group style="position:absolute;left:9214;top:6206;width:798;height:584" coordorigin="9214,6206" coordsize="798,584">
              <v:shape style="position:absolute;left:9214;top:6206;width:798;height:584" coordorigin="9214,6206" coordsize="798,584" path="m9214,6789l10012,6789,10012,6206,9214,6206,9214,6789xe" filled="true" fillcolor="#ffffff" stroked="false">
                <v:path arrowok="t"/>
                <v:fill type="solid"/>
              </v:shape>
            </v:group>
            <v:group style="position:absolute;left:9226;top:6789;width:2;height:315" coordorigin="9226,6789" coordsize="2,315">
              <v:shape style="position:absolute;left:9226;top:6789;width:2;height:315" coordorigin="9226,6789" coordsize="0,315" path="m9226,6789l9226,7103e" filled="false" stroked="true" strokeweight="1.2pt" strokecolor="#ffffff">
                <v:path arrowok="t"/>
              </v:shape>
            </v:group>
            <v:group style="position:absolute;left:9238;top:6789;width:750;height:315" coordorigin="9238,6789" coordsize="750,315">
              <v:shape style="position:absolute;left:9238;top:6789;width:750;height:315" coordorigin="9238,6789" coordsize="750,315" path="m9238,7103l9988,7103,9988,6789,9238,6789,9238,7103xe" filled="true" fillcolor="#ffffff" stroked="false">
                <v:path arrowok="t"/>
                <v:fill type="solid"/>
              </v:shape>
            </v:group>
            <v:group style="position:absolute;left:1111;top:6201;width:1125;height:2" coordorigin="1111,6201" coordsize="1125,2">
              <v:shape style="position:absolute;left:1111;top:6201;width:1125;height:2" coordorigin="1111,6201" coordsize="1125,0" path="m1111,6201l2236,6201e" filled="false" stroked="true" strokeweight=".48001pt" strokecolor="#000000">
                <v:path arrowok="t"/>
              </v:shape>
            </v:group>
            <v:group style="position:absolute;left:2246;top:6201;width:1277;height:2" coordorigin="2246,6201" coordsize="1277,2">
              <v:shape style="position:absolute;left:2246;top:6201;width:1277;height:2" coordorigin="2246,6201" coordsize="1277,0" path="m2246,6201l3522,6201e" filled="false" stroked="true" strokeweight=".48001pt" strokecolor="#000000">
                <v:path arrowok="t"/>
              </v:shape>
            </v:group>
            <v:group style="position:absolute;left:3532;top:6201;width:1175;height:2" coordorigin="3532,6201" coordsize="1175,2">
              <v:shape style="position:absolute;left:3532;top:6201;width:1175;height:2" coordorigin="3532,6201" coordsize="1175,0" path="m3532,6201l4707,6201e" filled="false" stroked="true" strokeweight=".48001pt" strokecolor="#000000">
                <v:path arrowok="t"/>
              </v:shape>
            </v:group>
            <v:group style="position:absolute;left:4716;top:6201;width:1304;height:2" coordorigin="4716,6201" coordsize="1304,2">
              <v:shape style="position:absolute;left:4716;top:6201;width:1304;height:2" coordorigin="4716,6201" coordsize="1304,0" path="m4716,6201l6020,6201e" filled="false" stroked="true" strokeweight=".48001pt" strokecolor="#000000">
                <v:path arrowok="t"/>
              </v:shape>
            </v:group>
            <v:group style="position:absolute;left:6030;top:6201;width:1067;height:2" coordorigin="6030,6201" coordsize="1067,2">
              <v:shape style="position:absolute;left:6030;top:6201;width:1067;height:2" coordorigin="6030,6201" coordsize="1067,0" path="m6030,6201l7096,6201e" filled="false" stroked="true" strokeweight=".48001pt" strokecolor="#000000">
                <v:path arrowok="t"/>
              </v:shape>
            </v:group>
            <v:group style="position:absolute;left:7106;top:6201;width:1040;height:2" coordorigin="7106,6201" coordsize="1040,2">
              <v:shape style="position:absolute;left:7106;top:6201;width:1040;height:2" coordorigin="7106,6201" coordsize="1040,0" path="m7106,6201l8146,6201e" filled="false" stroked="true" strokeweight=".48001pt" strokecolor="#000000">
                <v:path arrowok="t"/>
              </v:shape>
            </v:group>
            <v:group style="position:absolute;left:8155;top:6201;width:1049;height:2" coordorigin="8155,6201" coordsize="1049,2">
              <v:shape style="position:absolute;left:8155;top:6201;width:1049;height:2" coordorigin="8155,6201" coordsize="1049,0" path="m8155,6201l9204,6201e" filled="false" stroked="true" strokeweight=".48001pt" strokecolor="#000000">
                <v:path arrowok="t"/>
              </v:shape>
            </v:group>
            <v:group style="position:absolute;left:9214;top:6201;width:798;height:2" coordorigin="9214,6201" coordsize="798,2">
              <v:shape style="position:absolute;left:9214;top:6201;width:798;height:2" coordorigin="9214,6201" coordsize="798,0" path="m9214,6201l10012,6201e" filled="false" stroked="true" strokeweight=".48001pt" strokecolor="#000000">
                <v:path arrowok="t"/>
              </v:shape>
            </v:group>
            <v:group style="position:absolute;left:10021;top:6201;width:776;height:2" coordorigin="10021,6201" coordsize="776,2">
              <v:shape style="position:absolute;left:10021;top:6201;width:776;height:2" coordorigin="10021,6201" coordsize="776,0" path="m10021,6201l10796,6201e" filled="false" stroked="true" strokeweight=".48001pt" strokecolor="#000000">
                <v:path arrowok="t"/>
              </v:shape>
            </v:group>
            <v:group style="position:absolute;left:1111;top:7691;width:1125;height:2" coordorigin="1111,7691" coordsize="1125,2">
              <v:shape style="position:absolute;left:1111;top:7691;width:1125;height:2" coordorigin="1111,7691" coordsize="1125,0" path="m1111,7691l2236,7691e" filled="false" stroked="true" strokeweight=".48001pt" strokecolor="#000000">
                <v:path arrowok="t"/>
              </v:shape>
            </v:group>
            <v:group style="position:absolute;left:2246;top:7691;width:1277;height:2" coordorigin="2246,7691" coordsize="1277,2">
              <v:shape style="position:absolute;left:2246;top:7691;width:1277;height:2" coordorigin="2246,7691" coordsize="1277,0" path="m2246,7691l3522,7691e" filled="false" stroked="true" strokeweight=".48001pt" strokecolor="#000000">
                <v:path arrowok="t"/>
              </v:shape>
            </v:group>
            <v:group style="position:absolute;left:3532;top:7691;width:1175;height:2" coordorigin="3532,7691" coordsize="1175,2">
              <v:shape style="position:absolute;left:3532;top:7691;width:1175;height:2" coordorigin="3532,7691" coordsize="1175,0" path="m3532,7691l4707,7691e" filled="false" stroked="true" strokeweight=".48001pt" strokecolor="#000000">
                <v:path arrowok="t"/>
              </v:shape>
            </v:group>
            <v:group style="position:absolute;left:4716;top:7691;width:1304;height:2" coordorigin="4716,7691" coordsize="1304,2">
              <v:shape style="position:absolute;left:4716;top:7691;width:1304;height:2" coordorigin="4716,7691" coordsize="1304,0" path="m4716,7691l6020,7691e" filled="false" stroked="true" strokeweight=".48001pt" strokecolor="#000000">
                <v:path arrowok="t"/>
              </v:shape>
            </v:group>
            <v:group style="position:absolute;left:6030;top:7691;width:1067;height:2" coordorigin="6030,7691" coordsize="1067,2">
              <v:shape style="position:absolute;left:6030;top:7691;width:1067;height:2" coordorigin="6030,7691" coordsize="1067,0" path="m6030,7691l7096,7691e" filled="false" stroked="true" strokeweight=".48001pt" strokecolor="#000000">
                <v:path arrowok="t"/>
              </v:shape>
            </v:group>
            <v:group style="position:absolute;left:7106;top:7691;width:1040;height:2" coordorigin="7106,7691" coordsize="1040,2">
              <v:shape style="position:absolute;left:7106;top:7691;width:1040;height:2" coordorigin="7106,7691" coordsize="1040,0" path="m7106,7691l8146,7691e" filled="false" stroked="true" strokeweight=".48001pt" strokecolor="#000000">
                <v:path arrowok="t"/>
              </v:shape>
            </v:group>
            <v:group style="position:absolute;left:8155;top:7691;width:1049;height:2" coordorigin="8155,7691" coordsize="1049,2">
              <v:shape style="position:absolute;left:8155;top:7691;width:1049;height:2" coordorigin="8155,7691" coordsize="1049,0" path="m8155,7691l9204,7691e" filled="false" stroked="true" strokeweight=".48001pt" strokecolor="#000000">
                <v:path arrowok="t"/>
              </v:shape>
            </v:group>
            <v:group style="position:absolute;left:9214;top:7691;width:798;height:2" coordorigin="9214,7691" coordsize="798,2">
              <v:shape style="position:absolute;left:9214;top:7691;width:798;height:2" coordorigin="9214,7691" coordsize="798,0" path="m9214,7691l10012,7691e" filled="false" stroked="true" strokeweight=".48001pt" strokecolor="#000000">
                <v:path arrowok="t"/>
              </v:shape>
            </v:group>
            <v:group style="position:absolute;left:10021;top:7691;width:776;height:2" coordorigin="10021,7691" coordsize="776,2">
              <v:shape style="position:absolute;left:10021;top:7691;width:776;height:2" coordorigin="10021,7691" coordsize="776,0" path="m10021,7691l10796,7691e" filled="false" stroked="true" strokeweight=".48001pt" strokecolor="#000000">
                <v:path arrowok="t"/>
              </v:shape>
            </v:group>
            <v:group style="position:absolute;left:1111;top:8715;width:1125;height:2" coordorigin="1111,8715" coordsize="1125,2">
              <v:shape style="position:absolute;left:1111;top:8715;width:1125;height:2" coordorigin="1111,8715" coordsize="1125,0" path="m1111,8715l2236,8715e" filled="false" stroked="true" strokeweight=".48001pt" strokecolor="#000000">
                <v:path arrowok="t"/>
              </v:shape>
            </v:group>
            <v:group style="position:absolute;left:2246;top:8715;width:1277;height:2" coordorigin="2246,8715" coordsize="1277,2">
              <v:shape style="position:absolute;left:2246;top:8715;width:1277;height:2" coordorigin="2246,8715" coordsize="1277,0" path="m2246,8715l3522,8715e" filled="false" stroked="true" strokeweight=".48001pt" strokecolor="#000000">
                <v:path arrowok="t"/>
              </v:shape>
            </v:group>
            <v:group style="position:absolute;left:3532;top:8715;width:1175;height:2" coordorigin="3532,8715" coordsize="1175,2">
              <v:shape style="position:absolute;left:3532;top:8715;width:1175;height:2" coordorigin="3532,8715" coordsize="1175,0" path="m3532,8715l4707,8715e" filled="false" stroked="true" strokeweight=".48001pt" strokecolor="#000000">
                <v:path arrowok="t"/>
              </v:shape>
            </v:group>
            <v:group style="position:absolute;left:4716;top:8715;width:1304;height:2" coordorigin="4716,8715" coordsize="1304,2">
              <v:shape style="position:absolute;left:4716;top:8715;width:1304;height:2" coordorigin="4716,8715" coordsize="1304,0" path="m4716,8715l6020,8715e" filled="false" stroked="true" strokeweight=".48001pt" strokecolor="#000000">
                <v:path arrowok="t"/>
              </v:shape>
            </v:group>
            <v:group style="position:absolute;left:6030;top:8715;width:1067;height:2" coordorigin="6030,8715" coordsize="1067,2">
              <v:shape style="position:absolute;left:6030;top:8715;width:1067;height:2" coordorigin="6030,8715" coordsize="1067,0" path="m6030,8715l7096,8715e" filled="false" stroked="true" strokeweight=".48001pt" strokecolor="#000000">
                <v:path arrowok="t"/>
              </v:shape>
            </v:group>
            <v:group style="position:absolute;left:7106;top:8715;width:1040;height:2" coordorigin="7106,8715" coordsize="1040,2">
              <v:shape style="position:absolute;left:7106;top:8715;width:1040;height:2" coordorigin="7106,8715" coordsize="1040,0" path="m7106,8715l8146,8715e" filled="false" stroked="true" strokeweight=".48001pt" strokecolor="#000000">
                <v:path arrowok="t"/>
              </v:shape>
            </v:group>
            <v:group style="position:absolute;left:8155;top:8715;width:1049;height:2" coordorigin="8155,8715" coordsize="1049,2">
              <v:shape style="position:absolute;left:8155;top:8715;width:1049;height:2" coordorigin="8155,8715" coordsize="1049,0" path="m8155,8715l9204,8715e" filled="false" stroked="true" strokeweight=".48001pt" strokecolor="#000000">
                <v:path arrowok="t"/>
              </v:shape>
            </v:group>
            <v:group style="position:absolute;left:9214;top:8715;width:798;height:2" coordorigin="9214,8715" coordsize="798,2">
              <v:shape style="position:absolute;left:9214;top:8715;width:798;height:2" coordorigin="9214,8715" coordsize="798,0" path="m9214,8715l10012,8715e" filled="false" stroked="true" strokeweight=".48001pt" strokecolor="#000000">
                <v:path arrowok="t"/>
              </v:shape>
            </v:group>
            <v:group style="position:absolute;left:10021;top:8715;width:776;height:2" coordorigin="10021,8715" coordsize="776,2">
              <v:shape style="position:absolute;left:10021;top:8715;width:776;height:2" coordorigin="10021,8715" coordsize="776,0" path="m10021,8715l10796,8715e" filled="false" stroked="true" strokeweight=".48001pt" strokecolor="#000000">
                <v:path arrowok="t"/>
              </v:shape>
            </v:group>
            <v:group style="position:absolute;left:1111;top:9506;width:1125;height:2" coordorigin="1111,9506" coordsize="1125,2">
              <v:shape style="position:absolute;left:1111;top:9506;width:1125;height:2" coordorigin="1111,9506" coordsize="1125,0" path="m1111,9506l2236,9506e" filled="false" stroked="true" strokeweight=".47998pt" strokecolor="#000000">
                <v:path arrowok="t"/>
              </v:shape>
            </v:group>
            <v:group style="position:absolute;left:2246;top:9506;width:1277;height:2" coordorigin="2246,9506" coordsize="1277,2">
              <v:shape style="position:absolute;left:2246;top:9506;width:1277;height:2" coordorigin="2246,9506" coordsize="1277,0" path="m2246,9506l3522,9506e" filled="false" stroked="true" strokeweight=".47998pt" strokecolor="#000000">
                <v:path arrowok="t"/>
              </v:shape>
            </v:group>
            <v:group style="position:absolute;left:3532;top:9506;width:1175;height:2" coordorigin="3532,9506" coordsize="1175,2">
              <v:shape style="position:absolute;left:3532;top:9506;width:1175;height:2" coordorigin="3532,9506" coordsize="1175,0" path="m3532,9506l4707,9506e" filled="false" stroked="true" strokeweight=".47998pt" strokecolor="#000000">
                <v:path arrowok="t"/>
              </v:shape>
            </v:group>
            <v:group style="position:absolute;left:4716;top:9506;width:1304;height:2" coordorigin="4716,9506" coordsize="1304,2">
              <v:shape style="position:absolute;left:4716;top:9506;width:1304;height:2" coordorigin="4716,9506" coordsize="1304,0" path="m4716,9506l6020,9506e" filled="false" stroked="true" strokeweight=".47998pt" strokecolor="#000000">
                <v:path arrowok="t"/>
              </v:shape>
            </v:group>
            <v:group style="position:absolute;left:6030;top:9506;width:1067;height:2" coordorigin="6030,9506" coordsize="1067,2">
              <v:shape style="position:absolute;left:6030;top:9506;width:1067;height:2" coordorigin="6030,9506" coordsize="1067,0" path="m6030,9506l7096,9506e" filled="false" stroked="true" strokeweight=".47998pt" strokecolor="#000000">
                <v:path arrowok="t"/>
              </v:shape>
            </v:group>
            <v:group style="position:absolute;left:7106;top:9506;width:1040;height:2" coordorigin="7106,9506" coordsize="1040,2">
              <v:shape style="position:absolute;left:7106;top:9506;width:1040;height:2" coordorigin="7106,9506" coordsize="1040,0" path="m7106,9506l8146,9506e" filled="false" stroked="true" strokeweight=".47998pt" strokecolor="#000000">
                <v:path arrowok="t"/>
              </v:shape>
            </v:group>
            <v:group style="position:absolute;left:8155;top:9506;width:1049;height:2" coordorigin="8155,9506" coordsize="1049,2">
              <v:shape style="position:absolute;left:8155;top:9506;width:1049;height:2" coordorigin="8155,9506" coordsize="1049,0" path="m8155,9506l9204,9506e" filled="false" stroked="true" strokeweight=".47998pt" strokecolor="#000000">
                <v:path arrowok="t"/>
              </v:shape>
            </v:group>
            <v:group style="position:absolute;left:9214;top:9506;width:798;height:2" coordorigin="9214,9506" coordsize="798,2">
              <v:shape style="position:absolute;left:9214;top:9506;width:798;height:2" coordorigin="9214,9506" coordsize="798,0" path="m9214,9506l10012,9506e" filled="false" stroked="true" strokeweight=".47998pt" strokecolor="#000000">
                <v:path arrowok="t"/>
              </v:shape>
            </v:group>
            <v:group style="position:absolute;left:10021;top:9506;width:776;height:2" coordorigin="10021,9506" coordsize="776,2">
              <v:shape style="position:absolute;left:10021;top:9506;width:776;height:2" coordorigin="10021,9506" coordsize="776,0" path="m10021,9506l10796,9506e" filled="false" stroked="true" strokeweight=".47998pt" strokecolor="#000000">
                <v:path arrowok="t"/>
              </v:shape>
            </v:group>
            <v:group style="position:absolute;left:1111;top:10296;width:1125;height:2" coordorigin="1111,10296" coordsize="1125,2">
              <v:shape style="position:absolute;left:1111;top:10296;width:1125;height:2" coordorigin="1111,10296" coordsize="1125,0" path="m1111,10296l2236,10296e" filled="false" stroked="true" strokeweight=".47998pt" strokecolor="#000000">
                <v:path arrowok="t"/>
              </v:shape>
            </v:group>
            <v:group style="position:absolute;left:2246;top:10296;width:1277;height:2" coordorigin="2246,10296" coordsize="1277,2">
              <v:shape style="position:absolute;left:2246;top:10296;width:1277;height:2" coordorigin="2246,10296" coordsize="1277,0" path="m2246,10296l3522,10296e" filled="false" stroked="true" strokeweight=".47998pt" strokecolor="#000000">
                <v:path arrowok="t"/>
              </v:shape>
            </v:group>
            <v:group style="position:absolute;left:3532;top:10296;width:1175;height:2" coordorigin="3532,10296" coordsize="1175,2">
              <v:shape style="position:absolute;left:3532;top:10296;width:1175;height:2" coordorigin="3532,10296" coordsize="1175,0" path="m3532,10296l4707,10296e" filled="false" stroked="true" strokeweight=".47998pt" strokecolor="#000000">
                <v:path arrowok="t"/>
              </v:shape>
            </v:group>
            <v:group style="position:absolute;left:4716;top:10296;width:1304;height:2" coordorigin="4716,10296" coordsize="1304,2">
              <v:shape style="position:absolute;left:4716;top:10296;width:1304;height:2" coordorigin="4716,10296" coordsize="1304,0" path="m4716,10296l6020,10296e" filled="false" stroked="true" strokeweight=".47998pt" strokecolor="#000000">
                <v:path arrowok="t"/>
              </v:shape>
            </v:group>
            <v:group style="position:absolute;left:6030;top:10296;width:1067;height:2" coordorigin="6030,10296" coordsize="1067,2">
              <v:shape style="position:absolute;left:6030;top:10296;width:1067;height:2" coordorigin="6030,10296" coordsize="1067,0" path="m6030,10296l7096,10296e" filled="false" stroked="true" strokeweight=".47998pt" strokecolor="#000000">
                <v:path arrowok="t"/>
              </v:shape>
            </v:group>
            <v:group style="position:absolute;left:7106;top:10296;width:1040;height:2" coordorigin="7106,10296" coordsize="1040,2">
              <v:shape style="position:absolute;left:7106;top:10296;width:1040;height:2" coordorigin="7106,10296" coordsize="1040,0" path="m7106,10296l8146,10296e" filled="false" stroked="true" strokeweight=".47998pt" strokecolor="#000000">
                <v:path arrowok="t"/>
              </v:shape>
            </v:group>
            <v:group style="position:absolute;left:8155;top:10296;width:1049;height:2" coordorigin="8155,10296" coordsize="1049,2">
              <v:shape style="position:absolute;left:8155;top:10296;width:1049;height:2" coordorigin="8155,10296" coordsize="1049,0" path="m8155,10296l9204,10296e" filled="false" stroked="true" strokeweight=".47998pt" strokecolor="#000000">
                <v:path arrowok="t"/>
              </v:shape>
            </v:group>
            <v:group style="position:absolute;left:9214;top:10296;width:798;height:2" coordorigin="9214,10296" coordsize="798,2">
              <v:shape style="position:absolute;left:9214;top:10296;width:798;height:2" coordorigin="9214,10296" coordsize="798,0" path="m9214,10296l10012,10296e" filled="false" stroked="true" strokeweight=".47998pt" strokecolor="#000000">
                <v:path arrowok="t"/>
              </v:shape>
            </v:group>
            <v:group style="position:absolute;left:10021;top:10296;width:776;height:2" coordorigin="10021,10296" coordsize="776,2">
              <v:shape style="position:absolute;left:10021;top:10296;width:776;height:2" coordorigin="10021,10296" coordsize="776,0" path="m10021,10296l10796,10296e" filled="false" stroked="true" strokeweight=".47998pt" strokecolor="#000000">
                <v:path arrowok="t"/>
              </v:shape>
            </v:group>
            <v:group style="position:absolute;left:1111;top:11086;width:1125;height:2" coordorigin="1111,11086" coordsize="1125,2">
              <v:shape style="position:absolute;left:1111;top:11086;width:1125;height:2" coordorigin="1111,11086" coordsize="1125,0" path="m1111,11086l2236,11086e" filled="false" stroked="true" strokeweight=".47998pt" strokecolor="#000000">
                <v:path arrowok="t"/>
              </v:shape>
            </v:group>
            <v:group style="position:absolute;left:2246;top:11086;width:1277;height:2" coordorigin="2246,11086" coordsize="1277,2">
              <v:shape style="position:absolute;left:2246;top:11086;width:1277;height:2" coordorigin="2246,11086" coordsize="1277,0" path="m2246,11086l3522,11086e" filled="false" stroked="true" strokeweight=".47998pt" strokecolor="#000000">
                <v:path arrowok="t"/>
              </v:shape>
            </v:group>
            <v:group style="position:absolute;left:3532;top:11086;width:1175;height:2" coordorigin="3532,11086" coordsize="1175,2">
              <v:shape style="position:absolute;left:3532;top:11086;width:1175;height:2" coordorigin="3532,11086" coordsize="1175,0" path="m3532,11086l4707,11086e" filled="false" stroked="true" strokeweight=".47998pt" strokecolor="#000000">
                <v:path arrowok="t"/>
              </v:shape>
            </v:group>
            <v:group style="position:absolute;left:4716;top:11086;width:1304;height:2" coordorigin="4716,11086" coordsize="1304,2">
              <v:shape style="position:absolute;left:4716;top:11086;width:1304;height:2" coordorigin="4716,11086" coordsize="1304,0" path="m4716,11086l6020,11086e" filled="false" stroked="true" strokeweight=".47998pt" strokecolor="#000000">
                <v:path arrowok="t"/>
              </v:shape>
            </v:group>
            <v:group style="position:absolute;left:6030;top:11086;width:1067;height:2" coordorigin="6030,11086" coordsize="1067,2">
              <v:shape style="position:absolute;left:6030;top:11086;width:1067;height:2" coordorigin="6030,11086" coordsize="1067,0" path="m6030,11086l7096,11086e" filled="false" stroked="true" strokeweight=".47998pt" strokecolor="#000000">
                <v:path arrowok="t"/>
              </v:shape>
            </v:group>
            <v:group style="position:absolute;left:7106;top:11086;width:1040;height:2" coordorigin="7106,11086" coordsize="1040,2">
              <v:shape style="position:absolute;left:7106;top:11086;width:1040;height:2" coordorigin="7106,11086" coordsize="1040,0" path="m7106,11086l8146,11086e" filled="false" stroked="true" strokeweight=".47998pt" strokecolor="#000000">
                <v:path arrowok="t"/>
              </v:shape>
            </v:group>
            <v:group style="position:absolute;left:8155;top:11086;width:1049;height:2" coordorigin="8155,11086" coordsize="1049,2">
              <v:shape style="position:absolute;left:8155;top:11086;width:1049;height:2" coordorigin="8155,11086" coordsize="1049,0" path="m8155,11086l9204,11086e" filled="false" stroked="true" strokeweight=".47998pt" strokecolor="#000000">
                <v:path arrowok="t"/>
              </v:shape>
            </v:group>
            <v:group style="position:absolute;left:9214;top:11086;width:798;height:2" coordorigin="9214,11086" coordsize="798,2">
              <v:shape style="position:absolute;left:9214;top:11086;width:798;height:2" coordorigin="9214,11086" coordsize="798,0" path="m9214,11086l10012,11086e" filled="false" stroked="true" strokeweight=".47998pt" strokecolor="#000000">
                <v:path arrowok="t"/>
              </v:shape>
            </v:group>
            <v:group style="position:absolute;left:10021;top:11086;width:776;height:2" coordorigin="10021,11086" coordsize="776,2">
              <v:shape style="position:absolute;left:10021;top:11086;width:776;height:2" coordorigin="10021,11086" coordsize="776,0" path="m10021,11086l10796,11086e" filled="false" stroked="true" strokeweight=".47998pt" strokecolor="#000000">
                <v:path arrowok="t"/>
              </v:shape>
            </v:group>
            <v:group style="position:absolute;left:1111;top:12110;width:1125;height:2" coordorigin="1111,12110" coordsize="1125,2">
              <v:shape style="position:absolute;left:1111;top:12110;width:1125;height:2" coordorigin="1111,12110" coordsize="1125,0" path="m1111,12110l2236,12110e" filled="false" stroked="true" strokeweight=".47998pt" strokecolor="#000000">
                <v:path arrowok="t"/>
              </v:shape>
            </v:group>
            <v:group style="position:absolute;left:2246;top:12110;width:1277;height:2" coordorigin="2246,12110" coordsize="1277,2">
              <v:shape style="position:absolute;left:2246;top:12110;width:1277;height:2" coordorigin="2246,12110" coordsize="1277,0" path="m2246,12110l3522,12110e" filled="false" stroked="true" strokeweight=".47998pt" strokecolor="#000000">
                <v:path arrowok="t"/>
              </v:shape>
            </v:group>
            <v:group style="position:absolute;left:3532;top:12110;width:1175;height:2" coordorigin="3532,12110" coordsize="1175,2">
              <v:shape style="position:absolute;left:3532;top:12110;width:1175;height:2" coordorigin="3532,12110" coordsize="1175,0" path="m3532,12110l4707,12110e" filled="false" stroked="true" strokeweight=".47998pt" strokecolor="#000000">
                <v:path arrowok="t"/>
              </v:shape>
            </v:group>
            <v:group style="position:absolute;left:4716;top:12110;width:1304;height:2" coordorigin="4716,12110" coordsize="1304,2">
              <v:shape style="position:absolute;left:4716;top:12110;width:1304;height:2" coordorigin="4716,12110" coordsize="1304,0" path="m4716,12110l6020,12110e" filled="false" stroked="true" strokeweight=".47998pt" strokecolor="#000000">
                <v:path arrowok="t"/>
              </v:shape>
            </v:group>
            <v:group style="position:absolute;left:6030;top:12110;width:1067;height:2" coordorigin="6030,12110" coordsize="1067,2">
              <v:shape style="position:absolute;left:6030;top:12110;width:1067;height:2" coordorigin="6030,12110" coordsize="1067,0" path="m6030,12110l7096,12110e" filled="false" stroked="true" strokeweight=".47998pt" strokecolor="#000000">
                <v:path arrowok="t"/>
              </v:shape>
            </v:group>
            <v:group style="position:absolute;left:7106;top:12110;width:1040;height:2" coordorigin="7106,12110" coordsize="1040,2">
              <v:shape style="position:absolute;left:7106;top:12110;width:1040;height:2" coordorigin="7106,12110" coordsize="1040,0" path="m7106,12110l8146,12110e" filled="false" stroked="true" strokeweight=".47998pt" strokecolor="#000000">
                <v:path arrowok="t"/>
              </v:shape>
            </v:group>
            <v:group style="position:absolute;left:8155;top:12110;width:1049;height:2" coordorigin="8155,12110" coordsize="1049,2">
              <v:shape style="position:absolute;left:8155;top:12110;width:1049;height:2" coordorigin="8155,12110" coordsize="1049,0" path="m8155,12110l9204,12110e" filled="false" stroked="true" strokeweight=".47998pt" strokecolor="#000000">
                <v:path arrowok="t"/>
              </v:shape>
            </v:group>
            <v:group style="position:absolute;left:9214;top:12110;width:798;height:2" coordorigin="9214,12110" coordsize="798,2">
              <v:shape style="position:absolute;left:9214;top:12110;width:798;height:2" coordorigin="9214,12110" coordsize="798,0" path="m9214,12110l10012,12110e" filled="false" stroked="true" strokeweight=".47998pt" strokecolor="#000000">
                <v:path arrowok="t"/>
              </v:shape>
            </v:group>
            <v:group style="position:absolute;left:10021;top:12110;width:776;height:2" coordorigin="10021,12110" coordsize="776,2">
              <v:shape style="position:absolute;left:10021;top:12110;width:776;height:2" coordorigin="10021,12110" coordsize="776,0" path="m10021,12110l10796,12110e" filled="false" stroked="true" strokeweight=".47998pt" strokecolor="#000000">
                <v:path arrowok="t"/>
              </v:shape>
            </v:group>
            <v:group style="position:absolute;left:1111;top:13134;width:1125;height:2" coordorigin="1111,13134" coordsize="1125,2">
              <v:shape style="position:absolute;left:1111;top:13134;width:1125;height:2" coordorigin="1111,13134" coordsize="1125,0" path="m1111,13134l2236,13134e" filled="false" stroked="true" strokeweight=".47998pt" strokecolor="#000000">
                <v:path arrowok="t"/>
              </v:shape>
            </v:group>
            <v:group style="position:absolute;left:2246;top:13134;width:1277;height:2" coordorigin="2246,13134" coordsize="1277,2">
              <v:shape style="position:absolute;left:2246;top:13134;width:1277;height:2" coordorigin="2246,13134" coordsize="1277,0" path="m2246,13134l3522,13134e" filled="false" stroked="true" strokeweight=".47998pt" strokecolor="#000000">
                <v:path arrowok="t"/>
              </v:shape>
            </v:group>
            <v:group style="position:absolute;left:3532;top:13134;width:1175;height:2" coordorigin="3532,13134" coordsize="1175,2">
              <v:shape style="position:absolute;left:3532;top:13134;width:1175;height:2" coordorigin="3532,13134" coordsize="1175,0" path="m3532,13134l4707,13134e" filled="false" stroked="true" strokeweight=".47998pt" strokecolor="#000000">
                <v:path arrowok="t"/>
              </v:shape>
            </v:group>
            <v:group style="position:absolute;left:4716;top:13134;width:1304;height:2" coordorigin="4716,13134" coordsize="1304,2">
              <v:shape style="position:absolute;left:4716;top:13134;width:1304;height:2" coordorigin="4716,13134" coordsize="1304,0" path="m4716,13134l6020,13134e" filled="false" stroked="true" strokeweight=".47998pt" strokecolor="#000000">
                <v:path arrowok="t"/>
              </v:shape>
            </v:group>
            <v:group style="position:absolute;left:6030;top:13134;width:1067;height:2" coordorigin="6030,13134" coordsize="1067,2">
              <v:shape style="position:absolute;left:6030;top:13134;width:1067;height:2" coordorigin="6030,13134" coordsize="1067,0" path="m6030,13134l7096,13134e" filled="false" stroked="true" strokeweight=".47998pt" strokecolor="#000000">
                <v:path arrowok="t"/>
              </v:shape>
            </v:group>
            <v:group style="position:absolute;left:7106;top:13134;width:1040;height:2" coordorigin="7106,13134" coordsize="1040,2">
              <v:shape style="position:absolute;left:7106;top:13134;width:1040;height:2" coordorigin="7106,13134" coordsize="1040,0" path="m7106,13134l8146,13134e" filled="false" stroked="true" strokeweight=".47998pt" strokecolor="#000000">
                <v:path arrowok="t"/>
              </v:shape>
            </v:group>
            <v:group style="position:absolute;left:8155;top:13134;width:1049;height:2" coordorigin="8155,13134" coordsize="1049,2">
              <v:shape style="position:absolute;left:8155;top:13134;width:1049;height:2" coordorigin="8155,13134" coordsize="1049,0" path="m8155,13134l9204,13134e" filled="false" stroked="true" strokeweight=".47998pt" strokecolor="#000000">
                <v:path arrowok="t"/>
              </v:shape>
            </v:group>
            <v:group style="position:absolute;left:9214;top:13134;width:798;height:2" coordorigin="9214,13134" coordsize="798,2">
              <v:shape style="position:absolute;left:9214;top:13134;width:798;height:2" coordorigin="9214,13134" coordsize="798,0" path="m9214,13134l10012,13134e" filled="false" stroked="true" strokeweight=".47998pt" strokecolor="#000000">
                <v:path arrowok="t"/>
              </v:shape>
            </v:group>
            <v:group style="position:absolute;left:10021;top:13134;width:776;height:2" coordorigin="10021,13134" coordsize="776,2">
              <v:shape style="position:absolute;left:10021;top:13134;width:776;height:2" coordorigin="10021,13134" coordsize="776,0" path="m10021,13134l10796,13134e" filled="false" stroked="true" strokeweight=".47998pt" strokecolor="#000000">
                <v:path arrowok="t"/>
              </v:shape>
            </v:group>
            <v:group style="position:absolute;left:1111;top:14158;width:1125;height:2" coordorigin="1111,14158" coordsize="1125,2">
              <v:shape style="position:absolute;left:1111;top:14158;width:1125;height:2" coordorigin="1111,14158" coordsize="1125,0" path="m1111,14158l2236,14158e" filled="false" stroked="true" strokeweight=".47998pt" strokecolor="#000000">
                <v:path arrowok="t"/>
              </v:shape>
            </v:group>
            <v:group style="position:absolute;left:2246;top:14158;width:1277;height:2" coordorigin="2246,14158" coordsize="1277,2">
              <v:shape style="position:absolute;left:2246;top:14158;width:1277;height:2" coordorigin="2246,14158" coordsize="1277,0" path="m2246,14158l3522,14158e" filled="false" stroked="true" strokeweight=".47998pt" strokecolor="#000000">
                <v:path arrowok="t"/>
              </v:shape>
            </v:group>
            <v:group style="position:absolute;left:3532;top:14158;width:1175;height:2" coordorigin="3532,14158" coordsize="1175,2">
              <v:shape style="position:absolute;left:3532;top:14158;width:1175;height:2" coordorigin="3532,14158" coordsize="1175,0" path="m3532,14158l4707,14158e" filled="false" stroked="true" strokeweight=".47998pt" strokecolor="#000000">
                <v:path arrowok="t"/>
              </v:shape>
            </v:group>
            <v:group style="position:absolute;left:4716;top:14158;width:1304;height:2" coordorigin="4716,14158" coordsize="1304,2">
              <v:shape style="position:absolute;left:4716;top:14158;width:1304;height:2" coordorigin="4716,14158" coordsize="1304,0" path="m4716,14158l6020,14158e" filled="false" stroked="true" strokeweight=".47998pt" strokecolor="#000000">
                <v:path arrowok="t"/>
              </v:shape>
            </v:group>
            <v:group style="position:absolute;left:6030;top:14158;width:1067;height:2" coordorigin="6030,14158" coordsize="1067,2">
              <v:shape style="position:absolute;left:6030;top:14158;width:1067;height:2" coordorigin="6030,14158" coordsize="1067,0" path="m6030,14158l7096,14158e" filled="false" stroked="true" strokeweight=".47998pt" strokecolor="#000000">
                <v:path arrowok="t"/>
              </v:shape>
            </v:group>
            <v:group style="position:absolute;left:7106;top:14158;width:1040;height:2" coordorigin="7106,14158" coordsize="1040,2">
              <v:shape style="position:absolute;left:7106;top:14158;width:1040;height:2" coordorigin="7106,14158" coordsize="1040,0" path="m7106,14158l8146,14158e" filled="false" stroked="true" strokeweight=".47998pt" strokecolor="#000000">
                <v:path arrowok="t"/>
              </v:shape>
            </v:group>
            <v:group style="position:absolute;left:8155;top:14158;width:1049;height:2" coordorigin="8155,14158" coordsize="1049,2">
              <v:shape style="position:absolute;left:8155;top:14158;width:1049;height:2" coordorigin="8155,14158" coordsize="1049,0" path="m8155,14158l9204,14158e" filled="false" stroked="true" strokeweight=".47998pt" strokecolor="#000000">
                <v:path arrowok="t"/>
              </v:shape>
            </v:group>
            <v:group style="position:absolute;left:9214;top:14158;width:798;height:2" coordorigin="9214,14158" coordsize="798,2">
              <v:shape style="position:absolute;left:9214;top:14158;width:798;height:2" coordorigin="9214,14158" coordsize="798,0" path="m9214,14158l10012,14158e" filled="false" stroked="true" strokeweight=".47998pt" strokecolor="#000000">
                <v:path arrowok="t"/>
              </v:shape>
            </v:group>
            <v:group style="position:absolute;left:10021;top:14158;width:776;height:2" coordorigin="10021,14158" coordsize="776,2">
              <v:shape style="position:absolute;left:10021;top:14158;width:776;height:2" coordorigin="10021,14158" coordsize="776,0" path="m10021,14158l10796,14158e" filled="false" stroked="true" strokeweight=".47998pt" strokecolor="#000000">
                <v:path arrowok="t"/>
              </v:shape>
            </v:group>
            <v:group style="position:absolute;left:1106;top:1440;width:2;height:13748" coordorigin="1106,1440" coordsize="2,13748">
              <v:shape style="position:absolute;left:1106;top:1440;width:2;height:13748" coordorigin="1106,1440" coordsize="0,13748" path="m1106,1440l1106,15187e" filled="false" stroked="true" strokeweight=".48pt" strokecolor="#000000">
                <v:path arrowok="t"/>
              </v:shape>
            </v:group>
            <v:group style="position:absolute;left:1111;top:15182;width:1125;height:2" coordorigin="1111,15182" coordsize="1125,2">
              <v:shape style="position:absolute;left:1111;top:15182;width:1125;height:2" coordorigin="1111,15182" coordsize="1125,0" path="m1111,15182l2236,15182e" filled="false" stroked="true" strokeweight=".47998pt" strokecolor="#000000">
                <v:path arrowok="t"/>
              </v:shape>
            </v:group>
            <v:group style="position:absolute;left:2241;top:1440;width:2;height:13748" coordorigin="2241,1440" coordsize="2,13748">
              <v:shape style="position:absolute;left:2241;top:1440;width:2;height:13748" coordorigin="2241,1440" coordsize="0,13748" path="m2241,1440l2241,15187e" filled="false" stroked="true" strokeweight=".48pt" strokecolor="#000000">
                <v:path arrowok="t"/>
              </v:shape>
            </v:group>
            <v:group style="position:absolute;left:2246;top:15182;width:1277;height:2" coordorigin="2246,15182" coordsize="1277,2">
              <v:shape style="position:absolute;left:2246;top:15182;width:1277;height:2" coordorigin="2246,15182" coordsize="1277,0" path="m2246,15182l3522,15182e" filled="false" stroked="true" strokeweight=".47998pt" strokecolor="#000000">
                <v:path arrowok="t"/>
              </v:shape>
            </v:group>
            <v:group style="position:absolute;left:3527;top:1440;width:2;height:13748" coordorigin="3527,1440" coordsize="2,13748">
              <v:shape style="position:absolute;left:3527;top:1440;width:2;height:13748" coordorigin="3527,1440" coordsize="0,13748" path="m3527,1440l3527,15187e" filled="false" stroked="true" strokeweight=".48pt" strokecolor="#000000">
                <v:path arrowok="t"/>
              </v:shape>
            </v:group>
            <v:group style="position:absolute;left:3532;top:15182;width:1175;height:2" coordorigin="3532,15182" coordsize="1175,2">
              <v:shape style="position:absolute;left:3532;top:15182;width:1175;height:2" coordorigin="3532,15182" coordsize="1175,0" path="m3532,15182l4707,15182e" filled="false" stroked="true" strokeweight=".47998pt" strokecolor="#000000">
                <v:path arrowok="t"/>
              </v:shape>
            </v:group>
            <v:group style="position:absolute;left:4712;top:1440;width:2;height:13748" coordorigin="4712,1440" coordsize="2,13748">
              <v:shape style="position:absolute;left:4712;top:1440;width:2;height:13748" coordorigin="4712,1440" coordsize="0,13748" path="m4712,1440l4712,15187e" filled="false" stroked="true" strokeweight=".48pt" strokecolor="#000000">
                <v:path arrowok="t"/>
              </v:shape>
            </v:group>
            <v:group style="position:absolute;left:4716;top:15182;width:1304;height:2" coordorigin="4716,15182" coordsize="1304,2">
              <v:shape style="position:absolute;left:4716;top:15182;width:1304;height:2" coordorigin="4716,15182" coordsize="1304,0" path="m4716,15182l6020,15182e" filled="false" stroked="true" strokeweight=".47998pt" strokecolor="#000000">
                <v:path arrowok="t"/>
              </v:shape>
            </v:group>
            <v:group style="position:absolute;left:6025;top:1440;width:2;height:13748" coordorigin="6025,1440" coordsize="2,13748">
              <v:shape style="position:absolute;left:6025;top:1440;width:2;height:13748" coordorigin="6025,1440" coordsize="0,13748" path="m6025,1440l6025,15187e" filled="false" stroked="true" strokeweight=".47998pt" strokecolor="#000000">
                <v:path arrowok="t"/>
              </v:shape>
            </v:group>
            <v:group style="position:absolute;left:6030;top:15182;width:1067;height:2" coordorigin="6030,15182" coordsize="1067,2">
              <v:shape style="position:absolute;left:6030;top:15182;width:1067;height:2" coordorigin="6030,15182" coordsize="1067,0" path="m6030,15182l7096,15182e" filled="false" stroked="true" strokeweight=".47998pt" strokecolor="#000000">
                <v:path arrowok="t"/>
              </v:shape>
            </v:group>
            <v:group style="position:absolute;left:7101;top:1440;width:2;height:13748" coordorigin="7101,1440" coordsize="2,13748">
              <v:shape style="position:absolute;left:7101;top:1440;width:2;height:13748" coordorigin="7101,1440" coordsize="0,13748" path="m7101,1440l7101,15187e" filled="false" stroked="true" strokeweight=".47998pt" strokecolor="#000000">
                <v:path arrowok="t"/>
              </v:shape>
            </v:group>
            <v:group style="position:absolute;left:7106;top:15182;width:1040;height:2" coordorigin="7106,15182" coordsize="1040,2">
              <v:shape style="position:absolute;left:7106;top:15182;width:1040;height:2" coordorigin="7106,15182" coordsize="1040,0" path="m7106,15182l8146,15182e" filled="false" stroked="true" strokeweight=".47998pt" strokecolor="#000000">
                <v:path arrowok="t"/>
              </v:shape>
            </v:group>
            <v:group style="position:absolute;left:8150;top:1440;width:2;height:13748" coordorigin="8150,1440" coordsize="2,13748">
              <v:shape style="position:absolute;left:8150;top:1440;width:2;height:13748" coordorigin="8150,1440" coordsize="0,13748" path="m8150,1440l8150,15187e" filled="false" stroked="true" strokeweight=".47998pt" strokecolor="#000000">
                <v:path arrowok="t"/>
              </v:shape>
            </v:group>
            <v:group style="position:absolute;left:8155;top:15182;width:1049;height:2" coordorigin="8155,15182" coordsize="1049,2">
              <v:shape style="position:absolute;left:8155;top:15182;width:1049;height:2" coordorigin="8155,15182" coordsize="1049,0" path="m8155,15182l9204,15182e" filled="false" stroked="true" strokeweight=".47998pt" strokecolor="#000000">
                <v:path arrowok="t"/>
              </v:shape>
            </v:group>
            <v:group style="position:absolute;left:9209;top:1440;width:2;height:13748" coordorigin="9209,1440" coordsize="2,13748">
              <v:shape style="position:absolute;left:9209;top:1440;width:2;height:13748" coordorigin="9209,1440" coordsize="0,13748" path="m9209,1440l9209,15187e" filled="false" stroked="true" strokeweight=".48001pt" strokecolor="#000000">
                <v:path arrowok="t"/>
              </v:shape>
            </v:group>
            <v:group style="position:absolute;left:9214;top:15182;width:798;height:2" coordorigin="9214,15182" coordsize="798,2">
              <v:shape style="position:absolute;left:9214;top:15182;width:798;height:2" coordorigin="9214,15182" coordsize="798,0" path="m9214,15182l10012,15182e" filled="false" stroked="true" strokeweight=".47998pt" strokecolor="#000000">
                <v:path arrowok="t"/>
              </v:shape>
            </v:group>
            <v:group style="position:absolute;left:10016;top:1440;width:2;height:13748" coordorigin="10016,1440" coordsize="2,13748">
              <v:shape style="position:absolute;left:10016;top:1440;width:2;height:13748" coordorigin="10016,1440" coordsize="0,13748" path="m10016,1440l10016,15187e" filled="false" stroked="true" strokeweight=".48001pt" strokecolor="#000000">
                <v:path arrowok="t"/>
              </v:shape>
            </v:group>
            <v:group style="position:absolute;left:10021;top:15182;width:776;height:2" coordorigin="10021,15182" coordsize="776,2">
              <v:shape style="position:absolute;left:10021;top:15182;width:776;height:2" coordorigin="10021,15182" coordsize="776,0" path="m10021,15182l10796,15182e" filled="false" stroked="true" strokeweight=".47998pt" strokecolor="#000000">
                <v:path arrowok="t"/>
              </v:shape>
            </v:group>
            <v:group style="position:absolute;left:10801;top:1440;width:2;height:13748" coordorigin="10801,1440" coordsize="2,13748">
              <v:shape style="position:absolute;left:10801;top:1440;width:2;height:13748" coordorigin="10801,1440" coordsize="0,13748" path="m10801,1440l10801,15187e" filled="false" stroked="true" strokeweight=".47998pt" strokecolor="#000000">
                <v:path arrowok="t"/>
              </v:shape>
            </v:group>
            <w10:wrap type="none"/>
          </v:group>
        </w:pict>
      </w:r>
      <w:r>
        <w:rPr>
          <w:position w:val="-11"/>
        </w:rPr>
        <w:t>日</w:t>
        <w:tab/>
      </w:r>
      <w:r>
        <w:rPr>
          <w:rFonts w:ascii="Times New Roman" w:hAnsi="Times New Roman" w:cs="Times New Roman" w:eastAsia="Times New Roman" w:hint="default"/>
        </w:rPr>
        <w:t>20,000</w:t>
      </w:r>
      <w:r>
        <w:rPr>
          <w:rFonts w:ascii="Times New Roman" w:hAnsi="Times New Roman" w:cs="Times New Roman" w:eastAsia="Times New Roman" w:hint="default"/>
          <w:spacing w:val="10"/>
        </w:rPr>
        <w:t> </w:t>
      </w:r>
      <w:r>
        <w:rPr>
          <w:position w:val="-11"/>
        </w:rPr>
        <w:t>日</w:t>
        <w:tab/>
      </w:r>
      <w:r>
        <w:rPr>
          <w:rFonts w:ascii="Times New Roman" w:hAnsi="Times New Roman" w:cs="Times New Roman" w:eastAsia="Times New Roman" w:hint="default"/>
        </w:rPr>
        <w:t>19,700</w:t>
      </w:r>
      <w:r>
        <w:rPr>
          <w:rFonts w:ascii="Times New Roman" w:hAnsi="Times New Roman" w:cs="Times New Roman" w:eastAsia="Times New Roman" w:hint="default"/>
          <w:spacing w:val="10"/>
        </w:rPr>
        <w:t> </w:t>
      </w:r>
      <w:r>
        <w:rPr>
          <w:position w:val="-11"/>
        </w:rPr>
        <w:t>证</w:t>
      </w:r>
      <w:r>
        <w:rPr/>
      </w:r>
    </w:p>
    <w:p>
      <w:pPr>
        <w:pStyle w:val="BodyText"/>
        <w:tabs>
          <w:tab w:pos="2695" w:val="left" w:leader="none"/>
        </w:tabs>
        <w:spacing w:line="295" w:lineRule="exact"/>
        <w:ind w:left="829" w:right="0"/>
        <w:jc w:val="left"/>
      </w:pPr>
      <w:r>
        <w:rPr/>
        <w:br w:type="column"/>
      </w:r>
      <w:r>
        <w:rPr/>
        <w:t>限届满之日</w:t>
      </w:r>
      <w:r>
        <w:rPr>
          <w:spacing w:val="69"/>
        </w:rPr>
        <w:t> </w:t>
      </w:r>
      <w:r>
        <w:rPr>
          <w:position w:val="12"/>
        </w:rPr>
        <w:t>否</w:t>
        <w:tab/>
        <w:t>是</w:t>
      </w:r>
      <w:r>
        <w:rPr/>
      </w:r>
    </w:p>
    <w:p>
      <w:pPr>
        <w:pStyle w:val="BodyText"/>
        <w:spacing w:line="234" w:lineRule="exact"/>
        <w:ind w:left="829" w:right="0"/>
        <w:jc w:val="left"/>
      </w:pPr>
      <w:r>
        <w:rPr/>
        <w:t>起两年</w:t>
      </w:r>
    </w:p>
    <w:p>
      <w:pPr>
        <w:spacing w:after="0" w:line="234" w:lineRule="exact"/>
        <w:jc w:val="left"/>
        <w:sectPr>
          <w:type w:val="continuous"/>
          <w:pgSz w:w="11910" w:h="16840"/>
          <w:pgMar w:top="1580" w:bottom="700" w:left="980" w:right="0"/>
          <w:cols w:num="2" w:equalWidth="0">
            <w:col w:w="6329" w:space="40"/>
            <w:col w:w="4561"/>
          </w:cols>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1134"/>
        <w:gridCol w:w="1286"/>
        <w:gridCol w:w="1184"/>
        <w:gridCol w:w="1313"/>
        <w:gridCol w:w="1076"/>
        <w:gridCol w:w="1049"/>
        <w:gridCol w:w="1058"/>
        <w:gridCol w:w="808"/>
        <w:gridCol w:w="785"/>
      </w:tblGrid>
      <w:tr>
        <w:trPr>
          <w:trHeight w:val="791"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1"/>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5</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5</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06</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39,122.04</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125"/>
              <w:jc w:val="both"/>
              <w:rPr>
                <w:rFonts w:ascii="宋体" w:hAnsi="宋体" w:cs="宋体" w:eastAsia="宋体" w:hint="default"/>
                <w:sz w:val="18"/>
                <w:szCs w:val="18"/>
              </w:rPr>
            </w:pPr>
            <w:r>
              <w:rPr>
                <w:rFonts w:ascii="宋体" w:hAnsi="宋体" w:cs="宋体" w:eastAsia="宋体" w:hint="default"/>
                <w:sz w:val="18"/>
                <w:szCs w:val="18"/>
              </w:rPr>
              <w:t>主合同项下 债务履行期 限届满之日 起两年。</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06</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36,214.46</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125"/>
              <w:jc w:val="both"/>
              <w:rPr>
                <w:rFonts w:ascii="宋体" w:hAnsi="宋体" w:cs="宋体" w:eastAsia="宋体" w:hint="default"/>
                <w:sz w:val="18"/>
                <w:szCs w:val="18"/>
              </w:rPr>
            </w:pPr>
            <w:r>
              <w:rPr>
                <w:rFonts w:ascii="宋体" w:hAnsi="宋体" w:cs="宋体" w:eastAsia="宋体" w:hint="default"/>
                <w:sz w:val="18"/>
                <w:szCs w:val="18"/>
              </w:rPr>
              <w:t>主合同项下 债务履行期 限届满之日 起两年。</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49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神码广州</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所有保证义 务最晚的履 行期届满之 日起两年，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8</w:t>
            </w:r>
          </w:p>
          <w:p>
            <w:pPr>
              <w:pStyle w:val="TableParagraph"/>
              <w:spacing w:line="221" w:lineRule="exact"/>
              <w:ind w:left="22" w:right="0"/>
              <w:jc w:val="both"/>
              <w:rPr>
                <w:rFonts w:ascii="宋体" w:hAnsi="宋体" w:cs="宋体" w:eastAsia="宋体" w:hint="default"/>
                <w:sz w:val="18"/>
                <w:szCs w:val="18"/>
              </w:rPr>
            </w:pPr>
            <w:r>
              <w:rPr>
                <w:rFonts w:ascii="宋体" w:hAnsi="宋体" w:cs="宋体" w:eastAsia="宋体" w:hint="default"/>
                <w:sz w:val="18"/>
                <w:szCs w:val="18"/>
              </w:rPr>
              <w:t>日终止</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神码广州</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27</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109,472</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21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2021</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1"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13,760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25"/>
              <w:jc w:val="left"/>
              <w:rPr>
                <w:rFonts w:ascii="宋体" w:hAnsi="宋体" w:cs="宋体" w:eastAsia="宋体" w:hint="default"/>
                <w:sz w:val="18"/>
                <w:szCs w:val="18"/>
              </w:rPr>
            </w:pPr>
            <w:r>
              <w:rPr>
                <w:rFonts w:ascii="宋体" w:hAnsi="宋体" w:cs="宋体" w:eastAsia="宋体" w:hint="default"/>
                <w:sz w:val="18"/>
                <w:szCs w:val="18"/>
              </w:rPr>
              <w:t>主债权届满 之日起两年</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01"/>
              <w:jc w:val="left"/>
              <w:rPr>
                <w:rFonts w:ascii="宋体" w:hAnsi="宋体" w:cs="宋体" w:eastAsia="宋体" w:hint="default"/>
                <w:sz w:val="18"/>
                <w:szCs w:val="18"/>
              </w:rPr>
            </w:pPr>
            <w:r>
              <w:rPr>
                <w:rFonts w:ascii="宋体" w:hAnsi="宋体" w:cs="宋体" w:eastAsia="宋体" w:hint="default"/>
                <w:sz w:val="18"/>
                <w:szCs w:val="18"/>
              </w:rPr>
              <w:t>神码科技发 展</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25"/>
              <w:jc w:val="left"/>
              <w:rPr>
                <w:rFonts w:ascii="宋体" w:hAnsi="宋体" w:cs="宋体" w:eastAsia="宋体" w:hint="default"/>
                <w:sz w:val="18"/>
                <w:szCs w:val="18"/>
              </w:rPr>
            </w:pPr>
            <w:r>
              <w:rPr>
                <w:rFonts w:ascii="宋体" w:hAnsi="宋体" w:cs="宋体" w:eastAsia="宋体" w:hint="default"/>
                <w:sz w:val="18"/>
                <w:szCs w:val="18"/>
              </w:rPr>
              <w:t>主债权届满 之日起两年</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01"/>
              <w:jc w:val="left"/>
              <w:rPr>
                <w:rFonts w:ascii="宋体" w:hAnsi="宋体" w:cs="宋体" w:eastAsia="宋体" w:hint="default"/>
                <w:sz w:val="18"/>
                <w:szCs w:val="18"/>
              </w:rPr>
            </w:pPr>
            <w:r>
              <w:rPr>
                <w:rFonts w:ascii="宋体" w:hAnsi="宋体" w:cs="宋体" w:eastAsia="宋体" w:hint="default"/>
                <w:sz w:val="18"/>
                <w:szCs w:val="18"/>
              </w:rPr>
              <w:t>神码科技发 展</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25"/>
              <w:jc w:val="left"/>
              <w:rPr>
                <w:rFonts w:ascii="宋体" w:hAnsi="宋体" w:cs="宋体" w:eastAsia="宋体" w:hint="default"/>
                <w:sz w:val="18"/>
                <w:szCs w:val="18"/>
              </w:rPr>
            </w:pPr>
            <w:r>
              <w:rPr>
                <w:rFonts w:ascii="宋体" w:hAnsi="宋体" w:cs="宋体" w:eastAsia="宋体" w:hint="default"/>
                <w:sz w:val="18"/>
                <w:szCs w:val="18"/>
              </w:rPr>
              <w:t>主债权届满 之日起两年</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01"/>
              <w:jc w:val="left"/>
              <w:rPr>
                <w:rFonts w:ascii="宋体" w:hAnsi="宋体" w:cs="宋体" w:eastAsia="宋体" w:hint="default"/>
                <w:sz w:val="18"/>
                <w:szCs w:val="18"/>
              </w:rPr>
            </w:pPr>
            <w:r>
              <w:rPr>
                <w:rFonts w:ascii="宋体" w:hAnsi="宋体" w:cs="宋体" w:eastAsia="宋体" w:hint="default"/>
                <w:sz w:val="18"/>
                <w:szCs w:val="18"/>
              </w:rPr>
              <w:t>神码科技发 展</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25"/>
              <w:jc w:val="left"/>
              <w:rPr>
                <w:rFonts w:ascii="宋体" w:hAnsi="宋体" w:cs="宋体" w:eastAsia="宋体" w:hint="default"/>
                <w:sz w:val="18"/>
                <w:szCs w:val="18"/>
              </w:rPr>
            </w:pPr>
            <w:r>
              <w:rPr>
                <w:rFonts w:ascii="宋体" w:hAnsi="宋体" w:cs="宋体" w:eastAsia="宋体" w:hint="default"/>
                <w:sz w:val="18"/>
                <w:szCs w:val="18"/>
              </w:rPr>
              <w:t>主债权届满 之日起两年</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01"/>
              <w:jc w:val="left"/>
              <w:rPr>
                <w:rFonts w:ascii="宋体" w:hAnsi="宋体" w:cs="宋体" w:eastAsia="宋体" w:hint="default"/>
                <w:sz w:val="18"/>
                <w:szCs w:val="18"/>
              </w:rPr>
            </w:pPr>
            <w:r>
              <w:rPr>
                <w:rFonts w:ascii="宋体" w:hAnsi="宋体" w:cs="宋体" w:eastAsia="宋体" w:hint="default"/>
                <w:sz w:val="18"/>
                <w:szCs w:val="18"/>
              </w:rPr>
              <w:t>神码科技发 展</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18,576</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25"/>
              <w:jc w:val="left"/>
              <w:rPr>
                <w:rFonts w:ascii="宋体" w:hAnsi="宋体" w:cs="宋体" w:eastAsia="宋体" w:hint="default"/>
                <w:sz w:val="18"/>
                <w:szCs w:val="18"/>
              </w:rPr>
            </w:pPr>
            <w:r>
              <w:rPr>
                <w:rFonts w:ascii="宋体" w:hAnsi="宋体" w:cs="宋体" w:eastAsia="宋体" w:hint="default"/>
                <w:sz w:val="18"/>
                <w:szCs w:val="18"/>
              </w:rPr>
              <w:t>主债权届满 之日起两年</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01"/>
              <w:jc w:val="left"/>
              <w:rPr>
                <w:rFonts w:ascii="宋体" w:hAnsi="宋体" w:cs="宋体" w:eastAsia="宋体" w:hint="default"/>
                <w:sz w:val="18"/>
                <w:szCs w:val="18"/>
              </w:rPr>
            </w:pPr>
            <w:r>
              <w:rPr>
                <w:rFonts w:ascii="宋体" w:hAnsi="宋体" w:cs="宋体" w:eastAsia="宋体" w:hint="default"/>
                <w:sz w:val="18"/>
                <w:szCs w:val="18"/>
              </w:rPr>
              <w:t>神码数据服 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4,128</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25"/>
              <w:jc w:val="left"/>
              <w:rPr>
                <w:rFonts w:ascii="宋体" w:hAnsi="宋体" w:cs="宋体" w:eastAsia="宋体" w:hint="default"/>
                <w:sz w:val="18"/>
                <w:szCs w:val="18"/>
              </w:rPr>
            </w:pPr>
            <w:r>
              <w:rPr>
                <w:rFonts w:ascii="宋体" w:hAnsi="宋体" w:cs="宋体" w:eastAsia="宋体" w:hint="default"/>
                <w:sz w:val="18"/>
                <w:szCs w:val="18"/>
              </w:rPr>
              <w:t>主债权届满 之日起两年</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神码香港</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6,880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125"/>
              <w:jc w:val="left"/>
              <w:rPr>
                <w:rFonts w:ascii="宋体" w:hAnsi="宋体" w:cs="宋体" w:eastAsia="宋体" w:hint="default"/>
                <w:sz w:val="18"/>
                <w:szCs w:val="18"/>
              </w:rPr>
            </w:pPr>
            <w:r>
              <w:rPr>
                <w:rFonts w:ascii="宋体" w:hAnsi="宋体" w:cs="宋体" w:eastAsia="宋体" w:hint="default"/>
                <w:sz w:val="18"/>
                <w:szCs w:val="18"/>
              </w:rPr>
              <w:t>主债权届满 之日起两年</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1,376</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125"/>
              <w:jc w:val="left"/>
              <w:rPr>
                <w:rFonts w:ascii="宋体" w:hAnsi="宋体" w:cs="宋体" w:eastAsia="宋体" w:hint="default"/>
                <w:sz w:val="18"/>
                <w:szCs w:val="18"/>
              </w:rPr>
            </w:pPr>
            <w:r>
              <w:rPr>
                <w:rFonts w:ascii="宋体" w:hAnsi="宋体" w:cs="宋体" w:eastAsia="宋体" w:hint="default"/>
                <w:sz w:val="18"/>
                <w:szCs w:val="18"/>
              </w:rPr>
              <w:t>主债权届满 之日起两年</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1"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神码香港</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13</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2,064</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14</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9"/>
              <w:ind w:left="22" w:right="125"/>
              <w:jc w:val="both"/>
              <w:rPr>
                <w:rFonts w:ascii="宋体" w:hAnsi="宋体" w:cs="宋体" w:eastAsia="宋体" w:hint="default"/>
                <w:sz w:val="18"/>
                <w:szCs w:val="18"/>
              </w:rPr>
            </w:pPr>
            <w:r>
              <w:rPr>
                <w:rFonts w:ascii="宋体" w:hAnsi="宋体" w:cs="宋体" w:eastAsia="宋体" w:hint="default"/>
                <w:sz w:val="18"/>
                <w:szCs w:val="18"/>
              </w:rPr>
              <w:t>主债权届满 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1"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28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399</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1"/>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8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left="22" w:right="0"/>
              <w:jc w:val="left"/>
              <w:rPr>
                <w:rFonts w:ascii="宋体" w:hAnsi="宋体" w:cs="宋体" w:eastAsia="宋体" w:hint="default"/>
                <w:sz w:val="18"/>
                <w:szCs w:val="18"/>
              </w:rPr>
            </w:pPr>
            <w:r>
              <w:rPr>
                <w:rFonts w:ascii="宋体" w:hAnsi="宋体" w:cs="宋体" w:eastAsia="宋体" w:hint="default"/>
                <w:sz w:val="18"/>
                <w:szCs w:val="18"/>
              </w:rPr>
              <w:t>神码上海</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06</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30" w:lineRule="auto" w:before="1"/>
              <w:ind w:left="22" w:right="79"/>
              <w:jc w:val="both"/>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日至最后 一笔被担保 债务的最终</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1134"/>
        <w:gridCol w:w="1286"/>
        <w:gridCol w:w="1184"/>
        <w:gridCol w:w="1313"/>
        <w:gridCol w:w="1076"/>
        <w:gridCol w:w="1049"/>
        <w:gridCol w:w="1058"/>
        <w:gridCol w:w="808"/>
        <w:gridCol w:w="785"/>
      </w:tblGrid>
      <w:tr>
        <w:trPr>
          <w:trHeight w:val="750" w:hRule="exact"/>
        </w:trPr>
        <w:tc>
          <w:tcPr>
            <w:tcW w:w="1134"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到期日后满</w:t>
            </w:r>
          </w:p>
          <w:p>
            <w:pPr>
              <w:pStyle w:val="TableParagraph"/>
              <w:spacing w:line="232" w:lineRule="exact" w:before="24"/>
              <w:ind w:left="22" w:right="2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年）之日</w:t>
            </w:r>
            <w:r>
              <w:rPr>
                <w:rFonts w:ascii="宋体" w:hAnsi="宋体" w:cs="宋体" w:eastAsia="宋体" w:hint="default"/>
                <w:sz w:val="18"/>
                <w:szCs w:val="18"/>
              </w:rPr>
              <w:t> 终止</w:t>
            </w:r>
          </w:p>
        </w:tc>
        <w:tc>
          <w:tcPr>
            <w:tcW w:w="80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28</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125"/>
              <w:jc w:val="left"/>
              <w:rPr>
                <w:rFonts w:ascii="宋体" w:hAnsi="宋体" w:cs="宋体" w:eastAsia="宋体" w:hint="default"/>
                <w:sz w:val="18"/>
                <w:szCs w:val="18"/>
              </w:rPr>
            </w:pPr>
            <w:r>
              <w:rPr>
                <w:rFonts w:ascii="宋体" w:hAnsi="宋体" w:cs="宋体" w:eastAsia="宋体" w:hint="default"/>
                <w:sz w:val="18"/>
                <w:szCs w:val="18"/>
              </w:rPr>
              <w:t>主债权届满 之日起三年</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41,280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125"/>
              <w:jc w:val="left"/>
              <w:rPr>
                <w:rFonts w:ascii="宋体" w:hAnsi="宋体" w:cs="宋体" w:eastAsia="宋体" w:hint="default"/>
                <w:sz w:val="18"/>
                <w:szCs w:val="18"/>
              </w:rPr>
            </w:pPr>
            <w:r>
              <w:rPr>
                <w:rFonts w:ascii="宋体" w:hAnsi="宋体" w:cs="宋体" w:eastAsia="宋体" w:hint="default"/>
                <w:sz w:val="18"/>
                <w:szCs w:val="18"/>
              </w:rPr>
              <w:t>主债权届满 之日起两年</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28</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41,280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4,180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125"/>
              <w:jc w:val="left"/>
              <w:rPr>
                <w:rFonts w:ascii="宋体" w:hAnsi="宋体" w:cs="宋体" w:eastAsia="宋体" w:hint="default"/>
                <w:sz w:val="18"/>
                <w:szCs w:val="18"/>
              </w:rPr>
            </w:pPr>
            <w:r>
              <w:rPr>
                <w:rFonts w:ascii="宋体" w:hAnsi="宋体" w:cs="宋体" w:eastAsia="宋体" w:hint="default"/>
                <w:sz w:val="18"/>
                <w:szCs w:val="18"/>
              </w:rPr>
              <w:t>主债权届满 之日起两年</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1"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08</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9,750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w:t>
            </w:r>
          </w:p>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1"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16</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9,750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3,562</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125"/>
              <w:jc w:val="both"/>
              <w:rPr>
                <w:rFonts w:ascii="宋体" w:hAnsi="宋体" w:cs="宋体" w:eastAsia="宋体" w:hint="default"/>
                <w:sz w:val="18"/>
                <w:szCs w:val="18"/>
              </w:rPr>
            </w:pPr>
            <w:r>
              <w:rPr>
                <w:rFonts w:ascii="宋体" w:hAnsi="宋体" w:cs="宋体" w:eastAsia="宋体" w:hint="default"/>
                <w:sz w:val="18"/>
                <w:szCs w:val="18"/>
              </w:rPr>
              <w:t>主债权届满 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28</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25"/>
              <w:jc w:val="left"/>
              <w:rPr>
                <w:rFonts w:ascii="宋体" w:hAnsi="宋体" w:cs="宋体" w:eastAsia="宋体" w:hint="default"/>
                <w:sz w:val="18"/>
                <w:szCs w:val="18"/>
              </w:rPr>
            </w:pPr>
            <w:r>
              <w:rPr>
                <w:rFonts w:ascii="宋体" w:hAnsi="宋体" w:cs="宋体" w:eastAsia="宋体" w:hint="default"/>
                <w:sz w:val="18"/>
                <w:szCs w:val="18"/>
              </w:rPr>
              <w:t>主债权届满 之日起三年</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28</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25"/>
              <w:jc w:val="left"/>
              <w:rPr>
                <w:rFonts w:ascii="宋体" w:hAnsi="宋体" w:cs="宋体" w:eastAsia="宋体" w:hint="default"/>
                <w:sz w:val="18"/>
                <w:szCs w:val="18"/>
              </w:rPr>
            </w:pPr>
            <w:r>
              <w:rPr>
                <w:rFonts w:ascii="宋体" w:hAnsi="宋体" w:cs="宋体" w:eastAsia="宋体" w:hint="default"/>
                <w:sz w:val="18"/>
                <w:szCs w:val="18"/>
              </w:rPr>
              <w:t>主债权届满 之日起三年</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24</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2,238</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25"/>
              <w:jc w:val="both"/>
              <w:rPr>
                <w:rFonts w:ascii="宋体" w:hAnsi="宋体" w:cs="宋体" w:eastAsia="宋体" w:hint="default"/>
                <w:sz w:val="18"/>
                <w:szCs w:val="18"/>
              </w:rPr>
            </w:pPr>
            <w:r>
              <w:rPr>
                <w:rFonts w:ascii="宋体" w:hAnsi="宋体" w:cs="宋体" w:eastAsia="宋体" w:hint="default"/>
                <w:sz w:val="18"/>
                <w:szCs w:val="18"/>
              </w:rPr>
              <w:t>主债务履行 期届满之日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28</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125"/>
              <w:jc w:val="left"/>
              <w:rPr>
                <w:rFonts w:ascii="宋体" w:hAnsi="宋体" w:cs="宋体" w:eastAsia="宋体" w:hint="default"/>
                <w:sz w:val="18"/>
                <w:szCs w:val="18"/>
              </w:rPr>
            </w:pPr>
            <w:r>
              <w:rPr>
                <w:rFonts w:ascii="宋体" w:hAnsi="宋体" w:cs="宋体" w:eastAsia="宋体" w:hint="default"/>
                <w:sz w:val="18"/>
                <w:szCs w:val="18"/>
              </w:rPr>
              <w:t>主债权届满 之日起三年</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28</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2,238</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125"/>
              <w:jc w:val="left"/>
              <w:rPr>
                <w:rFonts w:ascii="宋体" w:hAnsi="宋体" w:cs="宋体" w:eastAsia="宋体" w:hint="default"/>
                <w:sz w:val="18"/>
                <w:szCs w:val="18"/>
              </w:rPr>
            </w:pPr>
            <w:r>
              <w:rPr>
                <w:rFonts w:ascii="宋体" w:hAnsi="宋体" w:cs="宋体" w:eastAsia="宋体" w:hint="default"/>
                <w:sz w:val="18"/>
                <w:szCs w:val="18"/>
              </w:rPr>
              <w:t>主债权届满 之日起三年</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258"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神码广州</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1" w:lineRule="exact" w:before="15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06</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1" w:lineRule="exact" w:before="15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32" w:lineRule="exact"/>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79"/>
              <w:jc w:val="both"/>
              <w:rPr>
                <w:rFonts w:ascii="Times New Roman" w:hAnsi="Times New Roman" w:cs="Times New Roman" w:eastAsia="Times New Roman" w:hint="default"/>
                <w:sz w:val="18"/>
                <w:szCs w:val="18"/>
              </w:rPr>
            </w:pPr>
            <w:r>
              <w:rPr>
                <w:rFonts w:ascii="宋体" w:hAnsi="宋体" w:cs="宋体" w:eastAsia="宋体" w:hint="default"/>
                <w:sz w:val="18"/>
                <w:szCs w:val="18"/>
              </w:rPr>
              <w:t>合同义务履 行期届满之 日起至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p>
          <w:p>
            <w:pPr>
              <w:pStyle w:val="TableParagraph"/>
              <w:spacing w:line="232" w:lineRule="exact" w:before="10"/>
              <w:ind w:left="22" w:right="35"/>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止</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1"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神码上海</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21</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125"/>
              <w:jc w:val="both"/>
              <w:rPr>
                <w:rFonts w:ascii="宋体" w:hAnsi="宋体" w:cs="宋体" w:eastAsia="宋体" w:hint="default"/>
                <w:sz w:val="18"/>
                <w:szCs w:val="18"/>
              </w:rPr>
            </w:pPr>
            <w:r>
              <w:rPr>
                <w:rFonts w:ascii="宋体" w:hAnsi="宋体" w:cs="宋体" w:eastAsia="宋体" w:hint="default"/>
                <w:sz w:val="18"/>
                <w:szCs w:val="18"/>
              </w:rPr>
              <w:t>主债权届满 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26</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w:t>
            </w:r>
          </w:p>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49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15</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203</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125"/>
              <w:jc w:val="both"/>
              <w:rPr>
                <w:rFonts w:ascii="宋体" w:hAnsi="宋体" w:cs="宋体" w:eastAsia="宋体" w:hint="default"/>
                <w:sz w:val="18"/>
                <w:szCs w:val="18"/>
              </w:rPr>
            </w:pPr>
            <w:r>
              <w:rPr>
                <w:rFonts w:ascii="宋体" w:hAnsi="宋体" w:cs="宋体" w:eastAsia="宋体" w:hint="default"/>
                <w:sz w:val="18"/>
                <w:szCs w:val="18"/>
              </w:rPr>
              <w:t>担保期间为 被保证交易 约定的债务 履行期限届 满之日起两 年</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257"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2" w:lineRule="exact" w:before="1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26</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2" w:lineRule="exact" w:before="1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101</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25"/>
              <w:jc w:val="both"/>
              <w:rPr>
                <w:rFonts w:ascii="宋体" w:hAnsi="宋体" w:cs="宋体" w:eastAsia="宋体" w:hint="default"/>
                <w:sz w:val="18"/>
                <w:szCs w:val="18"/>
              </w:rPr>
            </w:pPr>
            <w:r>
              <w:rPr>
                <w:rFonts w:ascii="宋体" w:hAnsi="宋体" w:cs="宋体" w:eastAsia="宋体" w:hint="default"/>
                <w:sz w:val="18"/>
                <w:szCs w:val="18"/>
              </w:rPr>
              <w:t>自被保证交 易约定的债 务履行期限 届满之日起 两年</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1"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201"/>
              <w:jc w:val="left"/>
              <w:rPr>
                <w:rFonts w:ascii="宋体" w:hAnsi="宋体" w:cs="宋体" w:eastAsia="宋体" w:hint="default"/>
                <w:sz w:val="18"/>
                <w:szCs w:val="18"/>
              </w:rPr>
            </w:pPr>
            <w:r>
              <w:rPr>
                <w:rFonts w:ascii="宋体" w:hAnsi="宋体" w:cs="宋体" w:eastAsia="宋体" w:hint="default"/>
                <w:sz w:val="18"/>
                <w:szCs w:val="18"/>
              </w:rPr>
              <w:t>神码中国杭 州分公司</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125"/>
              <w:jc w:val="both"/>
              <w:rPr>
                <w:rFonts w:ascii="宋体" w:hAnsi="宋体" w:cs="宋体" w:eastAsia="宋体" w:hint="default"/>
                <w:sz w:val="18"/>
                <w:szCs w:val="18"/>
              </w:rPr>
            </w:pPr>
            <w:r>
              <w:rPr>
                <w:rFonts w:ascii="宋体" w:hAnsi="宋体" w:cs="宋体" w:eastAsia="宋体" w:hint="default"/>
                <w:sz w:val="18"/>
                <w:szCs w:val="18"/>
              </w:rPr>
              <w:t>主债务履行 期届满之日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17"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2"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08</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z w:val="18"/>
              </w:rPr>
              <w:t>10,000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连带责任保</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1134"/>
        <w:gridCol w:w="1286"/>
        <w:gridCol w:w="1184"/>
        <w:gridCol w:w="1313"/>
        <w:gridCol w:w="1076"/>
        <w:gridCol w:w="1049"/>
        <w:gridCol w:w="1058"/>
        <w:gridCol w:w="808"/>
        <w:gridCol w:w="785"/>
      </w:tblGrid>
      <w:tr>
        <w:trPr>
          <w:trHeight w:val="283" w:hRule="exact"/>
        </w:trPr>
        <w:tc>
          <w:tcPr>
            <w:tcW w:w="1134"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7</w:t>
            </w:r>
          </w:p>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神码供应链</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2,932</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7</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1"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神码南京</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7</w:t>
            </w:r>
          </w:p>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1"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1"/>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7</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7</w:t>
            </w:r>
          </w:p>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1"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06</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645</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上海云角</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13</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821</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32" w:lineRule="exact"/>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80"/>
              <w:jc w:val="both"/>
              <w:rPr>
                <w:rFonts w:ascii="宋体" w:hAnsi="宋体" w:cs="宋体" w:eastAsia="宋体" w:hint="default"/>
                <w:sz w:val="18"/>
                <w:szCs w:val="18"/>
              </w:rPr>
            </w:pPr>
            <w:r>
              <w:rPr>
                <w:rFonts w:ascii="宋体" w:hAnsi="宋体" w:cs="宋体" w:eastAsia="宋体" w:hint="default"/>
                <w:sz w:val="18"/>
                <w:szCs w:val="18"/>
              </w:rPr>
              <w:t>担保协议生 效之日起至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34" w:lineRule="exact"/>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上海云角</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25"/>
              <w:jc w:val="both"/>
              <w:rPr>
                <w:rFonts w:ascii="宋体" w:hAnsi="宋体" w:cs="宋体" w:eastAsia="宋体" w:hint="default"/>
                <w:sz w:val="18"/>
                <w:szCs w:val="18"/>
              </w:rPr>
            </w:pPr>
            <w:r>
              <w:rPr>
                <w:rFonts w:ascii="宋体" w:hAnsi="宋体" w:cs="宋体" w:eastAsia="宋体" w:hint="default"/>
                <w:sz w:val="18"/>
                <w:szCs w:val="18"/>
              </w:rPr>
              <w:t>主债务履行 期届满之日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1"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26</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2,748</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3"/>
              <w:ind w:left="22" w:right="125"/>
              <w:jc w:val="both"/>
              <w:rPr>
                <w:rFonts w:ascii="宋体" w:hAnsi="宋体" w:cs="宋体" w:eastAsia="宋体" w:hint="default"/>
                <w:sz w:val="18"/>
                <w:szCs w:val="18"/>
              </w:rPr>
            </w:pPr>
            <w:r>
              <w:rPr>
                <w:rFonts w:ascii="宋体" w:hAnsi="宋体" w:cs="宋体" w:eastAsia="宋体" w:hint="default"/>
                <w:sz w:val="18"/>
                <w:szCs w:val="18"/>
              </w:rPr>
              <w:t>主债务履行 期届满之日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1"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神码广州</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25"/>
              <w:jc w:val="both"/>
              <w:rPr>
                <w:rFonts w:ascii="宋体" w:hAnsi="宋体" w:cs="宋体" w:eastAsia="宋体" w:hint="default"/>
                <w:sz w:val="18"/>
                <w:szCs w:val="18"/>
              </w:rPr>
            </w:pPr>
            <w:r>
              <w:rPr>
                <w:rFonts w:ascii="宋体" w:hAnsi="宋体" w:cs="宋体" w:eastAsia="宋体" w:hint="default"/>
                <w:sz w:val="18"/>
                <w:szCs w:val="18"/>
              </w:rPr>
              <w:t>主债务履行 期届满之日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神码广州</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29</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25"/>
              <w:jc w:val="both"/>
              <w:rPr>
                <w:rFonts w:ascii="宋体" w:hAnsi="宋体" w:cs="宋体" w:eastAsia="宋体" w:hint="default"/>
                <w:sz w:val="18"/>
                <w:szCs w:val="18"/>
              </w:rPr>
            </w:pPr>
            <w:r>
              <w:rPr>
                <w:rFonts w:ascii="宋体" w:hAnsi="宋体" w:cs="宋体" w:eastAsia="宋体" w:hint="default"/>
                <w:sz w:val="18"/>
                <w:szCs w:val="18"/>
              </w:rPr>
              <w:t>主债务履行 期届满之日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1"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27</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9"/>
              <w:ind w:left="22" w:right="125"/>
              <w:jc w:val="both"/>
              <w:rPr>
                <w:rFonts w:ascii="宋体" w:hAnsi="宋体" w:cs="宋体" w:eastAsia="宋体" w:hint="default"/>
                <w:sz w:val="18"/>
                <w:szCs w:val="18"/>
              </w:rPr>
            </w:pPr>
            <w:r>
              <w:rPr>
                <w:rFonts w:ascii="宋体" w:hAnsi="宋体" w:cs="宋体" w:eastAsia="宋体" w:hint="default"/>
                <w:sz w:val="18"/>
                <w:szCs w:val="18"/>
              </w:rPr>
              <w:t>主债权届满 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神码广州</w:t>
            </w:r>
          </w:p>
        </w:tc>
        <w:tc>
          <w:tcPr>
            <w:tcW w:w="128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49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25</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125"/>
              <w:jc w:val="both"/>
              <w:rPr>
                <w:rFonts w:ascii="宋体" w:hAnsi="宋体" w:cs="宋体" w:eastAsia="宋体" w:hint="default"/>
                <w:sz w:val="18"/>
                <w:szCs w:val="18"/>
              </w:rPr>
            </w:pPr>
            <w:r>
              <w:rPr>
                <w:rFonts w:ascii="宋体" w:hAnsi="宋体" w:cs="宋体" w:eastAsia="宋体" w:hint="default"/>
                <w:sz w:val="18"/>
                <w:szCs w:val="18"/>
              </w:rPr>
              <w:t>从签署日起 至主合同项 下被保证人 债务履行期 届满之后两 年止。</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257"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2" w:lineRule="exact" w:before="1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2" w:lineRule="exact" w:before="1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25"/>
              <w:jc w:val="both"/>
              <w:rPr>
                <w:rFonts w:ascii="宋体" w:hAnsi="宋体" w:cs="宋体" w:eastAsia="宋体" w:hint="default"/>
                <w:sz w:val="18"/>
                <w:szCs w:val="18"/>
              </w:rPr>
            </w:pPr>
            <w:r>
              <w:rPr>
                <w:rFonts w:ascii="宋体" w:hAnsi="宋体" w:cs="宋体" w:eastAsia="宋体" w:hint="default"/>
                <w:sz w:val="18"/>
                <w:szCs w:val="18"/>
              </w:rPr>
              <w:t>主合同项下 最后到期主 债务履行期 限届满之日 后两年</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128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34,400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1134"/>
        <w:gridCol w:w="1286"/>
        <w:gridCol w:w="1184"/>
        <w:gridCol w:w="1313"/>
        <w:gridCol w:w="1076"/>
        <w:gridCol w:w="1049"/>
        <w:gridCol w:w="1058"/>
        <w:gridCol w:w="808"/>
        <w:gridCol w:w="785"/>
      </w:tblGrid>
      <w:tr>
        <w:trPr>
          <w:trHeight w:val="517" w:hRule="exact"/>
        </w:trPr>
        <w:tc>
          <w:tcPr>
            <w:tcW w:w="1134"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30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201"/>
              <w:jc w:val="left"/>
              <w:rPr>
                <w:rFonts w:ascii="宋体" w:hAnsi="宋体" w:cs="宋体" w:eastAsia="宋体" w:hint="default"/>
                <w:sz w:val="18"/>
                <w:szCs w:val="18"/>
              </w:rPr>
            </w:pPr>
            <w:r>
              <w:rPr>
                <w:rFonts w:ascii="宋体" w:hAnsi="宋体" w:cs="宋体" w:eastAsia="宋体" w:hint="default"/>
                <w:sz w:val="18"/>
                <w:szCs w:val="18"/>
              </w:rPr>
              <w:t>神码科技发 展</w:t>
            </w:r>
          </w:p>
        </w:tc>
        <w:tc>
          <w:tcPr>
            <w:tcW w:w="128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34,400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30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3"/>
              <w:ind w:left="22" w:right="125"/>
              <w:jc w:val="both"/>
              <w:rPr>
                <w:rFonts w:ascii="宋体" w:hAnsi="宋体" w:cs="宋体" w:eastAsia="宋体" w:hint="default"/>
                <w:sz w:val="18"/>
                <w:szCs w:val="18"/>
              </w:rPr>
            </w:pPr>
            <w:r>
              <w:rPr>
                <w:rFonts w:ascii="宋体" w:hAnsi="宋体" w:cs="宋体" w:eastAsia="宋体" w:hint="default"/>
                <w:sz w:val="18"/>
                <w:szCs w:val="18"/>
              </w:rPr>
              <w:t>主合同项下 债务履行期 届满之日起 两年。</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258"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神码广州</w:t>
            </w:r>
          </w:p>
        </w:tc>
        <w:tc>
          <w:tcPr>
            <w:tcW w:w="128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1" w:lineRule="exact" w:before="15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32" w:lineRule="exact"/>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125"/>
              <w:jc w:val="both"/>
              <w:rPr>
                <w:rFonts w:ascii="宋体" w:hAnsi="宋体" w:cs="宋体" w:eastAsia="宋体" w:hint="default"/>
                <w:sz w:val="18"/>
                <w:szCs w:val="18"/>
              </w:rPr>
            </w:pPr>
            <w:r>
              <w:rPr>
                <w:rFonts w:ascii="宋体" w:hAnsi="宋体" w:cs="宋体" w:eastAsia="宋体" w:hint="default"/>
                <w:sz w:val="18"/>
                <w:szCs w:val="18"/>
              </w:rPr>
              <w:t>从签署日起 至主合同项 下的借款期 限届满之次 日起两年。</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116,960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16</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14,691.37</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125"/>
              <w:jc w:val="both"/>
              <w:rPr>
                <w:rFonts w:ascii="宋体" w:hAnsi="宋体" w:cs="宋体" w:eastAsia="宋体" w:hint="default"/>
                <w:sz w:val="18"/>
                <w:szCs w:val="18"/>
              </w:rPr>
            </w:pPr>
            <w:r>
              <w:rPr>
                <w:rFonts w:ascii="宋体" w:hAnsi="宋体" w:cs="宋体" w:eastAsia="宋体" w:hint="default"/>
                <w:sz w:val="18"/>
                <w:szCs w:val="18"/>
              </w:rPr>
              <w:t>自主合同债 务人履行债 务期限届满 之日起两年</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神码广州</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13</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125"/>
              <w:jc w:val="both"/>
              <w:rPr>
                <w:rFonts w:ascii="宋体" w:hAnsi="宋体" w:cs="宋体" w:eastAsia="宋体" w:hint="default"/>
                <w:sz w:val="18"/>
                <w:szCs w:val="18"/>
              </w:rPr>
            </w:pPr>
            <w:r>
              <w:rPr>
                <w:rFonts w:ascii="宋体" w:hAnsi="宋体" w:cs="宋体" w:eastAsia="宋体" w:hint="default"/>
                <w:sz w:val="18"/>
                <w:szCs w:val="18"/>
              </w:rPr>
              <w:t>自主合同债 务人履行债 务期限届满 之日起两年</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23</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125"/>
              <w:jc w:val="both"/>
              <w:rPr>
                <w:rFonts w:ascii="宋体" w:hAnsi="宋体" w:cs="宋体" w:eastAsia="宋体" w:hint="default"/>
                <w:sz w:val="18"/>
                <w:szCs w:val="18"/>
              </w:rPr>
            </w:pPr>
            <w:r>
              <w:rPr>
                <w:rFonts w:ascii="宋体" w:hAnsi="宋体" w:cs="宋体" w:eastAsia="宋体" w:hint="default"/>
                <w:sz w:val="18"/>
                <w:szCs w:val="18"/>
              </w:rPr>
              <w:t>自主合同债 务人履行债 务期限届满 之日起两年</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30,960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25,500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25"/>
              <w:jc w:val="both"/>
              <w:rPr>
                <w:rFonts w:ascii="宋体" w:hAnsi="宋体" w:cs="宋体" w:eastAsia="宋体" w:hint="default"/>
                <w:sz w:val="18"/>
                <w:szCs w:val="18"/>
              </w:rPr>
            </w:pPr>
            <w:r>
              <w:rPr>
                <w:rFonts w:ascii="宋体" w:hAnsi="宋体" w:cs="宋体" w:eastAsia="宋体" w:hint="default"/>
                <w:sz w:val="18"/>
                <w:szCs w:val="18"/>
              </w:rPr>
              <w:t>债务履行期 届满日起两 年</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1"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30,960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125"/>
              <w:jc w:val="both"/>
              <w:rPr>
                <w:rFonts w:ascii="宋体" w:hAnsi="宋体" w:cs="宋体" w:eastAsia="宋体" w:hint="default"/>
                <w:sz w:val="18"/>
                <w:szCs w:val="18"/>
              </w:rPr>
            </w:pPr>
            <w:r>
              <w:rPr>
                <w:rFonts w:ascii="宋体" w:hAnsi="宋体" w:cs="宋体" w:eastAsia="宋体" w:hint="default"/>
                <w:sz w:val="18"/>
                <w:szCs w:val="18"/>
              </w:rPr>
              <w:t>债务履行期 届满日起两 年</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神码广州</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19</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21,400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25"/>
              <w:jc w:val="both"/>
              <w:rPr>
                <w:rFonts w:ascii="宋体" w:hAnsi="宋体" w:cs="宋体" w:eastAsia="宋体" w:hint="default"/>
                <w:sz w:val="18"/>
                <w:szCs w:val="18"/>
              </w:rPr>
            </w:pPr>
            <w:r>
              <w:rPr>
                <w:rFonts w:ascii="宋体" w:hAnsi="宋体" w:cs="宋体" w:eastAsia="宋体" w:hint="default"/>
                <w:sz w:val="18"/>
                <w:szCs w:val="18"/>
              </w:rPr>
              <w:t>债务履行期 限届满之日 两年</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258"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1" w:lineRule="exact" w:before="15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15</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44,720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1" w:lineRule="exact" w:before="15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43,473.94</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125"/>
              <w:jc w:val="both"/>
              <w:rPr>
                <w:rFonts w:ascii="宋体" w:hAnsi="宋体" w:cs="宋体" w:eastAsia="宋体" w:hint="default"/>
                <w:sz w:val="18"/>
                <w:szCs w:val="18"/>
              </w:rPr>
            </w:pPr>
            <w:r>
              <w:rPr>
                <w:rFonts w:ascii="宋体" w:hAnsi="宋体" w:cs="宋体" w:eastAsia="宋体" w:hint="default"/>
                <w:sz w:val="18"/>
                <w:szCs w:val="18"/>
              </w:rPr>
              <w:t>生效日至银 行收到保证 人终止保证 书的书面通 知后六个月</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258"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2" w:right="201"/>
              <w:jc w:val="left"/>
              <w:rPr>
                <w:rFonts w:ascii="宋体" w:hAnsi="宋体" w:cs="宋体" w:eastAsia="宋体" w:hint="default"/>
                <w:sz w:val="18"/>
                <w:szCs w:val="18"/>
              </w:rPr>
            </w:pPr>
            <w:r>
              <w:rPr>
                <w:rFonts w:ascii="宋体" w:hAnsi="宋体" w:cs="宋体" w:eastAsia="宋体" w:hint="default"/>
                <w:sz w:val="18"/>
                <w:szCs w:val="18"/>
              </w:rPr>
              <w:t>神码科技发 展</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2" w:lineRule="exact" w:before="1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15</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44,720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2" w:lineRule="exact" w:before="1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25"/>
              <w:jc w:val="both"/>
              <w:rPr>
                <w:rFonts w:ascii="宋体" w:hAnsi="宋体" w:cs="宋体" w:eastAsia="宋体" w:hint="default"/>
                <w:sz w:val="18"/>
                <w:szCs w:val="18"/>
              </w:rPr>
            </w:pPr>
            <w:r>
              <w:rPr>
                <w:rFonts w:ascii="宋体" w:hAnsi="宋体" w:cs="宋体" w:eastAsia="宋体" w:hint="default"/>
                <w:sz w:val="18"/>
                <w:szCs w:val="18"/>
              </w:rPr>
              <w:t>生效日至银 行收到保证 人终止保证 书的书面通 知后六个月</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32" w:lineRule="exact"/>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25"/>
              <w:jc w:val="both"/>
              <w:rPr>
                <w:rFonts w:ascii="宋体" w:hAnsi="宋体" w:cs="宋体" w:eastAsia="宋体" w:hint="default"/>
                <w:sz w:val="18"/>
                <w:szCs w:val="18"/>
              </w:rPr>
            </w:pPr>
            <w:r>
              <w:rPr>
                <w:rFonts w:ascii="宋体" w:hAnsi="宋体" w:cs="宋体" w:eastAsia="宋体" w:hint="default"/>
                <w:sz w:val="18"/>
                <w:szCs w:val="18"/>
              </w:rPr>
              <w:t>主合同项下 债务履行期 届满之日起 两年。</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28</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37,000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21,755.3</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连带责任保</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主合同项下</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1134"/>
        <w:gridCol w:w="1286"/>
        <w:gridCol w:w="1174"/>
        <w:gridCol w:w="1324"/>
        <w:gridCol w:w="1067"/>
        <w:gridCol w:w="1059"/>
        <w:gridCol w:w="1058"/>
        <w:gridCol w:w="803"/>
        <w:gridCol w:w="790"/>
      </w:tblGrid>
      <w:tr>
        <w:trPr>
          <w:trHeight w:val="750" w:hRule="exact"/>
        </w:trPr>
        <w:tc>
          <w:tcPr>
            <w:tcW w:w="1134"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7"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 w:right="0"/>
              <w:jc w:val="left"/>
              <w:rPr>
                <w:rFonts w:ascii="宋体" w:hAnsi="宋体" w:cs="宋体" w:eastAsia="宋体" w:hint="default"/>
                <w:sz w:val="18"/>
                <w:szCs w:val="18"/>
              </w:rPr>
            </w:pPr>
            <w:r>
              <w:rPr>
                <w:rFonts w:ascii="宋体" w:hAnsi="宋体" w:cs="宋体" w:eastAsia="宋体" w:hint="default"/>
                <w:sz w:val="18"/>
                <w:szCs w:val="18"/>
              </w:rPr>
              <w:t>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债务履行期</w:t>
            </w:r>
          </w:p>
          <w:p>
            <w:pPr>
              <w:pStyle w:val="TableParagraph"/>
              <w:spacing w:line="232" w:lineRule="exact" w:before="24"/>
              <w:ind w:left="22" w:right="125"/>
              <w:jc w:val="left"/>
              <w:rPr>
                <w:rFonts w:ascii="宋体" w:hAnsi="宋体" w:cs="宋体" w:eastAsia="宋体" w:hint="default"/>
                <w:sz w:val="18"/>
                <w:szCs w:val="18"/>
              </w:rPr>
            </w:pPr>
            <w:r>
              <w:rPr>
                <w:rFonts w:ascii="宋体" w:hAnsi="宋体" w:cs="宋体" w:eastAsia="宋体" w:hint="default"/>
                <w:sz w:val="18"/>
                <w:szCs w:val="18"/>
              </w:rPr>
              <w:t>届满之日起 两年。</w:t>
            </w:r>
          </w:p>
        </w:tc>
        <w:tc>
          <w:tcPr>
            <w:tcW w:w="80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r>
      <w:tr>
        <w:trPr>
          <w:trHeight w:val="219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0"/>
              <w:jc w:val="right"/>
              <w:rPr>
                <w:rFonts w:ascii="Times New Roman" w:hAnsi="Times New Roman" w:cs="Times New Roman" w:eastAsia="Times New Roman" w:hint="default"/>
                <w:sz w:val="18"/>
                <w:szCs w:val="18"/>
              </w:rPr>
            </w:pPr>
            <w:r>
              <w:rPr>
                <w:rFonts w:ascii="Times New Roman"/>
                <w:sz w:val="18"/>
              </w:rPr>
              <w:t>82,560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2" w:lineRule="exact"/>
              <w:ind w:left="3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28" w:lineRule="exact"/>
              <w:ind w:left="3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1"/>
              <w:jc w:val="right"/>
              <w:rPr>
                <w:rFonts w:ascii="Times New Roman" w:hAnsi="Times New Roman" w:cs="Times New Roman" w:eastAsia="Times New Roman" w:hint="default"/>
                <w:sz w:val="18"/>
                <w:szCs w:val="18"/>
              </w:rPr>
            </w:pPr>
            <w:r>
              <w:rPr>
                <w:rFonts w:ascii="Times New Roman"/>
                <w:sz w:val="18"/>
              </w:rPr>
              <w:t>57,970</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3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14"/>
              <w:ind w:left="22" w:right="19"/>
              <w:jc w:val="both"/>
              <w:rPr>
                <w:rFonts w:ascii="宋体" w:hAnsi="宋体" w:cs="宋体" w:eastAsia="宋体" w:hint="default"/>
                <w:sz w:val="18"/>
                <w:szCs w:val="18"/>
              </w:rPr>
            </w:pPr>
            <w:r>
              <w:rPr>
                <w:rFonts w:ascii="宋体" w:hAnsi="宋体" w:cs="宋体" w:eastAsia="宋体" w:hint="default"/>
                <w:sz w:val="18"/>
                <w:szCs w:val="18"/>
              </w:rPr>
              <w:t>担保期间为 完成中国国 家外汇管理 局所必需的 审批或</w:t>
            </w:r>
            <w:r>
              <w:rPr>
                <w:rFonts w:ascii="Times New Roman" w:hAnsi="Times New Roman" w:cs="Times New Roman" w:eastAsia="Times New Roman" w:hint="default"/>
                <w:sz w:val="18"/>
                <w:szCs w:val="18"/>
              </w:rPr>
              <w:t>/</w:t>
            </w:r>
            <w:r>
              <w:rPr>
                <w:rFonts w:ascii="宋体" w:hAnsi="宋体" w:cs="宋体" w:eastAsia="宋体" w:hint="default"/>
                <w:sz w:val="18"/>
                <w:szCs w:val="18"/>
              </w:rPr>
              <w:t>及备 案时生效至 </w:t>
            </w: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32" w:lineRule="exact" w:before="10"/>
              <w:ind w:left="22" w:right="79"/>
              <w:jc w:val="both"/>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日到期终 止</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1"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22</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13,760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3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28" w:lineRule="exact"/>
              <w:ind w:left="3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1,383</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125"/>
              <w:jc w:val="both"/>
              <w:rPr>
                <w:rFonts w:ascii="宋体" w:hAnsi="宋体" w:cs="宋体" w:eastAsia="宋体" w:hint="default"/>
                <w:sz w:val="18"/>
                <w:szCs w:val="18"/>
              </w:rPr>
            </w:pPr>
            <w:r>
              <w:rPr>
                <w:rFonts w:ascii="宋体" w:hAnsi="宋体" w:cs="宋体" w:eastAsia="宋体" w:hint="default"/>
                <w:sz w:val="18"/>
                <w:szCs w:val="18"/>
              </w:rPr>
              <w:t>主债权届满 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24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46"/>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498"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2,176,894</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111"/>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5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978,772.03</w:t>
            </w:r>
          </w:p>
        </w:tc>
      </w:tr>
      <w:tr>
        <w:trPr>
          <w:trHeight w:val="562" w:hRule="exact"/>
        </w:trPr>
        <w:tc>
          <w:tcPr>
            <w:tcW w:w="24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46"/>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498"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508" w:right="0"/>
              <w:jc w:val="left"/>
              <w:rPr>
                <w:rFonts w:ascii="Times New Roman" w:hAnsi="Times New Roman" w:cs="Times New Roman" w:eastAsia="Times New Roman" w:hint="default"/>
                <w:sz w:val="18"/>
                <w:szCs w:val="18"/>
              </w:rPr>
            </w:pPr>
            <w:r>
              <w:rPr>
                <w:rFonts w:ascii="Times New Roman"/>
                <w:sz w:val="18"/>
              </w:rPr>
              <w:t>3,577,980.93</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111"/>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5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662" w:right="0"/>
              <w:jc w:val="left"/>
              <w:rPr>
                <w:rFonts w:ascii="Times New Roman" w:hAnsi="Times New Roman" w:cs="Times New Roman" w:eastAsia="Times New Roman" w:hint="default"/>
                <w:sz w:val="18"/>
                <w:szCs w:val="18"/>
              </w:rPr>
            </w:pPr>
            <w:r>
              <w:rPr>
                <w:rFonts w:ascii="Times New Roman"/>
                <w:sz w:val="18"/>
              </w:rPr>
              <w:t>1,401,969.84</w:t>
            </w:r>
          </w:p>
        </w:tc>
      </w:tr>
      <w:tr>
        <w:trPr>
          <w:trHeight w:val="319" w:hRule="exact"/>
        </w:trPr>
        <w:tc>
          <w:tcPr>
            <w:tcW w:w="969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22" w:hRule="exact"/>
        </w:trPr>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34"/>
              <w:ind w:left="471" w:right="111" w:hanging="360"/>
              <w:jc w:val="left"/>
              <w:rPr>
                <w:rFonts w:ascii="宋体" w:hAnsi="宋体" w:cs="宋体" w:eastAsia="宋体" w:hint="default"/>
                <w:sz w:val="18"/>
                <w:szCs w:val="18"/>
              </w:rPr>
            </w:pPr>
            <w:r>
              <w:rPr>
                <w:rFonts w:ascii="宋体" w:hAnsi="宋体" w:cs="宋体" w:eastAsia="宋体" w:hint="default"/>
                <w:sz w:val="18"/>
                <w:szCs w:val="18"/>
              </w:rPr>
              <w:t>担保对象名 称</w:t>
            </w:r>
          </w:p>
        </w:tc>
        <w:tc>
          <w:tcPr>
            <w:tcW w:w="1286"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34"/>
              <w:ind w:left="98" w:right="96"/>
              <w:jc w:val="left"/>
              <w:rPr>
                <w:rFonts w:ascii="宋体" w:hAnsi="宋体" w:cs="宋体" w:eastAsia="宋体" w:hint="default"/>
                <w:sz w:val="18"/>
                <w:szCs w:val="18"/>
              </w:rPr>
            </w:pPr>
            <w:r>
              <w:rPr>
                <w:rFonts w:ascii="宋体" w:hAnsi="宋体" w:cs="宋体" w:eastAsia="宋体" w:hint="default"/>
                <w:sz w:val="18"/>
                <w:szCs w:val="18"/>
              </w:rPr>
              <w:t>担保额度相关 公告披露日期</w:t>
            </w:r>
          </w:p>
        </w:tc>
        <w:tc>
          <w:tcPr>
            <w:tcW w:w="11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7"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34"/>
              <w:ind w:left="433" w:right="83"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5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8" w:type="dxa"/>
            <w:tcBorders>
              <w:top w:val="single" w:sz="4" w:space="0" w:color="000000"/>
              <w:left w:val="single" w:sz="4" w:space="0" w:color="000000"/>
              <w:bottom w:val="nil" w:sz="6" w:space="0" w:color="auto"/>
              <w:right w:val="single" w:sz="4" w:space="0" w:color="000000"/>
            </w:tcBorders>
            <w:shd w:val="clear" w:color="auto" w:fill="D2D2D2"/>
          </w:tcPr>
          <w:p>
            <w:pPr/>
          </w:p>
        </w:tc>
        <w:tc>
          <w:tcPr>
            <w:tcW w:w="803"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34"/>
              <w:ind w:left="214" w:right="3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34"/>
              <w:ind w:left="27" w:right="30"/>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34"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1286" w:type="dxa"/>
            <w:vMerge/>
            <w:tcBorders>
              <w:left w:val="single" w:sz="4" w:space="0" w:color="000000"/>
              <w:bottom w:val="single" w:sz="4" w:space="0" w:color="000000"/>
              <w:right w:val="single" w:sz="4" w:space="0" w:color="000000"/>
            </w:tcBorders>
            <w:shd w:val="clear" w:color="auto" w:fill="D2D2D2"/>
          </w:tcPr>
          <w:p>
            <w:pPr/>
          </w:p>
        </w:tc>
        <w:tc>
          <w:tcPr>
            <w:tcW w:w="117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1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2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11"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67" w:type="dxa"/>
            <w:vMerge/>
            <w:tcBorders>
              <w:left w:val="single" w:sz="4" w:space="0" w:color="000000"/>
              <w:bottom w:val="single" w:sz="4" w:space="0" w:color="000000"/>
              <w:right w:val="single" w:sz="4" w:space="0" w:color="000000"/>
            </w:tcBorders>
            <w:shd w:val="clear" w:color="auto" w:fill="D2D2D2"/>
          </w:tcPr>
          <w:p>
            <w:pPr/>
          </w:p>
        </w:tc>
        <w:tc>
          <w:tcPr>
            <w:tcW w:w="105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58"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54"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80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r>
      <w:tr>
        <w:trPr>
          <w:trHeight w:val="1258"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2" w:lineRule="exact" w:before="1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74" w:type="dxa"/>
            <w:tcBorders>
              <w:top w:val="single" w:sz="50"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130,000</w:t>
            </w:r>
          </w:p>
        </w:tc>
        <w:tc>
          <w:tcPr>
            <w:tcW w:w="1324" w:type="dxa"/>
            <w:tcBorders>
              <w:top w:val="single" w:sz="50" w:space="0" w:color="D2D2D2"/>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2" w:lineRule="exact"/>
              <w:ind w:left="1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28" w:lineRule="exact"/>
              <w:ind w:left="1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89,900</w:t>
            </w:r>
          </w:p>
        </w:tc>
        <w:tc>
          <w:tcPr>
            <w:tcW w:w="1059" w:type="dxa"/>
            <w:tcBorders>
              <w:top w:val="single" w:sz="50" w:space="0" w:color="D2D2D2"/>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3" w:right="13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50" w:space="0" w:color="D2D2D2"/>
              <w:left w:val="single" w:sz="4" w:space="0" w:color="000000"/>
              <w:bottom w:val="single" w:sz="4" w:space="0" w:color="000000"/>
              <w:right w:val="single" w:sz="4" w:space="0" w:color="000000"/>
            </w:tcBorders>
          </w:tcPr>
          <w:p>
            <w:pPr>
              <w:pStyle w:val="TableParagraph"/>
              <w:spacing w:line="187" w:lineRule="exact"/>
              <w:ind w:left="22" w:right="0"/>
              <w:jc w:val="both"/>
              <w:rPr>
                <w:rFonts w:ascii="宋体" w:hAnsi="宋体" w:cs="宋体" w:eastAsia="宋体" w:hint="default"/>
                <w:sz w:val="18"/>
                <w:szCs w:val="18"/>
              </w:rPr>
            </w:pPr>
            <w:r>
              <w:rPr>
                <w:rFonts w:ascii="宋体" w:hAnsi="宋体" w:cs="宋体" w:eastAsia="宋体" w:hint="default"/>
                <w:sz w:val="18"/>
                <w:szCs w:val="18"/>
              </w:rPr>
              <w:t>从签署日起</w:t>
            </w:r>
          </w:p>
          <w:p>
            <w:pPr>
              <w:pStyle w:val="TableParagraph"/>
              <w:spacing w:line="237" w:lineRule="auto" w:before="1"/>
              <w:ind w:left="22" w:right="125"/>
              <w:jc w:val="both"/>
              <w:rPr>
                <w:rFonts w:ascii="宋体" w:hAnsi="宋体" w:cs="宋体" w:eastAsia="宋体" w:hint="default"/>
                <w:sz w:val="18"/>
                <w:szCs w:val="18"/>
              </w:rPr>
            </w:pPr>
            <w:r>
              <w:rPr>
                <w:rFonts w:ascii="宋体" w:hAnsi="宋体" w:cs="宋体" w:eastAsia="宋体" w:hint="default"/>
                <w:sz w:val="18"/>
                <w:szCs w:val="18"/>
              </w:rPr>
              <w:t>至主合同项 下的借款期 限届满之次 日起两年。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1"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神码供应链</w:t>
            </w:r>
          </w:p>
        </w:tc>
        <w:tc>
          <w:tcPr>
            <w:tcW w:w="128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40,000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27"/>
              <w:ind w:left="1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27" w:lineRule="exact"/>
              <w:ind w:left="1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z w:val="18"/>
              </w:rPr>
              <w:t>0</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1"/>
              <w:ind w:left="13" w:right="13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28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45,000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1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28" w:lineRule="exact"/>
              <w:ind w:left="1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z w:val="18"/>
              </w:rPr>
              <w:t>0</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3" w:right="13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26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1"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28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15,000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1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28" w:lineRule="exact"/>
              <w:ind w:left="1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z w:val="18"/>
              </w:rPr>
              <w:t>0</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3" w:right="13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28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35,000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1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28" w:lineRule="exact"/>
              <w:ind w:left="1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z w:val="18"/>
              </w:rPr>
              <w:t>0</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3" w:right="13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1"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28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60,000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1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28" w:lineRule="exact"/>
              <w:ind w:left="1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z w:val="18"/>
              </w:rPr>
              <w:t>0</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3" w:right="13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w:t>
            </w:r>
          </w:p>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1"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28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70,000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27"/>
              <w:ind w:left="1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27" w:lineRule="exact"/>
              <w:ind w:left="1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z w:val="18"/>
              </w:rPr>
              <w:t>0</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1"/>
              <w:ind w:left="13" w:right="13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28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100,000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1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28" w:lineRule="exact"/>
              <w:ind w:left="1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z w:val="18"/>
              </w:rPr>
              <w:t>0</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3" w:right="13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26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258"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神码上海</w:t>
            </w:r>
          </w:p>
        </w:tc>
        <w:tc>
          <w:tcPr>
            <w:tcW w:w="128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30"/>
              <w:jc w:val="right"/>
              <w:rPr>
                <w:rFonts w:ascii="Times New Roman" w:hAnsi="Times New Roman" w:cs="Times New Roman" w:eastAsia="Times New Roman" w:hint="default"/>
                <w:sz w:val="18"/>
                <w:szCs w:val="18"/>
              </w:rPr>
            </w:pPr>
            <w:r>
              <w:rPr>
                <w:rFonts w:ascii="Times New Roman"/>
                <w:sz w:val="18"/>
              </w:rPr>
              <w:t>20,000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2" w:lineRule="exact" w:before="153"/>
              <w:ind w:left="1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28" w:lineRule="exact"/>
              <w:ind w:left="1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30"/>
              <w:jc w:val="right"/>
              <w:rPr>
                <w:rFonts w:ascii="Times New Roman" w:hAnsi="Times New Roman" w:cs="Times New Roman" w:eastAsia="Times New Roman" w:hint="default"/>
                <w:sz w:val="18"/>
                <w:szCs w:val="18"/>
              </w:rPr>
            </w:pPr>
            <w:r>
              <w:rPr>
                <w:rFonts w:ascii="Times New Roman"/>
                <w:sz w:val="18"/>
              </w:rPr>
              <w:t>20,000</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3" w:right="13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3"/>
              <w:ind w:left="22" w:right="125"/>
              <w:jc w:val="both"/>
              <w:rPr>
                <w:rFonts w:ascii="宋体" w:hAnsi="宋体" w:cs="宋体" w:eastAsia="宋体" w:hint="default"/>
                <w:sz w:val="18"/>
                <w:szCs w:val="18"/>
              </w:rPr>
            </w:pPr>
            <w:r>
              <w:rPr>
                <w:rFonts w:ascii="宋体" w:hAnsi="宋体" w:cs="宋体" w:eastAsia="宋体" w:hint="default"/>
                <w:sz w:val="18"/>
                <w:szCs w:val="18"/>
              </w:rPr>
              <w:t>主合同项下 被担保债务 的履行期届 满之后两年 止。</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1134"/>
        <w:gridCol w:w="1286"/>
        <w:gridCol w:w="1163"/>
        <w:gridCol w:w="1335"/>
        <w:gridCol w:w="1057"/>
        <w:gridCol w:w="1068"/>
        <w:gridCol w:w="1058"/>
        <w:gridCol w:w="798"/>
        <w:gridCol w:w="794"/>
      </w:tblGrid>
      <w:tr>
        <w:trPr>
          <w:trHeight w:val="791"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神码上海</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15</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2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1"/>
              <w:ind w:left="22" w:right="13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神码上海</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13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258"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神码供应链</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2" w:lineRule="exact" w:before="1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2" w:lineRule="exact" w:before="1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2" w:right="13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125"/>
              <w:jc w:val="both"/>
              <w:rPr>
                <w:rFonts w:ascii="宋体" w:hAnsi="宋体" w:cs="宋体" w:eastAsia="宋体" w:hint="default"/>
                <w:sz w:val="18"/>
                <w:szCs w:val="18"/>
              </w:rPr>
            </w:pPr>
            <w:r>
              <w:rPr>
                <w:rFonts w:ascii="宋体" w:hAnsi="宋体" w:cs="宋体" w:eastAsia="宋体" w:hint="default"/>
                <w:sz w:val="18"/>
                <w:szCs w:val="18"/>
              </w:rPr>
              <w:t>从签署日起 至主合同项 下的借款期 限届满之日 起两年。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19</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2"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28,521.79</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13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25"/>
              <w:jc w:val="both"/>
              <w:rPr>
                <w:rFonts w:ascii="宋体" w:hAnsi="宋体" w:cs="宋体" w:eastAsia="宋体" w:hint="default"/>
                <w:sz w:val="18"/>
                <w:szCs w:val="18"/>
              </w:rPr>
            </w:pPr>
            <w:r>
              <w:rPr>
                <w:rFonts w:ascii="宋体" w:hAnsi="宋体" w:cs="宋体" w:eastAsia="宋体" w:hint="default"/>
                <w:sz w:val="18"/>
                <w:szCs w:val="18"/>
              </w:rPr>
              <w:t>主合同项下 的借款期限 届满之次日 起两年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2"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43,624.3</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13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25"/>
              <w:jc w:val="both"/>
              <w:rPr>
                <w:rFonts w:ascii="宋体" w:hAnsi="宋体" w:cs="宋体" w:eastAsia="宋体" w:hint="default"/>
                <w:sz w:val="18"/>
                <w:szCs w:val="18"/>
              </w:rPr>
            </w:pPr>
            <w:r>
              <w:rPr>
                <w:rFonts w:ascii="宋体" w:hAnsi="宋体" w:cs="宋体" w:eastAsia="宋体" w:hint="default"/>
                <w:sz w:val="18"/>
                <w:szCs w:val="18"/>
              </w:rPr>
              <w:t>主合同项下 的借款期限 届满之次日 起两年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19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16</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sz w:val="18"/>
              </w:rPr>
              <w:t>69,000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2"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Times New Roman" w:hAnsi="Times New Roman" w:cs="Times New Roman" w:eastAsia="Times New Roman" w:hint="default"/>
                <w:sz w:val="18"/>
                <w:szCs w:val="18"/>
              </w:rPr>
            </w:pPr>
            <w:r>
              <w:rPr>
                <w:rFonts w:ascii="Times New Roman"/>
                <w:sz w:val="18"/>
              </w:rPr>
              <w:t>81,000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13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20"/>
              <w:jc w:val="left"/>
              <w:rPr>
                <w:rFonts w:ascii="宋体" w:hAnsi="宋体" w:cs="宋体" w:eastAsia="宋体" w:hint="default"/>
                <w:sz w:val="18"/>
                <w:szCs w:val="18"/>
              </w:rPr>
            </w:pPr>
            <w:r>
              <w:rPr>
                <w:rFonts w:ascii="宋体" w:hAnsi="宋体" w:cs="宋体" w:eastAsia="宋体" w:hint="default"/>
                <w:spacing w:val="-13"/>
                <w:sz w:val="18"/>
                <w:szCs w:val="18"/>
              </w:rPr>
              <w:t>自《授信合作</w:t>
            </w:r>
            <w:r>
              <w:rPr>
                <w:rFonts w:ascii="宋体" w:hAnsi="宋体" w:cs="宋体" w:eastAsia="宋体" w:hint="default"/>
                <w:sz w:val="18"/>
                <w:szCs w:val="18"/>
              </w:rPr>
              <w:t> </w:t>
            </w:r>
            <w:r>
              <w:rPr>
                <w:rFonts w:ascii="宋体" w:hAnsi="宋体" w:cs="宋体" w:eastAsia="宋体" w:hint="default"/>
                <w:spacing w:val="-13"/>
                <w:sz w:val="18"/>
                <w:szCs w:val="18"/>
              </w:rPr>
              <w:t>协议》生效之</w:t>
            </w:r>
            <w:r>
              <w:rPr>
                <w:rFonts w:ascii="宋体" w:hAnsi="宋体" w:cs="宋体" w:eastAsia="宋体" w:hint="default"/>
                <w:sz w:val="18"/>
                <w:szCs w:val="18"/>
              </w:rPr>
              <w:t> 日至该协议 及其修订或 补充所规定 的授信额度 使用期限届 满之日起两 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258"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神码上海</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2" w:lineRule="exact" w:before="1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13</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2" w:lineRule="exact" w:before="1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2" w:right="13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25"/>
              <w:jc w:val="both"/>
              <w:rPr>
                <w:rFonts w:ascii="宋体" w:hAnsi="宋体" w:cs="宋体" w:eastAsia="宋体" w:hint="default"/>
                <w:sz w:val="18"/>
                <w:szCs w:val="18"/>
              </w:rPr>
            </w:pPr>
            <w:r>
              <w:rPr>
                <w:rFonts w:ascii="宋体" w:hAnsi="宋体" w:cs="宋体" w:eastAsia="宋体" w:hint="default"/>
                <w:sz w:val="18"/>
                <w:szCs w:val="18"/>
              </w:rPr>
              <w:t>主合同项下 被担保债务 的履行期届 满之后两年 止。</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25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神码上海</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2" w:lineRule="exact" w:before="1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2" w:lineRule="exact" w:before="1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2" w:right="13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25"/>
              <w:jc w:val="both"/>
              <w:rPr>
                <w:rFonts w:ascii="宋体" w:hAnsi="宋体" w:cs="宋体" w:eastAsia="宋体" w:hint="default"/>
                <w:sz w:val="18"/>
                <w:szCs w:val="18"/>
              </w:rPr>
            </w:pPr>
            <w:r>
              <w:rPr>
                <w:rFonts w:ascii="宋体" w:hAnsi="宋体" w:cs="宋体" w:eastAsia="宋体" w:hint="default"/>
                <w:sz w:val="18"/>
                <w:szCs w:val="18"/>
              </w:rPr>
              <w:t>主合同项下 被担保债务 的履行期届 满之后两年 止。</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1"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1286"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6,020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1,383</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13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w:t>
            </w:r>
          </w:p>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286"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27,520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13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4,816</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13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125"/>
              <w:jc w:val="left"/>
              <w:rPr>
                <w:rFonts w:ascii="宋体" w:hAnsi="宋体" w:cs="宋体" w:eastAsia="宋体" w:hint="default"/>
                <w:sz w:val="18"/>
                <w:szCs w:val="18"/>
              </w:rPr>
            </w:pPr>
            <w:r>
              <w:rPr>
                <w:rFonts w:ascii="宋体" w:hAnsi="宋体" w:cs="宋体" w:eastAsia="宋体" w:hint="default"/>
                <w:sz w:val="18"/>
                <w:szCs w:val="18"/>
              </w:rPr>
              <w:t>主债权届满 之日起两年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1"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201"/>
              <w:jc w:val="left"/>
              <w:rPr>
                <w:rFonts w:ascii="宋体" w:hAnsi="宋体" w:cs="宋体" w:eastAsia="宋体" w:hint="default"/>
                <w:sz w:val="18"/>
                <w:szCs w:val="18"/>
              </w:rPr>
            </w:pPr>
            <w:r>
              <w:rPr>
                <w:rFonts w:ascii="宋体" w:hAnsi="宋体" w:cs="宋体" w:eastAsia="宋体" w:hint="default"/>
                <w:sz w:val="18"/>
                <w:szCs w:val="18"/>
              </w:rPr>
              <w:t>神码科技发 展</w:t>
            </w:r>
          </w:p>
        </w:tc>
        <w:tc>
          <w:tcPr>
            <w:tcW w:w="1286"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13,760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13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w:t>
            </w:r>
          </w:p>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01"/>
              <w:jc w:val="left"/>
              <w:rPr>
                <w:rFonts w:ascii="宋体" w:hAnsi="宋体" w:cs="宋体" w:eastAsia="宋体" w:hint="default"/>
                <w:sz w:val="18"/>
                <w:szCs w:val="18"/>
              </w:rPr>
            </w:pPr>
            <w:r>
              <w:rPr>
                <w:rFonts w:ascii="宋体" w:hAnsi="宋体" w:cs="宋体" w:eastAsia="宋体" w:hint="default"/>
                <w:sz w:val="18"/>
                <w:szCs w:val="18"/>
              </w:rPr>
              <w:t>神码科技发 展</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06</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13,760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2,326</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3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25"/>
              <w:jc w:val="left"/>
              <w:rPr>
                <w:rFonts w:ascii="宋体" w:hAnsi="宋体" w:cs="宋体" w:eastAsia="宋体" w:hint="default"/>
                <w:sz w:val="18"/>
                <w:szCs w:val="18"/>
              </w:rPr>
            </w:pPr>
            <w:r>
              <w:rPr>
                <w:rFonts w:ascii="宋体" w:hAnsi="宋体" w:cs="宋体" w:eastAsia="宋体" w:hint="default"/>
                <w:sz w:val="18"/>
                <w:szCs w:val="18"/>
              </w:rPr>
              <w:t>同主债务存 续期间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1"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28</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13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25"/>
              <w:jc w:val="both"/>
              <w:rPr>
                <w:rFonts w:ascii="宋体" w:hAnsi="宋体" w:cs="宋体" w:eastAsia="宋体" w:hint="default"/>
                <w:sz w:val="18"/>
                <w:szCs w:val="18"/>
              </w:rPr>
            </w:pPr>
            <w:r>
              <w:rPr>
                <w:rFonts w:ascii="宋体" w:hAnsi="宋体" w:cs="宋体" w:eastAsia="宋体" w:hint="default"/>
                <w:sz w:val="18"/>
                <w:szCs w:val="18"/>
              </w:rPr>
              <w:t>主债务履行 期届满之日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1134"/>
        <w:gridCol w:w="1286"/>
        <w:gridCol w:w="1163"/>
        <w:gridCol w:w="1335"/>
        <w:gridCol w:w="1057"/>
        <w:gridCol w:w="1068"/>
        <w:gridCol w:w="1058"/>
        <w:gridCol w:w="798"/>
        <w:gridCol w:w="794"/>
      </w:tblGrid>
      <w:tr>
        <w:trPr>
          <w:trHeight w:val="791"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30</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2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43,831</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1"/>
              <w:ind w:left="22" w:right="13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2020</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神码供应链</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3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25"/>
              <w:jc w:val="left"/>
              <w:rPr>
                <w:rFonts w:ascii="宋体" w:hAnsi="宋体" w:cs="宋体" w:eastAsia="宋体" w:hint="default"/>
                <w:sz w:val="18"/>
                <w:szCs w:val="18"/>
              </w:rPr>
            </w:pPr>
            <w:r>
              <w:rPr>
                <w:rFonts w:ascii="宋体" w:hAnsi="宋体" w:cs="宋体" w:eastAsia="宋体" w:hint="default"/>
                <w:sz w:val="18"/>
                <w:szCs w:val="18"/>
              </w:rPr>
              <w:t>主债权届满 之日起两年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15</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2" w:right="13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125"/>
              <w:jc w:val="both"/>
              <w:rPr>
                <w:rFonts w:ascii="宋体" w:hAnsi="宋体" w:cs="宋体" w:eastAsia="宋体" w:hint="default"/>
                <w:sz w:val="18"/>
                <w:szCs w:val="18"/>
              </w:rPr>
            </w:pPr>
            <w:r>
              <w:rPr>
                <w:rFonts w:ascii="宋体" w:hAnsi="宋体" w:cs="宋体" w:eastAsia="宋体" w:hint="default"/>
                <w:sz w:val="18"/>
                <w:szCs w:val="18"/>
              </w:rPr>
              <w:t>主合同项下 债务到期后 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1"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29</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13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125"/>
              <w:jc w:val="both"/>
              <w:rPr>
                <w:rFonts w:ascii="宋体" w:hAnsi="宋体" w:cs="宋体" w:eastAsia="宋体" w:hint="default"/>
                <w:sz w:val="18"/>
                <w:szCs w:val="18"/>
              </w:rPr>
            </w:pPr>
            <w:r>
              <w:rPr>
                <w:rFonts w:ascii="宋体" w:hAnsi="宋体" w:cs="宋体" w:eastAsia="宋体" w:hint="default"/>
                <w:sz w:val="18"/>
                <w:szCs w:val="18"/>
              </w:rPr>
              <w:t>主合同项下 债务到期后 满两年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神码广州</w:t>
            </w:r>
          </w:p>
        </w:tc>
        <w:tc>
          <w:tcPr>
            <w:tcW w:w="1286"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13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49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25</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2"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13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125"/>
              <w:jc w:val="both"/>
              <w:rPr>
                <w:rFonts w:ascii="宋体" w:hAnsi="宋体" w:cs="宋体" w:eastAsia="宋体" w:hint="default"/>
                <w:sz w:val="18"/>
                <w:szCs w:val="18"/>
              </w:rPr>
            </w:pPr>
            <w:r>
              <w:rPr>
                <w:rFonts w:ascii="宋体" w:hAnsi="宋体" w:cs="宋体" w:eastAsia="宋体" w:hint="default"/>
                <w:sz w:val="18"/>
                <w:szCs w:val="18"/>
              </w:rPr>
              <w:t>从签署日起 至主合同项 下被保证人 债务履行期 届满之后两 年止。</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25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2" w:lineRule="exact" w:before="1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2" w:lineRule="exact" w:before="1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2" w:right="13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25"/>
              <w:jc w:val="both"/>
              <w:rPr>
                <w:rFonts w:ascii="宋体" w:hAnsi="宋体" w:cs="宋体" w:eastAsia="宋体" w:hint="default"/>
                <w:sz w:val="18"/>
                <w:szCs w:val="18"/>
              </w:rPr>
            </w:pPr>
            <w:r>
              <w:rPr>
                <w:rFonts w:ascii="宋体" w:hAnsi="宋体" w:cs="宋体" w:eastAsia="宋体" w:hint="default"/>
                <w:sz w:val="18"/>
                <w:szCs w:val="18"/>
              </w:rPr>
              <w:t>主合同项下 最后到期主 债务履行期 限届满之日 后两年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1"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1286"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34,400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30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201"/>
              <w:jc w:val="left"/>
              <w:rPr>
                <w:rFonts w:ascii="宋体" w:hAnsi="宋体" w:cs="宋体" w:eastAsia="宋体" w:hint="default"/>
                <w:sz w:val="18"/>
                <w:szCs w:val="18"/>
              </w:rPr>
            </w:pPr>
            <w:r>
              <w:rPr>
                <w:rFonts w:ascii="宋体" w:hAnsi="宋体" w:cs="宋体" w:eastAsia="宋体" w:hint="default"/>
                <w:sz w:val="18"/>
                <w:szCs w:val="18"/>
              </w:rPr>
              <w:t>神码科技发 展</w:t>
            </w:r>
          </w:p>
        </w:tc>
        <w:tc>
          <w:tcPr>
            <w:tcW w:w="1286"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34,400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30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2"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13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125"/>
              <w:jc w:val="both"/>
              <w:rPr>
                <w:rFonts w:ascii="宋体" w:hAnsi="宋体" w:cs="宋体" w:eastAsia="宋体" w:hint="default"/>
                <w:sz w:val="18"/>
                <w:szCs w:val="18"/>
              </w:rPr>
            </w:pPr>
            <w:r>
              <w:rPr>
                <w:rFonts w:ascii="宋体" w:hAnsi="宋体" w:cs="宋体" w:eastAsia="宋体" w:hint="default"/>
                <w:sz w:val="18"/>
                <w:szCs w:val="18"/>
              </w:rPr>
              <w:t>主合同项下 债务履行期 届满之日起 两年。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25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神码广州</w:t>
            </w:r>
          </w:p>
        </w:tc>
        <w:tc>
          <w:tcPr>
            <w:tcW w:w="1286"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2" w:lineRule="exact" w:before="1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2" w:right="13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25"/>
              <w:jc w:val="both"/>
              <w:rPr>
                <w:rFonts w:ascii="宋体" w:hAnsi="宋体" w:cs="宋体" w:eastAsia="宋体" w:hint="default"/>
                <w:sz w:val="18"/>
                <w:szCs w:val="18"/>
              </w:rPr>
            </w:pPr>
            <w:r>
              <w:rPr>
                <w:rFonts w:ascii="宋体" w:hAnsi="宋体" w:cs="宋体" w:eastAsia="宋体" w:hint="default"/>
                <w:sz w:val="18"/>
                <w:szCs w:val="18"/>
              </w:rPr>
              <w:t>从签署日起 至主合同项 下的借款期 限届满之次 日起两年。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116,960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2"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13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16</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2"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14,691.37</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13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125"/>
              <w:jc w:val="both"/>
              <w:rPr>
                <w:rFonts w:ascii="宋体" w:hAnsi="宋体" w:cs="宋体" w:eastAsia="宋体" w:hint="default"/>
                <w:sz w:val="18"/>
                <w:szCs w:val="18"/>
              </w:rPr>
            </w:pPr>
            <w:r>
              <w:rPr>
                <w:rFonts w:ascii="宋体" w:hAnsi="宋体" w:cs="宋体" w:eastAsia="宋体" w:hint="default"/>
                <w:sz w:val="18"/>
                <w:szCs w:val="18"/>
              </w:rPr>
              <w:t>自主合同债 务人履行债 务期限届满 之日起两年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神码广州</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13</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2"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2" w:right="13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125"/>
              <w:jc w:val="both"/>
              <w:rPr>
                <w:rFonts w:ascii="宋体" w:hAnsi="宋体" w:cs="宋体" w:eastAsia="宋体" w:hint="default"/>
                <w:sz w:val="18"/>
                <w:szCs w:val="18"/>
              </w:rPr>
            </w:pPr>
            <w:r>
              <w:rPr>
                <w:rFonts w:ascii="宋体" w:hAnsi="宋体" w:cs="宋体" w:eastAsia="宋体" w:hint="default"/>
                <w:sz w:val="18"/>
                <w:szCs w:val="18"/>
              </w:rPr>
              <w:t>自主合同债 务人履行债 务期限届满 之日起两年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17"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2"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z w:val="18"/>
              </w:rPr>
              <w:t>25,000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3"/>
              <w:jc w:val="righ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连带责任保</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25"/>
              <w:jc w:val="left"/>
              <w:rPr>
                <w:rFonts w:ascii="宋体" w:hAnsi="宋体" w:cs="宋体" w:eastAsia="宋体" w:hint="default"/>
                <w:sz w:val="18"/>
                <w:szCs w:val="18"/>
              </w:rPr>
            </w:pPr>
            <w:r>
              <w:rPr>
                <w:rFonts w:ascii="宋体" w:hAnsi="宋体" w:cs="宋体" w:eastAsia="宋体" w:hint="default"/>
                <w:sz w:val="18"/>
                <w:szCs w:val="18"/>
              </w:rPr>
              <w:t>自主合同债 务人履行债</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1134"/>
        <w:gridCol w:w="1281"/>
        <w:gridCol w:w="1168"/>
        <w:gridCol w:w="1340"/>
        <w:gridCol w:w="1052"/>
        <w:gridCol w:w="1062"/>
        <w:gridCol w:w="1064"/>
        <w:gridCol w:w="798"/>
        <w:gridCol w:w="794"/>
      </w:tblGrid>
      <w:tr>
        <w:trPr>
          <w:trHeight w:val="517" w:hRule="exact"/>
        </w:trPr>
        <w:tc>
          <w:tcPr>
            <w:tcW w:w="1134" w:type="dxa"/>
            <w:tcBorders>
              <w:top w:val="single" w:sz="4" w:space="0" w:color="000000"/>
              <w:left w:val="single" w:sz="4" w:space="0" w:color="000000"/>
              <w:bottom w:val="single" w:sz="4" w:space="0" w:color="000000"/>
              <w:right w:val="single" w:sz="4" w:space="0" w:color="000000"/>
            </w:tcBorders>
          </w:tcPr>
          <w:p>
            <w:pP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6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证</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 w:right="0"/>
              <w:jc w:val="left"/>
              <w:rPr>
                <w:rFonts w:ascii="宋体" w:hAnsi="宋体" w:cs="宋体" w:eastAsia="宋体" w:hint="default"/>
                <w:sz w:val="18"/>
                <w:szCs w:val="18"/>
              </w:rPr>
            </w:pPr>
            <w:r>
              <w:rPr>
                <w:rFonts w:ascii="宋体" w:hAnsi="宋体" w:cs="宋体" w:eastAsia="宋体" w:hint="default"/>
                <w:sz w:val="18"/>
                <w:szCs w:val="18"/>
              </w:rPr>
              <w:t>务期限届满</w:t>
            </w:r>
          </w:p>
          <w:p>
            <w:pPr>
              <w:pStyle w:val="TableParagraph"/>
              <w:spacing w:line="235" w:lineRule="exact"/>
              <w:ind w:left="28" w:right="0"/>
              <w:jc w:val="left"/>
              <w:rPr>
                <w:rFonts w:ascii="宋体" w:hAnsi="宋体" w:cs="宋体" w:eastAsia="宋体" w:hint="default"/>
                <w:sz w:val="18"/>
                <w:szCs w:val="18"/>
              </w:rPr>
            </w:pPr>
            <w:r>
              <w:rPr>
                <w:rFonts w:ascii="宋体" w:hAnsi="宋体" w:cs="宋体" w:eastAsia="宋体" w:hint="default"/>
                <w:sz w:val="18"/>
                <w:szCs w:val="18"/>
              </w:rPr>
              <w:t>之日起两年</w:t>
            </w:r>
          </w:p>
        </w:tc>
        <w:tc>
          <w:tcPr>
            <w:tcW w:w="798"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30,960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25,500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12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8" w:right="125"/>
              <w:jc w:val="both"/>
              <w:rPr>
                <w:rFonts w:ascii="宋体" w:hAnsi="宋体" w:cs="宋体" w:eastAsia="宋体" w:hint="default"/>
                <w:sz w:val="18"/>
                <w:szCs w:val="18"/>
              </w:rPr>
            </w:pPr>
            <w:r>
              <w:rPr>
                <w:rFonts w:ascii="宋体" w:hAnsi="宋体" w:cs="宋体" w:eastAsia="宋体" w:hint="default"/>
                <w:sz w:val="18"/>
                <w:szCs w:val="18"/>
              </w:rPr>
              <w:t>债务履行期 届满日起两 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1"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30,960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12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3"/>
              <w:ind w:left="28" w:right="125"/>
              <w:jc w:val="both"/>
              <w:rPr>
                <w:rFonts w:ascii="宋体" w:hAnsi="宋体" w:cs="宋体" w:eastAsia="宋体" w:hint="default"/>
                <w:sz w:val="18"/>
                <w:szCs w:val="18"/>
              </w:rPr>
            </w:pPr>
            <w:r>
              <w:rPr>
                <w:rFonts w:ascii="宋体" w:hAnsi="宋体" w:cs="宋体" w:eastAsia="宋体" w:hint="default"/>
                <w:sz w:val="18"/>
                <w:szCs w:val="18"/>
              </w:rPr>
              <w:t>债务履行期 届满日起两 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1"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神码广州</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19</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21,400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2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1"/>
              <w:ind w:left="22" w:right="12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8" w:right="125"/>
              <w:jc w:val="both"/>
              <w:rPr>
                <w:rFonts w:ascii="宋体" w:hAnsi="宋体" w:cs="宋体" w:eastAsia="宋体" w:hint="default"/>
                <w:sz w:val="18"/>
                <w:szCs w:val="18"/>
              </w:rPr>
            </w:pPr>
            <w:r>
              <w:rPr>
                <w:rFonts w:ascii="宋体" w:hAnsi="宋体" w:cs="宋体" w:eastAsia="宋体" w:hint="default"/>
                <w:sz w:val="18"/>
                <w:szCs w:val="18"/>
              </w:rPr>
              <w:t>债务履行期 限届满之日 两年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25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2" w:lineRule="exact" w:before="1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15</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44,720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2" w:lineRule="exact" w:before="1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43,473.94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8" w:right="125"/>
              <w:jc w:val="both"/>
              <w:rPr>
                <w:rFonts w:ascii="宋体" w:hAnsi="宋体" w:cs="宋体" w:eastAsia="宋体" w:hint="default"/>
                <w:sz w:val="18"/>
                <w:szCs w:val="18"/>
              </w:rPr>
            </w:pPr>
            <w:r>
              <w:rPr>
                <w:rFonts w:ascii="宋体" w:hAnsi="宋体" w:cs="宋体" w:eastAsia="宋体" w:hint="default"/>
                <w:sz w:val="18"/>
                <w:szCs w:val="18"/>
              </w:rPr>
              <w:t>生效日至银 行收到保证 人终止保证 书的书面通 知后六个月</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258"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2" w:right="201"/>
              <w:jc w:val="left"/>
              <w:rPr>
                <w:rFonts w:ascii="宋体" w:hAnsi="宋体" w:cs="宋体" w:eastAsia="宋体" w:hint="default"/>
                <w:sz w:val="18"/>
                <w:szCs w:val="18"/>
              </w:rPr>
            </w:pPr>
            <w:r>
              <w:rPr>
                <w:rFonts w:ascii="宋体" w:hAnsi="宋体" w:cs="宋体" w:eastAsia="宋体" w:hint="default"/>
                <w:sz w:val="18"/>
                <w:szCs w:val="18"/>
              </w:rPr>
              <w:t>神码科技发 展</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2" w:lineRule="exact" w:before="1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15</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44,720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2" w:lineRule="exact" w:before="1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8" w:right="125"/>
              <w:jc w:val="both"/>
              <w:rPr>
                <w:rFonts w:ascii="宋体" w:hAnsi="宋体" w:cs="宋体" w:eastAsia="宋体" w:hint="default"/>
                <w:sz w:val="18"/>
                <w:szCs w:val="18"/>
              </w:rPr>
            </w:pPr>
            <w:r>
              <w:rPr>
                <w:rFonts w:ascii="宋体" w:hAnsi="宋体" w:cs="宋体" w:eastAsia="宋体" w:hint="default"/>
                <w:sz w:val="18"/>
                <w:szCs w:val="18"/>
              </w:rPr>
              <w:t>生效日至银 行收到保证 人终止保证 书的书面通 知后六个月</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2"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12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8" w:right="125"/>
              <w:jc w:val="both"/>
              <w:rPr>
                <w:rFonts w:ascii="宋体" w:hAnsi="宋体" w:cs="宋体" w:eastAsia="宋体" w:hint="default"/>
                <w:sz w:val="18"/>
                <w:szCs w:val="18"/>
              </w:rPr>
            </w:pPr>
            <w:r>
              <w:rPr>
                <w:rFonts w:ascii="宋体" w:hAnsi="宋体" w:cs="宋体" w:eastAsia="宋体" w:hint="default"/>
                <w:sz w:val="18"/>
                <w:szCs w:val="18"/>
              </w:rPr>
              <w:t>主合同项下 债务履行期 届满之日起 两年。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28</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2"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21,755.3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12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8" w:right="125"/>
              <w:jc w:val="both"/>
              <w:rPr>
                <w:rFonts w:ascii="宋体" w:hAnsi="宋体" w:cs="宋体" w:eastAsia="宋体" w:hint="default"/>
                <w:sz w:val="18"/>
                <w:szCs w:val="18"/>
              </w:rPr>
            </w:pPr>
            <w:r>
              <w:rPr>
                <w:rFonts w:ascii="宋体" w:hAnsi="宋体" w:cs="宋体" w:eastAsia="宋体" w:hint="default"/>
                <w:sz w:val="18"/>
                <w:szCs w:val="18"/>
              </w:rPr>
              <w:t>主合同项下 债务履行期 届满之日起 两年。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191"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sz w:val="18"/>
              </w:rPr>
              <w:t>82,560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2"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Times New Roman" w:hAnsi="Times New Roman" w:cs="Times New Roman" w:eastAsia="Times New Roman" w:hint="default"/>
                <w:sz w:val="18"/>
                <w:szCs w:val="18"/>
              </w:rPr>
            </w:pPr>
            <w:r>
              <w:rPr>
                <w:rFonts w:ascii="Times New Roman"/>
                <w:sz w:val="18"/>
              </w:rPr>
              <w:t>57,970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12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13"/>
              <w:ind w:left="28" w:right="19"/>
              <w:jc w:val="both"/>
              <w:rPr>
                <w:rFonts w:ascii="宋体" w:hAnsi="宋体" w:cs="宋体" w:eastAsia="宋体" w:hint="default"/>
                <w:sz w:val="18"/>
                <w:szCs w:val="18"/>
              </w:rPr>
            </w:pPr>
            <w:r>
              <w:rPr>
                <w:rFonts w:ascii="宋体" w:hAnsi="宋体" w:cs="宋体" w:eastAsia="宋体" w:hint="default"/>
                <w:sz w:val="18"/>
                <w:szCs w:val="18"/>
              </w:rPr>
              <w:t>担保期间为 完成中国国 家外汇管理 局所必需的 审批或</w:t>
            </w:r>
            <w:r>
              <w:rPr>
                <w:rFonts w:ascii="Times New Roman" w:hAnsi="Times New Roman" w:cs="Times New Roman" w:eastAsia="Times New Roman" w:hint="default"/>
                <w:sz w:val="18"/>
                <w:szCs w:val="18"/>
              </w:rPr>
              <w:t>/</w:t>
            </w:r>
            <w:r>
              <w:rPr>
                <w:rFonts w:ascii="宋体" w:hAnsi="宋体" w:cs="宋体" w:eastAsia="宋体" w:hint="default"/>
                <w:sz w:val="18"/>
                <w:szCs w:val="18"/>
              </w:rPr>
              <w:t>及备 案时生效至 </w:t>
            </w: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34" w:lineRule="exact" w:before="7"/>
              <w:ind w:left="28" w:right="79"/>
              <w:jc w:val="both"/>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日到期终 止</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22</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13,760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12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8" w:right="125"/>
              <w:jc w:val="both"/>
              <w:rPr>
                <w:rFonts w:ascii="宋体" w:hAnsi="宋体" w:cs="宋体" w:eastAsia="宋体" w:hint="default"/>
                <w:sz w:val="18"/>
                <w:szCs w:val="18"/>
              </w:rPr>
            </w:pPr>
            <w:r>
              <w:rPr>
                <w:rFonts w:ascii="宋体" w:hAnsi="宋体" w:cs="宋体" w:eastAsia="宋体" w:hint="default"/>
                <w:sz w:val="18"/>
                <w:szCs w:val="18"/>
              </w:rPr>
              <w:t>主债权届满 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8" w:hRule="exact"/>
        </w:trPr>
        <w:tc>
          <w:tcPr>
            <w:tcW w:w="241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40"/>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509"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1,238,416</w:t>
            </w:r>
          </w:p>
        </w:tc>
        <w:tc>
          <w:tcPr>
            <w:tcW w:w="211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7" w:right="105"/>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5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564,076.7</w:t>
            </w:r>
          </w:p>
        </w:tc>
      </w:tr>
      <w:tr>
        <w:trPr>
          <w:trHeight w:val="562" w:hRule="exact"/>
        </w:trPr>
        <w:tc>
          <w:tcPr>
            <w:tcW w:w="241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40"/>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509"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1,472,676</w:t>
            </w:r>
          </w:p>
        </w:tc>
        <w:tc>
          <w:tcPr>
            <w:tcW w:w="211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7" w:right="105"/>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5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695,359.7</w:t>
            </w:r>
          </w:p>
        </w:tc>
      </w:tr>
      <w:tr>
        <w:trPr>
          <w:trHeight w:val="313" w:hRule="exact"/>
        </w:trPr>
        <w:tc>
          <w:tcPr>
            <w:tcW w:w="969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562" w:hRule="exact"/>
        </w:trPr>
        <w:tc>
          <w:tcPr>
            <w:tcW w:w="241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14"/>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509"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3,415,310</w:t>
            </w:r>
          </w:p>
        </w:tc>
        <w:tc>
          <w:tcPr>
            <w:tcW w:w="211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left="17" w:right="105"/>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5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1668" w:right="0"/>
              <w:jc w:val="left"/>
              <w:rPr>
                <w:rFonts w:ascii="Times New Roman" w:hAnsi="Times New Roman" w:cs="Times New Roman" w:eastAsia="Times New Roman" w:hint="default"/>
                <w:sz w:val="18"/>
                <w:szCs w:val="18"/>
              </w:rPr>
            </w:pPr>
            <w:r>
              <w:rPr>
                <w:rFonts w:ascii="Times New Roman"/>
                <w:sz w:val="18"/>
              </w:rPr>
              <w:t>1,542,848.73</w:t>
            </w:r>
          </w:p>
        </w:tc>
      </w:tr>
      <w:tr>
        <w:trPr>
          <w:trHeight w:val="558" w:hRule="exact"/>
        </w:trPr>
        <w:tc>
          <w:tcPr>
            <w:tcW w:w="241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2" w:right="40"/>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509"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513" w:right="0"/>
              <w:jc w:val="left"/>
              <w:rPr>
                <w:rFonts w:ascii="Times New Roman" w:hAnsi="Times New Roman" w:cs="Times New Roman" w:eastAsia="Times New Roman" w:hint="default"/>
                <w:sz w:val="18"/>
                <w:szCs w:val="18"/>
              </w:rPr>
            </w:pPr>
            <w:r>
              <w:rPr>
                <w:rFonts w:ascii="Times New Roman"/>
                <w:sz w:val="18"/>
              </w:rPr>
              <w:t>5,050,656.93</w:t>
            </w:r>
          </w:p>
        </w:tc>
        <w:tc>
          <w:tcPr>
            <w:tcW w:w="211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7" w:right="105"/>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5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668" w:right="0"/>
              <w:jc w:val="left"/>
              <w:rPr>
                <w:rFonts w:ascii="Times New Roman" w:hAnsi="Times New Roman" w:cs="Times New Roman" w:eastAsia="Times New Roman" w:hint="default"/>
                <w:sz w:val="18"/>
                <w:szCs w:val="18"/>
              </w:rPr>
            </w:pPr>
            <w:r>
              <w:rPr>
                <w:rFonts w:ascii="Times New Roman"/>
                <w:sz w:val="18"/>
              </w:rPr>
              <w:t>2,097,329.54</w:t>
            </w:r>
          </w:p>
        </w:tc>
      </w:tr>
      <w:tr>
        <w:trPr>
          <w:trHeight w:val="328" w:hRule="exact"/>
        </w:trPr>
        <w:tc>
          <w:tcPr>
            <w:tcW w:w="492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71"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545.97%</w:t>
            </w:r>
          </w:p>
        </w:tc>
      </w:tr>
      <w:tr>
        <w:trPr>
          <w:trHeight w:val="319" w:hRule="exact"/>
        </w:trPr>
        <w:tc>
          <w:tcPr>
            <w:tcW w:w="969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4918"/>
        <w:gridCol w:w="4776"/>
      </w:tblGrid>
      <w:tr>
        <w:trPr>
          <w:trHeight w:val="324" w:hRule="exact"/>
        </w:trPr>
        <w:tc>
          <w:tcPr>
            <w:tcW w:w="4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r>
      <w:tr>
        <w:trPr>
          <w:trHeight w:val="557" w:hRule="exact"/>
        </w:trPr>
        <w:tc>
          <w:tcPr>
            <w:tcW w:w="4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21"/>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的被担保对象提供的债务担 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1,861,734.93</w:t>
            </w:r>
          </w:p>
        </w:tc>
      </w:tr>
      <w:tr>
        <w:trPr>
          <w:trHeight w:val="323" w:hRule="exact"/>
        </w:trPr>
        <w:tc>
          <w:tcPr>
            <w:tcW w:w="4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1,669,662.63</w:t>
            </w:r>
          </w:p>
        </w:tc>
      </w:tr>
      <w:tr>
        <w:trPr>
          <w:trHeight w:val="324" w:hRule="exact"/>
        </w:trPr>
        <w:tc>
          <w:tcPr>
            <w:tcW w:w="4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1,861,734.93</w:t>
            </w:r>
          </w:p>
        </w:tc>
      </w:tr>
      <w:tr>
        <w:trPr>
          <w:trHeight w:val="557" w:hRule="exact"/>
        </w:trPr>
        <w:tc>
          <w:tcPr>
            <w:tcW w:w="4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25"/>
              <w:jc w:val="left"/>
              <w:rPr>
                <w:rFonts w:ascii="宋体" w:hAnsi="宋体" w:cs="宋体" w:eastAsia="宋体" w:hint="default"/>
                <w:sz w:val="18"/>
                <w:szCs w:val="18"/>
              </w:rPr>
            </w:pPr>
            <w:r>
              <w:rPr>
                <w:rFonts w:ascii="宋体" w:hAnsi="宋体" w:cs="宋体" w:eastAsia="宋体" w:hint="default"/>
                <w:sz w:val="18"/>
                <w:szCs w:val="18"/>
              </w:rPr>
              <w:t>对未到期担保，报告期内已发生担保责任或可能承担连带清偿 责任的情况说明（如有）</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24" w:hRule="exact"/>
        </w:trPr>
        <w:tc>
          <w:tcPr>
            <w:tcW w:w="4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78" w:lineRule="auto" w:before="10"/>
        <w:ind w:right="1392"/>
        <w:jc w:val="left"/>
      </w:pPr>
      <w:r>
        <w:rPr/>
        <w:t>采用复合方式担保的具体情况说明 截止报告期末，公司存在十六笔共同担保的情形，其在公司与子公司担保、子公司与子公司担保中均有列出，分别是： </w:t>
      </w:r>
      <w:r>
        <w:rPr>
          <w:rFonts w:ascii="Times New Roman" w:hAnsi="Times New Roman" w:cs="Times New Roman" w:eastAsia="Times New Roman" w:hint="default"/>
        </w:rPr>
        <w:t>1</w:t>
      </w:r>
      <w:r>
        <w:rPr/>
        <w:t>、本公司及神码广州共同为神码深圳提供担保</w:t>
      </w:r>
      <w:r>
        <w:rPr>
          <w:spacing w:val="-46"/>
        </w:rPr>
        <w:t> </w:t>
      </w:r>
      <w:r>
        <w:rPr>
          <w:rFonts w:ascii="Times New Roman" w:hAnsi="Times New Roman" w:cs="Times New Roman" w:eastAsia="Times New Roman" w:hint="default"/>
        </w:rPr>
        <w:t>30000</w:t>
      </w:r>
      <w:r>
        <w:rPr>
          <w:rFonts w:ascii="Times New Roman" w:hAnsi="Times New Roman" w:cs="Times New Roman" w:eastAsia="Times New Roman" w:hint="default"/>
          <w:spacing w:val="-1"/>
        </w:rPr>
        <w:t> </w:t>
      </w:r>
      <w:r>
        <w:rPr/>
        <w:t>万元；</w:t>
      </w:r>
    </w:p>
    <w:p>
      <w:pPr>
        <w:pStyle w:val="BodyText"/>
        <w:spacing w:line="242" w:lineRule="exact"/>
        <w:ind w:right="0"/>
        <w:jc w:val="left"/>
      </w:pPr>
      <w:r>
        <w:rPr>
          <w:rFonts w:ascii="Times New Roman" w:hAnsi="Times New Roman" w:cs="Times New Roman" w:eastAsia="Times New Roman" w:hint="default"/>
        </w:rPr>
        <w:t>2</w:t>
      </w:r>
      <w:r>
        <w:rPr/>
        <w:t>、本公司及神码中国共同为神码深圳提供担保</w:t>
      </w:r>
      <w:r>
        <w:rPr>
          <w:spacing w:val="-46"/>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1"/>
        </w:rPr>
        <w:t> </w:t>
      </w:r>
      <w:r>
        <w:rPr/>
        <w:t>万元；</w:t>
      </w:r>
    </w:p>
    <w:p>
      <w:pPr>
        <w:pStyle w:val="BodyText"/>
        <w:spacing w:line="240" w:lineRule="auto" w:before="23"/>
        <w:ind w:right="0"/>
        <w:jc w:val="left"/>
      </w:pPr>
      <w:r>
        <w:rPr>
          <w:rFonts w:ascii="Times New Roman" w:hAnsi="Times New Roman" w:cs="Times New Roman" w:eastAsia="Times New Roman" w:hint="default"/>
        </w:rPr>
        <w:t>3</w:t>
      </w:r>
      <w:r>
        <w:rPr/>
        <w:t>、本公司及神码中国共同为神码深圳提供担保</w:t>
      </w:r>
      <w:r>
        <w:rPr>
          <w:spacing w:val="-46"/>
        </w:rPr>
        <w:t> </w:t>
      </w:r>
      <w:r>
        <w:rPr>
          <w:rFonts w:ascii="Times New Roman" w:hAnsi="Times New Roman" w:cs="Times New Roman" w:eastAsia="Times New Roman" w:hint="default"/>
        </w:rPr>
        <w:t>30000</w:t>
      </w:r>
      <w:r>
        <w:rPr>
          <w:rFonts w:ascii="Times New Roman" w:hAnsi="Times New Roman" w:cs="Times New Roman" w:eastAsia="Times New Roman" w:hint="default"/>
          <w:spacing w:val="-1"/>
        </w:rPr>
        <w:t> </w:t>
      </w:r>
      <w:r>
        <w:rPr/>
        <w:t>万元；</w:t>
      </w:r>
    </w:p>
    <w:p>
      <w:pPr>
        <w:pStyle w:val="BodyText"/>
        <w:spacing w:line="240" w:lineRule="auto" w:before="24"/>
        <w:ind w:right="0"/>
        <w:jc w:val="left"/>
      </w:pPr>
      <w:r>
        <w:rPr>
          <w:rFonts w:ascii="Times New Roman" w:hAnsi="Times New Roman" w:cs="Times New Roman" w:eastAsia="Times New Roman" w:hint="default"/>
        </w:rPr>
        <w:t>4</w:t>
      </w:r>
      <w:r>
        <w:rPr/>
        <w:t>、本公司及神码深圳共同为神码广州提供担保</w:t>
      </w:r>
      <w:r>
        <w:rPr>
          <w:spacing w:val="-46"/>
        </w:rPr>
        <w:t> </w:t>
      </w:r>
      <w:r>
        <w:rPr>
          <w:rFonts w:ascii="Times New Roman" w:hAnsi="Times New Roman" w:cs="Times New Roman" w:eastAsia="Times New Roman" w:hint="default"/>
        </w:rPr>
        <w:t>22000</w:t>
      </w:r>
      <w:r>
        <w:rPr>
          <w:rFonts w:ascii="Times New Roman" w:hAnsi="Times New Roman" w:cs="Times New Roman" w:eastAsia="Times New Roman" w:hint="default"/>
          <w:spacing w:val="-1"/>
        </w:rPr>
        <w:t> </w:t>
      </w:r>
      <w:r>
        <w:rPr/>
        <w:t>万元；</w:t>
      </w:r>
    </w:p>
    <w:p>
      <w:pPr>
        <w:pStyle w:val="BodyText"/>
        <w:spacing w:line="240" w:lineRule="auto" w:before="24"/>
        <w:ind w:right="0"/>
        <w:jc w:val="left"/>
      </w:pPr>
      <w:r>
        <w:rPr>
          <w:rFonts w:ascii="Times New Roman" w:hAnsi="Times New Roman" w:cs="Times New Roman" w:eastAsia="Times New Roman" w:hint="default"/>
        </w:rPr>
        <w:t>5</w:t>
      </w:r>
      <w:r>
        <w:rPr/>
        <w:t>、本公司及神码中国共同为神码北京提供担保</w:t>
      </w:r>
      <w:r>
        <w:rPr>
          <w:spacing w:val="-46"/>
        </w:rPr>
        <w:t> </w:t>
      </w:r>
      <w:r>
        <w:rPr>
          <w:rFonts w:ascii="Times New Roman" w:hAnsi="Times New Roman" w:cs="Times New Roman" w:eastAsia="Times New Roman" w:hint="default"/>
        </w:rPr>
        <w:t>45000</w:t>
      </w:r>
      <w:r>
        <w:rPr>
          <w:rFonts w:ascii="Times New Roman" w:hAnsi="Times New Roman" w:cs="Times New Roman" w:eastAsia="Times New Roman" w:hint="default"/>
          <w:spacing w:val="-1"/>
        </w:rPr>
        <w:t> </w:t>
      </w:r>
      <w:r>
        <w:rPr/>
        <w:t>万元；</w:t>
      </w:r>
    </w:p>
    <w:p>
      <w:pPr>
        <w:pStyle w:val="BodyText"/>
        <w:spacing w:line="240" w:lineRule="auto" w:before="24"/>
        <w:ind w:right="0"/>
        <w:jc w:val="left"/>
      </w:pPr>
      <w:r>
        <w:rPr>
          <w:rFonts w:ascii="Times New Roman" w:hAnsi="Times New Roman" w:cs="Times New Roman" w:eastAsia="Times New Roman" w:hint="default"/>
        </w:rPr>
        <w:t>6</w:t>
      </w:r>
      <w:r>
        <w:rPr/>
        <w:t>、本公司及神码中国共同为神码广州提供担保</w:t>
      </w:r>
      <w:r>
        <w:rPr>
          <w:spacing w:val="-46"/>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1"/>
        </w:rPr>
        <w:t> </w:t>
      </w:r>
      <w:r>
        <w:rPr/>
        <w:t>万元；</w:t>
      </w:r>
    </w:p>
    <w:p>
      <w:pPr>
        <w:pStyle w:val="BodyText"/>
        <w:spacing w:line="240" w:lineRule="auto" w:before="24"/>
        <w:ind w:right="0"/>
        <w:jc w:val="left"/>
      </w:pPr>
      <w:r>
        <w:rPr>
          <w:rFonts w:ascii="Times New Roman" w:hAnsi="Times New Roman" w:cs="Times New Roman" w:eastAsia="Times New Roman" w:hint="default"/>
        </w:rPr>
        <w:t>7</w:t>
      </w:r>
      <w:r>
        <w:rPr/>
        <w:t>、本公司及神码中国共同为神码深圳提供担保</w:t>
      </w:r>
      <w:r>
        <w:rPr>
          <w:spacing w:val="-46"/>
        </w:rPr>
        <w:t> </w:t>
      </w:r>
      <w:r>
        <w:rPr>
          <w:rFonts w:ascii="Times New Roman" w:hAnsi="Times New Roman" w:cs="Times New Roman" w:eastAsia="Times New Roman" w:hint="default"/>
        </w:rPr>
        <w:t>25000</w:t>
      </w:r>
      <w:r>
        <w:rPr>
          <w:rFonts w:ascii="Times New Roman" w:hAnsi="Times New Roman" w:cs="Times New Roman" w:eastAsia="Times New Roman" w:hint="default"/>
          <w:spacing w:val="-1"/>
        </w:rPr>
        <w:t> </w:t>
      </w:r>
      <w:r>
        <w:rPr/>
        <w:t>万元；</w:t>
      </w:r>
    </w:p>
    <w:p>
      <w:pPr>
        <w:pStyle w:val="BodyText"/>
        <w:spacing w:line="240" w:lineRule="auto" w:before="24"/>
        <w:ind w:right="0"/>
        <w:jc w:val="left"/>
      </w:pPr>
      <w:r>
        <w:rPr>
          <w:rFonts w:ascii="Times New Roman" w:hAnsi="Times New Roman" w:cs="Times New Roman" w:eastAsia="Times New Roman" w:hint="default"/>
        </w:rPr>
        <w:t>8</w:t>
      </w:r>
      <w:r>
        <w:rPr/>
        <w:t>、本公司及神码中国共同为神码北京提供担保</w:t>
      </w:r>
      <w:r>
        <w:rPr>
          <w:spacing w:val="-46"/>
        </w:rPr>
        <w:t> </w:t>
      </w:r>
      <w:r>
        <w:rPr>
          <w:rFonts w:ascii="Times New Roman" w:hAnsi="Times New Roman" w:cs="Times New Roman" w:eastAsia="Times New Roman" w:hint="default"/>
        </w:rPr>
        <w:t>30960</w:t>
      </w:r>
      <w:r>
        <w:rPr>
          <w:rFonts w:ascii="Times New Roman" w:hAnsi="Times New Roman" w:cs="Times New Roman" w:eastAsia="Times New Roman" w:hint="default"/>
          <w:spacing w:val="-1"/>
        </w:rPr>
        <w:t> </w:t>
      </w:r>
      <w:r>
        <w:rPr/>
        <w:t>万元；</w:t>
      </w:r>
    </w:p>
    <w:p>
      <w:pPr>
        <w:pStyle w:val="BodyText"/>
        <w:spacing w:line="240" w:lineRule="auto" w:before="24"/>
        <w:ind w:right="0"/>
        <w:jc w:val="left"/>
      </w:pPr>
      <w:r>
        <w:rPr>
          <w:rFonts w:ascii="Times New Roman" w:hAnsi="Times New Roman" w:cs="Times New Roman" w:eastAsia="Times New Roman" w:hint="default"/>
        </w:rPr>
        <w:t>9</w:t>
      </w:r>
      <w:r>
        <w:rPr/>
        <w:t>、本公司及神码北京共同为神码中国提供担保</w:t>
      </w:r>
      <w:r>
        <w:rPr>
          <w:spacing w:val="-46"/>
        </w:rPr>
        <w:t> </w:t>
      </w:r>
      <w:r>
        <w:rPr>
          <w:rFonts w:ascii="Times New Roman" w:hAnsi="Times New Roman" w:cs="Times New Roman" w:eastAsia="Times New Roman" w:hint="default"/>
        </w:rPr>
        <w:t>30960</w:t>
      </w:r>
      <w:r>
        <w:rPr>
          <w:rFonts w:ascii="Times New Roman" w:hAnsi="Times New Roman" w:cs="Times New Roman" w:eastAsia="Times New Roman" w:hint="default"/>
          <w:spacing w:val="-1"/>
        </w:rPr>
        <w:t> </w:t>
      </w:r>
      <w:r>
        <w:rPr/>
        <w:t>万元；</w:t>
      </w:r>
    </w:p>
    <w:p>
      <w:pPr>
        <w:pStyle w:val="BodyText"/>
        <w:spacing w:line="240" w:lineRule="auto" w:before="23"/>
        <w:ind w:right="0"/>
        <w:jc w:val="left"/>
      </w:pPr>
      <w:r>
        <w:rPr>
          <w:rFonts w:ascii="Times New Roman" w:hAnsi="Times New Roman" w:cs="Times New Roman" w:eastAsia="Times New Roman" w:hint="default"/>
        </w:rPr>
        <w:t>10</w:t>
      </w:r>
      <w:r>
        <w:rPr/>
        <w:t>、本公司及神码中国共同为神码广州提供担保</w:t>
      </w:r>
      <w:r>
        <w:rPr>
          <w:spacing w:val="-45"/>
        </w:rPr>
        <w:t> </w:t>
      </w:r>
      <w:r>
        <w:rPr>
          <w:rFonts w:ascii="Times New Roman" w:hAnsi="Times New Roman" w:cs="Times New Roman" w:eastAsia="Times New Roman" w:hint="default"/>
        </w:rPr>
        <w:t>21400 </w:t>
      </w:r>
      <w:r>
        <w:rPr/>
        <w:t>万元；</w:t>
      </w:r>
    </w:p>
    <w:p>
      <w:pPr>
        <w:pStyle w:val="BodyText"/>
        <w:spacing w:line="240" w:lineRule="auto" w:before="24"/>
        <w:ind w:right="0"/>
        <w:jc w:val="left"/>
      </w:pPr>
      <w:r>
        <w:rPr>
          <w:rFonts w:ascii="Times New Roman" w:hAnsi="Times New Roman" w:cs="Times New Roman" w:eastAsia="Times New Roman" w:hint="default"/>
        </w:rPr>
        <w:t>11</w:t>
      </w:r>
      <w:r>
        <w:rPr/>
        <w:t>、本公司及神码中国共同为神码澳门提供担保</w:t>
      </w:r>
      <w:r>
        <w:rPr>
          <w:spacing w:val="-49"/>
        </w:rPr>
        <w:t> </w:t>
      </w:r>
      <w:r>
        <w:rPr>
          <w:rFonts w:ascii="Times New Roman" w:hAnsi="Times New Roman" w:cs="Times New Roman" w:eastAsia="Times New Roman" w:hint="default"/>
        </w:rPr>
        <w:t>44720</w:t>
      </w:r>
      <w:r>
        <w:rPr>
          <w:rFonts w:ascii="Times New Roman" w:hAnsi="Times New Roman" w:cs="Times New Roman" w:eastAsia="Times New Roman" w:hint="default"/>
          <w:spacing w:val="-4"/>
        </w:rPr>
        <w:t> </w:t>
      </w:r>
      <w:r>
        <w:rPr/>
        <w:t>万元；</w:t>
      </w:r>
    </w:p>
    <w:p>
      <w:pPr>
        <w:pStyle w:val="BodyText"/>
        <w:spacing w:line="240" w:lineRule="auto" w:before="24"/>
        <w:ind w:right="0"/>
        <w:jc w:val="left"/>
      </w:pPr>
      <w:r>
        <w:rPr>
          <w:rFonts w:ascii="Times New Roman" w:hAnsi="Times New Roman" w:cs="Times New Roman" w:eastAsia="Times New Roman" w:hint="default"/>
        </w:rPr>
        <w:t>12</w:t>
      </w:r>
      <w:r>
        <w:rPr/>
        <w:t>、本公司及神码中国共同为神码科技发展提供担保</w:t>
      </w:r>
      <w:r>
        <w:rPr>
          <w:spacing w:val="-45"/>
        </w:rPr>
        <w:t> </w:t>
      </w:r>
      <w:r>
        <w:rPr>
          <w:rFonts w:ascii="Times New Roman" w:hAnsi="Times New Roman" w:cs="Times New Roman" w:eastAsia="Times New Roman" w:hint="default"/>
        </w:rPr>
        <w:t>44720</w:t>
      </w:r>
      <w:r>
        <w:rPr>
          <w:rFonts w:ascii="Times New Roman" w:hAnsi="Times New Roman" w:cs="Times New Roman" w:eastAsia="Times New Roman" w:hint="default"/>
          <w:spacing w:val="-1"/>
        </w:rPr>
        <w:t> </w:t>
      </w:r>
      <w:r>
        <w:rPr/>
        <w:t>万元；</w:t>
      </w:r>
    </w:p>
    <w:p>
      <w:pPr>
        <w:pStyle w:val="BodyText"/>
        <w:spacing w:line="240" w:lineRule="auto" w:before="24"/>
        <w:ind w:right="0"/>
        <w:jc w:val="left"/>
      </w:pPr>
      <w:r>
        <w:rPr>
          <w:rFonts w:ascii="Times New Roman" w:hAnsi="Times New Roman" w:cs="Times New Roman" w:eastAsia="Times New Roman" w:hint="default"/>
        </w:rPr>
        <w:t>13</w:t>
      </w:r>
      <w:r>
        <w:rPr/>
        <w:t>、本公司及神码北京共同为神码中国提供担保</w:t>
      </w:r>
      <w:r>
        <w:rPr>
          <w:spacing w:val="-45"/>
        </w:rPr>
        <w:t> </w:t>
      </w:r>
      <w:r>
        <w:rPr>
          <w:rFonts w:ascii="Times New Roman" w:hAnsi="Times New Roman" w:cs="Times New Roman" w:eastAsia="Times New Roman" w:hint="default"/>
        </w:rPr>
        <w:t>40000 </w:t>
      </w:r>
      <w:r>
        <w:rPr/>
        <w:t>万元；</w:t>
      </w:r>
    </w:p>
    <w:p>
      <w:pPr>
        <w:pStyle w:val="BodyText"/>
        <w:spacing w:line="240" w:lineRule="auto" w:before="24"/>
        <w:ind w:right="0"/>
        <w:jc w:val="left"/>
      </w:pPr>
      <w:r>
        <w:rPr>
          <w:rFonts w:ascii="Times New Roman" w:hAnsi="Times New Roman" w:cs="Times New Roman" w:eastAsia="Times New Roman" w:hint="default"/>
        </w:rPr>
        <w:t>14</w:t>
      </w:r>
      <w:r>
        <w:rPr/>
        <w:t>、本公司及神码北京共同为神码中国提供担保</w:t>
      </w:r>
      <w:r>
        <w:rPr>
          <w:spacing w:val="-45"/>
        </w:rPr>
        <w:t> </w:t>
      </w:r>
      <w:r>
        <w:rPr>
          <w:rFonts w:ascii="Times New Roman" w:hAnsi="Times New Roman" w:cs="Times New Roman" w:eastAsia="Times New Roman" w:hint="default"/>
        </w:rPr>
        <w:t>37000 </w:t>
      </w:r>
      <w:r>
        <w:rPr/>
        <w:t>万元；</w:t>
      </w:r>
    </w:p>
    <w:p>
      <w:pPr>
        <w:pStyle w:val="BodyText"/>
        <w:spacing w:line="240" w:lineRule="auto" w:before="25"/>
        <w:ind w:right="0"/>
        <w:jc w:val="left"/>
      </w:pPr>
      <w:r>
        <w:rPr>
          <w:rFonts w:ascii="Times New Roman" w:hAnsi="Times New Roman" w:cs="Times New Roman" w:eastAsia="Times New Roman" w:hint="default"/>
        </w:rPr>
        <w:t>15</w:t>
      </w:r>
      <w:r>
        <w:rPr/>
        <w:t>、本公司及神码中国共同为神码澳门提供担保</w:t>
      </w:r>
      <w:r>
        <w:rPr>
          <w:spacing w:val="-45"/>
        </w:rPr>
        <w:t> </w:t>
      </w:r>
      <w:r>
        <w:rPr>
          <w:rFonts w:ascii="Times New Roman" w:hAnsi="Times New Roman" w:cs="Times New Roman" w:eastAsia="Times New Roman" w:hint="default"/>
        </w:rPr>
        <w:t>82560 </w:t>
      </w:r>
      <w:r>
        <w:rPr/>
        <w:t>万元；</w:t>
      </w:r>
    </w:p>
    <w:p>
      <w:pPr>
        <w:pStyle w:val="BodyText"/>
        <w:spacing w:line="240" w:lineRule="auto" w:before="24"/>
        <w:ind w:right="0"/>
        <w:jc w:val="left"/>
      </w:pPr>
      <w:r>
        <w:rPr>
          <w:rFonts w:ascii="Times New Roman" w:hAnsi="Times New Roman" w:cs="Times New Roman" w:eastAsia="Times New Roman" w:hint="default"/>
        </w:rPr>
        <w:t>16</w:t>
      </w:r>
      <w:r>
        <w:rPr/>
        <w:t>、本公司及神码中国共同为神码澳门提供担保</w:t>
      </w:r>
      <w:r>
        <w:rPr>
          <w:spacing w:val="-45"/>
        </w:rPr>
        <w:t> </w:t>
      </w:r>
      <w:r>
        <w:rPr>
          <w:rFonts w:ascii="Times New Roman" w:hAnsi="Times New Roman" w:cs="Times New Roman" w:eastAsia="Times New Roman" w:hint="default"/>
        </w:rPr>
        <w:t>13760 </w:t>
      </w:r>
      <w:r>
        <w:rPr/>
        <w:t>万元；</w:t>
      </w:r>
    </w:p>
    <w:p>
      <w:pPr>
        <w:pStyle w:val="BodyText"/>
        <w:spacing w:line="242" w:lineRule="exact" w:before="23"/>
        <w:ind w:right="0"/>
        <w:jc w:val="left"/>
        <w:rPr>
          <w:rFonts w:ascii="Times New Roman" w:hAnsi="Times New Roman" w:cs="Times New Roman" w:eastAsia="Times New Roman" w:hint="default"/>
        </w:rPr>
      </w:pPr>
      <w:r>
        <w:rPr/>
        <w:t>由此实际情况计算得出的公司报告期末已审批担保额度合计为</w:t>
      </w:r>
      <w:r>
        <w:rPr>
          <w:spacing w:val="-57"/>
        </w:rPr>
        <w:t> </w:t>
      </w:r>
      <w:r>
        <w:rPr>
          <w:rFonts w:ascii="Times New Roman" w:hAnsi="Times New Roman" w:cs="Times New Roman" w:eastAsia="Times New Roman" w:hint="default"/>
        </w:rPr>
        <w:t>4,532,5</w:t>
      </w:r>
      <w:r>
        <w:rPr>
          <w:rFonts w:ascii="Times New Roman" w:hAnsi="Times New Roman" w:cs="Times New Roman" w:eastAsia="Times New Roman" w:hint="default"/>
          <w:spacing w:val="-2"/>
        </w:rPr>
        <w:t>7</w:t>
      </w:r>
      <w:r>
        <w:rPr>
          <w:rFonts w:ascii="Times New Roman" w:hAnsi="Times New Roman" w:cs="Times New Roman" w:eastAsia="Times New Roman" w:hint="default"/>
        </w:rPr>
        <w:t>6.93</w:t>
      </w:r>
      <w:r>
        <w:rPr>
          <w:rFonts w:ascii="Times New Roman" w:hAnsi="Times New Roman" w:cs="Times New Roman" w:eastAsia="Times New Roman" w:hint="default"/>
          <w:spacing w:val="-12"/>
        </w:rPr>
        <w:t> </w:t>
      </w:r>
      <w:r>
        <w:rPr/>
        <w:t>万元</w:t>
      </w:r>
      <w:r>
        <w:rPr>
          <w:spacing w:val="-90"/>
        </w:rPr>
        <w:t>，</w:t>
      </w:r>
      <w:r>
        <w:rPr/>
        <w:t>报告期末实际担保余额合计为</w:t>
      </w:r>
      <w:r>
        <w:rPr>
          <w:spacing w:val="-58"/>
        </w:rPr>
        <w:t> </w:t>
      </w:r>
      <w:r>
        <w:rPr>
          <w:rFonts w:ascii="Times New Roman" w:hAnsi="Times New Roman" w:cs="Times New Roman" w:eastAsia="Times New Roman" w:hint="default"/>
        </w:rPr>
        <w:t>1,862,555.93</w:t>
      </w:r>
    </w:p>
    <w:p>
      <w:pPr>
        <w:pStyle w:val="BodyText"/>
        <w:spacing w:line="228" w:lineRule="exact"/>
        <w:ind w:right="0"/>
        <w:jc w:val="left"/>
      </w:pPr>
      <w:r>
        <w:rPr/>
        <w:t>万元，由于没有超出公司预计额度使用范畴，公司认可按照年报编制规则进行披露。</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bookmarkStart w:name="（2）违规对外担保情况" w:id="93"/>
      <w:bookmarkEnd w:id="93"/>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12"/>
        <w:rPr>
          <w:rFonts w:ascii="宋体" w:hAnsi="宋体" w:cs="宋体" w:eastAsia="宋体" w:hint="default"/>
          <w:b/>
          <w:bCs/>
          <w:sz w:val="21"/>
          <w:szCs w:val="21"/>
        </w:rPr>
      </w:pPr>
    </w:p>
    <w:p>
      <w:pPr>
        <w:pStyle w:val="BodyText"/>
        <w:spacing w:line="264" w:lineRule="auto"/>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委托他人进行现金资产管理情况" w:id="94"/>
      <w:bookmarkEnd w:id="94"/>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bookmarkStart w:name="（1）委托理财情况" w:id="95"/>
      <w:bookmarkEnd w:id="95"/>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1910" w:h="16840"/>
          <w:pgMar w:header="877" w:footer="979" w:top="1100" w:bottom="1160" w:left="980" w:right="0"/>
        </w:sectPr>
      </w:pPr>
    </w:p>
    <w:p>
      <w:pPr>
        <w:pStyle w:val="BodyText"/>
        <w:spacing w:line="261"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pStyle w:val="BodyText"/>
        <w:spacing w:line="240" w:lineRule="auto" w:before="119"/>
        <w:ind w:left="153" w:right="0"/>
        <w:jc w:val="left"/>
      </w:pPr>
      <w:r>
        <w:rPr/>
        <w:t>单位：万元</w:t>
      </w:r>
    </w:p>
    <w:p>
      <w:pPr>
        <w:spacing w:after="0" w:line="240" w:lineRule="auto"/>
        <w:jc w:val="left"/>
        <w:sectPr>
          <w:type w:val="continuous"/>
          <w:pgSz w:w="11910" w:h="16840"/>
          <w:pgMar w:top="1580" w:bottom="700" w:left="980" w:right="0"/>
          <w:cols w:num="2" w:equalWidth="0">
            <w:col w:w="1955" w:space="6785"/>
            <w:col w:w="2190"/>
          </w:cols>
        </w:sectPr>
      </w:pP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869"/>
        <w:gridCol w:w="1959"/>
        <w:gridCol w:w="1981"/>
        <w:gridCol w:w="1910"/>
        <w:gridCol w:w="1850"/>
      </w:tblGrid>
      <w:tr>
        <w:trPr>
          <w:trHeight w:val="323"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64"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323"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其他类</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101,100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100</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64,305</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31,680</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信托理财产品</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5,500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170,905</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31,780</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10"/>
        <w:ind w:right="0"/>
        <w:jc w:val="left"/>
      </w:pPr>
      <w:r>
        <w:rPr/>
        <w:t>单项金额重大或安全性较低、流动性较差、不保本的高风险委托理财具体情况</w:t>
      </w:r>
    </w:p>
    <w:p>
      <w:pPr>
        <w:pStyle w:val="BodyText"/>
        <w:spacing w:line="264" w:lineRule="auto" w:before="37"/>
        <w:ind w:right="57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委托理财出现预期无法收回本金或存在其他可能导致减值的情形</w:t>
      </w:r>
    </w:p>
    <w:p>
      <w:pPr>
        <w:spacing w:after="0" w:line="264" w:lineRule="auto"/>
        <w:jc w:val="left"/>
        <w:sectPr>
          <w:type w:val="continuous"/>
          <w:pgSz w:w="11910" w:h="16840"/>
          <w:pgMar w:top="1580" w:bottom="700" w:left="980" w:right="0"/>
        </w:sectPr>
      </w:pPr>
    </w:p>
    <w:p>
      <w:pPr>
        <w:spacing w:line="240" w:lineRule="auto" w:before="10"/>
        <w:rPr>
          <w:rFonts w:ascii="宋体" w:hAnsi="宋体" w:cs="宋体" w:eastAsia="宋体" w:hint="default"/>
          <w:sz w:val="18"/>
          <w:szCs w:val="18"/>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2）委托贷款情况" w:id="96"/>
      <w:bookmarkEnd w:id="96"/>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12"/>
        <w:rPr>
          <w:rFonts w:ascii="宋体" w:hAnsi="宋体" w:cs="宋体" w:eastAsia="宋体" w:hint="default"/>
          <w:b/>
          <w:bCs/>
          <w:sz w:val="21"/>
          <w:szCs w:val="21"/>
        </w:rPr>
      </w:pPr>
    </w:p>
    <w:p>
      <w:pPr>
        <w:pStyle w:val="BodyText"/>
        <w:spacing w:line="264"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bookmarkStart w:name="4、其他重大合同" w:id="97"/>
      <w:bookmarkEnd w:id="97"/>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0"/>
        <w:rPr>
          <w:rFonts w:ascii="宋体" w:hAnsi="宋体" w:cs="宋体" w:eastAsia="宋体" w:hint="default"/>
          <w:b/>
          <w:bCs/>
          <w:sz w:val="22"/>
          <w:szCs w:val="22"/>
        </w:rPr>
      </w:pPr>
    </w:p>
    <w:p>
      <w:pPr>
        <w:pStyle w:val="BodyText"/>
        <w:spacing w:line="261" w:lineRule="auto"/>
        <w:ind w:right="82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after="0" w:line="261" w:lineRule="auto"/>
        <w:jc w:val="left"/>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Heading2"/>
        <w:spacing w:line="240" w:lineRule="auto" w:before="26"/>
        <w:ind w:right="0"/>
        <w:jc w:val="both"/>
        <w:rPr>
          <w:b w:val="0"/>
          <w:bCs w:val="0"/>
        </w:rPr>
      </w:pPr>
      <w:bookmarkStart w:name="十八、社会责任情况" w:id="98"/>
      <w:bookmarkEnd w:id="98"/>
      <w:r>
        <w:rPr>
          <w:b w:val="0"/>
          <w:bCs w:val="0"/>
        </w:rPr>
      </w:r>
      <w:r>
        <w:rPr/>
        <w:t>十八、社会责任情况</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right="0"/>
        <w:jc w:val="both"/>
        <w:rPr>
          <w:b w:val="0"/>
          <w:bCs w:val="0"/>
        </w:rPr>
      </w:pPr>
      <w:bookmarkStart w:name="1、履行社会责任情况" w:id="99"/>
      <w:bookmarkEnd w:id="99"/>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0"/>
        <w:rPr>
          <w:rFonts w:ascii="宋体" w:hAnsi="宋体" w:cs="宋体" w:eastAsia="宋体" w:hint="default"/>
          <w:b/>
          <w:bCs/>
          <w:sz w:val="22"/>
          <w:szCs w:val="22"/>
        </w:rPr>
      </w:pPr>
    </w:p>
    <w:p>
      <w:pPr>
        <w:pStyle w:val="BodyText"/>
        <w:spacing w:line="273" w:lineRule="auto"/>
        <w:ind w:right="0" w:firstLine="360"/>
        <w:jc w:val="left"/>
      </w:pPr>
      <w:r>
        <w:rPr>
          <w:spacing w:val="-2"/>
        </w:rPr>
        <w:t>报告期内，公司高度重视企业社会责任工作，在业务经营发展过程汇总，努力做到经济效益与社会效益、短期利益与长</w:t>
      </w:r>
      <w:r>
        <w:rPr/>
        <w:t> 远收益兼顾，实现公司与社会的健康和谐发展。</w:t>
      </w:r>
    </w:p>
    <w:p>
      <w:pPr>
        <w:pStyle w:val="BodyText"/>
        <w:spacing w:line="256" w:lineRule="auto" w:before="8"/>
        <w:ind w:left="514" w:right="0"/>
        <w:jc w:val="left"/>
      </w:pPr>
      <w:r>
        <w:rPr/>
        <w:t>（</w:t>
      </w:r>
      <w:r>
        <w:rPr>
          <w:rFonts w:ascii="Times New Roman" w:hAnsi="Times New Roman" w:cs="Times New Roman" w:eastAsia="Times New Roman" w:hint="default"/>
        </w:rPr>
        <w:t>1</w:t>
      </w:r>
      <w:r>
        <w:rPr/>
        <w:t>）维护股东权益，提升股东价值 </w:t>
      </w:r>
      <w:r>
        <w:rPr>
          <w:spacing w:val="-2"/>
        </w:rPr>
        <w:t>股东是公司的所有者，享有法律、行政法规和公司章程规定的合法权利。作为一家上市公司，保障股东特别是中小股东</w:t>
      </w:r>
    </w:p>
    <w:p>
      <w:pPr>
        <w:pStyle w:val="BodyText"/>
        <w:spacing w:line="273" w:lineRule="auto" w:before="20"/>
        <w:ind w:right="1130"/>
        <w:jc w:val="both"/>
      </w:pPr>
      <w:r>
        <w:rPr>
          <w:spacing w:val="-2"/>
        </w:rPr>
        <w:t>的利益，维护债权人的合法权益，是公司最基本的社会责任。公司根据《公司法》、《证券法》、《上市公司治理准则》等</w:t>
      </w:r>
      <w:r>
        <w:rPr>
          <w:spacing w:val="-69"/>
        </w:rPr>
        <w:t> </w:t>
      </w:r>
      <w:r>
        <w:rPr>
          <w:spacing w:val="-69"/>
        </w:rPr>
      </w:r>
      <w:r>
        <w:rPr>
          <w:spacing w:val="-2"/>
        </w:rPr>
        <w:t>法律法规，不断提高规范运作水平，完善公司治理，形成了以股东大会、董事会、监事会及管理层为主体结构的决策与经营</w:t>
      </w:r>
      <w:r>
        <w:rPr>
          <w:spacing w:val="-66"/>
        </w:rPr>
        <w:t> </w:t>
      </w:r>
      <w:r>
        <w:rPr>
          <w:spacing w:val="-66"/>
        </w:rPr>
      </w:r>
      <w:r>
        <w:rPr>
          <w:spacing w:val="-2"/>
        </w:rPr>
        <w:t>体系，切实保障全体股东的权益。报告期内公司共召开一次年度股东大会和五次临时股东大会，积极主动采用网络投票等方</w:t>
      </w:r>
      <w:r>
        <w:rPr>
          <w:spacing w:val="-66"/>
        </w:rPr>
        <w:t> </w:t>
      </w:r>
      <w:r>
        <w:rPr>
          <w:spacing w:val="-66"/>
        </w:rPr>
      </w:r>
      <w:r>
        <w:rPr>
          <w:spacing w:val="-2"/>
        </w:rPr>
        <w:t>式扩大股东参会比例，并对中小投资者进行单独计票，确保股东对公司重大事项的知情权、参与权和表决权。同时，公司依</w:t>
      </w:r>
      <w:r>
        <w:rPr>
          <w:spacing w:val="-65"/>
        </w:rPr>
        <w:t> </w:t>
      </w:r>
      <w:r>
        <w:rPr>
          <w:spacing w:val="-65"/>
        </w:rPr>
      </w:r>
      <w:r>
        <w:rPr>
          <w:spacing w:val="-2"/>
        </w:rPr>
        <w:t>照国家有关法律法规和公司《信息披露制度》的相关规定，充分履行信息披露义务，严格遵循公平、公正、公开的信息披露</w:t>
      </w:r>
      <w:r>
        <w:rPr>
          <w:spacing w:val="-68"/>
        </w:rPr>
        <w:t> </w:t>
      </w:r>
      <w:r>
        <w:rPr>
          <w:spacing w:val="-68"/>
        </w:rPr>
      </w:r>
      <w:r>
        <w:rPr>
          <w:spacing w:val="-2"/>
        </w:rPr>
        <w:t>原则，及时在指定报刊和网站上披露公告和有关文件，保证所有股东都有平等的机会获得信息，及时准确了解、掌握公司经</w:t>
      </w:r>
      <w:r>
        <w:rPr>
          <w:spacing w:val="-66"/>
        </w:rPr>
        <w:t> </w:t>
      </w:r>
      <w:r>
        <w:rPr>
          <w:spacing w:val="-66"/>
        </w:rPr>
      </w:r>
      <w:r>
        <w:rPr>
          <w:spacing w:val="-2"/>
        </w:rPr>
        <w:t>营动态、财务状况及所有重大事项的进展情况，提高了公司的透明度和诚信度。公司注重加强投资者关系管理工作，接受投</w:t>
      </w:r>
      <w:r>
        <w:rPr>
          <w:spacing w:val="-66"/>
        </w:rPr>
        <w:t> </w:t>
      </w:r>
      <w:r>
        <w:rPr>
          <w:spacing w:val="-66"/>
        </w:rPr>
      </w:r>
      <w:r>
        <w:rPr/>
        <w:t>资者咨询，并重视对投资者的投资回报，采取积极的利润分配方案，积极回报股东。</w:t>
      </w:r>
    </w:p>
    <w:p>
      <w:pPr>
        <w:pStyle w:val="BodyText"/>
        <w:spacing w:line="259" w:lineRule="auto" w:before="8"/>
        <w:ind w:left="514" w:right="0"/>
        <w:jc w:val="left"/>
      </w:pPr>
      <w:r>
        <w:rPr/>
        <w:t>（</w:t>
      </w:r>
      <w:r>
        <w:rPr>
          <w:rFonts w:ascii="Times New Roman" w:hAnsi="Times New Roman" w:cs="Times New Roman" w:eastAsia="Times New Roman" w:hint="default"/>
        </w:rPr>
        <w:t>2</w:t>
      </w:r>
      <w:r>
        <w:rPr/>
        <w:t>）坚持诚信经营，维护供应商、客户权益 </w:t>
      </w:r>
      <w:r>
        <w:rPr>
          <w:spacing w:val="-2"/>
        </w:rPr>
        <w:t>公司始终坚持诚信经营、利益共享、互惠互利原则，积极构建和发展与供应商、客户的战略合作伙伴关系，共同构筑信</w:t>
      </w:r>
    </w:p>
    <w:p>
      <w:pPr>
        <w:pStyle w:val="BodyText"/>
        <w:spacing w:line="273" w:lineRule="auto" w:before="17"/>
        <w:ind w:right="1131"/>
        <w:jc w:val="both"/>
      </w:pPr>
      <w:r>
        <w:rPr>
          <w:spacing w:val="-2"/>
        </w:rPr>
        <w:t>任与合作的平台。公司努力确保公司财务稳健与公司资产、资金安全，兼顾债权人的利益；在决策经营过程中，高度重视债</w:t>
      </w:r>
      <w:r>
        <w:rPr>
          <w:spacing w:val="-66"/>
        </w:rPr>
        <w:t> </w:t>
      </w:r>
      <w:r>
        <w:rPr>
          <w:spacing w:val="-66"/>
        </w:rPr>
      </w:r>
      <w:r>
        <w:rPr>
          <w:spacing w:val="-2"/>
        </w:rPr>
        <w:t>权人合法权益的保护，严格按照与债权人签订的合同履行债务。切实履行公司对供应商、客户的社会责任，充分尊重并保护</w:t>
      </w:r>
      <w:r>
        <w:rPr>
          <w:spacing w:val="-66"/>
        </w:rPr>
        <w:t> </w:t>
      </w:r>
      <w:r>
        <w:rPr>
          <w:spacing w:val="-66"/>
        </w:rPr>
      </w:r>
      <w:r>
        <w:rPr/>
        <w:t>供应商和客户的合法权益。</w:t>
      </w:r>
    </w:p>
    <w:p>
      <w:pPr>
        <w:pStyle w:val="BodyText"/>
        <w:spacing w:line="259" w:lineRule="auto" w:before="7"/>
        <w:ind w:left="514" w:right="0"/>
        <w:jc w:val="left"/>
      </w:pPr>
      <w:r>
        <w:rPr/>
        <w:t>（</w:t>
      </w:r>
      <w:r>
        <w:rPr>
          <w:rFonts w:ascii="Times New Roman" w:hAnsi="Times New Roman" w:cs="Times New Roman" w:eastAsia="Times New Roman" w:hint="default"/>
        </w:rPr>
        <w:t>3</w:t>
      </w:r>
      <w:r>
        <w:rPr/>
        <w:t>）注重员工权益保护，提升员工个人价值和社会价值 </w:t>
      </w:r>
      <w:r>
        <w:rPr>
          <w:spacing w:val="-2"/>
        </w:rPr>
        <w:t>公司严格遵守《劳动法》、《劳动合同法》相关法律法规，在社会保障等方面严格执行国家规定和标准，实现全员参加</w:t>
      </w:r>
    </w:p>
    <w:p>
      <w:pPr>
        <w:pStyle w:val="BodyText"/>
        <w:spacing w:line="266" w:lineRule="auto" w:before="19"/>
        <w:ind w:right="1129"/>
        <w:jc w:val="both"/>
      </w:pPr>
      <w:r>
        <w:rPr>
          <w:spacing w:val="-2"/>
        </w:rPr>
        <w:t>社会保险，解除员工的后顾之忧；关注员工健康，切实尊重和维护员工的个人权益。公司成立的</w:t>
      </w:r>
      <w:r>
        <w:rPr>
          <w:rFonts w:ascii="Times New Roman" w:hAnsi="Times New Roman" w:cs="Times New Roman" w:eastAsia="Times New Roman" w:hint="default"/>
          <w:spacing w:val="-2"/>
        </w:rPr>
        <w:t>“</w:t>
      </w:r>
      <w:r>
        <w:rPr>
          <w:spacing w:val="-2"/>
        </w:rPr>
        <w:t>员工互助基金会</w:t>
      </w:r>
      <w:r>
        <w:rPr>
          <w:rFonts w:ascii="Times New Roman" w:hAnsi="Times New Roman" w:cs="Times New Roman" w:eastAsia="Times New Roman" w:hint="default"/>
          <w:spacing w:val="-2"/>
        </w:rPr>
        <w:t>”</w:t>
      </w:r>
      <w:r>
        <w:rPr>
          <w:spacing w:val="-2"/>
        </w:rPr>
        <w:t>，在员工</w:t>
      </w:r>
      <w:r>
        <w:rPr>
          <w:spacing w:val="-46"/>
        </w:rPr>
        <w:t> </w:t>
      </w:r>
      <w:r>
        <w:rPr>
          <w:spacing w:val="-46"/>
        </w:rPr>
      </w:r>
      <w:r>
        <w:rPr>
          <w:spacing w:val="-2"/>
        </w:rPr>
        <w:t>的大力支持与参与下，</w:t>
      </w:r>
      <w:r>
        <w:rPr>
          <w:rFonts w:ascii="Times New Roman" w:hAnsi="Times New Roman" w:cs="Times New Roman" w:eastAsia="Times New Roman" w:hint="default"/>
          <w:spacing w:val="-2"/>
        </w:rPr>
        <w:t>2018</w:t>
      </w:r>
      <w:r>
        <w:rPr>
          <w:spacing w:val="-2"/>
        </w:rPr>
        <w:t>年员工互助基金入会人数</w:t>
      </w:r>
      <w:r>
        <w:rPr>
          <w:rFonts w:ascii="Times New Roman" w:hAnsi="Times New Roman" w:cs="Times New Roman" w:eastAsia="Times New Roman" w:hint="default"/>
          <w:spacing w:val="-2"/>
        </w:rPr>
        <w:t>4233</w:t>
      </w:r>
      <w:r>
        <w:rPr>
          <w:spacing w:val="-2"/>
        </w:rPr>
        <w:t>人。公司重视员工的职业生涯发展规划以及个人素质的提升，为公</w:t>
      </w:r>
      <w:r>
        <w:rPr>
          <w:spacing w:val="-58"/>
        </w:rPr>
        <w:t> </w:t>
      </w:r>
      <w:r>
        <w:rPr>
          <w:spacing w:val="-58"/>
        </w:rPr>
      </w:r>
      <w:r>
        <w:rPr>
          <w:spacing w:val="-2"/>
        </w:rPr>
        <w:t>司和社会积累更多的人才财富，实现员工与企业的共同成长。同时结合健康向上的企业文化，注重员工人文关怀，积极发挥</w:t>
      </w:r>
      <w:r>
        <w:rPr>
          <w:spacing w:val="-66"/>
        </w:rPr>
        <w:t> </w:t>
      </w:r>
      <w:r>
        <w:rPr>
          <w:spacing w:val="-66"/>
        </w:rPr>
      </w:r>
      <w:r>
        <w:rPr>
          <w:spacing w:val="-5"/>
        </w:rPr>
        <w:t>工会的作用，开办合唱团、游泳、羽毛球员工俱乐部以及组织员工户外家庭日、健身周、植树联谊、全国羽毛球日、足球赛、</w:t>
      </w:r>
      <w:r>
        <w:rPr>
          <w:spacing w:val="-81"/>
        </w:rPr>
        <w:t> </w:t>
      </w:r>
      <w:r>
        <w:rPr>
          <w:spacing w:val="-81"/>
        </w:rPr>
      </w:r>
      <w:r>
        <w:rPr/>
        <w:t>音乐会等丰富多彩的文体活动，提升员工的归属感，最大程度保障员工的权利。</w:t>
      </w:r>
    </w:p>
    <w:p>
      <w:pPr>
        <w:pStyle w:val="BodyText"/>
        <w:spacing w:line="297" w:lineRule="auto" w:before="12"/>
        <w:ind w:left="514" w:right="0"/>
        <w:jc w:val="left"/>
      </w:pPr>
      <w:r>
        <w:rPr/>
        <w:t>（</w:t>
      </w:r>
      <w:r>
        <w:rPr>
          <w:rFonts w:ascii="Times New Roman" w:hAnsi="Times New Roman" w:cs="Times New Roman" w:eastAsia="Times New Roman" w:hint="default"/>
        </w:rPr>
        <w:t>4</w:t>
      </w:r>
      <w:r>
        <w:rPr/>
        <w:t>）积极参与社会各项事务，提升企业及员工的社会责任感 </w:t>
      </w:r>
      <w:r>
        <w:rPr>
          <w:spacing w:val="-2"/>
        </w:rPr>
        <w:t>公司积极参与公益活动，并透过对下一代的教育和扶危济困行动，促进社会稳定和谐。公司长期参与</w:t>
      </w:r>
      <w:r>
        <w:rPr>
          <w:rFonts w:ascii="Times New Roman" w:hAnsi="Times New Roman" w:cs="Times New Roman" w:eastAsia="Times New Roman" w:hint="default"/>
          <w:spacing w:val="-2"/>
        </w:rPr>
        <w:t>“</w:t>
      </w:r>
      <w:r>
        <w:rPr>
          <w:spacing w:val="-2"/>
        </w:rPr>
        <w:t>关爱太阳村</w:t>
      </w:r>
      <w:r>
        <w:rPr>
          <w:rFonts w:ascii="Times New Roman" w:hAnsi="Times New Roman" w:cs="Times New Roman" w:eastAsia="Times New Roman" w:hint="default"/>
          <w:spacing w:val="-2"/>
        </w:rPr>
        <w:t>”</w:t>
      </w:r>
      <w:r>
        <w:rPr>
          <w:spacing w:val="-2"/>
        </w:rPr>
        <w:t>社会</w:t>
      </w:r>
    </w:p>
    <w:p>
      <w:pPr>
        <w:pStyle w:val="BodyText"/>
        <w:spacing w:line="206" w:lineRule="exact"/>
        <w:ind w:right="0"/>
        <w:jc w:val="both"/>
      </w:pPr>
      <w:r>
        <w:rPr/>
        <w:t>公益活动，定期为北京市顺义区赵全营镇的太阳村儿童提供帮助，主动分担太阳村的生活重担，关爱这些因家人服刑而无人</w:t>
      </w:r>
    </w:p>
    <w:p>
      <w:pPr>
        <w:pStyle w:val="BodyText"/>
        <w:spacing w:line="266" w:lineRule="auto" w:before="33"/>
        <w:ind w:right="1129"/>
        <w:jc w:val="both"/>
      </w:pPr>
      <w:r>
        <w:rPr>
          <w:spacing w:val="-2"/>
        </w:rPr>
        <w:t>抚养的未成年孩子，为其捐赠善款及各式各样的生活学习用品，希望能为太阳村孩子们的学习和生活尽一份绵薄之力。公司</w:t>
      </w:r>
      <w:r>
        <w:rPr>
          <w:spacing w:val="-66"/>
        </w:rPr>
        <w:t> </w:t>
      </w:r>
      <w:r>
        <w:rPr>
          <w:spacing w:val="-66"/>
        </w:rPr>
      </w:r>
      <w:r>
        <w:rPr>
          <w:spacing w:val="-3"/>
        </w:rPr>
        <w:t>不但关爱太阳村儿童，而且持续关注希望小学的发展。</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4</w:t>
      </w:r>
      <w:r>
        <w:rPr>
          <w:spacing w:val="-3"/>
        </w:rPr>
        <w:t>月，公司在湖北省神州数码麻城希望小学举办</w:t>
      </w:r>
      <w:r>
        <w:rPr>
          <w:rFonts w:ascii="Times New Roman" w:hAnsi="Times New Roman" w:cs="Times New Roman" w:eastAsia="Times New Roman" w:hint="default"/>
          <w:spacing w:val="-3"/>
        </w:rPr>
        <w:t>“</w:t>
      </w:r>
      <w:r>
        <w:rPr>
          <w:spacing w:val="-3"/>
        </w:rPr>
        <w:t>科技节</w:t>
      </w:r>
      <w:r>
        <w:rPr>
          <w:rFonts w:ascii="Times New Roman" w:hAnsi="Times New Roman" w:cs="Times New Roman" w:eastAsia="Times New Roman" w:hint="default"/>
          <w:spacing w:val="-3"/>
        </w:rPr>
        <w:t>”</w:t>
      </w:r>
      <w:r>
        <w:rPr>
          <w:spacing w:val="-3"/>
        </w:rPr>
        <w:t>活动，</w:t>
      </w:r>
      <w:r>
        <w:rPr>
          <w:spacing w:val="-68"/>
        </w:rPr>
        <w:t> </w:t>
      </w:r>
      <w:r>
        <w:rPr>
          <w:spacing w:val="-2"/>
        </w:rPr>
        <w:t>征集科技作品加以评奖，并捐赠文体用品和办公器械，还给孩子们带来生动有趣的科技讲堂，让孩子们接受到最新的科技知</w:t>
      </w:r>
      <w:r>
        <w:rPr>
          <w:spacing w:val="-66"/>
        </w:rPr>
        <w:t> </w:t>
      </w:r>
      <w:r>
        <w:rPr>
          <w:spacing w:val="-66"/>
        </w:rPr>
      </w:r>
      <w:r>
        <w:rPr/>
        <w:t>识。</w:t>
      </w:r>
      <w:r>
        <w:rPr>
          <w:rFonts w:ascii="Times New Roman" w:hAnsi="Times New Roman" w:cs="Times New Roman" w:eastAsia="Times New Roman" w:hint="default"/>
        </w:rPr>
        <w:t>6</w:t>
      </w:r>
      <w:r>
        <w:rPr/>
        <w:t>月，神州数码举办以</w:t>
      </w:r>
      <w:r>
        <w:rPr>
          <w:rFonts w:ascii="Times New Roman" w:hAnsi="Times New Roman" w:cs="Times New Roman" w:eastAsia="Times New Roman" w:hint="default"/>
        </w:rPr>
        <w:t>“</w:t>
      </w:r>
      <w:r>
        <w:rPr/>
        <w:t>共绘数字中国梦</w:t>
      </w:r>
      <w:r>
        <w:rPr>
          <w:rFonts w:ascii="Times New Roman" w:hAnsi="Times New Roman" w:cs="Times New Roman" w:eastAsia="Times New Roman" w:hint="default"/>
        </w:rPr>
        <w:t>”</w:t>
      </w:r>
      <w:r>
        <w:rPr/>
        <w:t>为主题的儿童绘画公益大赛，邀请由公司捐建的希望小学学生用画笔描绘对数</w:t>
      </w:r>
      <w:r>
        <w:rPr>
          <w:spacing w:val="-69"/>
        </w:rPr>
        <w:t> </w:t>
      </w:r>
      <w:r>
        <w:rPr>
          <w:spacing w:val="-69"/>
        </w:rPr>
      </w:r>
      <w:r>
        <w:rPr/>
        <w:t>字中国、科技未来的畅想，以期开阔学生的视野，激发对学习和创作的兴趣，全面提高学生素质。</w:t>
      </w:r>
    </w:p>
    <w:p>
      <w:pPr>
        <w:pStyle w:val="BodyText"/>
        <w:spacing w:line="266" w:lineRule="auto" w:before="52"/>
        <w:ind w:right="1032" w:firstLine="360"/>
        <w:jc w:val="left"/>
      </w:pPr>
      <w:r>
        <w:rPr/>
        <w:t>公司稳步推行公益捐赠，推动社会的进步。为支持职业教育发展，以培养多样化人才、传承技术技能、促进就业创业， 公司为</w:t>
      </w:r>
      <w:r>
        <w:rPr>
          <w:rFonts w:ascii="Times New Roman" w:hAnsi="Times New Roman" w:cs="Times New Roman" w:eastAsia="Times New Roman" w:hint="default"/>
        </w:rPr>
        <w:t>“2018</w:t>
      </w:r>
      <w:r>
        <w:rPr/>
        <w:t>年全国职业院校技能大赛</w:t>
      </w:r>
      <w:r>
        <w:rPr>
          <w:rFonts w:ascii="Times New Roman" w:hAnsi="Times New Roman" w:cs="Times New Roman" w:eastAsia="Times New Roman" w:hint="default"/>
        </w:rPr>
        <w:t>”</w:t>
      </w:r>
      <w:r>
        <w:rPr/>
        <w:t>捐赠资金</w:t>
      </w:r>
      <w:r>
        <w:rPr>
          <w:rFonts w:ascii="Times New Roman" w:hAnsi="Times New Roman" w:cs="Times New Roman" w:eastAsia="Times New Roman" w:hint="default"/>
        </w:rPr>
        <w:t>120</w:t>
      </w:r>
      <w:r>
        <w:rPr/>
        <w:t>万元。为支持学生教育发展，公司为秦皇岛市中学优秀毕业生助学奖学</w:t>
      </w:r>
      <w:r>
        <w:rPr>
          <w:spacing w:val="-68"/>
        </w:rPr>
        <w:t> </w:t>
      </w:r>
      <w:r>
        <w:rPr>
          <w:spacing w:val="-68"/>
        </w:rPr>
      </w:r>
      <w:r>
        <w:rPr/>
        <w:t>金捐赠</w:t>
      </w:r>
      <w:r>
        <w:rPr>
          <w:rFonts w:ascii="Times New Roman" w:hAnsi="Times New Roman" w:cs="Times New Roman" w:eastAsia="Times New Roman" w:hint="default"/>
        </w:rPr>
        <w:t>50</w:t>
      </w:r>
      <w:r>
        <w:rPr/>
        <w:t>万元。</w:t>
      </w:r>
    </w:p>
    <w:p>
      <w:pPr>
        <w:spacing w:line="240" w:lineRule="auto" w:before="5"/>
        <w:rPr>
          <w:rFonts w:ascii="宋体" w:hAnsi="宋体" w:cs="宋体" w:eastAsia="宋体" w:hint="default"/>
          <w:sz w:val="22"/>
          <w:szCs w:val="22"/>
        </w:rPr>
      </w:pPr>
    </w:p>
    <w:p>
      <w:pPr>
        <w:pStyle w:val="Heading3"/>
        <w:spacing w:line="240" w:lineRule="auto"/>
        <w:ind w:right="0"/>
        <w:jc w:val="both"/>
        <w:rPr>
          <w:b w:val="0"/>
          <w:bCs w:val="0"/>
        </w:rPr>
      </w:pPr>
      <w:bookmarkStart w:name="2、履行精准扶贫社会责任情况" w:id="100"/>
      <w:bookmarkEnd w:id="100"/>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right="0"/>
        <w:jc w:val="both"/>
      </w:pPr>
      <w:r>
        <w:rPr/>
        <w:t>公司报告年度暂未开展精准扶贫工作，也暂无后续精准扶贫计划。</w:t>
      </w:r>
    </w:p>
    <w:p>
      <w:pPr>
        <w:spacing w:line="240" w:lineRule="auto" w:before="6"/>
        <w:rPr>
          <w:rFonts w:ascii="宋体" w:hAnsi="宋体" w:cs="宋体" w:eastAsia="宋体" w:hint="default"/>
          <w:sz w:val="22"/>
          <w:szCs w:val="22"/>
        </w:rPr>
      </w:pPr>
    </w:p>
    <w:p>
      <w:pPr>
        <w:pStyle w:val="Heading3"/>
        <w:spacing w:line="240" w:lineRule="auto"/>
        <w:ind w:right="0"/>
        <w:jc w:val="both"/>
        <w:rPr>
          <w:b w:val="0"/>
          <w:bCs w:val="0"/>
        </w:rPr>
      </w:pPr>
      <w:bookmarkStart w:name="3、环境保护相关的情况" w:id="101"/>
      <w:bookmarkEnd w:id="101"/>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12"/>
        <w:rPr>
          <w:rFonts w:ascii="宋体" w:hAnsi="宋体" w:cs="宋体" w:eastAsia="宋体" w:hint="default"/>
          <w:b/>
          <w:bCs/>
          <w:sz w:val="21"/>
          <w:szCs w:val="21"/>
        </w:rPr>
      </w:pPr>
    </w:p>
    <w:p>
      <w:pPr>
        <w:pStyle w:val="BodyText"/>
        <w:spacing w:line="278" w:lineRule="auto"/>
        <w:ind w:right="5712"/>
        <w:jc w:val="left"/>
      </w:pPr>
      <w:r>
        <w:rPr/>
        <w:t>上市公司及其子公司是否属于环境保护部门公布的重点排污单位 不适用</w:t>
      </w:r>
    </w:p>
    <w:p>
      <w:pPr>
        <w:pStyle w:val="BodyText"/>
        <w:spacing w:line="240" w:lineRule="auto" w:before="9"/>
        <w:ind w:right="0"/>
        <w:jc w:val="both"/>
      </w:pPr>
      <w:r>
        <w:rPr/>
        <w:t>公司及子公司不属于排污单位。</w:t>
      </w:r>
    </w:p>
    <w:p>
      <w:pPr>
        <w:spacing w:after="0" w:line="240" w:lineRule="auto"/>
        <w:jc w:val="both"/>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Heading2"/>
        <w:spacing w:line="240" w:lineRule="auto" w:before="26"/>
        <w:ind w:left="214" w:right="1360"/>
        <w:jc w:val="left"/>
        <w:rPr>
          <w:b w:val="0"/>
          <w:bCs w:val="0"/>
        </w:rPr>
      </w:pPr>
      <w:bookmarkStart w:name="十九、其他重大事项的说明" w:id="102"/>
      <w:bookmarkEnd w:id="102"/>
      <w:r>
        <w:rPr>
          <w:b w:val="0"/>
          <w:bCs w:val="0"/>
        </w:rPr>
      </w:r>
      <w:r>
        <w:rPr/>
        <w:t>十九、其他重大事项的说明</w:t>
      </w:r>
      <w:r>
        <w:rPr>
          <w:b w:val="0"/>
          <w:bCs w:val="0"/>
        </w:rPr>
      </w:r>
    </w:p>
    <w:p>
      <w:pPr>
        <w:spacing w:line="240" w:lineRule="auto" w:before="6"/>
        <w:rPr>
          <w:rFonts w:ascii="宋体" w:hAnsi="宋体" w:cs="宋体" w:eastAsia="宋体" w:hint="default"/>
          <w:b/>
          <w:bCs/>
          <w:sz w:val="23"/>
          <w:szCs w:val="23"/>
        </w:rPr>
      </w:pPr>
    </w:p>
    <w:p>
      <w:pPr>
        <w:pStyle w:val="BodyText"/>
        <w:spacing w:line="261" w:lineRule="auto"/>
        <w:ind w:left="214" w:right="82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1</w:t>
      </w:r>
      <w:r>
        <w:rPr/>
        <w:t>、重大资产重组的进展情况： 关于收购启行教育的进展情况：</w:t>
      </w:r>
    </w:p>
    <w:p>
      <w:pPr>
        <w:pStyle w:val="BodyText"/>
        <w:spacing w:line="259" w:lineRule="auto" w:before="17"/>
        <w:ind w:left="214" w:right="1129"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t>日，神州数码集团股份有限公司因筹划重大事项申请停牌并发布公告。</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16</w:t>
      </w:r>
      <w:r>
        <w:rPr/>
        <w:t>日开市起转入重大资 </w:t>
      </w:r>
      <w:r>
        <w:rPr>
          <w:spacing w:val="-2"/>
        </w:rPr>
        <w:t>产重组事项继续停牌，期间每五个交易日发布一次进展公告。</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30</w:t>
      </w:r>
      <w:r>
        <w:rPr>
          <w:spacing w:val="-2"/>
        </w:rPr>
        <w:t>日公司申请继续停牌，并公布了交易标的广东启</w:t>
      </w:r>
      <w:r>
        <w:rPr>
          <w:spacing w:val="-57"/>
        </w:rPr>
        <w:t> </w:t>
      </w:r>
      <w:r>
        <w:rPr>
          <w:spacing w:val="-57"/>
        </w:rPr>
      </w:r>
      <w:r>
        <w:rPr/>
        <w:t>行教育科技有限公司（以下简称</w:t>
      </w:r>
      <w:r>
        <w:rPr>
          <w:rFonts w:ascii="Times New Roman" w:hAnsi="Times New Roman" w:cs="Times New Roman" w:eastAsia="Times New Roman" w:hint="default"/>
        </w:rPr>
        <w:t>“</w:t>
      </w:r>
      <w:r>
        <w:rPr/>
        <w:t>启行教育</w:t>
      </w:r>
      <w:r>
        <w:rPr>
          <w:rFonts w:ascii="Times New Roman" w:hAnsi="Times New Roman" w:cs="Times New Roman" w:eastAsia="Times New Roman" w:hint="default"/>
        </w:rPr>
        <w:t>”</w:t>
      </w:r>
      <w:r>
        <w:rPr/>
        <w:t>）的基本情况，停牌期间每五个交易日发布一次进展公告。</w:t>
      </w:r>
    </w:p>
    <w:p>
      <w:pPr>
        <w:pStyle w:val="BodyText"/>
        <w:spacing w:line="259" w:lineRule="auto" w:before="3"/>
        <w:ind w:left="214" w:right="1042" w:firstLine="360"/>
        <w:jc w:val="both"/>
      </w:pP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27</w:t>
      </w:r>
      <w:r>
        <w:rPr>
          <w:spacing w:val="-4"/>
        </w:rPr>
        <w:t>日公司第八届董事会第二十五次会议审议通过了《关于筹划重大资产重组停牌期满申请继续停牌的议案》，</w:t>
      </w:r>
      <w:r>
        <w:rPr/>
        <w:t> 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29</w:t>
      </w:r>
      <w:r>
        <w:rPr/>
        <w:t>日开市起继续停牌。</w:t>
      </w:r>
    </w:p>
    <w:p>
      <w:pPr>
        <w:pStyle w:val="BodyText"/>
        <w:spacing w:line="259" w:lineRule="auto" w:before="2"/>
        <w:ind w:left="214" w:right="1131"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11</w:t>
      </w:r>
      <w:r>
        <w:rPr>
          <w:spacing w:val="-2"/>
        </w:rPr>
        <w:t>日公司第八届董事会第二十六次会议、第八届监事会第十七次会议审议通过了《关于公司发行股份及支付</w:t>
      </w:r>
      <w:r>
        <w:rPr/>
        <w:t> 现金购买资产并募集配套资金暨关联交易方案的议案》等与本次重大资产重组事项相关的议案。</w:t>
      </w:r>
    </w:p>
    <w:p>
      <w:pPr>
        <w:pStyle w:val="BodyText"/>
        <w:spacing w:line="240" w:lineRule="auto" w:before="19"/>
        <w:ind w:left="574" w:right="0"/>
        <w:jc w:val="left"/>
        <w:rPr>
          <w:rFonts w:ascii="Times New Roman" w:hAnsi="Times New Roman" w:cs="Times New Roman" w:eastAsia="Times New Roman" w:hint="default"/>
        </w:rPr>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日公司收到深圳证券交易所公司管理部《关于对神州数码集团股份有限公司的重组问询函》，</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p>
    <w:p>
      <w:pPr>
        <w:pStyle w:val="BodyText"/>
        <w:spacing w:line="240" w:lineRule="auto" w:before="18"/>
        <w:ind w:left="214" w:right="1360"/>
        <w:jc w:val="left"/>
      </w:pPr>
      <w:r>
        <w:rPr/>
        <w:t>月</w:t>
      </w:r>
      <w:r>
        <w:rPr>
          <w:rFonts w:ascii="Times New Roman" w:hAnsi="Times New Roman" w:cs="Times New Roman" w:eastAsia="Times New Roman" w:hint="default"/>
        </w:rPr>
        <w:t>25</w:t>
      </w:r>
      <w:r>
        <w:rPr/>
        <w:t>日公司发布了《关于延期回复重组问询函的公告》。</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r>
        <w:rPr/>
        <w:t>日对重组问询函进行了回复。</w:t>
      </w:r>
    </w:p>
    <w:p>
      <w:pPr>
        <w:pStyle w:val="BodyText"/>
        <w:spacing w:line="259" w:lineRule="auto" w:before="19"/>
        <w:ind w:left="214" w:right="1130"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日公司第八届董事会第二十七次会议审议通过了《关于公司与交易对方签署附生效条件的</w:t>
      </w:r>
      <w:r>
        <w:rPr>
          <w:rFonts w:ascii="Times New Roman" w:hAnsi="Times New Roman" w:cs="Times New Roman" w:eastAsia="Times New Roman" w:hint="default"/>
        </w:rPr>
        <w:t>&lt;</w:t>
      </w:r>
      <w:r>
        <w:rPr/>
        <w:t>神州数码集团 股份有限公司发行股份及支付现金购买资产的补充协议一</w:t>
      </w:r>
      <w:r>
        <w:rPr>
          <w:rFonts w:ascii="Times New Roman" w:hAnsi="Times New Roman" w:cs="Times New Roman" w:eastAsia="Times New Roman" w:hint="default"/>
        </w:rPr>
        <w:t>&gt;</w:t>
      </w:r>
      <w:r>
        <w:rPr/>
        <w:t>的议案》。</w:t>
      </w:r>
    </w:p>
    <w:p>
      <w:pPr>
        <w:pStyle w:val="BodyText"/>
        <w:spacing w:line="261" w:lineRule="auto" w:before="3"/>
        <w:ind w:left="214" w:right="1129" w:firstLine="360"/>
        <w:jc w:val="righ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11</w:t>
      </w:r>
      <w:r>
        <w:rPr/>
        <w:t>日公司第二次收到深圳证券交易所公司管理部《关于对神州数码集团股份有限公司的重组问询函》，</w:t>
      </w:r>
      <w:r>
        <w:rPr>
          <w:rFonts w:ascii="Times New Roman" w:hAnsi="Times New Roman" w:cs="Times New Roman" w:eastAsia="Times New Roman" w:hint="default"/>
        </w:rPr>
        <w:t>2018 </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17</w:t>
      </w:r>
      <w:r>
        <w:rPr/>
        <w:t>日公司发布了《关于延期回复深圳证券交易所许可类重组问询函的公告》。详见巨潮资讯网，公告编号</w:t>
      </w:r>
      <w:r>
        <w:rPr>
          <w:rFonts w:ascii="Times New Roman" w:hAnsi="Times New Roman" w:cs="Times New Roman" w:eastAsia="Times New Roman" w:hint="default"/>
        </w:rPr>
        <w:t>2018-015</w:t>
      </w:r>
      <w:r>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日公司回复了交易所的第二次问询函，同时召开第九届董事会第二次会议，审议通过《关于本次交易中， </w:t>
      </w:r>
      <w:r>
        <w:rPr>
          <w:spacing w:val="-2"/>
        </w:rPr>
        <w:t>交易对方纳合诚投资实际控制人发生变更，本次交易构成重大调整，公司继续推进交易方案的议案》、《关于公司本次重组</w:t>
      </w:r>
      <w:r>
        <w:rPr>
          <w:spacing w:val="-77"/>
        </w:rPr>
        <w:t> </w:t>
      </w:r>
      <w:r>
        <w:rPr>
          <w:spacing w:val="-77"/>
        </w:rPr>
      </w:r>
      <w:r>
        <w:rPr>
          <w:spacing w:val="-1"/>
        </w:rPr>
        <w:t>相关的审计报告、备考审阅报告的议案》、《关于</w:t>
      </w:r>
      <w:r>
        <w:rPr>
          <w:rFonts w:ascii="Times New Roman" w:hAnsi="Times New Roman" w:cs="Times New Roman" w:eastAsia="Times New Roman" w:hint="default"/>
          <w:spacing w:val="-1"/>
        </w:rPr>
        <w:t>&lt;</w:t>
      </w:r>
      <w:r>
        <w:rPr>
          <w:spacing w:val="-1"/>
        </w:rPr>
        <w:t>神州数码集团股份有限公司发行股份及支付现金购买资产并募集配套资</w:t>
      </w:r>
    </w:p>
    <w:p>
      <w:pPr>
        <w:pStyle w:val="BodyText"/>
        <w:spacing w:line="240" w:lineRule="auto" w:before="1"/>
        <w:ind w:left="214" w:right="1360"/>
        <w:jc w:val="left"/>
      </w:pPr>
      <w:r>
        <w:rPr/>
        <w:t>金暨关联交易报告书（草案）（修订稿）</w:t>
      </w:r>
      <w:r>
        <w:rPr>
          <w:rFonts w:ascii="Times New Roman" w:hAnsi="Times New Roman" w:cs="Times New Roman" w:eastAsia="Times New Roman" w:hint="default"/>
        </w:rPr>
        <w:t>&gt;</w:t>
      </w:r>
      <w:r>
        <w:rPr/>
        <w:t>及其摘要的议案》。</w:t>
      </w:r>
    </w:p>
    <w:p>
      <w:pPr>
        <w:pStyle w:val="BodyText"/>
        <w:spacing w:line="240" w:lineRule="auto" w:before="19"/>
        <w:ind w:left="574" w:right="1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日公司股票于上午开市起复牌。</w:t>
      </w:r>
    </w:p>
    <w:p>
      <w:pPr>
        <w:pStyle w:val="BodyText"/>
        <w:spacing w:line="256" w:lineRule="auto" w:before="19"/>
        <w:ind w:left="214" w:right="1131"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24</w:t>
      </w:r>
      <w:r>
        <w:rPr/>
        <w:t>日公司第九届董事会第三次会议审议通过了《关于调整公司发行股份及支付现金购买资产并募集配套资金 暨关联交易方案的议案》等与本次重大资产重组事项相关的议案。</w:t>
      </w:r>
    </w:p>
    <w:p>
      <w:pPr>
        <w:pStyle w:val="BodyText"/>
        <w:spacing w:line="240" w:lineRule="auto" w:before="21"/>
        <w:ind w:left="574" w:right="1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11</w:t>
      </w:r>
      <w:r>
        <w:rPr/>
        <w:t>日公司召开</w:t>
      </w:r>
      <w:r>
        <w:rPr>
          <w:rFonts w:ascii="Times New Roman" w:hAnsi="Times New Roman" w:cs="Times New Roman" w:eastAsia="Times New Roman" w:hint="default"/>
        </w:rPr>
        <w:t>2018</w:t>
      </w:r>
      <w:r>
        <w:rPr/>
        <w:t>年第四次临时股东大会，审议通过了与本次重大资产重组事项相关的议案。</w:t>
      </w:r>
    </w:p>
    <w:p>
      <w:pPr>
        <w:pStyle w:val="BodyText"/>
        <w:spacing w:line="256" w:lineRule="auto" w:before="19"/>
        <w:ind w:left="214" w:right="1129"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25</w:t>
      </w:r>
      <w:r>
        <w:rPr/>
        <w:t>日收到中国证券监督管理委员会出具的《中国证监会行政许可申请受理单》（</w:t>
      </w:r>
      <w:r>
        <w:rPr>
          <w:rFonts w:ascii="Times New Roman" w:hAnsi="Times New Roman" w:cs="Times New Roman" w:eastAsia="Times New Roman" w:hint="default"/>
        </w:rPr>
        <w:t>180886</w:t>
      </w:r>
      <w:r>
        <w:rPr/>
        <w:t>号），决定对上市公 司发行股份购买资产的行政许可申请予以受理。</w:t>
      </w:r>
    </w:p>
    <w:p>
      <w:pPr>
        <w:pStyle w:val="BodyText"/>
        <w:spacing w:line="240" w:lineRule="auto" w:before="20"/>
        <w:ind w:left="574"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12</w:t>
      </w:r>
      <w:r>
        <w:rPr/>
        <w:t>日收到中国证券监督管理委员会出具</w:t>
      </w:r>
      <w:r>
        <w:rPr>
          <w:spacing w:val="-88"/>
        </w:rPr>
        <w:t>的</w:t>
      </w:r>
      <w:r>
        <w:rPr/>
        <w:t>《中国证监会行政许可项目审查一次反馈意见通知书</w:t>
      </w:r>
      <w:r>
        <w:rPr>
          <w:spacing w:val="-176"/>
        </w:rPr>
        <w:t>》</w:t>
      </w:r>
      <w:r>
        <w:rPr/>
        <w:t>（</w:t>
      </w:r>
      <w:r>
        <w:rPr>
          <w:rFonts w:ascii="Times New Roman" w:hAnsi="Times New Roman" w:cs="Times New Roman" w:eastAsia="Times New Roman" w:hint="default"/>
        </w:rPr>
        <w:t>18088</w:t>
      </w:r>
      <w:r>
        <w:rPr>
          <w:rFonts w:ascii="Times New Roman" w:hAnsi="Times New Roman" w:cs="Times New Roman" w:eastAsia="Times New Roman" w:hint="default"/>
          <w:spacing w:val="-2"/>
        </w:rPr>
        <w:t>6</w:t>
      </w:r>
      <w:r>
        <w:rPr/>
        <w:t>号</w:t>
      </w:r>
      <w:r>
        <w:rPr>
          <w:spacing w:val="-88"/>
        </w:rPr>
        <w:t>）</w:t>
      </w:r>
      <w:r>
        <w:rPr/>
        <w:t>，</w:t>
      </w:r>
    </w:p>
    <w:p>
      <w:pPr>
        <w:pStyle w:val="BodyText"/>
        <w:spacing w:line="240" w:lineRule="auto" w:before="19"/>
        <w:ind w:left="214" w:right="0"/>
        <w:jc w:val="left"/>
        <w:rPr>
          <w:rFonts w:ascii="Times New Roman" w:hAnsi="Times New Roman" w:cs="Times New Roman" w:eastAsia="Times New Roman" w:hint="default"/>
        </w:rPr>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w:t>
      </w:r>
      <w:r>
        <w:rPr/>
        <w:t>日公司发布了《关于延期回复</w:t>
      </w:r>
      <w:r>
        <w:rPr>
          <w:rFonts w:ascii="Times New Roman" w:hAnsi="Times New Roman" w:cs="Times New Roman" w:eastAsia="Times New Roman" w:hint="default"/>
        </w:rPr>
        <w:t>&lt;</w:t>
      </w:r>
      <w:r>
        <w:rPr/>
        <w:t>中国证监会行政许可项目审查一次反馈意见通知书</w:t>
      </w:r>
      <w:r>
        <w:rPr>
          <w:rFonts w:ascii="Times New Roman" w:hAnsi="Times New Roman" w:cs="Times New Roman" w:eastAsia="Times New Roman" w:hint="default"/>
        </w:rPr>
        <w:t>&gt;</w:t>
      </w:r>
      <w:r>
        <w:rPr/>
        <w:t>的公告》，分别于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p>
    <w:p>
      <w:pPr>
        <w:pStyle w:val="BodyText"/>
        <w:spacing w:line="240" w:lineRule="auto" w:before="18"/>
        <w:ind w:left="214" w:right="1360"/>
        <w:jc w:val="left"/>
      </w:pPr>
      <w:r>
        <w:rPr/>
        <w:t>月</w:t>
      </w:r>
      <w:r>
        <w:rPr>
          <w:rFonts w:ascii="Times New Roman" w:hAnsi="Times New Roman" w:cs="Times New Roman" w:eastAsia="Times New Roman" w:hint="default"/>
        </w:rPr>
        <w:t>4</w:t>
      </w:r>
      <w:r>
        <w:rPr/>
        <w:t>日和</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日公告了《关于发行股份及支付现金购买资产并募集配套资金暨关联交易反馈意见的回复》。</w:t>
      </w:r>
    </w:p>
    <w:p>
      <w:pPr>
        <w:pStyle w:val="BodyText"/>
        <w:spacing w:line="259" w:lineRule="auto" w:before="19"/>
        <w:ind w:left="214" w:right="1130" w:firstLine="36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18</w:t>
      </w:r>
      <w:r>
        <w:rPr>
          <w:spacing w:val="-2"/>
        </w:rPr>
        <w:t>日收到中国证券监督管理委员会关于审核本次重大资产重组事项的通知，公司股票自</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19</w:t>
      </w:r>
      <w:r>
        <w:rPr>
          <w:spacing w:val="-2"/>
        </w:rPr>
        <w:t>日开市起</w:t>
      </w:r>
      <w:r>
        <w:rPr/>
        <w:t> 停牌。</w:t>
      </w:r>
    </w:p>
    <w:p>
      <w:pPr>
        <w:pStyle w:val="BodyText"/>
        <w:spacing w:line="256" w:lineRule="auto" w:before="19"/>
        <w:ind w:left="214" w:right="1130" w:firstLine="36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26</w:t>
      </w:r>
      <w:r>
        <w:rPr>
          <w:spacing w:val="-2"/>
        </w:rPr>
        <w:t>日公司本次重大资产重组事项未获得中国证监会并购重组委员会审核通过，公司股票自</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27</w:t>
      </w:r>
      <w:r>
        <w:rPr>
          <w:spacing w:val="-2"/>
        </w:rPr>
        <w:t>日开市</w:t>
      </w:r>
      <w:r>
        <w:rPr/>
        <w:t> 起复牌。</w:t>
      </w:r>
    </w:p>
    <w:p>
      <w:pPr>
        <w:pStyle w:val="BodyText"/>
        <w:spacing w:line="259" w:lineRule="auto" w:before="20"/>
        <w:ind w:left="214" w:right="1131" w:firstLine="36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12</w:t>
      </w:r>
      <w:r>
        <w:rPr>
          <w:spacing w:val="-2"/>
        </w:rPr>
        <w:t>日收到中国证券监督管理委员会下发的《关于不予核准神州数码集团股份有限公司发行股份购买资产并募</w:t>
      </w:r>
      <w:r>
        <w:rPr/>
        <w:t> </w:t>
      </w:r>
      <w:r>
        <w:rPr>
          <w:spacing w:val="-1"/>
        </w:rPr>
        <w:t>集配套资金申请的决定》（证监许可</w:t>
      </w:r>
      <w:r>
        <w:rPr>
          <w:rFonts w:ascii="Times New Roman" w:hAnsi="Times New Roman" w:cs="Times New Roman" w:eastAsia="Times New Roman" w:hint="default"/>
          <w:spacing w:val="-1"/>
        </w:rPr>
        <w:t>[2018]1608</w:t>
      </w:r>
      <w:r>
        <w:rPr>
          <w:spacing w:val="-1"/>
        </w:rPr>
        <w:t>号），对公司此次发行股份购买资产并募集配套资金申请作出不予核准的决</w:t>
      </w:r>
      <w:r>
        <w:rPr>
          <w:spacing w:val="-55"/>
        </w:rPr>
        <w:t> </w:t>
      </w:r>
      <w:r>
        <w:rPr>
          <w:spacing w:val="-55"/>
        </w:rPr>
      </w:r>
      <w:r>
        <w:rPr/>
        <w:t>定。</w:t>
      </w:r>
    </w:p>
    <w:p>
      <w:pPr>
        <w:pStyle w:val="BodyText"/>
        <w:spacing w:line="266" w:lineRule="auto" w:before="19"/>
        <w:ind w:left="214" w:right="1131" w:firstLine="36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21</w:t>
      </w:r>
      <w:r>
        <w:rPr>
          <w:spacing w:val="-2"/>
        </w:rPr>
        <w:t>日公司第九届董事会第五次会议审议通过了《关于继续推进重大资产重组项目的议案》，鉴于拟收购标的</w:t>
      </w:r>
      <w:r>
        <w:rPr/>
        <w:t> </w:t>
      </w:r>
      <w:r>
        <w:rPr>
          <w:spacing w:val="-2"/>
        </w:rPr>
        <w:t>资产质量较好，盈利能力较强，具有发展前景，继续推进重组符合公司经营业务规划及长远战略发展需要，符合全体股东的</w:t>
      </w:r>
      <w:r>
        <w:rPr>
          <w:spacing w:val="-66"/>
        </w:rPr>
        <w:t> </w:t>
      </w:r>
      <w:r>
        <w:rPr>
          <w:spacing w:val="-66"/>
        </w:rPr>
      </w:r>
      <w:r>
        <w:rPr/>
        <w:t>长远利益，同意公司继续推进项目。</w:t>
      </w:r>
    </w:p>
    <w:p>
      <w:pPr>
        <w:pStyle w:val="BodyText"/>
        <w:spacing w:line="266" w:lineRule="auto" w:before="12"/>
        <w:ind w:left="214" w:right="1131"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9</w:t>
      </w:r>
      <w:r>
        <w:rPr/>
        <w:t>日公司第九届董事会第七次会议审议通过了《关于终止重大资产重组的议案》，由于本次重大资产重组历 </w:t>
      </w:r>
      <w:r>
        <w:rPr>
          <w:spacing w:val="-2"/>
        </w:rPr>
        <w:t>时较长，在继续推进重大资产重组的过程中，交易各方未能就核心条款达成一致。从维护全体股东特别是中小股东权益及公</w:t>
      </w:r>
      <w:r>
        <w:rPr>
          <w:spacing w:val="-66"/>
        </w:rPr>
        <w:t> </w:t>
      </w:r>
      <w:r>
        <w:rPr>
          <w:spacing w:val="-66"/>
        </w:rPr>
      </w:r>
      <w:r>
        <w:rPr/>
        <w:t>司利益的角度出发，决定终止本次重大资产重组项目。</w:t>
      </w:r>
    </w:p>
    <w:p>
      <w:pPr>
        <w:spacing w:line="240" w:lineRule="auto" w:before="10"/>
        <w:rPr>
          <w:rFonts w:ascii="宋体" w:hAnsi="宋体" w:cs="宋体" w:eastAsia="宋体" w:hint="default"/>
          <w:sz w:val="16"/>
          <w:szCs w:val="16"/>
        </w:rPr>
      </w:pPr>
    </w:p>
    <w:p>
      <w:pPr>
        <w:pStyle w:val="BodyText"/>
        <w:spacing w:line="240" w:lineRule="auto"/>
        <w:ind w:left="214" w:right="1360"/>
        <w:jc w:val="left"/>
      </w:pPr>
      <w:r>
        <w:rPr>
          <w:rFonts w:ascii="Times New Roman" w:hAnsi="Times New Roman" w:cs="Times New Roman" w:eastAsia="Times New Roman" w:hint="default"/>
        </w:rPr>
        <w:t>2</w:t>
      </w:r>
      <w:r>
        <w:rPr/>
        <w:t>、其他重要事项的说明请参考公司公告：</w:t>
      </w:r>
    </w:p>
    <w:tbl>
      <w:tblPr>
        <w:tblW w:w="0" w:type="auto"/>
        <w:jc w:val="left"/>
        <w:tblInd w:w="101" w:type="dxa"/>
        <w:tblLayout w:type="fixed"/>
        <w:tblCellMar>
          <w:top w:w="0" w:type="dxa"/>
          <w:left w:w="0" w:type="dxa"/>
          <w:bottom w:w="0" w:type="dxa"/>
          <w:right w:w="0" w:type="dxa"/>
        </w:tblCellMar>
        <w:tblLook w:val="01E0"/>
      </w:tblPr>
      <w:tblGrid>
        <w:gridCol w:w="1012"/>
        <w:gridCol w:w="4787"/>
        <w:gridCol w:w="2903"/>
        <w:gridCol w:w="1153"/>
      </w:tblGrid>
      <w:tr>
        <w:trPr>
          <w:trHeight w:val="491"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39"/>
              <w:jc w:val="right"/>
              <w:rPr>
                <w:rFonts w:ascii="宋体" w:hAnsi="宋体" w:cs="宋体" w:eastAsia="宋体" w:hint="default"/>
                <w:sz w:val="18"/>
                <w:szCs w:val="18"/>
              </w:rPr>
            </w:pPr>
            <w:r>
              <w:rPr>
                <w:rFonts w:ascii="宋体" w:hAnsi="宋体" w:cs="宋体" w:eastAsia="宋体" w:hint="default"/>
                <w:b/>
                <w:bCs/>
                <w:w w:val="95"/>
                <w:sz w:val="18"/>
                <w:szCs w:val="18"/>
              </w:rPr>
              <w:t>公告编号</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宋体" w:hAnsi="宋体" w:cs="宋体" w:eastAsia="宋体" w:hint="default"/>
                <w:sz w:val="18"/>
                <w:szCs w:val="18"/>
              </w:rPr>
            </w:pPr>
            <w:r>
              <w:rPr>
                <w:rFonts w:ascii="宋体" w:hAnsi="宋体" w:cs="宋体" w:eastAsia="宋体" w:hint="default"/>
                <w:b/>
                <w:bCs/>
                <w:sz w:val="18"/>
                <w:szCs w:val="18"/>
              </w:rPr>
              <w:t>事项</w:t>
            </w:r>
            <w:r>
              <w:rPr>
                <w:rFonts w:ascii="宋体" w:hAnsi="宋体" w:cs="宋体" w:eastAsia="宋体" w:hint="default"/>
                <w:sz w:val="18"/>
                <w:szCs w:val="18"/>
              </w:rPr>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宋体" w:hAnsi="宋体" w:cs="宋体" w:eastAsia="宋体" w:hint="default"/>
                <w:sz w:val="18"/>
                <w:szCs w:val="18"/>
              </w:rPr>
            </w:pPr>
            <w:r>
              <w:rPr>
                <w:rFonts w:ascii="宋体" w:hAnsi="宋体" w:cs="宋体" w:eastAsia="宋体" w:hint="default"/>
                <w:b/>
                <w:bCs/>
                <w:sz w:val="18"/>
                <w:szCs w:val="18"/>
              </w:rPr>
              <w:t>刊登的报刊名称及版面</w:t>
            </w:r>
            <w:r>
              <w:rPr>
                <w:rFonts w:ascii="宋体" w:hAnsi="宋体" w:cs="宋体" w:eastAsia="宋体" w:hint="default"/>
                <w:sz w:val="18"/>
                <w:szCs w:val="18"/>
              </w:rPr>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09" w:right="0"/>
              <w:jc w:val="left"/>
              <w:rPr>
                <w:rFonts w:ascii="宋体" w:hAnsi="宋体" w:cs="宋体" w:eastAsia="宋体" w:hint="default"/>
                <w:sz w:val="18"/>
                <w:szCs w:val="18"/>
              </w:rPr>
            </w:pPr>
            <w:r>
              <w:rPr>
                <w:rFonts w:ascii="宋体" w:hAnsi="宋体" w:cs="宋体" w:eastAsia="宋体" w:hint="default"/>
                <w:b/>
                <w:bCs/>
                <w:sz w:val="18"/>
                <w:szCs w:val="18"/>
              </w:rPr>
              <w:t>刊载日期</w:t>
            </w:r>
            <w:r>
              <w:rPr>
                <w:rFonts w:ascii="宋体" w:hAnsi="宋体" w:cs="宋体" w:eastAsia="宋体" w:hint="default"/>
                <w:sz w:val="18"/>
                <w:szCs w:val="18"/>
              </w:rPr>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2018-001</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关于重大资产重组的进展公告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B34</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1" w:right="0"/>
              <w:jc w:val="left"/>
              <w:rPr>
                <w:rFonts w:ascii="宋体" w:hAnsi="宋体" w:cs="宋体" w:eastAsia="宋体" w:hint="default"/>
                <w:sz w:val="18"/>
                <w:szCs w:val="18"/>
              </w:rPr>
            </w:pPr>
            <w:r>
              <w:rPr>
                <w:rFonts w:ascii="宋体"/>
                <w:sz w:val="18"/>
              </w:rPr>
              <w:t>2018/1/2</w:t>
            </w:r>
          </w:p>
        </w:tc>
      </w:tr>
      <w:tr>
        <w:trPr>
          <w:trHeight w:val="491"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2018-002</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年第一次临时股东大会的延期公告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B74</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1" w:right="0"/>
              <w:jc w:val="left"/>
              <w:rPr>
                <w:rFonts w:ascii="宋体" w:hAnsi="宋体" w:cs="宋体" w:eastAsia="宋体" w:hint="default"/>
                <w:sz w:val="18"/>
                <w:szCs w:val="18"/>
              </w:rPr>
            </w:pPr>
            <w:r>
              <w:rPr>
                <w:rFonts w:ascii="宋体"/>
                <w:sz w:val="18"/>
              </w:rPr>
              <w:t>2018/1/3</w:t>
            </w:r>
          </w:p>
        </w:tc>
      </w:tr>
    </w:tbl>
    <w:p>
      <w:pPr>
        <w:spacing w:after="0" w:line="240" w:lineRule="auto"/>
        <w:jc w:val="left"/>
        <w:rPr>
          <w:rFonts w:ascii="宋体" w:hAnsi="宋体" w:cs="宋体" w:eastAsia="宋体" w:hint="default"/>
          <w:sz w:val="18"/>
          <w:szCs w:val="18"/>
        </w:rPr>
        <w:sectPr>
          <w:pgSz w:w="11910" w:h="16840"/>
          <w:pgMar w:header="877" w:footer="979" w:top="1100" w:bottom="1160" w:left="92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1012"/>
        <w:gridCol w:w="4787"/>
        <w:gridCol w:w="2903"/>
        <w:gridCol w:w="1153"/>
      </w:tblGrid>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9"/>
              <w:jc w:val="right"/>
              <w:rPr>
                <w:rFonts w:ascii="宋体" w:hAnsi="宋体" w:cs="宋体" w:eastAsia="宋体" w:hint="default"/>
                <w:sz w:val="18"/>
                <w:szCs w:val="18"/>
              </w:rPr>
            </w:pPr>
            <w:r>
              <w:rPr>
                <w:rFonts w:ascii="宋体" w:hAnsi="宋体" w:cs="宋体" w:eastAsia="宋体" w:hint="default"/>
                <w:b/>
                <w:bCs/>
                <w:w w:val="95"/>
                <w:sz w:val="18"/>
                <w:szCs w:val="18"/>
              </w:rPr>
              <w:t>公告编号</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b/>
                <w:bCs/>
                <w:sz w:val="18"/>
                <w:szCs w:val="18"/>
              </w:rPr>
              <w:t>事项</w:t>
            </w:r>
            <w:r>
              <w:rPr>
                <w:rFonts w:ascii="宋体" w:hAnsi="宋体" w:cs="宋体" w:eastAsia="宋体" w:hint="default"/>
                <w:sz w:val="18"/>
                <w:szCs w:val="18"/>
              </w:rPr>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b/>
                <w:bCs/>
                <w:sz w:val="18"/>
                <w:szCs w:val="18"/>
              </w:rPr>
              <w:t>刊登的报刊名称及版面</w:t>
            </w:r>
            <w:r>
              <w:rPr>
                <w:rFonts w:ascii="宋体" w:hAnsi="宋体" w:cs="宋体" w:eastAsia="宋体" w:hint="default"/>
                <w:sz w:val="18"/>
                <w:szCs w:val="18"/>
              </w:rPr>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9" w:right="0"/>
              <w:jc w:val="left"/>
              <w:rPr>
                <w:rFonts w:ascii="宋体" w:hAnsi="宋体" w:cs="宋体" w:eastAsia="宋体" w:hint="default"/>
                <w:sz w:val="18"/>
                <w:szCs w:val="18"/>
              </w:rPr>
            </w:pPr>
            <w:r>
              <w:rPr>
                <w:rFonts w:ascii="宋体" w:hAnsi="宋体" w:cs="宋体" w:eastAsia="宋体" w:hint="default"/>
                <w:b/>
                <w:bCs/>
                <w:sz w:val="18"/>
                <w:szCs w:val="18"/>
              </w:rPr>
              <w:t>刊载日期</w:t>
            </w:r>
            <w:r>
              <w:rPr>
                <w:rFonts w:ascii="宋体" w:hAnsi="宋体" w:cs="宋体" w:eastAsia="宋体" w:hint="default"/>
                <w:sz w:val="18"/>
                <w:szCs w:val="18"/>
              </w:rPr>
            </w:r>
          </w:p>
        </w:tc>
      </w:tr>
      <w:tr>
        <w:trPr>
          <w:trHeight w:val="491"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2018-003</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年第一次临时股东大会的提示性公告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B2</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1" w:right="0"/>
              <w:jc w:val="left"/>
              <w:rPr>
                <w:rFonts w:ascii="宋体" w:hAnsi="宋体" w:cs="宋体" w:eastAsia="宋体" w:hint="default"/>
                <w:sz w:val="18"/>
                <w:szCs w:val="18"/>
              </w:rPr>
            </w:pPr>
            <w:r>
              <w:rPr>
                <w:rFonts w:ascii="宋体"/>
                <w:sz w:val="18"/>
              </w:rPr>
              <w:t>2018/1/8</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2018-004</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关于重大资产重组的进展公告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B79</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1" w:right="0"/>
              <w:jc w:val="left"/>
              <w:rPr>
                <w:rFonts w:ascii="宋体" w:hAnsi="宋体" w:cs="宋体" w:eastAsia="宋体" w:hint="default"/>
                <w:sz w:val="18"/>
                <w:szCs w:val="18"/>
              </w:rPr>
            </w:pPr>
            <w:r>
              <w:rPr>
                <w:rFonts w:ascii="宋体"/>
                <w:sz w:val="18"/>
              </w:rPr>
              <w:t>2018/1/9</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2018-005</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第八届董事会第二十八次会议决议公告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B96</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2018/1/11</w:t>
            </w:r>
          </w:p>
        </w:tc>
      </w:tr>
      <w:tr>
        <w:trPr>
          <w:trHeight w:val="491"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2018-006</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关于取消</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年第一次临时股东大会部分议案的公告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B96</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2018/1/11</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2018-007</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54"/>
                <w:sz w:val="18"/>
                <w:szCs w:val="18"/>
              </w:rPr>
              <w:t> </w:t>
            </w:r>
            <w:r>
              <w:rPr>
                <w:rFonts w:ascii="宋体" w:hAnsi="宋体" w:cs="宋体" w:eastAsia="宋体" w:hint="default"/>
                <w:sz w:val="18"/>
                <w:szCs w:val="18"/>
              </w:rPr>
              <w:t>2018</w:t>
            </w:r>
            <w:r>
              <w:rPr>
                <w:rFonts w:ascii="宋体" w:hAnsi="宋体" w:cs="宋体" w:eastAsia="宋体" w:hint="default"/>
                <w:spacing w:val="-56"/>
                <w:sz w:val="18"/>
                <w:szCs w:val="18"/>
              </w:rPr>
              <w:t> </w:t>
            </w:r>
            <w:r>
              <w:rPr>
                <w:rFonts w:ascii="宋体" w:hAnsi="宋体" w:cs="宋体" w:eastAsia="宋体" w:hint="default"/>
                <w:sz w:val="18"/>
                <w:szCs w:val="18"/>
              </w:rPr>
              <w:t>年第一次临时股东大会的通</w:t>
            </w:r>
            <w:r>
              <w:rPr>
                <w:rFonts w:ascii="宋体" w:hAnsi="宋体" w:cs="宋体" w:eastAsia="宋体" w:hint="default"/>
                <w:spacing w:val="-90"/>
                <w:sz w:val="18"/>
                <w:szCs w:val="18"/>
              </w:rPr>
              <w:t>知</w:t>
            </w:r>
            <w:r>
              <w:rPr>
                <w:rFonts w:ascii="宋体" w:hAnsi="宋体" w:cs="宋体" w:eastAsia="宋体" w:hint="default"/>
                <w:sz w:val="18"/>
                <w:szCs w:val="18"/>
              </w:rPr>
              <w:t>（取消议案后）</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B96</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2018/1/11</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2018-008</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B96</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2018/1/11</w:t>
            </w:r>
          </w:p>
        </w:tc>
      </w:tr>
      <w:tr>
        <w:trPr>
          <w:trHeight w:val="491"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2018-009</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第八届董事会第二十九次会议决议公告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B119</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2018/1/13</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2018-010</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关于为子公司提供担保的公告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B119</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2018/1/13</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2018-011</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年第二次临时股东大会的公告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B119</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2018/1/13</w:t>
            </w:r>
          </w:p>
        </w:tc>
      </w:tr>
      <w:tr>
        <w:trPr>
          <w:trHeight w:val="491"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2018-012</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年第一次临时股东大会决议公告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B119</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2018/1/13</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2018-013</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关于重大资产重组的进展公告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B90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2018/1/16</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2018-014</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B90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2018/1/16</w:t>
            </w:r>
          </w:p>
        </w:tc>
      </w:tr>
      <w:tr>
        <w:trPr>
          <w:trHeight w:val="491"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2018-015</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关于延期回复深圳证券交易所许可类重组问询函的公告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B95</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2018/1/18</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2018-016</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B117</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2018/1/19</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2018-017</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关于重大资产重组的进展公告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B41</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2018/1/23</w:t>
            </w:r>
          </w:p>
        </w:tc>
      </w:tr>
      <w:tr>
        <w:trPr>
          <w:trHeight w:val="491"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2018-018</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年第二次临时股东大会的提示性公告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B31</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2018/1/27</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2018-019</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B40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2018/1/29</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2018-020</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关于重大资产重组的进展公告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B56</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2018/1/30</w:t>
            </w:r>
          </w:p>
        </w:tc>
      </w:tr>
      <w:tr>
        <w:trPr>
          <w:trHeight w:val="491"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2018-021</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年第二次临时股东大会决议公告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B56</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2018/1/30</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2018-022</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年度业绩预告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B90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2018/1/31</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2018-023</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B68</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1" w:right="0"/>
              <w:jc w:val="left"/>
              <w:rPr>
                <w:rFonts w:ascii="宋体" w:hAnsi="宋体" w:cs="宋体" w:eastAsia="宋体" w:hint="default"/>
                <w:sz w:val="18"/>
                <w:szCs w:val="18"/>
              </w:rPr>
            </w:pPr>
            <w:r>
              <w:rPr>
                <w:rFonts w:ascii="宋体"/>
                <w:sz w:val="18"/>
              </w:rPr>
              <w:t>2018/2/6</w:t>
            </w:r>
          </w:p>
        </w:tc>
      </w:tr>
      <w:tr>
        <w:trPr>
          <w:trHeight w:val="491"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2018-024</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关于重大资产重组的进展公告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B68</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1" w:right="0"/>
              <w:jc w:val="left"/>
              <w:rPr>
                <w:rFonts w:ascii="宋体" w:hAnsi="宋体" w:cs="宋体" w:eastAsia="宋体" w:hint="default"/>
                <w:sz w:val="18"/>
                <w:szCs w:val="18"/>
              </w:rPr>
            </w:pPr>
            <w:r>
              <w:rPr>
                <w:rFonts w:ascii="宋体"/>
                <w:sz w:val="18"/>
              </w:rPr>
              <w:t>2018/2/6</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2018-025</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B17</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1" w:right="0"/>
              <w:jc w:val="left"/>
              <w:rPr>
                <w:rFonts w:ascii="宋体" w:hAnsi="宋体" w:cs="宋体" w:eastAsia="宋体" w:hint="default"/>
                <w:sz w:val="18"/>
                <w:szCs w:val="18"/>
              </w:rPr>
            </w:pPr>
            <w:r>
              <w:rPr>
                <w:rFonts w:ascii="宋体"/>
                <w:sz w:val="18"/>
              </w:rPr>
              <w:t>2018/2/7</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2018-026</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关于重大资产重组的进展公告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B49</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2018/2/13</w:t>
            </w:r>
          </w:p>
        </w:tc>
      </w:tr>
      <w:tr>
        <w:trPr>
          <w:trHeight w:val="491"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2018-027</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关于重大资产重组的进展公告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B111</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2018/2/27</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2018-028</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1" w:right="0"/>
              <w:jc w:val="left"/>
              <w:rPr>
                <w:rFonts w:ascii="宋体" w:hAnsi="宋体" w:cs="宋体" w:eastAsia="宋体" w:hint="default"/>
                <w:sz w:val="18"/>
                <w:szCs w:val="18"/>
              </w:rPr>
            </w:pPr>
            <w:r>
              <w:rPr>
                <w:rFonts w:ascii="宋体" w:hAnsi="宋体" w:cs="宋体" w:eastAsia="宋体" w:hint="default"/>
                <w:sz w:val="18"/>
                <w:szCs w:val="18"/>
              </w:rPr>
              <w:t>关于收到《中国证监会行政许可申请中止审查通知书》的</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B44</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1" w:right="0"/>
              <w:jc w:val="left"/>
              <w:rPr>
                <w:rFonts w:ascii="宋体" w:hAnsi="宋体" w:cs="宋体" w:eastAsia="宋体" w:hint="default"/>
                <w:sz w:val="18"/>
                <w:szCs w:val="18"/>
              </w:rPr>
            </w:pPr>
            <w:r>
              <w:rPr>
                <w:rFonts w:ascii="宋体"/>
                <w:sz w:val="18"/>
              </w:rPr>
              <w:t>2018/3/3</w:t>
            </w:r>
          </w:p>
        </w:tc>
      </w:tr>
      <w:tr>
        <w:trPr>
          <w:trHeight w:val="491"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2018-029</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关于重大资产重组的进展公告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B17</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1" w:right="0"/>
              <w:jc w:val="left"/>
              <w:rPr>
                <w:rFonts w:ascii="宋体" w:hAnsi="宋体" w:cs="宋体" w:eastAsia="宋体" w:hint="default"/>
                <w:sz w:val="18"/>
                <w:szCs w:val="18"/>
              </w:rPr>
            </w:pPr>
            <w:r>
              <w:rPr>
                <w:rFonts w:ascii="宋体"/>
                <w:sz w:val="18"/>
              </w:rPr>
              <w:t>2018/3/6</w:t>
            </w:r>
          </w:p>
        </w:tc>
      </w:tr>
    </w:tbl>
    <w:p>
      <w:pPr>
        <w:spacing w:after="0" w:line="240" w:lineRule="auto"/>
        <w:jc w:val="left"/>
        <w:rPr>
          <w:rFonts w:ascii="宋体" w:hAnsi="宋体" w:cs="宋体" w:eastAsia="宋体" w:hint="default"/>
          <w:sz w:val="18"/>
          <w:szCs w:val="18"/>
        </w:rPr>
        <w:sectPr>
          <w:pgSz w:w="11910" w:h="16840"/>
          <w:pgMar w:header="877" w:footer="979" w:top="1100" w:bottom="1160" w:left="92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1012"/>
        <w:gridCol w:w="4787"/>
        <w:gridCol w:w="2903"/>
        <w:gridCol w:w="1153"/>
      </w:tblGrid>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9"/>
              <w:jc w:val="right"/>
              <w:rPr>
                <w:rFonts w:ascii="宋体" w:hAnsi="宋体" w:cs="宋体" w:eastAsia="宋体" w:hint="default"/>
                <w:sz w:val="18"/>
                <w:szCs w:val="18"/>
              </w:rPr>
            </w:pPr>
            <w:r>
              <w:rPr>
                <w:rFonts w:ascii="宋体" w:hAnsi="宋体" w:cs="宋体" w:eastAsia="宋体" w:hint="default"/>
                <w:b/>
                <w:bCs/>
                <w:w w:val="95"/>
                <w:sz w:val="18"/>
                <w:szCs w:val="18"/>
              </w:rPr>
              <w:t>公告编号</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b/>
                <w:bCs/>
                <w:sz w:val="18"/>
                <w:szCs w:val="18"/>
              </w:rPr>
              <w:t>事项</w:t>
            </w:r>
            <w:r>
              <w:rPr>
                <w:rFonts w:ascii="宋体" w:hAnsi="宋体" w:cs="宋体" w:eastAsia="宋体" w:hint="default"/>
                <w:sz w:val="18"/>
                <w:szCs w:val="18"/>
              </w:rPr>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b/>
                <w:bCs/>
                <w:sz w:val="18"/>
                <w:szCs w:val="18"/>
              </w:rPr>
              <w:t>刊登的报刊名称及版面</w:t>
            </w:r>
            <w:r>
              <w:rPr>
                <w:rFonts w:ascii="宋体" w:hAnsi="宋体" w:cs="宋体" w:eastAsia="宋体" w:hint="default"/>
                <w:sz w:val="18"/>
                <w:szCs w:val="18"/>
              </w:rPr>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9" w:right="0"/>
              <w:jc w:val="left"/>
              <w:rPr>
                <w:rFonts w:ascii="宋体" w:hAnsi="宋体" w:cs="宋体" w:eastAsia="宋体" w:hint="default"/>
                <w:sz w:val="18"/>
                <w:szCs w:val="18"/>
              </w:rPr>
            </w:pPr>
            <w:r>
              <w:rPr>
                <w:rFonts w:ascii="宋体" w:hAnsi="宋体" w:cs="宋体" w:eastAsia="宋体" w:hint="default"/>
                <w:b/>
                <w:bCs/>
                <w:sz w:val="18"/>
                <w:szCs w:val="18"/>
              </w:rPr>
              <w:t>刊载日期</w:t>
            </w:r>
            <w:r>
              <w:rPr>
                <w:rFonts w:ascii="宋体" w:hAnsi="宋体" w:cs="宋体" w:eastAsia="宋体" w:hint="default"/>
                <w:sz w:val="18"/>
                <w:szCs w:val="18"/>
              </w:rPr>
            </w:r>
          </w:p>
        </w:tc>
      </w:tr>
      <w:tr>
        <w:trPr>
          <w:trHeight w:val="491"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2018-030</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B17</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1" w:right="0"/>
              <w:jc w:val="left"/>
              <w:rPr>
                <w:rFonts w:ascii="宋体" w:hAnsi="宋体" w:cs="宋体" w:eastAsia="宋体" w:hint="default"/>
                <w:sz w:val="18"/>
                <w:szCs w:val="18"/>
              </w:rPr>
            </w:pPr>
            <w:r>
              <w:rPr>
                <w:rFonts w:ascii="宋体"/>
                <w:sz w:val="18"/>
              </w:rPr>
              <w:t>2018/3/6</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2018-031</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B56</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2018/3/13</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2018-032</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关于重大资产重组的进展公告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B56</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2018/3/13</w:t>
            </w:r>
          </w:p>
        </w:tc>
      </w:tr>
      <w:tr>
        <w:trPr>
          <w:trHeight w:val="491"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2018-033</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关于重大资产重组获得商务部反垄断局批复的公告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B55</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2018/3/14</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2018-034</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B49</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2018/3/16</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2018-035</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第八届董事会第三十次会议决议公告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B39</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2018/3/17</w:t>
            </w:r>
          </w:p>
        </w:tc>
      </w:tr>
      <w:tr>
        <w:trPr>
          <w:trHeight w:val="491"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2018-036</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关于重大资产重组的进展公告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B67</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2018/3/21</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2018-037</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B67</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2018/3/21</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2018-038</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B128</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2018/3/23</w:t>
            </w:r>
          </w:p>
        </w:tc>
      </w:tr>
      <w:tr>
        <w:trPr>
          <w:trHeight w:val="491"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2018-039</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重大诉讼进展的公告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B135</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2018/3/27</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2018-040</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关于重大资产重组的进展公告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B135</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2018/3/27</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2018-041</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关于更换财务顾问主办人的公告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B093</w:t>
            </w:r>
            <w:r>
              <w:rPr>
                <w:rFonts w:ascii="宋体" w:hAnsi="宋体" w:cs="宋体" w:eastAsia="宋体" w:hint="default"/>
                <w:sz w:val="18"/>
                <w:szCs w:val="18"/>
              </w:rPr>
              <w:t>、</w:t>
            </w:r>
            <w:r>
              <w:rPr>
                <w:rFonts w:ascii="宋体" w:hAnsi="宋体" w:cs="宋体" w:eastAsia="宋体" w:hint="default"/>
                <w:sz w:val="18"/>
                <w:szCs w:val="18"/>
              </w:rPr>
              <w:t>B094</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2018/3/29</w:t>
            </w:r>
          </w:p>
        </w:tc>
      </w:tr>
      <w:tr>
        <w:trPr>
          <w:trHeight w:val="491"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2018-042</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第八届董事会第三十一次会议决议公告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B093</w:t>
            </w:r>
            <w:r>
              <w:rPr>
                <w:rFonts w:ascii="宋体" w:hAnsi="宋体" w:cs="宋体" w:eastAsia="宋体" w:hint="default"/>
                <w:sz w:val="18"/>
                <w:szCs w:val="18"/>
              </w:rPr>
              <w:t>、</w:t>
            </w:r>
            <w:r>
              <w:rPr>
                <w:rFonts w:ascii="宋体" w:hAnsi="宋体" w:cs="宋体" w:eastAsia="宋体" w:hint="default"/>
                <w:sz w:val="18"/>
                <w:szCs w:val="18"/>
              </w:rPr>
              <w:t>B094</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2018/3/29</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2018-043</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关于变更会计政策的公告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B093</w:t>
            </w:r>
            <w:r>
              <w:rPr>
                <w:rFonts w:ascii="宋体" w:hAnsi="宋体" w:cs="宋体" w:eastAsia="宋体" w:hint="default"/>
                <w:sz w:val="18"/>
                <w:szCs w:val="18"/>
              </w:rPr>
              <w:t>、</w:t>
            </w:r>
            <w:r>
              <w:rPr>
                <w:rFonts w:ascii="宋体" w:hAnsi="宋体" w:cs="宋体" w:eastAsia="宋体" w:hint="default"/>
                <w:sz w:val="18"/>
                <w:szCs w:val="18"/>
              </w:rPr>
              <w:t>B094</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2018/3/29</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2018-044</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年核销部分资产的公告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B093</w:t>
            </w:r>
            <w:r>
              <w:rPr>
                <w:rFonts w:ascii="宋体" w:hAnsi="宋体" w:cs="宋体" w:eastAsia="宋体" w:hint="default"/>
                <w:sz w:val="18"/>
                <w:szCs w:val="18"/>
              </w:rPr>
              <w:t>、</w:t>
            </w:r>
            <w:r>
              <w:rPr>
                <w:rFonts w:ascii="宋体" w:hAnsi="宋体" w:cs="宋体" w:eastAsia="宋体" w:hint="default"/>
                <w:sz w:val="18"/>
                <w:szCs w:val="18"/>
              </w:rPr>
              <w:t>B094</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2018/3/29</w:t>
            </w:r>
          </w:p>
        </w:tc>
      </w:tr>
      <w:tr>
        <w:trPr>
          <w:trHeight w:val="491"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2018-045</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年年度报告摘要</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B093</w:t>
            </w:r>
            <w:r>
              <w:rPr>
                <w:rFonts w:ascii="宋体" w:hAnsi="宋体" w:cs="宋体" w:eastAsia="宋体" w:hint="default"/>
                <w:sz w:val="18"/>
                <w:szCs w:val="18"/>
              </w:rPr>
              <w:t>、</w:t>
            </w:r>
            <w:r>
              <w:rPr>
                <w:rFonts w:ascii="宋体" w:hAnsi="宋体" w:cs="宋体" w:eastAsia="宋体" w:hint="default"/>
                <w:sz w:val="18"/>
                <w:szCs w:val="18"/>
              </w:rPr>
              <w:t>B094</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2018/3/29</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2018-046</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关于预计</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年日常关联交易的公告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B093</w:t>
            </w:r>
            <w:r>
              <w:rPr>
                <w:rFonts w:ascii="宋体" w:hAnsi="宋体" w:cs="宋体" w:eastAsia="宋体" w:hint="default"/>
                <w:sz w:val="18"/>
                <w:szCs w:val="18"/>
              </w:rPr>
              <w:t>、</w:t>
            </w:r>
            <w:r>
              <w:rPr>
                <w:rFonts w:ascii="宋体" w:hAnsi="宋体" w:cs="宋体" w:eastAsia="宋体" w:hint="default"/>
                <w:sz w:val="18"/>
                <w:szCs w:val="18"/>
              </w:rPr>
              <w:t>B094</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2018/3/29</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2018-047</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关于预计衍生品投资业务额度的公告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B093</w:t>
            </w:r>
            <w:r>
              <w:rPr>
                <w:rFonts w:ascii="宋体" w:hAnsi="宋体" w:cs="宋体" w:eastAsia="宋体" w:hint="default"/>
                <w:sz w:val="18"/>
                <w:szCs w:val="18"/>
              </w:rPr>
              <w:t>、</w:t>
            </w:r>
            <w:r>
              <w:rPr>
                <w:rFonts w:ascii="宋体" w:hAnsi="宋体" w:cs="宋体" w:eastAsia="宋体" w:hint="default"/>
                <w:sz w:val="18"/>
                <w:szCs w:val="18"/>
              </w:rPr>
              <w:t>B094</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2018/3/29</w:t>
            </w:r>
          </w:p>
        </w:tc>
      </w:tr>
      <w:tr>
        <w:trPr>
          <w:trHeight w:val="491"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2018-048</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关于预计使用自有资金开展委托理财投资额度的公告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B093</w:t>
            </w:r>
            <w:r>
              <w:rPr>
                <w:rFonts w:ascii="宋体" w:hAnsi="宋体" w:cs="宋体" w:eastAsia="宋体" w:hint="default"/>
                <w:sz w:val="18"/>
                <w:szCs w:val="18"/>
              </w:rPr>
              <w:t>、</w:t>
            </w:r>
            <w:r>
              <w:rPr>
                <w:rFonts w:ascii="宋体" w:hAnsi="宋体" w:cs="宋体" w:eastAsia="宋体" w:hint="default"/>
                <w:sz w:val="18"/>
                <w:szCs w:val="18"/>
              </w:rPr>
              <w:t>B094</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2018/3/29</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2018-049</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关于预计担保额度的公告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B093</w:t>
            </w:r>
            <w:r>
              <w:rPr>
                <w:rFonts w:ascii="宋体" w:hAnsi="宋体" w:cs="宋体" w:eastAsia="宋体" w:hint="default"/>
                <w:sz w:val="18"/>
                <w:szCs w:val="18"/>
              </w:rPr>
              <w:t>、</w:t>
            </w:r>
            <w:r>
              <w:rPr>
                <w:rFonts w:ascii="宋体" w:hAnsi="宋体" w:cs="宋体" w:eastAsia="宋体" w:hint="default"/>
                <w:sz w:val="18"/>
                <w:szCs w:val="18"/>
              </w:rPr>
              <w:t>B094</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2018/3/29</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2018-050</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年年度股东大会的公告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B093</w:t>
            </w:r>
            <w:r>
              <w:rPr>
                <w:rFonts w:ascii="宋体" w:hAnsi="宋体" w:cs="宋体" w:eastAsia="宋体" w:hint="default"/>
                <w:sz w:val="18"/>
                <w:szCs w:val="18"/>
              </w:rPr>
              <w:t>、</w:t>
            </w:r>
            <w:r>
              <w:rPr>
                <w:rFonts w:ascii="宋体" w:hAnsi="宋体" w:cs="宋体" w:eastAsia="宋体" w:hint="default"/>
                <w:sz w:val="18"/>
                <w:szCs w:val="18"/>
              </w:rPr>
              <w:t>B094</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2018/3/29</w:t>
            </w:r>
          </w:p>
        </w:tc>
      </w:tr>
      <w:tr>
        <w:trPr>
          <w:trHeight w:val="491"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2018-051</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第八届监事会第十九次会议决议公告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B093</w:t>
            </w:r>
            <w:r>
              <w:rPr>
                <w:rFonts w:ascii="宋体" w:hAnsi="宋体" w:cs="宋体" w:eastAsia="宋体" w:hint="default"/>
                <w:sz w:val="18"/>
                <w:szCs w:val="18"/>
              </w:rPr>
              <w:t>、</w:t>
            </w:r>
            <w:r>
              <w:rPr>
                <w:rFonts w:ascii="宋体" w:hAnsi="宋体" w:cs="宋体" w:eastAsia="宋体" w:hint="default"/>
                <w:sz w:val="18"/>
                <w:szCs w:val="18"/>
              </w:rPr>
              <w:t>B094</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2018/3/29</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2018-052</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B147</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2018/3/31</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2018-053</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关于重大资产重组的进展公告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B32</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1" w:right="0"/>
              <w:jc w:val="left"/>
              <w:rPr>
                <w:rFonts w:ascii="宋体" w:hAnsi="宋体" w:cs="宋体" w:eastAsia="宋体" w:hint="default"/>
                <w:sz w:val="18"/>
                <w:szCs w:val="18"/>
              </w:rPr>
            </w:pPr>
            <w:r>
              <w:rPr>
                <w:rFonts w:ascii="宋体"/>
                <w:sz w:val="18"/>
              </w:rPr>
              <w:t>2018/4/3</w:t>
            </w:r>
          </w:p>
        </w:tc>
      </w:tr>
      <w:tr>
        <w:trPr>
          <w:trHeight w:val="491"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2018-054</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重大诉讼进展的公告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B100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1" w:right="0"/>
              <w:jc w:val="left"/>
              <w:rPr>
                <w:rFonts w:ascii="宋体" w:hAnsi="宋体" w:cs="宋体" w:eastAsia="宋体" w:hint="default"/>
                <w:sz w:val="18"/>
                <w:szCs w:val="18"/>
              </w:rPr>
            </w:pPr>
            <w:r>
              <w:rPr>
                <w:rFonts w:ascii="宋体"/>
                <w:sz w:val="18"/>
              </w:rPr>
              <w:t>2018/4/9</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2018-055</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B123</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2018/4/10</w:t>
            </w:r>
          </w:p>
        </w:tc>
      </w:tr>
      <w:tr>
        <w:trPr>
          <w:trHeight w:val="491"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2018-056</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关于重大资产重组的进展公告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B26</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2018/4/12</w:t>
            </w:r>
          </w:p>
        </w:tc>
      </w:tr>
    </w:tbl>
    <w:p>
      <w:pPr>
        <w:spacing w:after="0" w:line="240" w:lineRule="auto"/>
        <w:jc w:val="left"/>
        <w:rPr>
          <w:rFonts w:ascii="宋体" w:hAnsi="宋体" w:cs="宋体" w:eastAsia="宋体" w:hint="default"/>
          <w:sz w:val="18"/>
          <w:szCs w:val="18"/>
        </w:rPr>
        <w:sectPr>
          <w:pgSz w:w="11910" w:h="16840"/>
          <w:pgMar w:header="877" w:footer="979" w:top="1100" w:bottom="1160" w:left="92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1012"/>
        <w:gridCol w:w="4787"/>
        <w:gridCol w:w="2903"/>
        <w:gridCol w:w="1153"/>
      </w:tblGrid>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9"/>
              <w:jc w:val="right"/>
              <w:rPr>
                <w:rFonts w:ascii="宋体" w:hAnsi="宋体" w:cs="宋体" w:eastAsia="宋体" w:hint="default"/>
                <w:sz w:val="18"/>
                <w:szCs w:val="18"/>
              </w:rPr>
            </w:pPr>
            <w:r>
              <w:rPr>
                <w:rFonts w:ascii="宋体" w:hAnsi="宋体" w:cs="宋体" w:eastAsia="宋体" w:hint="default"/>
                <w:b/>
                <w:bCs/>
                <w:w w:val="95"/>
                <w:sz w:val="18"/>
                <w:szCs w:val="18"/>
              </w:rPr>
              <w:t>公告编号</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b/>
                <w:bCs/>
                <w:sz w:val="18"/>
                <w:szCs w:val="18"/>
              </w:rPr>
              <w:t>事项</w:t>
            </w:r>
            <w:r>
              <w:rPr>
                <w:rFonts w:ascii="宋体" w:hAnsi="宋体" w:cs="宋体" w:eastAsia="宋体" w:hint="default"/>
                <w:sz w:val="18"/>
                <w:szCs w:val="18"/>
              </w:rPr>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b/>
                <w:bCs/>
                <w:sz w:val="18"/>
                <w:szCs w:val="18"/>
              </w:rPr>
              <w:t>刊登的报刊名称及版面</w:t>
            </w:r>
            <w:r>
              <w:rPr>
                <w:rFonts w:ascii="宋体" w:hAnsi="宋体" w:cs="宋体" w:eastAsia="宋体" w:hint="default"/>
                <w:sz w:val="18"/>
                <w:szCs w:val="18"/>
              </w:rPr>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9" w:right="0"/>
              <w:jc w:val="left"/>
              <w:rPr>
                <w:rFonts w:ascii="宋体" w:hAnsi="宋体" w:cs="宋体" w:eastAsia="宋体" w:hint="default"/>
                <w:sz w:val="18"/>
                <w:szCs w:val="18"/>
              </w:rPr>
            </w:pPr>
            <w:r>
              <w:rPr>
                <w:rFonts w:ascii="宋体" w:hAnsi="宋体" w:cs="宋体" w:eastAsia="宋体" w:hint="default"/>
                <w:b/>
                <w:bCs/>
                <w:sz w:val="18"/>
                <w:szCs w:val="18"/>
              </w:rPr>
              <w:t>刊载日期</w:t>
            </w:r>
            <w:r>
              <w:rPr>
                <w:rFonts w:ascii="宋体" w:hAnsi="宋体" w:cs="宋体" w:eastAsia="宋体" w:hint="default"/>
                <w:sz w:val="18"/>
                <w:szCs w:val="18"/>
              </w:rPr>
            </w:r>
          </w:p>
        </w:tc>
      </w:tr>
      <w:tr>
        <w:trPr>
          <w:trHeight w:val="491"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2018-057</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B26</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2018/4/12</w:t>
            </w:r>
          </w:p>
        </w:tc>
      </w:tr>
      <w:tr>
        <w:trPr>
          <w:trHeight w:val="596"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41"/>
              <w:jc w:val="right"/>
              <w:rPr>
                <w:rFonts w:ascii="宋体" w:hAnsi="宋体" w:cs="宋体" w:eastAsia="宋体" w:hint="default"/>
                <w:sz w:val="18"/>
                <w:szCs w:val="18"/>
              </w:rPr>
            </w:pPr>
            <w:r>
              <w:rPr>
                <w:rFonts w:ascii="宋体"/>
                <w:sz w:val="18"/>
              </w:rPr>
              <w:t>2018-058</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1" w:right="174"/>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年年度股东大会增加临时提案暨召开</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年年 度股东大会的补充公告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B42</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66" w:right="0"/>
              <w:jc w:val="left"/>
              <w:rPr>
                <w:rFonts w:ascii="宋体" w:hAnsi="宋体" w:cs="宋体" w:eastAsia="宋体" w:hint="default"/>
                <w:sz w:val="18"/>
                <w:szCs w:val="18"/>
              </w:rPr>
            </w:pPr>
            <w:r>
              <w:rPr>
                <w:rFonts w:ascii="宋体"/>
                <w:sz w:val="18"/>
              </w:rPr>
              <w:t>2018/4/17</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2018-059</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关于重大资产重组的进展公告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B19</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2018/4/19</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2018-060</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B19</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2018/4/19</w:t>
            </w:r>
          </w:p>
        </w:tc>
      </w:tr>
      <w:tr>
        <w:trPr>
          <w:trHeight w:val="491"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2018-061</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年年度股东大会的提示性公告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B76</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2018/4/21</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2018-062</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关于重大资产重组的进展公告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B153</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2018/4/26</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2018-063</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年年度股东大会决议公告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B153</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2018/4/26</w:t>
            </w:r>
          </w:p>
        </w:tc>
      </w:tr>
      <w:tr>
        <w:trPr>
          <w:trHeight w:val="491"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2018-064</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关于选举公司职工代表监事的公告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B153</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2018/4/26</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2018-065</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第九届董事会第一次会议决议公告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B299</w:t>
            </w:r>
            <w:r>
              <w:rPr>
                <w:rFonts w:ascii="宋体" w:hAnsi="宋体" w:cs="宋体" w:eastAsia="宋体" w:hint="default"/>
                <w:sz w:val="18"/>
                <w:szCs w:val="18"/>
              </w:rPr>
              <w:t>、</w:t>
            </w:r>
            <w:r>
              <w:rPr>
                <w:rFonts w:ascii="宋体" w:hAnsi="宋体" w:cs="宋体" w:eastAsia="宋体" w:hint="default"/>
                <w:sz w:val="18"/>
                <w:szCs w:val="18"/>
              </w:rPr>
              <w:t>B635</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2018/4/28</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2018-066</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年第一季度报告正文</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B299</w:t>
            </w:r>
            <w:r>
              <w:rPr>
                <w:rFonts w:ascii="宋体" w:hAnsi="宋体" w:cs="宋体" w:eastAsia="宋体" w:hint="default"/>
                <w:sz w:val="18"/>
                <w:szCs w:val="18"/>
              </w:rPr>
              <w:t>、</w:t>
            </w:r>
            <w:r>
              <w:rPr>
                <w:rFonts w:ascii="宋体" w:hAnsi="宋体" w:cs="宋体" w:eastAsia="宋体" w:hint="default"/>
                <w:sz w:val="18"/>
                <w:szCs w:val="18"/>
              </w:rPr>
              <w:t>B635</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2018/4/28</w:t>
            </w:r>
          </w:p>
        </w:tc>
      </w:tr>
      <w:tr>
        <w:trPr>
          <w:trHeight w:val="491"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2018-067</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关于对外捐赠的公告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B299</w:t>
            </w:r>
            <w:r>
              <w:rPr>
                <w:rFonts w:ascii="宋体" w:hAnsi="宋体" w:cs="宋体" w:eastAsia="宋体" w:hint="default"/>
                <w:sz w:val="18"/>
                <w:szCs w:val="18"/>
              </w:rPr>
              <w:t>、</w:t>
            </w:r>
            <w:r>
              <w:rPr>
                <w:rFonts w:ascii="宋体" w:hAnsi="宋体" w:cs="宋体" w:eastAsia="宋体" w:hint="default"/>
                <w:sz w:val="18"/>
                <w:szCs w:val="18"/>
              </w:rPr>
              <w:t>B635</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2018/4/28</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2018-068</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关于拟签订重大合同的公告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B299</w:t>
            </w:r>
            <w:r>
              <w:rPr>
                <w:rFonts w:ascii="宋体" w:hAnsi="宋体" w:cs="宋体" w:eastAsia="宋体" w:hint="default"/>
                <w:sz w:val="18"/>
                <w:szCs w:val="18"/>
              </w:rPr>
              <w:t>、</w:t>
            </w:r>
            <w:r>
              <w:rPr>
                <w:rFonts w:ascii="宋体" w:hAnsi="宋体" w:cs="宋体" w:eastAsia="宋体" w:hint="default"/>
                <w:sz w:val="18"/>
                <w:szCs w:val="18"/>
              </w:rPr>
              <w:t>B635</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2018/4/28</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2018-069</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第九届监事会第一次会议决议公告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B299</w:t>
            </w:r>
            <w:r>
              <w:rPr>
                <w:rFonts w:ascii="宋体" w:hAnsi="宋体" w:cs="宋体" w:eastAsia="宋体" w:hint="default"/>
                <w:sz w:val="18"/>
                <w:szCs w:val="18"/>
              </w:rPr>
              <w:t>、</w:t>
            </w:r>
            <w:r>
              <w:rPr>
                <w:rFonts w:ascii="宋体" w:hAnsi="宋体" w:cs="宋体" w:eastAsia="宋体" w:hint="default"/>
                <w:sz w:val="18"/>
                <w:szCs w:val="18"/>
              </w:rPr>
              <w:t>B635</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2018/4/28</w:t>
            </w:r>
          </w:p>
        </w:tc>
      </w:tr>
      <w:tr>
        <w:trPr>
          <w:trHeight w:val="491"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2018-070</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年第三次临时股东大会的公告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B299</w:t>
            </w:r>
            <w:r>
              <w:rPr>
                <w:rFonts w:ascii="宋体" w:hAnsi="宋体" w:cs="宋体" w:eastAsia="宋体" w:hint="default"/>
                <w:sz w:val="18"/>
                <w:szCs w:val="18"/>
              </w:rPr>
              <w:t>、</w:t>
            </w:r>
            <w:r>
              <w:rPr>
                <w:rFonts w:ascii="宋体" w:hAnsi="宋体" w:cs="宋体" w:eastAsia="宋体" w:hint="default"/>
                <w:sz w:val="18"/>
                <w:szCs w:val="18"/>
              </w:rPr>
              <w:t>B635</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2018/4/28</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2018-071</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年年度权益分派实施公告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B299</w:t>
            </w:r>
            <w:r>
              <w:rPr>
                <w:rFonts w:ascii="宋体" w:hAnsi="宋体" w:cs="宋体" w:eastAsia="宋体" w:hint="default"/>
                <w:sz w:val="18"/>
                <w:szCs w:val="18"/>
              </w:rPr>
              <w:t>、</w:t>
            </w:r>
            <w:r>
              <w:rPr>
                <w:rFonts w:ascii="宋体" w:hAnsi="宋体" w:cs="宋体" w:eastAsia="宋体" w:hint="default"/>
                <w:sz w:val="18"/>
                <w:szCs w:val="18"/>
              </w:rPr>
              <w:t>B635</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2018/4/28</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2018-072</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关于重大资产重组的进展公告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B8</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1" w:right="0"/>
              <w:jc w:val="left"/>
              <w:rPr>
                <w:rFonts w:ascii="宋体" w:hAnsi="宋体" w:cs="宋体" w:eastAsia="宋体" w:hint="default"/>
                <w:sz w:val="18"/>
                <w:szCs w:val="18"/>
              </w:rPr>
            </w:pPr>
            <w:r>
              <w:rPr>
                <w:rFonts w:ascii="宋体"/>
                <w:sz w:val="18"/>
              </w:rPr>
              <w:t>2018/5/7</w:t>
            </w:r>
          </w:p>
        </w:tc>
      </w:tr>
      <w:tr>
        <w:trPr>
          <w:trHeight w:val="491"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2018-073</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B8</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1" w:right="0"/>
              <w:jc w:val="left"/>
              <w:rPr>
                <w:rFonts w:ascii="宋体" w:hAnsi="宋体" w:cs="宋体" w:eastAsia="宋体" w:hint="default"/>
                <w:sz w:val="18"/>
                <w:szCs w:val="18"/>
              </w:rPr>
            </w:pPr>
            <w:r>
              <w:rPr>
                <w:rFonts w:ascii="宋体"/>
                <w:sz w:val="18"/>
              </w:rPr>
              <w:t>2018/5/7</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2018-074</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年第三次临时股东大会的提示性公告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B8</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2018/5/14</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2018-075</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关于重大资产重组的进展公告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B8</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2018/5/14</w:t>
            </w:r>
          </w:p>
        </w:tc>
      </w:tr>
      <w:tr>
        <w:trPr>
          <w:trHeight w:val="611"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41"/>
              <w:jc w:val="right"/>
              <w:rPr>
                <w:rFonts w:ascii="宋体" w:hAnsi="宋体" w:cs="宋体" w:eastAsia="宋体" w:hint="default"/>
                <w:sz w:val="18"/>
                <w:szCs w:val="18"/>
              </w:rPr>
            </w:pPr>
            <w:r>
              <w:rPr>
                <w:rFonts w:ascii="宋体"/>
                <w:sz w:val="18"/>
              </w:rPr>
              <w:t>2018-076</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1" w:right="101"/>
              <w:jc w:val="left"/>
              <w:rPr>
                <w:rFonts w:ascii="宋体" w:hAnsi="宋体" w:cs="宋体" w:eastAsia="宋体" w:hint="default"/>
                <w:sz w:val="18"/>
                <w:szCs w:val="18"/>
              </w:rPr>
            </w:pPr>
            <w:r>
              <w:rPr>
                <w:rFonts w:ascii="宋体" w:hAnsi="宋体" w:cs="宋体" w:eastAsia="宋体" w:hint="default"/>
                <w:sz w:val="18"/>
                <w:szCs w:val="18"/>
              </w:rPr>
              <w:t>神州数码集团股份有限公司</w:t>
            </w:r>
            <w:r>
              <w:rPr>
                <w:rFonts w:ascii="宋体" w:hAnsi="宋体" w:cs="宋体" w:eastAsia="宋体" w:hint="default"/>
                <w:spacing w:val="-54"/>
                <w:sz w:val="18"/>
                <w:szCs w:val="18"/>
              </w:rPr>
              <w:t> </w:t>
            </w:r>
            <w:r>
              <w:rPr>
                <w:rFonts w:ascii="宋体" w:hAnsi="宋体" w:cs="宋体" w:eastAsia="宋体" w:hint="default"/>
                <w:sz w:val="18"/>
                <w:szCs w:val="18"/>
              </w:rPr>
              <w:t>2018</w:t>
            </w:r>
            <w:r>
              <w:rPr>
                <w:rFonts w:ascii="宋体" w:hAnsi="宋体" w:cs="宋体" w:eastAsia="宋体" w:hint="default"/>
                <w:spacing w:val="-54"/>
                <w:sz w:val="18"/>
                <w:szCs w:val="18"/>
              </w:rPr>
              <w:t> </w:t>
            </w:r>
            <w:r>
              <w:rPr>
                <w:rFonts w:ascii="宋体" w:hAnsi="宋体" w:cs="宋体" w:eastAsia="宋体" w:hint="default"/>
                <w:sz w:val="18"/>
                <w:szCs w:val="18"/>
              </w:rPr>
              <w:t>年第三次临时股东大会决 议公告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B62</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66" w:right="0"/>
              <w:jc w:val="left"/>
              <w:rPr>
                <w:rFonts w:ascii="宋体" w:hAnsi="宋体" w:cs="宋体" w:eastAsia="宋体" w:hint="default"/>
                <w:sz w:val="18"/>
                <w:szCs w:val="18"/>
              </w:rPr>
            </w:pPr>
            <w:r>
              <w:rPr>
                <w:rFonts w:ascii="宋体"/>
                <w:sz w:val="18"/>
              </w:rPr>
              <w:t>2018/5/16</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2018-077</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B62</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2018/5/16</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2018-078</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关于公司股票复牌的提示性公告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B121</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2018/5/16</w:t>
            </w:r>
          </w:p>
        </w:tc>
      </w:tr>
      <w:tr>
        <w:trPr>
          <w:trHeight w:val="491"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2018-079</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第九届董事会第二次会议决议公告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B121</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2018/5/16</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2018-080</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第九届监事会第二次会议决议公告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B121</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2018/5/16</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2018-081</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第九届董事会第三次会议决议公告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B53</w:t>
            </w:r>
            <w:r>
              <w:rPr>
                <w:rFonts w:ascii="宋体" w:hAnsi="宋体" w:cs="宋体" w:eastAsia="宋体" w:hint="default"/>
                <w:sz w:val="18"/>
                <w:szCs w:val="18"/>
              </w:rPr>
              <w:t>、</w:t>
            </w:r>
            <w:r>
              <w:rPr>
                <w:rFonts w:ascii="宋体" w:hAnsi="宋体" w:cs="宋体" w:eastAsia="宋体" w:hint="default"/>
                <w:sz w:val="18"/>
                <w:szCs w:val="18"/>
              </w:rPr>
              <w:t>B54</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2018/5/25</w:t>
            </w:r>
          </w:p>
        </w:tc>
      </w:tr>
      <w:tr>
        <w:trPr>
          <w:trHeight w:val="491"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2018-082</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关于本次重组摊薄当期每股收益的及填补回报安排的公告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B53</w:t>
            </w:r>
            <w:r>
              <w:rPr>
                <w:rFonts w:ascii="宋体" w:hAnsi="宋体" w:cs="宋体" w:eastAsia="宋体" w:hint="default"/>
                <w:sz w:val="18"/>
                <w:szCs w:val="18"/>
              </w:rPr>
              <w:t>、</w:t>
            </w:r>
            <w:r>
              <w:rPr>
                <w:rFonts w:ascii="宋体" w:hAnsi="宋体" w:cs="宋体" w:eastAsia="宋体" w:hint="default"/>
                <w:sz w:val="18"/>
                <w:szCs w:val="18"/>
              </w:rPr>
              <w:t>B54</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2018/5/25</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2018-083</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年第四次临时股东大会的公告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B53</w:t>
            </w:r>
            <w:r>
              <w:rPr>
                <w:rFonts w:ascii="宋体" w:hAnsi="宋体" w:cs="宋体" w:eastAsia="宋体" w:hint="default"/>
                <w:sz w:val="18"/>
                <w:szCs w:val="18"/>
              </w:rPr>
              <w:t>、</w:t>
            </w:r>
            <w:r>
              <w:rPr>
                <w:rFonts w:ascii="宋体" w:hAnsi="宋体" w:cs="宋体" w:eastAsia="宋体" w:hint="default"/>
                <w:sz w:val="18"/>
                <w:szCs w:val="18"/>
              </w:rPr>
              <w:t>B54</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2018/5/25</w:t>
            </w:r>
          </w:p>
        </w:tc>
      </w:tr>
    </w:tbl>
    <w:p>
      <w:pPr>
        <w:spacing w:after="0" w:line="240" w:lineRule="auto"/>
        <w:jc w:val="left"/>
        <w:rPr>
          <w:rFonts w:ascii="宋体" w:hAnsi="宋体" w:cs="宋体" w:eastAsia="宋体" w:hint="default"/>
          <w:sz w:val="18"/>
          <w:szCs w:val="18"/>
        </w:rPr>
        <w:sectPr>
          <w:pgSz w:w="11910" w:h="16840"/>
          <w:pgMar w:header="877" w:footer="979" w:top="1100" w:bottom="1160" w:left="92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1012"/>
        <w:gridCol w:w="4787"/>
        <w:gridCol w:w="2903"/>
        <w:gridCol w:w="1153"/>
      </w:tblGrid>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9"/>
              <w:jc w:val="right"/>
              <w:rPr>
                <w:rFonts w:ascii="宋体" w:hAnsi="宋体" w:cs="宋体" w:eastAsia="宋体" w:hint="default"/>
                <w:sz w:val="18"/>
                <w:szCs w:val="18"/>
              </w:rPr>
            </w:pPr>
            <w:r>
              <w:rPr>
                <w:rFonts w:ascii="宋体" w:hAnsi="宋体" w:cs="宋体" w:eastAsia="宋体" w:hint="default"/>
                <w:b/>
                <w:bCs/>
                <w:w w:val="95"/>
                <w:sz w:val="18"/>
                <w:szCs w:val="18"/>
              </w:rPr>
              <w:t>公告编号</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b/>
                <w:bCs/>
                <w:sz w:val="18"/>
                <w:szCs w:val="18"/>
              </w:rPr>
              <w:t>事项</w:t>
            </w:r>
            <w:r>
              <w:rPr>
                <w:rFonts w:ascii="宋体" w:hAnsi="宋体" w:cs="宋体" w:eastAsia="宋体" w:hint="default"/>
                <w:sz w:val="18"/>
                <w:szCs w:val="18"/>
              </w:rPr>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b/>
                <w:bCs/>
                <w:sz w:val="18"/>
                <w:szCs w:val="18"/>
              </w:rPr>
              <w:t>刊登的报刊名称及版面</w:t>
            </w:r>
            <w:r>
              <w:rPr>
                <w:rFonts w:ascii="宋体" w:hAnsi="宋体" w:cs="宋体" w:eastAsia="宋体" w:hint="default"/>
                <w:sz w:val="18"/>
                <w:szCs w:val="18"/>
              </w:rPr>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9" w:right="0"/>
              <w:jc w:val="left"/>
              <w:rPr>
                <w:rFonts w:ascii="宋体" w:hAnsi="宋体" w:cs="宋体" w:eastAsia="宋体" w:hint="default"/>
                <w:sz w:val="18"/>
                <w:szCs w:val="18"/>
              </w:rPr>
            </w:pPr>
            <w:r>
              <w:rPr>
                <w:rFonts w:ascii="宋体" w:hAnsi="宋体" w:cs="宋体" w:eastAsia="宋体" w:hint="default"/>
                <w:b/>
                <w:bCs/>
                <w:sz w:val="18"/>
                <w:szCs w:val="18"/>
              </w:rPr>
              <w:t>刊载日期</w:t>
            </w:r>
            <w:r>
              <w:rPr>
                <w:rFonts w:ascii="宋体" w:hAnsi="宋体" w:cs="宋体" w:eastAsia="宋体" w:hint="default"/>
                <w:sz w:val="18"/>
                <w:szCs w:val="18"/>
              </w:rPr>
            </w:r>
          </w:p>
        </w:tc>
      </w:tr>
      <w:tr>
        <w:trPr>
          <w:trHeight w:val="491"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2018-084</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第九届监事会第三次会议决议公告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B53</w:t>
            </w:r>
            <w:r>
              <w:rPr>
                <w:rFonts w:ascii="宋体" w:hAnsi="宋体" w:cs="宋体" w:eastAsia="宋体" w:hint="default"/>
                <w:sz w:val="18"/>
                <w:szCs w:val="18"/>
              </w:rPr>
              <w:t>、</w:t>
            </w:r>
            <w:r>
              <w:rPr>
                <w:rFonts w:ascii="宋体" w:hAnsi="宋体" w:cs="宋体" w:eastAsia="宋体" w:hint="default"/>
                <w:sz w:val="18"/>
                <w:szCs w:val="18"/>
              </w:rPr>
              <w:t>B54</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2018/5/25</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2018-085</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B26</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2018/5/29</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2018-086</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关于委托理财投资的进展公告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B26</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2018/5/29</w:t>
            </w:r>
          </w:p>
        </w:tc>
      </w:tr>
      <w:tr>
        <w:trPr>
          <w:trHeight w:val="491"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2018-087</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B88</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2018/5/30</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2018-088</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年第四次临时股东大会的提示性公告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B94</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1" w:right="0"/>
              <w:jc w:val="left"/>
              <w:rPr>
                <w:rFonts w:ascii="宋体" w:hAnsi="宋体" w:cs="宋体" w:eastAsia="宋体" w:hint="default"/>
                <w:sz w:val="18"/>
                <w:szCs w:val="18"/>
              </w:rPr>
            </w:pPr>
            <w:r>
              <w:rPr>
                <w:rFonts w:ascii="宋体"/>
                <w:sz w:val="18"/>
              </w:rPr>
              <w:t>2018/6/8</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2018-089</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
              <w:ind w:left="101" w:right="101"/>
              <w:jc w:val="left"/>
              <w:rPr>
                <w:rFonts w:ascii="宋体" w:hAnsi="宋体" w:cs="宋体" w:eastAsia="宋体" w:hint="default"/>
                <w:sz w:val="18"/>
                <w:szCs w:val="18"/>
              </w:rPr>
            </w:pPr>
            <w:r>
              <w:rPr>
                <w:rFonts w:ascii="宋体" w:hAnsi="宋体" w:cs="宋体" w:eastAsia="宋体" w:hint="default"/>
                <w:sz w:val="18"/>
                <w:szCs w:val="18"/>
              </w:rPr>
              <w:t>神州数码集团股份有限公司</w:t>
            </w:r>
            <w:r>
              <w:rPr>
                <w:rFonts w:ascii="宋体" w:hAnsi="宋体" w:cs="宋体" w:eastAsia="宋体" w:hint="default"/>
                <w:spacing w:val="-54"/>
                <w:sz w:val="18"/>
                <w:szCs w:val="18"/>
              </w:rPr>
              <w:t> </w:t>
            </w:r>
            <w:r>
              <w:rPr>
                <w:rFonts w:ascii="宋体" w:hAnsi="宋体" w:cs="宋体" w:eastAsia="宋体" w:hint="default"/>
                <w:sz w:val="18"/>
                <w:szCs w:val="18"/>
              </w:rPr>
              <w:t>2018</w:t>
            </w:r>
            <w:r>
              <w:rPr>
                <w:rFonts w:ascii="宋体" w:hAnsi="宋体" w:cs="宋体" w:eastAsia="宋体" w:hint="default"/>
                <w:spacing w:val="-54"/>
                <w:sz w:val="18"/>
                <w:szCs w:val="18"/>
              </w:rPr>
              <w:t> </w:t>
            </w:r>
            <w:r>
              <w:rPr>
                <w:rFonts w:ascii="宋体" w:hAnsi="宋体" w:cs="宋体" w:eastAsia="宋体" w:hint="default"/>
                <w:sz w:val="18"/>
                <w:szCs w:val="18"/>
              </w:rPr>
              <w:t>年第四次临时股东大会决 议公告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B26</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2018/6/12</w:t>
            </w:r>
          </w:p>
        </w:tc>
      </w:tr>
      <w:tr>
        <w:trPr>
          <w:trHeight w:val="491"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2018-090</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B71</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2018/6/15</w:t>
            </w:r>
          </w:p>
        </w:tc>
      </w:tr>
      <w:tr>
        <w:trPr>
          <w:trHeight w:val="64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41"/>
              <w:jc w:val="right"/>
              <w:rPr>
                <w:rFonts w:ascii="宋体" w:hAnsi="宋体" w:cs="宋体" w:eastAsia="宋体" w:hint="default"/>
                <w:sz w:val="18"/>
                <w:szCs w:val="18"/>
              </w:rPr>
            </w:pPr>
            <w:r>
              <w:rPr>
                <w:rFonts w:ascii="宋体"/>
                <w:sz w:val="18"/>
              </w:rPr>
              <w:t>2018-091</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173"/>
              <w:jc w:val="left"/>
              <w:rPr>
                <w:rFonts w:ascii="宋体" w:hAnsi="宋体" w:cs="宋体" w:eastAsia="宋体" w:hint="default"/>
                <w:sz w:val="18"/>
                <w:szCs w:val="18"/>
              </w:rPr>
            </w:pPr>
            <w:r>
              <w:rPr>
                <w:rFonts w:ascii="宋体" w:hAnsi="宋体" w:cs="宋体" w:eastAsia="宋体" w:hint="default"/>
                <w:sz w:val="18"/>
                <w:szCs w:val="18"/>
              </w:rPr>
              <w:t>关于上海云角信息技术有限公司股权转让方购买公司股票 的进展公告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B48</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66" w:right="0"/>
              <w:jc w:val="left"/>
              <w:rPr>
                <w:rFonts w:ascii="宋体" w:hAnsi="宋体" w:cs="宋体" w:eastAsia="宋体" w:hint="default"/>
                <w:sz w:val="18"/>
                <w:szCs w:val="18"/>
              </w:rPr>
            </w:pPr>
            <w:r>
              <w:rPr>
                <w:rFonts w:ascii="宋体"/>
                <w:sz w:val="18"/>
              </w:rPr>
              <w:t>2018/6/20</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2018-092</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年半年度业绩预告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B88</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2018/6/23</w:t>
            </w:r>
          </w:p>
        </w:tc>
      </w:tr>
      <w:tr>
        <w:trPr>
          <w:trHeight w:val="491"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2018-093</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关于收到《中国证监会行政许可申请受理单》的公告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B43</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2018/6/26</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2018-094</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B056</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2018/6/27</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2018-095</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B90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2018/6/28</w:t>
            </w:r>
          </w:p>
        </w:tc>
      </w:tr>
      <w:tr>
        <w:trPr>
          <w:trHeight w:val="491"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2018-096</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B78</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61</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1" w:right="0"/>
              <w:jc w:val="left"/>
              <w:rPr>
                <w:rFonts w:ascii="宋体" w:hAnsi="宋体" w:cs="宋体" w:eastAsia="宋体" w:hint="default"/>
                <w:sz w:val="18"/>
                <w:szCs w:val="18"/>
              </w:rPr>
            </w:pPr>
            <w:r>
              <w:rPr>
                <w:rFonts w:ascii="宋体"/>
                <w:sz w:val="18"/>
              </w:rPr>
              <w:t>2018/7/7</w:t>
            </w:r>
          </w:p>
        </w:tc>
      </w:tr>
      <w:tr>
        <w:trPr>
          <w:trHeight w:val="61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41"/>
              <w:jc w:val="right"/>
              <w:rPr>
                <w:rFonts w:ascii="宋体" w:hAnsi="宋体" w:cs="宋体" w:eastAsia="宋体" w:hint="default"/>
                <w:sz w:val="18"/>
                <w:szCs w:val="18"/>
              </w:rPr>
            </w:pPr>
            <w:r>
              <w:rPr>
                <w:rFonts w:ascii="宋体"/>
                <w:sz w:val="18"/>
              </w:rPr>
              <w:t>2018-097</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1" w:right="173"/>
              <w:jc w:val="left"/>
              <w:rPr>
                <w:rFonts w:ascii="宋体" w:hAnsi="宋体" w:cs="宋体" w:eastAsia="宋体" w:hint="default"/>
                <w:sz w:val="18"/>
                <w:szCs w:val="18"/>
              </w:rPr>
            </w:pPr>
            <w:r>
              <w:rPr>
                <w:rFonts w:ascii="宋体" w:hAnsi="宋体" w:cs="宋体" w:eastAsia="宋体" w:hint="default"/>
                <w:sz w:val="18"/>
                <w:szCs w:val="18"/>
              </w:rPr>
              <w:t>关于收到《中国证监会行政许可项目审查一次反馈意见通 知书》的公告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B124</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103</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66" w:right="0"/>
              <w:jc w:val="left"/>
              <w:rPr>
                <w:rFonts w:ascii="宋体" w:hAnsi="宋体" w:cs="宋体" w:eastAsia="宋体" w:hint="default"/>
                <w:sz w:val="18"/>
                <w:szCs w:val="18"/>
              </w:rPr>
            </w:pPr>
            <w:r>
              <w:rPr>
                <w:rFonts w:ascii="宋体"/>
                <w:sz w:val="18"/>
              </w:rPr>
              <w:t>2018/7/13</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2018-098</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B124</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103</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2018/7/13</w:t>
            </w:r>
          </w:p>
        </w:tc>
      </w:tr>
      <w:tr>
        <w:trPr>
          <w:trHeight w:val="491"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2018-099</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关于为子公司担保进展的更正公告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B15</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76</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2018/7/24</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2018-100</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重大诉讼进展的公告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B15</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76</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2018/7/24</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2018-101</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B15</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76</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2018/7/24</w:t>
            </w:r>
          </w:p>
        </w:tc>
      </w:tr>
      <w:tr>
        <w:trPr>
          <w:trHeight w:val="491"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2018-102</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B74</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80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2018/7/26</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2018-103</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B75</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53</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2018/7/28</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2018-104</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关于解除对全资子公司司法冻结措施的公告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B11</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88</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1" w:right="0"/>
              <w:jc w:val="left"/>
              <w:rPr>
                <w:rFonts w:ascii="宋体" w:hAnsi="宋体" w:cs="宋体" w:eastAsia="宋体" w:hint="default"/>
                <w:sz w:val="18"/>
                <w:szCs w:val="18"/>
              </w:rPr>
            </w:pPr>
            <w:r>
              <w:rPr>
                <w:rFonts w:ascii="宋体"/>
                <w:sz w:val="18"/>
              </w:rPr>
              <w:t>2018/8/1</w:t>
            </w:r>
          </w:p>
        </w:tc>
      </w:tr>
      <w:tr>
        <w:trPr>
          <w:trHeight w:val="655"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41"/>
              <w:jc w:val="right"/>
              <w:rPr>
                <w:rFonts w:ascii="宋体" w:hAnsi="宋体" w:cs="宋体" w:eastAsia="宋体" w:hint="default"/>
                <w:sz w:val="18"/>
                <w:szCs w:val="18"/>
              </w:rPr>
            </w:pPr>
            <w:r>
              <w:rPr>
                <w:rFonts w:ascii="宋体"/>
                <w:sz w:val="18"/>
              </w:rPr>
              <w:t>2018-105</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84"/>
              <w:ind w:left="101" w:right="173"/>
              <w:jc w:val="left"/>
              <w:rPr>
                <w:rFonts w:ascii="宋体" w:hAnsi="宋体" w:cs="宋体" w:eastAsia="宋体" w:hint="default"/>
                <w:sz w:val="18"/>
                <w:szCs w:val="18"/>
              </w:rPr>
            </w:pPr>
            <w:r>
              <w:rPr>
                <w:rFonts w:ascii="宋体" w:hAnsi="宋体" w:cs="宋体" w:eastAsia="宋体" w:hint="default"/>
                <w:sz w:val="18"/>
                <w:szCs w:val="18"/>
              </w:rPr>
              <w:t>关于延期回复《中国证监会行政许可项目审查一次反馈意 见通知书》的公告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B51</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91</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sz w:val="18"/>
              </w:rPr>
              <w:t>2018/8/21</w:t>
            </w:r>
          </w:p>
        </w:tc>
      </w:tr>
      <w:tr>
        <w:trPr>
          <w:trHeight w:val="491"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2018-106</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年半年度报告摘要</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B141</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131</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2018/8/30</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2018-107</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关于更换持续督导独立财务顾问主办人的公告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B141</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131</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2018/8/30</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2018-108</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B127</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126</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sz w:val="18"/>
              </w:rPr>
              <w:t>2018/8/31</w:t>
            </w:r>
          </w:p>
        </w:tc>
      </w:tr>
      <w:tr>
        <w:trPr>
          <w:trHeight w:val="491"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2018-109</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B67</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102</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1" w:right="0"/>
              <w:jc w:val="left"/>
              <w:rPr>
                <w:rFonts w:ascii="宋体" w:hAnsi="宋体" w:cs="宋体" w:eastAsia="宋体" w:hint="default"/>
                <w:sz w:val="18"/>
                <w:szCs w:val="18"/>
              </w:rPr>
            </w:pPr>
            <w:r>
              <w:rPr>
                <w:rFonts w:ascii="宋体"/>
                <w:sz w:val="18"/>
              </w:rPr>
              <w:t>2018/9/5</w:t>
            </w:r>
          </w:p>
        </w:tc>
      </w:tr>
    </w:tbl>
    <w:p>
      <w:pPr>
        <w:spacing w:after="0" w:line="240" w:lineRule="auto"/>
        <w:jc w:val="left"/>
        <w:rPr>
          <w:rFonts w:ascii="宋体" w:hAnsi="宋体" w:cs="宋体" w:eastAsia="宋体" w:hint="default"/>
          <w:sz w:val="18"/>
          <w:szCs w:val="18"/>
        </w:rPr>
        <w:sectPr>
          <w:pgSz w:w="11910" w:h="16840"/>
          <w:pgMar w:header="877" w:footer="979" w:top="1100" w:bottom="1160" w:left="92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1012"/>
        <w:gridCol w:w="4787"/>
        <w:gridCol w:w="2903"/>
        <w:gridCol w:w="1153"/>
      </w:tblGrid>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9"/>
              <w:jc w:val="right"/>
              <w:rPr>
                <w:rFonts w:ascii="宋体" w:hAnsi="宋体" w:cs="宋体" w:eastAsia="宋体" w:hint="default"/>
                <w:sz w:val="18"/>
                <w:szCs w:val="18"/>
              </w:rPr>
            </w:pPr>
            <w:r>
              <w:rPr>
                <w:rFonts w:ascii="宋体" w:hAnsi="宋体" w:cs="宋体" w:eastAsia="宋体" w:hint="default"/>
                <w:b/>
                <w:bCs/>
                <w:w w:val="95"/>
                <w:sz w:val="18"/>
                <w:szCs w:val="18"/>
              </w:rPr>
              <w:t>公告编号</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b/>
                <w:bCs/>
                <w:sz w:val="18"/>
                <w:szCs w:val="18"/>
              </w:rPr>
              <w:t>事项</w:t>
            </w:r>
            <w:r>
              <w:rPr>
                <w:rFonts w:ascii="宋体" w:hAnsi="宋体" w:cs="宋体" w:eastAsia="宋体" w:hint="default"/>
                <w:sz w:val="18"/>
                <w:szCs w:val="18"/>
              </w:rPr>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b/>
                <w:bCs/>
                <w:sz w:val="18"/>
                <w:szCs w:val="18"/>
              </w:rPr>
              <w:t>刊登的报刊名称及版面</w:t>
            </w:r>
            <w:r>
              <w:rPr>
                <w:rFonts w:ascii="宋体" w:hAnsi="宋体" w:cs="宋体" w:eastAsia="宋体" w:hint="default"/>
                <w:sz w:val="18"/>
                <w:szCs w:val="18"/>
              </w:rPr>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b/>
                <w:bCs/>
                <w:sz w:val="18"/>
                <w:szCs w:val="18"/>
              </w:rPr>
              <w:t>刊载日期</w:t>
            </w:r>
            <w:r>
              <w:rPr>
                <w:rFonts w:ascii="宋体" w:hAnsi="宋体" w:cs="宋体" w:eastAsia="宋体" w:hint="default"/>
                <w:sz w:val="18"/>
                <w:szCs w:val="18"/>
              </w:rPr>
            </w:r>
          </w:p>
        </w:tc>
      </w:tr>
      <w:tr>
        <w:trPr>
          <w:trHeight w:val="491"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2018-110</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B88</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121</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sz w:val="18"/>
              </w:rPr>
              <w:t>2018/9/11</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2018-111</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B134</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139</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sz w:val="18"/>
              </w:rPr>
              <w:t>2018/9/15</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2018-112</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关于公司股东部分股票解除质押的公告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B85</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119</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sz w:val="18"/>
              </w:rPr>
              <w:t>2018/9/18</w:t>
            </w:r>
          </w:p>
        </w:tc>
      </w:tr>
      <w:tr>
        <w:trPr>
          <w:trHeight w:val="655"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41"/>
              <w:jc w:val="right"/>
              <w:rPr>
                <w:rFonts w:ascii="宋体" w:hAnsi="宋体" w:cs="宋体" w:eastAsia="宋体" w:hint="default"/>
                <w:sz w:val="18"/>
                <w:szCs w:val="18"/>
              </w:rPr>
            </w:pPr>
            <w:r>
              <w:rPr>
                <w:rFonts w:ascii="宋体"/>
                <w:sz w:val="18"/>
              </w:rPr>
              <w:t>2018-113</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84"/>
              <w:ind w:left="101" w:right="173"/>
              <w:jc w:val="left"/>
              <w:rPr>
                <w:rFonts w:ascii="宋体" w:hAnsi="宋体" w:cs="宋体" w:eastAsia="宋体" w:hint="default"/>
                <w:sz w:val="18"/>
                <w:szCs w:val="18"/>
              </w:rPr>
            </w:pPr>
            <w:r>
              <w:rPr>
                <w:rFonts w:ascii="宋体" w:hAnsi="宋体" w:cs="宋体" w:eastAsia="宋体" w:hint="default"/>
                <w:sz w:val="18"/>
                <w:szCs w:val="18"/>
              </w:rPr>
              <w:t>关于中国证监会并购重组委员会审核公司发行股份及支付 现金购买资产并募集配套资金暨关联交易事项的停牌公告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B82</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77</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2018/9/19</w:t>
            </w:r>
          </w:p>
        </w:tc>
      </w:tr>
      <w:tr>
        <w:trPr>
          <w:trHeight w:val="491"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2018-114</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B2</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12</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sz w:val="18"/>
              </w:rPr>
              <w:t>2018/9/22</w:t>
            </w:r>
          </w:p>
        </w:tc>
      </w:tr>
      <w:tr>
        <w:trPr>
          <w:trHeight w:val="70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41"/>
              <w:jc w:val="right"/>
              <w:rPr>
                <w:rFonts w:ascii="宋体" w:hAnsi="宋体" w:cs="宋体" w:eastAsia="宋体" w:hint="default"/>
                <w:sz w:val="18"/>
                <w:szCs w:val="18"/>
              </w:rPr>
            </w:pPr>
            <w:r>
              <w:rPr>
                <w:rFonts w:ascii="宋体"/>
                <w:sz w:val="18"/>
              </w:rPr>
              <w:t>2018-115</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6"/>
              <w:ind w:left="101" w:right="173"/>
              <w:jc w:val="left"/>
              <w:rPr>
                <w:rFonts w:ascii="宋体" w:hAnsi="宋体" w:cs="宋体" w:eastAsia="宋体" w:hint="default"/>
                <w:sz w:val="18"/>
                <w:szCs w:val="18"/>
              </w:rPr>
            </w:pPr>
            <w:r>
              <w:rPr>
                <w:rFonts w:ascii="宋体" w:hAnsi="宋体" w:cs="宋体" w:eastAsia="宋体" w:hint="default"/>
                <w:sz w:val="18"/>
                <w:szCs w:val="18"/>
              </w:rPr>
              <w:t>关于公司发行股份及支付现金购买资产并募集配套资金事 项审核结果暨公司股票复牌的公告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B57</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43</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2018/9/27</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2018-116</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B110</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112</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sz w:val="18"/>
              </w:rPr>
              <w:t>2018/9/27</w:t>
            </w:r>
          </w:p>
        </w:tc>
      </w:tr>
      <w:tr>
        <w:trPr>
          <w:trHeight w:val="491"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2018-117</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关于子公司为子公司担保的公告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B126</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89</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sz w:val="18"/>
              </w:rPr>
              <w:t>2018/9/29</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2018-118</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B126</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89</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sz w:val="18"/>
              </w:rPr>
              <w:t>2018/9/29</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2018-119</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关于债务融资工具获准注册的公告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B97</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144</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sz w:val="18"/>
              </w:rPr>
              <w:t>2018/10/12</w:t>
            </w:r>
          </w:p>
        </w:tc>
      </w:tr>
      <w:tr>
        <w:trPr>
          <w:trHeight w:val="625"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41"/>
              <w:jc w:val="right"/>
              <w:rPr>
                <w:rFonts w:ascii="宋体" w:hAnsi="宋体" w:cs="宋体" w:eastAsia="宋体" w:hint="default"/>
                <w:sz w:val="18"/>
                <w:szCs w:val="18"/>
              </w:rPr>
            </w:pPr>
            <w:r>
              <w:rPr>
                <w:rFonts w:ascii="宋体"/>
                <w:sz w:val="18"/>
              </w:rPr>
              <w:t>2018-120</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1" w:right="173"/>
              <w:jc w:val="left"/>
              <w:rPr>
                <w:rFonts w:ascii="宋体" w:hAnsi="宋体" w:cs="宋体" w:eastAsia="宋体" w:hint="default"/>
                <w:sz w:val="18"/>
                <w:szCs w:val="18"/>
              </w:rPr>
            </w:pPr>
            <w:r>
              <w:rPr>
                <w:rFonts w:ascii="宋体" w:hAnsi="宋体" w:cs="宋体" w:eastAsia="宋体" w:hint="default"/>
                <w:sz w:val="18"/>
                <w:szCs w:val="18"/>
              </w:rPr>
              <w:t>关于收到中国证监会不予核准公司发行股份购买资产并募 集配套资金申请的决定的公告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B3</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24</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
              <w:jc w:val="center"/>
              <w:rPr>
                <w:rFonts w:ascii="宋体" w:hAnsi="宋体" w:cs="宋体" w:eastAsia="宋体" w:hint="default"/>
                <w:sz w:val="18"/>
                <w:szCs w:val="18"/>
              </w:rPr>
            </w:pPr>
            <w:r>
              <w:rPr>
                <w:rFonts w:ascii="宋体"/>
                <w:sz w:val="18"/>
              </w:rPr>
              <w:t>2018/10/13</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2018-121</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第九届董事会第五次会议决议公告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B67</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87</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sz w:val="18"/>
              </w:rPr>
              <w:t>2018/10/23</w:t>
            </w:r>
          </w:p>
        </w:tc>
      </w:tr>
      <w:tr>
        <w:trPr>
          <w:trHeight w:val="491"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2018-122</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关于继续推进重大资产重组事项的公告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B67</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87</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sz w:val="18"/>
              </w:rPr>
              <w:t>2018/10/23</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2018-123</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第九届监事会第五次会议决议公告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B67</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87</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sz w:val="18"/>
              </w:rPr>
              <w:t>2018/10/23</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2018-124</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年第三季度报告正文</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B59</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59</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sz w:val="18"/>
              </w:rPr>
              <w:t>2018/10/29</w:t>
            </w:r>
          </w:p>
        </w:tc>
      </w:tr>
      <w:tr>
        <w:trPr>
          <w:trHeight w:val="491"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2018-125</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第九届董事会第六次会议决议公告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B59</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59</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sz w:val="18"/>
              </w:rPr>
              <w:t>2018/10/29</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2018-126</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关于增加</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年日常关联交易额度的公告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B59</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59</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sz w:val="18"/>
              </w:rPr>
              <w:t>2018/10/29</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2018-127</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关于全资子公司开展应收账款资产证券化的公告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B59</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59</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sz w:val="18"/>
              </w:rPr>
              <w:t>2018/10/29</w:t>
            </w:r>
          </w:p>
        </w:tc>
      </w:tr>
      <w:tr>
        <w:trPr>
          <w:trHeight w:val="491"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2018-128</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第九届监事会第六次会议决议公告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B59</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59</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sz w:val="18"/>
              </w:rPr>
              <w:t>2018/10/29</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2018-129</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第九届董事会第七次会议决议公告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B88</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88</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sz w:val="18"/>
              </w:rPr>
              <w:t>2018/11/10</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2018-130</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关于终止重大资产重组的公告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B88</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88</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sz w:val="18"/>
              </w:rPr>
              <w:t>2018/11/10</w:t>
            </w:r>
          </w:p>
        </w:tc>
      </w:tr>
      <w:tr>
        <w:trPr>
          <w:trHeight w:val="491"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2018-131</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第九届监事会第七次会议决议公告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B88</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88</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sz w:val="18"/>
              </w:rPr>
              <w:t>2018/11/10</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2018-132</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B49</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110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sz w:val="18"/>
              </w:rPr>
              <w:t>2018/11/13</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2018-133</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B62</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39</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sz w:val="18"/>
              </w:rPr>
              <w:t>2018/11/16</w:t>
            </w:r>
          </w:p>
        </w:tc>
      </w:tr>
      <w:tr>
        <w:trPr>
          <w:trHeight w:val="625"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41"/>
              <w:jc w:val="right"/>
              <w:rPr>
                <w:rFonts w:ascii="宋体" w:hAnsi="宋体" w:cs="宋体" w:eastAsia="宋体" w:hint="default"/>
                <w:sz w:val="18"/>
                <w:szCs w:val="18"/>
              </w:rPr>
            </w:pPr>
            <w:r>
              <w:rPr>
                <w:rFonts w:ascii="宋体"/>
                <w:sz w:val="18"/>
              </w:rPr>
              <w:t>2018-134</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1" w:right="173"/>
              <w:jc w:val="left"/>
              <w:rPr>
                <w:rFonts w:ascii="宋体" w:hAnsi="宋体" w:cs="宋体" w:eastAsia="宋体" w:hint="default"/>
                <w:sz w:val="18"/>
                <w:szCs w:val="18"/>
              </w:rPr>
            </w:pPr>
            <w:r>
              <w:rPr>
                <w:rFonts w:ascii="宋体" w:hAnsi="宋体" w:cs="宋体" w:eastAsia="宋体" w:hint="default"/>
                <w:sz w:val="18"/>
                <w:szCs w:val="18"/>
              </w:rPr>
              <w:t>关于上海云角信息技术有限公司股权转让方完成购买公司 股票的公告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B23</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67</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
              <w:jc w:val="center"/>
              <w:rPr>
                <w:rFonts w:ascii="宋体" w:hAnsi="宋体" w:cs="宋体" w:eastAsia="宋体" w:hint="default"/>
                <w:sz w:val="18"/>
                <w:szCs w:val="18"/>
              </w:rPr>
            </w:pPr>
            <w:r>
              <w:rPr>
                <w:rFonts w:ascii="宋体"/>
                <w:sz w:val="18"/>
              </w:rPr>
              <w:t>2018/11/21</w:t>
            </w:r>
          </w:p>
        </w:tc>
      </w:tr>
      <w:tr>
        <w:trPr>
          <w:trHeight w:val="491"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2018-135</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B87</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67</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sz w:val="18"/>
              </w:rPr>
              <w:t>2018/11/27</w:t>
            </w:r>
          </w:p>
        </w:tc>
      </w:tr>
    </w:tbl>
    <w:p>
      <w:pPr>
        <w:spacing w:after="0" w:line="240" w:lineRule="auto"/>
        <w:jc w:val="center"/>
        <w:rPr>
          <w:rFonts w:ascii="宋体" w:hAnsi="宋体" w:cs="宋体" w:eastAsia="宋体" w:hint="default"/>
          <w:sz w:val="18"/>
          <w:szCs w:val="18"/>
        </w:rPr>
        <w:sectPr>
          <w:pgSz w:w="11910" w:h="16840"/>
          <w:pgMar w:header="877" w:footer="979" w:top="1100" w:bottom="1160" w:left="92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1012"/>
        <w:gridCol w:w="4787"/>
        <w:gridCol w:w="2903"/>
        <w:gridCol w:w="1153"/>
      </w:tblGrid>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9"/>
              <w:jc w:val="right"/>
              <w:rPr>
                <w:rFonts w:ascii="宋体" w:hAnsi="宋体" w:cs="宋体" w:eastAsia="宋体" w:hint="default"/>
                <w:sz w:val="18"/>
                <w:szCs w:val="18"/>
              </w:rPr>
            </w:pPr>
            <w:r>
              <w:rPr>
                <w:rFonts w:ascii="宋体" w:hAnsi="宋体" w:cs="宋体" w:eastAsia="宋体" w:hint="default"/>
                <w:b/>
                <w:bCs/>
                <w:w w:val="95"/>
                <w:sz w:val="18"/>
                <w:szCs w:val="18"/>
              </w:rPr>
              <w:t>公告编号</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b/>
                <w:bCs/>
                <w:sz w:val="18"/>
                <w:szCs w:val="18"/>
              </w:rPr>
              <w:t>事项</w:t>
            </w:r>
            <w:r>
              <w:rPr>
                <w:rFonts w:ascii="宋体" w:hAnsi="宋体" w:cs="宋体" w:eastAsia="宋体" w:hint="default"/>
                <w:sz w:val="18"/>
                <w:szCs w:val="18"/>
              </w:rPr>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b/>
                <w:bCs/>
                <w:sz w:val="18"/>
                <w:szCs w:val="18"/>
              </w:rPr>
              <w:t>刊登的报刊名称及版面</w:t>
            </w:r>
            <w:r>
              <w:rPr>
                <w:rFonts w:ascii="宋体" w:hAnsi="宋体" w:cs="宋体" w:eastAsia="宋体" w:hint="default"/>
                <w:sz w:val="18"/>
                <w:szCs w:val="18"/>
              </w:rPr>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b/>
                <w:bCs/>
                <w:sz w:val="18"/>
                <w:szCs w:val="18"/>
              </w:rPr>
              <w:t>刊载日期</w:t>
            </w:r>
            <w:r>
              <w:rPr>
                <w:rFonts w:ascii="宋体" w:hAnsi="宋体" w:cs="宋体" w:eastAsia="宋体" w:hint="default"/>
                <w:sz w:val="18"/>
                <w:szCs w:val="18"/>
              </w:rPr>
            </w:r>
          </w:p>
        </w:tc>
      </w:tr>
      <w:tr>
        <w:trPr>
          <w:trHeight w:val="491"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2018-136</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B52</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64</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sz w:val="18"/>
              </w:rPr>
              <w:t>2018/12/1</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2018-137</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B1</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23</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sz w:val="18"/>
              </w:rPr>
              <w:t>2018/12/10</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2018-138</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第九届董事会第八次会议决议公告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B105</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73</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sz w:val="18"/>
              </w:rPr>
              <w:t>2018/12/12</w:t>
            </w:r>
          </w:p>
        </w:tc>
      </w:tr>
      <w:tr>
        <w:trPr>
          <w:trHeight w:val="641"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41"/>
              <w:jc w:val="right"/>
              <w:rPr>
                <w:rFonts w:ascii="宋体" w:hAnsi="宋体" w:cs="宋体" w:eastAsia="宋体" w:hint="default"/>
                <w:sz w:val="18"/>
                <w:szCs w:val="18"/>
              </w:rPr>
            </w:pPr>
            <w:r>
              <w:rPr>
                <w:rFonts w:ascii="宋体"/>
                <w:sz w:val="18"/>
              </w:rPr>
              <w:t>2018-139</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7"/>
              <w:ind w:left="101" w:right="173"/>
              <w:jc w:val="left"/>
              <w:rPr>
                <w:rFonts w:ascii="宋体" w:hAnsi="宋体" w:cs="宋体" w:eastAsia="宋体" w:hint="default"/>
                <w:sz w:val="18"/>
                <w:szCs w:val="18"/>
              </w:rPr>
            </w:pPr>
            <w:r>
              <w:rPr>
                <w:rFonts w:ascii="宋体" w:hAnsi="宋体" w:cs="宋体" w:eastAsia="宋体" w:hint="default"/>
                <w:sz w:val="18"/>
                <w:szCs w:val="18"/>
              </w:rPr>
              <w:t>关于为北京神州数码置业发展有限公司提供财务资助暨关 联交易的公告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B105</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73</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2018/12/12</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2018-140</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关于购买北京神州数码云计算有限公司暨关联交易的公告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B105</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73</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sz w:val="18"/>
              </w:rPr>
              <w:t>2018/12/12</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2018-141</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关于为子公司提供担保的公告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B105</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73</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sz w:val="18"/>
              </w:rPr>
              <w:t>2018/12/12</w:t>
            </w:r>
          </w:p>
        </w:tc>
      </w:tr>
      <w:tr>
        <w:trPr>
          <w:trHeight w:val="491"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2018-142</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关于在子公司间调整担保额度的公告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B105</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73</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sz w:val="18"/>
              </w:rPr>
              <w:t>2018/12/12</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2018-143</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年第五次临时股东大会的通知</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B105</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73</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sz w:val="18"/>
              </w:rPr>
              <w:t>2018/12/12</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2018-144</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第九届监事会第八次会议决议公告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B105</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73</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sz w:val="18"/>
              </w:rPr>
              <w:t>2018/12/12</w:t>
            </w:r>
          </w:p>
        </w:tc>
      </w:tr>
      <w:tr>
        <w:trPr>
          <w:trHeight w:val="491"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2018-145</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B53</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63</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sz w:val="18"/>
              </w:rPr>
              <w:t>2018/12/15</w:t>
            </w:r>
          </w:p>
        </w:tc>
      </w:tr>
      <w:tr>
        <w:trPr>
          <w:trHeight w:val="685"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41"/>
              <w:jc w:val="right"/>
              <w:rPr>
                <w:rFonts w:ascii="宋体" w:hAnsi="宋体" w:cs="宋体" w:eastAsia="宋体" w:hint="default"/>
                <w:sz w:val="18"/>
                <w:szCs w:val="18"/>
              </w:rPr>
            </w:pPr>
            <w:r>
              <w:rPr>
                <w:rFonts w:ascii="宋体"/>
                <w:sz w:val="18"/>
              </w:rPr>
              <w:t>2018-146</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99"/>
              <w:ind w:left="101" w:right="173"/>
              <w:jc w:val="left"/>
              <w:rPr>
                <w:rFonts w:ascii="宋体" w:hAnsi="宋体" w:cs="宋体" w:eastAsia="宋体" w:hint="default"/>
                <w:sz w:val="18"/>
                <w:szCs w:val="18"/>
              </w:rPr>
            </w:pPr>
            <w:r>
              <w:rPr>
                <w:rFonts w:ascii="宋体" w:hAnsi="宋体" w:cs="宋体" w:eastAsia="宋体" w:hint="default"/>
                <w:sz w:val="18"/>
                <w:szCs w:val="18"/>
              </w:rPr>
              <w:t>关于为北京神州数码置业发展有限公司提供财务资助暨关 联交易的补充公告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B38</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84</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sz w:val="18"/>
              </w:rPr>
              <w:t>2018/12/18</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2018-147</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第九届董事会第九次会议决议公告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B38</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84</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sz w:val="18"/>
              </w:rPr>
              <w:t>2018/12/18</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2018-148</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关于以集中竞价交易方式回购公司股份预案的公告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B38</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84</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sz w:val="18"/>
              </w:rPr>
              <w:t>2018/12/18</w:t>
            </w:r>
          </w:p>
        </w:tc>
      </w:tr>
      <w:tr>
        <w:trPr>
          <w:trHeight w:val="641"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41"/>
              <w:jc w:val="right"/>
              <w:rPr>
                <w:rFonts w:ascii="宋体" w:hAnsi="宋体" w:cs="宋体" w:eastAsia="宋体" w:hint="default"/>
                <w:sz w:val="18"/>
                <w:szCs w:val="18"/>
              </w:rPr>
            </w:pPr>
            <w:r>
              <w:rPr>
                <w:rFonts w:ascii="宋体"/>
                <w:sz w:val="18"/>
              </w:rPr>
              <w:t>2018-149</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102"/>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67"/>
                <w:sz w:val="18"/>
                <w:szCs w:val="18"/>
              </w:rPr>
              <w:t> </w:t>
            </w:r>
            <w:r>
              <w:rPr>
                <w:rFonts w:ascii="宋体" w:hAnsi="宋体" w:cs="宋体" w:eastAsia="宋体" w:hint="default"/>
                <w:sz w:val="18"/>
                <w:szCs w:val="18"/>
              </w:rPr>
              <w:t>2018</w:t>
            </w:r>
            <w:r>
              <w:rPr>
                <w:rFonts w:ascii="宋体" w:hAnsi="宋体" w:cs="宋体" w:eastAsia="宋体" w:hint="default"/>
                <w:spacing w:val="-67"/>
                <w:sz w:val="18"/>
                <w:szCs w:val="18"/>
              </w:rPr>
              <w:t> </w:t>
            </w:r>
            <w:r>
              <w:rPr>
                <w:rFonts w:ascii="宋体" w:hAnsi="宋体" w:cs="宋体" w:eastAsia="宋体" w:hint="default"/>
                <w:sz w:val="18"/>
                <w:szCs w:val="18"/>
              </w:rPr>
              <w:t>年第五次临时股东大会增加临时提案暨召开</w:t>
            </w:r>
            <w:r>
              <w:rPr>
                <w:rFonts w:ascii="宋体" w:hAnsi="宋体" w:cs="宋体" w:eastAsia="宋体" w:hint="default"/>
                <w:spacing w:val="-67"/>
                <w:sz w:val="18"/>
                <w:szCs w:val="18"/>
              </w:rPr>
              <w:t> </w:t>
            </w:r>
            <w:r>
              <w:rPr>
                <w:rFonts w:ascii="宋体" w:hAnsi="宋体" w:cs="宋体" w:eastAsia="宋体" w:hint="default"/>
                <w:sz w:val="18"/>
                <w:szCs w:val="18"/>
              </w:rPr>
              <w:t>2018 </w:t>
            </w:r>
            <w:r>
              <w:rPr>
                <w:rFonts w:ascii="宋体" w:hAnsi="宋体" w:cs="宋体" w:eastAsia="宋体" w:hint="default"/>
                <w:sz w:val="18"/>
                <w:szCs w:val="18"/>
              </w:rPr>
              <w:t>年第五次临时股东大会补充通知的公告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B38</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84</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2018/12/18</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2018-150</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关于公司第二大股东拟非公开发行可交换公司债券的公告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B19</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104</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sz w:val="18"/>
              </w:rPr>
              <w:t>2018/12/20</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2018-151</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关于回购股份事项前十名无限售条件股东持股信息的公告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B120</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132</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sz w:val="18"/>
              </w:rPr>
              <w:t>2018/12/21</w:t>
            </w:r>
          </w:p>
        </w:tc>
      </w:tr>
      <w:tr>
        <w:trPr>
          <w:trHeight w:val="491"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2018-152</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年第五次临时股东大会的提示性公告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B83</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67</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sz w:val="18"/>
              </w:rPr>
              <w:t>2018/12/26</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2018-153</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关于回购股份事项前十名无限售条件股东持股信息的公告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B89</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111</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sz w:val="18"/>
              </w:rPr>
              <w:t>2018/12/27</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2018-154</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关于公司股东部分股份解除质押及新增质押的公告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B147</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82</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sz w:val="18"/>
              </w:rPr>
              <w:t>2018/12/28</w:t>
            </w:r>
          </w:p>
        </w:tc>
      </w:tr>
      <w:tr>
        <w:trPr>
          <w:trHeight w:val="491"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2018-155</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B147</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82</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sz w:val="18"/>
              </w:rPr>
              <w:t>2018/12/28</w:t>
            </w:r>
          </w:p>
        </w:tc>
      </w:tr>
      <w:tr>
        <w:trPr>
          <w:trHeight w:val="4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2018-156</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关于以集中竞价交易方式回购股份的债权人通知的公告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B179</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129</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sz w:val="18"/>
              </w:rPr>
              <w:t>2018/12/29</w:t>
            </w:r>
          </w:p>
        </w:tc>
      </w:tr>
      <w:tr>
        <w:trPr>
          <w:trHeight w:val="491"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1"/>
              <w:jc w:val="right"/>
              <w:rPr>
                <w:rFonts w:ascii="宋体" w:hAnsi="宋体" w:cs="宋体" w:eastAsia="宋体" w:hint="default"/>
                <w:sz w:val="18"/>
                <w:szCs w:val="18"/>
              </w:rPr>
            </w:pPr>
            <w:r>
              <w:rPr>
                <w:rFonts w:ascii="宋体"/>
                <w:sz w:val="18"/>
              </w:rPr>
              <w:t>2018-157</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年第五次临时股东大会决议公告</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B179</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129</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sz w:val="18"/>
              </w:rPr>
              <w:t>2018/12/29</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8"/>
          <w:szCs w:val="18"/>
        </w:rPr>
      </w:pPr>
    </w:p>
    <w:p>
      <w:pPr>
        <w:pStyle w:val="Heading2"/>
        <w:spacing w:line="240" w:lineRule="auto" w:before="26"/>
        <w:ind w:left="214" w:right="1360"/>
        <w:jc w:val="left"/>
        <w:rPr>
          <w:b w:val="0"/>
          <w:bCs w:val="0"/>
        </w:rPr>
      </w:pPr>
      <w:bookmarkStart w:name="二十、公司子公司重大事项" w:id="103"/>
      <w:bookmarkEnd w:id="103"/>
      <w:r>
        <w:rPr>
          <w:b w:val="0"/>
          <w:bCs w:val="0"/>
        </w:rPr>
      </w:r>
      <w:r>
        <w:rPr/>
        <w:t>二十、公司子公司重大事项</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214" w:right="1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2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0"/>
        <w:jc w:val="left"/>
        <w:rPr>
          <w:b w:val="0"/>
          <w:bCs w:val="0"/>
        </w:rPr>
      </w:pPr>
      <w:bookmarkStart w:name="第六节 股份变动及股东情况" w:id="104"/>
      <w:bookmarkEnd w:id="104"/>
      <w:r>
        <w:rPr>
          <w:b w:val="0"/>
          <w:bCs w:val="0"/>
        </w:rPr>
      </w:r>
      <w:bookmarkStart w:name="_bookmark4" w:id="105"/>
      <w:bookmarkEnd w:id="105"/>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Heading2"/>
        <w:spacing w:line="240" w:lineRule="auto" w:before="26"/>
        <w:ind w:right="0"/>
        <w:jc w:val="left"/>
        <w:rPr>
          <w:b w:val="0"/>
          <w:bCs w:val="0"/>
        </w:rPr>
      </w:pPr>
      <w:bookmarkStart w:name="一、股份变动情况" w:id="106"/>
      <w:bookmarkEnd w:id="106"/>
      <w:r>
        <w:rPr>
          <w:b w:val="0"/>
          <w:bCs w:val="0"/>
        </w:rPr>
      </w:r>
      <w:r>
        <w:rPr/>
        <w:t>一、股份变动情况</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right="0"/>
        <w:jc w:val="left"/>
        <w:rPr>
          <w:b w:val="0"/>
          <w:bCs w:val="0"/>
        </w:rPr>
      </w:pPr>
      <w:bookmarkStart w:name="1、股份变动情况" w:id="107"/>
      <w:bookmarkEnd w:id="107"/>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单位：股</w:t>
      </w:r>
    </w:p>
    <w:p>
      <w:pPr>
        <w:spacing w:line="240" w:lineRule="auto" w:before="3"/>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2197"/>
        <w:gridCol w:w="967"/>
        <w:gridCol w:w="800"/>
        <w:gridCol w:w="799"/>
        <w:gridCol w:w="797"/>
        <w:gridCol w:w="798"/>
        <w:gridCol w:w="798"/>
        <w:gridCol w:w="800"/>
        <w:gridCol w:w="956"/>
        <w:gridCol w:w="770"/>
      </w:tblGrid>
      <w:tr>
        <w:trPr>
          <w:trHeight w:val="324" w:hRule="exact"/>
        </w:trPr>
        <w:tc>
          <w:tcPr>
            <w:tcW w:w="21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7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4"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0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07"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21" w:hRule="exact"/>
        </w:trPr>
        <w:tc>
          <w:tcPr>
            <w:tcW w:w="2197" w:type="dxa"/>
            <w:vMerge w:val="restart"/>
            <w:tcBorders>
              <w:top w:val="nil" w:sz="6" w:space="0" w:color="auto"/>
              <w:left w:val="single" w:sz="4" w:space="0" w:color="000000"/>
              <w:right w:val="single" w:sz="4" w:space="0" w:color="000000"/>
            </w:tcBorders>
            <w:shd w:val="clear" w:color="auto" w:fill="D2D2D2"/>
          </w:tcPr>
          <w:p>
            <w:pPr/>
          </w:p>
        </w:tc>
        <w:tc>
          <w:tcPr>
            <w:tcW w:w="96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left="303" w:right="32"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77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39" w:hRule="exact"/>
        </w:trPr>
        <w:tc>
          <w:tcPr>
            <w:tcW w:w="2197" w:type="dxa"/>
            <w:vMerge/>
            <w:tcBorders>
              <w:left w:val="single" w:sz="4" w:space="0" w:color="000000"/>
              <w:bottom w:val="nil" w:sz="6" w:space="0" w:color="auto"/>
              <w:right w:val="single" w:sz="4" w:space="0" w:color="000000"/>
            </w:tcBorders>
            <w:shd w:val="clear" w:color="auto" w:fill="D2D2D2"/>
          </w:tcPr>
          <w:p>
            <w:pPr/>
          </w:p>
        </w:tc>
        <w:tc>
          <w:tcPr>
            <w:tcW w:w="9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1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13"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1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9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7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0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38" w:hRule="exact"/>
        </w:trPr>
        <w:tc>
          <w:tcPr>
            <w:tcW w:w="2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967"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956" w:type="dxa"/>
            <w:vMerge/>
            <w:tcBorders>
              <w:left w:val="single" w:sz="4" w:space="0" w:color="000000"/>
              <w:bottom w:val="single" w:sz="4" w:space="0" w:color="000000"/>
              <w:right w:val="single" w:sz="4" w:space="0" w:color="000000"/>
            </w:tcBorders>
            <w:shd w:val="clear" w:color="auto" w:fill="D2D2D2"/>
          </w:tcPr>
          <w:p>
            <w:pPr/>
          </w:p>
        </w:tc>
        <w:tc>
          <w:tcPr>
            <w:tcW w:w="770" w:type="dxa"/>
            <w:vMerge/>
            <w:tcBorders>
              <w:left w:val="single" w:sz="4" w:space="0" w:color="000000"/>
              <w:bottom w:val="single" w:sz="4" w:space="0" w:color="000000"/>
              <w:right w:val="single" w:sz="4" w:space="0" w:color="000000"/>
            </w:tcBorders>
            <w:shd w:val="clear" w:color="auto" w:fill="D2D2D2"/>
          </w:tcPr>
          <w:p>
            <w:pPr/>
          </w:p>
        </w:tc>
      </w:tr>
      <w:tr>
        <w:trPr>
          <w:trHeight w:val="382" w:hRule="exact"/>
        </w:trPr>
        <w:tc>
          <w:tcPr>
            <w:tcW w:w="2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67" w:type="dxa"/>
            <w:tcBorders>
              <w:top w:val="single" w:sz="47" w:space="0" w:color="D2D2D2"/>
              <w:left w:val="single" w:sz="13" w:space="0" w:color="D2D2D2"/>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z w:val="18"/>
              </w:rPr>
              <w:t>296,100,501</w:t>
            </w:r>
          </w:p>
        </w:tc>
        <w:tc>
          <w:tcPr>
            <w:tcW w:w="800" w:type="dxa"/>
            <w:tcBorders>
              <w:top w:val="single" w:sz="47" w:space="0" w:color="D2D2D2"/>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z w:val="18"/>
              </w:rPr>
              <w:t>45.27%</w:t>
            </w:r>
          </w:p>
        </w:tc>
        <w:tc>
          <w:tcPr>
            <w:tcW w:w="799" w:type="dxa"/>
            <w:tcBorders>
              <w:top w:val="single" w:sz="47" w:space="0" w:color="D2D2D2"/>
              <w:left w:val="single" w:sz="4" w:space="0" w:color="000000"/>
              <w:bottom w:val="single" w:sz="4" w:space="0" w:color="000000"/>
              <w:right w:val="single" w:sz="4" w:space="0" w:color="000000"/>
            </w:tcBorders>
          </w:tcPr>
          <w:p>
            <w:pPr>
              <w:pStyle w:val="TableParagraph"/>
              <w:spacing w:line="240" w:lineRule="auto" w:before="54"/>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7" w:space="0" w:color="D2D2D2"/>
              <w:left w:val="single" w:sz="4" w:space="0" w:color="000000"/>
              <w:bottom w:val="single" w:sz="4" w:space="0" w:color="000000"/>
              <w:right w:val="single" w:sz="9" w:space="0" w:color="D2D2D2"/>
            </w:tcBorders>
          </w:tcPr>
          <w:p>
            <w:pPr>
              <w:pStyle w:val="TableParagraph"/>
              <w:spacing w:line="240" w:lineRule="auto" w:before="54"/>
              <w:ind w:right="14"/>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108"/>
              <w:ind w:right="1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7" w:space="0" w:color="D2D2D2"/>
              <w:left w:val="single" w:sz="13" w:space="0" w:color="D2D2D2"/>
              <w:bottom w:val="single" w:sz="4" w:space="0" w:color="000000"/>
              <w:right w:val="single" w:sz="4" w:space="0" w:color="000000"/>
            </w:tcBorders>
          </w:tcPr>
          <w:p>
            <w:pPr>
              <w:pStyle w:val="TableParagraph"/>
              <w:spacing w:line="240" w:lineRule="auto" w:before="54"/>
              <w:ind w:right="23"/>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7" w:space="0" w:color="D2D2D2"/>
              <w:left w:val="single" w:sz="4" w:space="0" w:color="000000"/>
              <w:bottom w:val="single" w:sz="4" w:space="0" w:color="000000"/>
              <w:right w:val="single" w:sz="4" w:space="0" w:color="000000"/>
            </w:tcBorders>
          </w:tcPr>
          <w:p>
            <w:pPr>
              <w:pStyle w:val="TableParagraph"/>
              <w:spacing w:line="240" w:lineRule="auto" w:before="54"/>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7" w:space="0" w:color="D2D2D2"/>
              <w:left w:val="single" w:sz="4" w:space="0" w:color="000000"/>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z w:val="18"/>
              </w:rPr>
              <w:t>296,100,501</w:t>
            </w:r>
          </w:p>
        </w:tc>
        <w:tc>
          <w:tcPr>
            <w:tcW w:w="770" w:type="dxa"/>
            <w:tcBorders>
              <w:top w:val="single" w:sz="47" w:space="0" w:color="D2D2D2"/>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z w:val="18"/>
              </w:rPr>
              <w:t>45.27%</w:t>
            </w:r>
          </w:p>
        </w:tc>
      </w:tr>
      <w:tr>
        <w:trPr>
          <w:trHeight w:val="324" w:hRule="exact"/>
        </w:trPr>
        <w:tc>
          <w:tcPr>
            <w:tcW w:w="2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0.00%</w:t>
            </w:r>
          </w:p>
        </w:tc>
      </w:tr>
      <w:tr>
        <w:trPr>
          <w:trHeight w:val="323" w:hRule="exact"/>
        </w:trPr>
        <w:tc>
          <w:tcPr>
            <w:tcW w:w="2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0.00%</w:t>
            </w:r>
          </w:p>
        </w:tc>
      </w:tr>
      <w:tr>
        <w:trPr>
          <w:trHeight w:val="324" w:hRule="exact"/>
        </w:trPr>
        <w:tc>
          <w:tcPr>
            <w:tcW w:w="2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296,100,501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45.27%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296,100,501</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45.27%</w:t>
            </w:r>
          </w:p>
        </w:tc>
      </w:tr>
      <w:tr>
        <w:trPr>
          <w:trHeight w:val="323" w:hRule="exact"/>
        </w:trPr>
        <w:tc>
          <w:tcPr>
            <w:tcW w:w="2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29,609,700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4.53%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29,609,700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4.53%</w:t>
            </w:r>
          </w:p>
        </w:tc>
      </w:tr>
      <w:tr>
        <w:trPr>
          <w:trHeight w:val="324" w:hRule="exact"/>
        </w:trPr>
        <w:tc>
          <w:tcPr>
            <w:tcW w:w="2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373"/>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266,490,801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40.74%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266,490,801</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40.74%</w:t>
            </w:r>
          </w:p>
        </w:tc>
      </w:tr>
      <w:tr>
        <w:trPr>
          <w:trHeight w:val="323" w:hRule="exact"/>
        </w:trPr>
        <w:tc>
          <w:tcPr>
            <w:tcW w:w="2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0.00%</w:t>
            </w:r>
          </w:p>
        </w:tc>
      </w:tr>
      <w:tr>
        <w:trPr>
          <w:trHeight w:val="324" w:hRule="exact"/>
        </w:trPr>
        <w:tc>
          <w:tcPr>
            <w:tcW w:w="2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0.00%</w:t>
            </w:r>
          </w:p>
        </w:tc>
      </w:tr>
      <w:tr>
        <w:trPr>
          <w:trHeight w:val="323" w:hRule="exact"/>
        </w:trPr>
        <w:tc>
          <w:tcPr>
            <w:tcW w:w="2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373"/>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0.00%</w:t>
            </w:r>
          </w:p>
        </w:tc>
      </w:tr>
      <w:tr>
        <w:trPr>
          <w:trHeight w:val="324" w:hRule="exact"/>
        </w:trPr>
        <w:tc>
          <w:tcPr>
            <w:tcW w:w="2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357,969,933</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54.73%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357,969,933</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54.73%</w:t>
            </w:r>
          </w:p>
        </w:tc>
      </w:tr>
      <w:tr>
        <w:trPr>
          <w:trHeight w:val="323" w:hRule="exact"/>
        </w:trPr>
        <w:tc>
          <w:tcPr>
            <w:tcW w:w="2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357,969,933</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54.73%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357,969,933</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54.73%</w:t>
            </w:r>
          </w:p>
        </w:tc>
      </w:tr>
      <w:tr>
        <w:trPr>
          <w:trHeight w:val="324" w:hRule="exact"/>
        </w:trPr>
        <w:tc>
          <w:tcPr>
            <w:tcW w:w="2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0.00%</w:t>
            </w:r>
          </w:p>
        </w:tc>
      </w:tr>
      <w:tr>
        <w:trPr>
          <w:trHeight w:val="323" w:hRule="exact"/>
        </w:trPr>
        <w:tc>
          <w:tcPr>
            <w:tcW w:w="2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0.00%</w:t>
            </w:r>
          </w:p>
        </w:tc>
      </w:tr>
      <w:tr>
        <w:trPr>
          <w:trHeight w:val="324" w:hRule="exact"/>
        </w:trPr>
        <w:tc>
          <w:tcPr>
            <w:tcW w:w="2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0.00%</w:t>
            </w:r>
          </w:p>
        </w:tc>
      </w:tr>
      <w:tr>
        <w:trPr>
          <w:trHeight w:val="324" w:hRule="exact"/>
        </w:trPr>
        <w:tc>
          <w:tcPr>
            <w:tcW w:w="2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654,070,434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654,070,434</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10"/>
        <w:ind w:right="0"/>
        <w:jc w:val="left"/>
      </w:pPr>
      <w:r>
        <w:rPr/>
        <w:t>股份变动的原因</w:t>
      </w:r>
    </w:p>
    <w:p>
      <w:pPr>
        <w:pStyle w:val="BodyText"/>
        <w:spacing w:line="264" w:lineRule="auto" w:before="37"/>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股份变动的批准情况</w:t>
      </w:r>
    </w:p>
    <w:p>
      <w:pPr>
        <w:pStyle w:val="BodyText"/>
        <w:spacing w:line="264" w:lineRule="auto" w:before="20"/>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股份变动的过户情况</w:t>
      </w:r>
    </w:p>
    <w:p>
      <w:pPr>
        <w:pStyle w:val="BodyText"/>
        <w:spacing w:line="261" w:lineRule="auto" w:before="20"/>
        <w:ind w:right="87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股份回购的实施进展情况</w:t>
      </w:r>
    </w:p>
    <w:p>
      <w:pPr>
        <w:pStyle w:val="BodyText"/>
        <w:spacing w:line="240" w:lineRule="auto" w:before="2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61" w:lineRule="auto" w:before="24"/>
        <w:ind w:right="1131" w:firstLine="36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14</w:t>
      </w:r>
      <w:r>
        <w:rPr>
          <w:spacing w:val="-2"/>
        </w:rPr>
        <w:t>日公司第九届董事会第九次会议和</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28</w:t>
      </w:r>
      <w:r>
        <w:rPr>
          <w:spacing w:val="-2"/>
        </w:rPr>
        <w:t>日公司</w:t>
      </w:r>
      <w:r>
        <w:rPr>
          <w:rFonts w:ascii="Times New Roman" w:hAnsi="Times New Roman" w:cs="Times New Roman" w:eastAsia="Times New Roman" w:hint="default"/>
          <w:spacing w:val="-2"/>
        </w:rPr>
        <w:t>2018</w:t>
      </w:r>
      <w:r>
        <w:rPr>
          <w:spacing w:val="-2"/>
        </w:rPr>
        <w:t>年第五次临时股东大会审议通过了《神州数码</w:t>
      </w:r>
      <w:r>
        <w:rPr/>
        <w:t> </w:t>
      </w:r>
      <w:r>
        <w:rPr>
          <w:spacing w:val="-2"/>
        </w:rPr>
        <w:t>集团股份有限公司以集中竞价交易方式回购公司股份的预案》等相关事项。股份回购的实施期限自公司股东大会审议通过本</w:t>
      </w:r>
      <w:r>
        <w:rPr>
          <w:spacing w:val="-64"/>
        </w:rPr>
        <w:t> </w:t>
      </w:r>
      <w:r>
        <w:rPr>
          <w:spacing w:val="-64"/>
        </w:rPr>
      </w:r>
      <w:r>
        <w:rPr/>
        <w:t>次回购股份预案之日起</w:t>
      </w:r>
      <w:r>
        <w:rPr>
          <w:rFonts w:ascii="Times New Roman" w:hAnsi="Times New Roman" w:cs="Times New Roman" w:eastAsia="Times New Roman" w:hint="default"/>
        </w:rPr>
        <w:t>6</w:t>
      </w:r>
      <w:r>
        <w:rPr/>
        <w:t>个月内，公司使用自有资金通过深圳证券交易所股票交易系统以集中竞价交易方式回购公司发行的</w:t>
      </w:r>
      <w:r>
        <w:rPr>
          <w:spacing w:val="-83"/>
        </w:rPr>
        <w:t> </w:t>
      </w:r>
      <w:r>
        <w:rPr>
          <w:spacing w:val="-83"/>
        </w:rPr>
      </w:r>
      <w:r>
        <w:rPr/>
        <w:t>人民币普通股（</w:t>
      </w:r>
      <w:r>
        <w:rPr>
          <w:rFonts w:ascii="Times New Roman" w:hAnsi="Times New Roman" w:cs="Times New Roman" w:eastAsia="Times New Roman" w:hint="default"/>
        </w:rPr>
        <w:t>A</w:t>
      </w:r>
      <w:r>
        <w:rPr/>
        <w:t>股）股票，回购总金额不低于人民币</w:t>
      </w:r>
      <w:r>
        <w:rPr>
          <w:rFonts w:ascii="Times New Roman" w:hAnsi="Times New Roman" w:cs="Times New Roman" w:eastAsia="Times New Roman" w:hint="default"/>
        </w:rPr>
        <w:t>0.5</w:t>
      </w:r>
      <w:r>
        <w:rPr/>
        <w:t>亿元（含）且不超过人民币</w:t>
      </w:r>
      <w:r>
        <w:rPr>
          <w:rFonts w:ascii="Times New Roman" w:hAnsi="Times New Roman" w:cs="Times New Roman" w:eastAsia="Times New Roman" w:hint="default"/>
        </w:rPr>
        <w:t>1</w:t>
      </w:r>
      <w:r>
        <w:rPr/>
        <w:t>亿元（含），回购股份价格不超过人</w:t>
      </w:r>
      <w:r>
        <w:rPr>
          <w:spacing w:val="-83"/>
        </w:rPr>
        <w:t> </w:t>
      </w:r>
      <w:r>
        <w:rPr>
          <w:spacing w:val="-83"/>
        </w:rPr>
      </w:r>
      <w:r>
        <w:rPr/>
        <w:t>民币</w:t>
      </w:r>
      <w:r>
        <w:rPr>
          <w:rFonts w:ascii="Times New Roman" w:hAnsi="Times New Roman" w:cs="Times New Roman" w:eastAsia="Times New Roman" w:hint="default"/>
        </w:rPr>
        <w:t>18</w:t>
      </w:r>
      <w:r>
        <w:rPr/>
        <w:t>元</w:t>
      </w:r>
      <w:r>
        <w:rPr>
          <w:rFonts w:ascii="Times New Roman" w:hAnsi="Times New Roman" w:cs="Times New Roman" w:eastAsia="Times New Roman" w:hint="default"/>
        </w:rPr>
        <w:t>/</w:t>
      </w:r>
      <w:r>
        <w:rPr/>
        <w:t>股（含）。</w:t>
      </w:r>
    </w:p>
    <w:p>
      <w:pPr>
        <w:pStyle w:val="BodyText"/>
        <w:spacing w:line="259" w:lineRule="auto" w:before="42"/>
        <w:ind w:right="944" w:firstLine="285"/>
        <w:jc w:val="left"/>
      </w:pPr>
      <w:r>
        <w:rPr>
          <w:spacing w:val="-2"/>
        </w:rPr>
        <w:t>截至本报告披露日，公司通过回购专用证券账户以集中竞价交易方式累计回购股份数</w:t>
      </w:r>
      <w:r>
        <w:rPr>
          <w:rFonts w:ascii="Times New Roman" w:hAnsi="Times New Roman" w:cs="Times New Roman" w:eastAsia="Times New Roman" w:hint="default"/>
          <w:spacing w:val="-2"/>
        </w:rPr>
        <w:t>4,518,085</w:t>
      </w:r>
      <w:r>
        <w:rPr>
          <w:spacing w:val="-2"/>
        </w:rPr>
        <w:t>股，占公司总股本的</w:t>
      </w:r>
      <w:r>
        <w:rPr>
          <w:rFonts w:ascii="Times New Roman" w:hAnsi="Times New Roman" w:cs="Times New Roman" w:eastAsia="Times New Roman" w:hint="default"/>
          <w:spacing w:val="-2"/>
        </w:rPr>
        <w:t>0.69%</w:t>
      </w:r>
      <w:r>
        <w:rPr>
          <w:spacing w:val="-2"/>
        </w:rPr>
        <w:t>，</w:t>
      </w:r>
      <w:r>
        <w:rPr/>
        <w:t> 购买股份的最高成交价为</w:t>
      </w:r>
      <w:r>
        <w:rPr>
          <w:rFonts w:ascii="Times New Roman" w:hAnsi="Times New Roman" w:cs="Times New Roman" w:eastAsia="Times New Roman" w:hint="default"/>
        </w:rPr>
        <w:t>14.00</w:t>
      </w:r>
      <w:r>
        <w:rPr/>
        <w:t>元</w:t>
      </w:r>
      <w:r>
        <w:rPr>
          <w:rFonts w:ascii="Times New Roman" w:hAnsi="Times New Roman" w:cs="Times New Roman" w:eastAsia="Times New Roman" w:hint="default"/>
        </w:rPr>
        <w:t>/</w:t>
      </w:r>
      <w:r>
        <w:rPr/>
        <w:t>股，最低成交价为</w:t>
      </w:r>
      <w:r>
        <w:rPr>
          <w:rFonts w:ascii="Times New Roman" w:hAnsi="Times New Roman" w:cs="Times New Roman" w:eastAsia="Times New Roman" w:hint="default"/>
        </w:rPr>
        <w:t>10.47</w:t>
      </w:r>
      <w:r>
        <w:rPr/>
        <w:t>元</w:t>
      </w:r>
      <w:r>
        <w:rPr>
          <w:rFonts w:ascii="Times New Roman" w:hAnsi="Times New Roman" w:cs="Times New Roman" w:eastAsia="Times New Roman" w:hint="default"/>
        </w:rPr>
        <w:t>/</w:t>
      </w:r>
      <w:r>
        <w:rPr/>
        <w:t>股，成交总金额为</w:t>
      </w:r>
      <w:r>
        <w:rPr>
          <w:rFonts w:ascii="Times New Roman" w:hAnsi="Times New Roman" w:cs="Times New Roman" w:eastAsia="Times New Roman" w:hint="default"/>
        </w:rPr>
        <w:t>50,004,040.16</w:t>
      </w:r>
      <w:r>
        <w:rPr/>
        <w:t>元（不含交易费用），支付总金 额为</w:t>
      </w:r>
      <w:r>
        <w:rPr>
          <w:rFonts w:ascii="Times New Roman" w:hAnsi="Times New Roman" w:cs="Times New Roman" w:eastAsia="Times New Roman" w:hint="default"/>
        </w:rPr>
        <w:t>50,009,066.93</w:t>
      </w:r>
      <w:r>
        <w:rPr/>
        <w:t>元（含交易费用）。本次回购股份方案已实施完成。</w:t>
      </w:r>
    </w:p>
    <w:p>
      <w:pPr>
        <w:spacing w:line="240" w:lineRule="auto" w:before="1"/>
        <w:rPr>
          <w:rFonts w:ascii="宋体" w:hAnsi="宋体" w:cs="宋体" w:eastAsia="宋体" w:hint="default"/>
          <w:sz w:val="22"/>
          <w:szCs w:val="22"/>
        </w:rPr>
      </w:pPr>
    </w:p>
    <w:p>
      <w:pPr>
        <w:pStyle w:val="BodyText"/>
        <w:spacing w:line="240" w:lineRule="auto"/>
        <w:ind w:right="0"/>
        <w:jc w:val="left"/>
      </w:pPr>
      <w:r>
        <w:rPr/>
        <w:t>采用集中竞价方式减持回购股份的实施进展情况</w:t>
      </w:r>
    </w:p>
    <w:p>
      <w:pPr>
        <w:pStyle w:val="BodyText"/>
        <w:spacing w:line="264" w:lineRule="auto" w:before="38"/>
        <w:ind w:right="13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spacing w:after="0" w:line="264" w:lineRule="auto"/>
        <w:jc w:val="left"/>
        <w:sectPr>
          <w:pgSz w:w="11910" w:h="16840"/>
          <w:pgMar w:header="877" w:footer="979" w:top="1100" w:bottom="1160" w:left="980" w:right="0"/>
        </w:sectPr>
      </w:pPr>
    </w:p>
    <w:p>
      <w:pPr>
        <w:spacing w:line="240" w:lineRule="auto" w:before="10"/>
        <w:rPr>
          <w:rFonts w:ascii="宋体" w:hAnsi="宋体" w:cs="宋体" w:eastAsia="宋体" w:hint="default"/>
          <w:sz w:val="18"/>
          <w:szCs w:val="18"/>
        </w:rPr>
      </w:pPr>
    </w:p>
    <w:p>
      <w:pPr>
        <w:pStyle w:val="BodyText"/>
        <w:spacing w:line="264" w:lineRule="auto" w:before="44"/>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2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2、限售股份变动情况" w:id="108"/>
      <w:bookmarkEnd w:id="108"/>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24"/>
        <w:ind w:left="0" w:right="1130"/>
        <w:jc w:val="right"/>
      </w:pPr>
      <w:r>
        <w:rPr/>
        <w:t>单位：股</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479"/>
        <w:gridCol w:w="1349"/>
        <w:gridCol w:w="1349"/>
        <w:gridCol w:w="1349"/>
        <w:gridCol w:w="1349"/>
        <w:gridCol w:w="1350"/>
        <w:gridCol w:w="1345"/>
      </w:tblGrid>
      <w:tr>
        <w:trPr>
          <w:trHeight w:val="557"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37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28"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578" w:right="39"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578" w:right="3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28"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91"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154,777,803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154,777,803</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27"/>
              <w:ind w:left="23"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8"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154,777,803 </w:t>
            </w:r>
            <w:r>
              <w:rPr>
                <w:rFonts w:ascii="宋体" w:hAnsi="宋体" w:cs="宋体" w:eastAsia="宋体" w:hint="default"/>
                <w:sz w:val="18"/>
                <w:szCs w:val="18"/>
              </w:rPr>
              <w:t>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50"/>
              <w:jc w:val="left"/>
              <w:rPr>
                <w:rFonts w:ascii="宋体" w:hAnsi="宋体" w:cs="宋体" w:eastAsia="宋体" w:hint="default"/>
                <w:sz w:val="18"/>
                <w:szCs w:val="18"/>
              </w:rPr>
            </w:pPr>
            <w:r>
              <w:rPr>
                <w:rFonts w:ascii="宋体" w:hAnsi="宋体" w:cs="宋体" w:eastAsia="宋体" w:hint="default"/>
                <w:sz w:val="18"/>
                <w:szCs w:val="18"/>
              </w:rPr>
              <w:t>业绩承诺达成后 可解除限售 </w:t>
            </w:r>
            <w:r>
              <w:rPr>
                <w:rFonts w:ascii="Times New Roman" w:hAnsi="Times New Roman" w:cs="Times New Roman" w:eastAsia="Times New Roman" w:hint="default"/>
                <w:sz w:val="18"/>
                <w:szCs w:val="18"/>
              </w:rPr>
              <w:t>154,777,803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790"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王廷月</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26,917,900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26,917,900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25"/>
              <w:ind w:left="23"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8"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26,917,900 </w:t>
            </w:r>
            <w:r>
              <w:rPr>
                <w:rFonts w:ascii="宋体" w:hAnsi="宋体" w:cs="宋体" w:eastAsia="宋体" w:hint="default"/>
                <w:sz w:val="18"/>
                <w:szCs w:val="18"/>
              </w:rPr>
              <w:t>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7"/>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 已解除限售 </w:t>
            </w:r>
            <w:r>
              <w:rPr>
                <w:rFonts w:ascii="Times New Roman" w:hAnsi="Times New Roman" w:cs="Times New Roman" w:eastAsia="Times New Roman" w:hint="default"/>
                <w:sz w:val="18"/>
                <w:szCs w:val="18"/>
              </w:rPr>
              <w:t>26,917,900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557"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王晓岩</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64,603,000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64,603,000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9"/>
              <w:ind w:left="23"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8"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64,603,000 </w:t>
            </w:r>
            <w:r>
              <w:rPr>
                <w:rFonts w:ascii="宋体" w:hAnsi="宋体" w:cs="宋体" w:eastAsia="宋体" w:hint="default"/>
                <w:sz w:val="18"/>
                <w:szCs w:val="18"/>
              </w:rPr>
              <w:t>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50"/>
              <w:jc w:val="left"/>
              <w:rPr>
                <w:rFonts w:ascii="宋体" w:hAnsi="宋体" w:cs="宋体" w:eastAsia="宋体" w:hint="default"/>
                <w:sz w:val="18"/>
                <w:szCs w:val="18"/>
              </w:rPr>
            </w:pPr>
            <w:r>
              <w:rPr>
                <w:rFonts w:ascii="宋体" w:hAnsi="宋体" w:cs="宋体" w:eastAsia="宋体" w:hint="default"/>
                <w:sz w:val="18"/>
                <w:szCs w:val="18"/>
              </w:rPr>
              <w:t>持有人申请解除 时方可解除</w:t>
            </w:r>
          </w:p>
        </w:tc>
      </w:tr>
      <w:tr>
        <w:trPr>
          <w:trHeight w:val="791"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钱学宁</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13,459,000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13,459,000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27"/>
              <w:ind w:left="23"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8"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13,459,000 </w:t>
            </w:r>
            <w:r>
              <w:rPr>
                <w:rFonts w:ascii="宋体" w:hAnsi="宋体" w:cs="宋体" w:eastAsia="宋体" w:hint="default"/>
                <w:sz w:val="18"/>
                <w:szCs w:val="18"/>
              </w:rPr>
              <w:t>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9"/>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 已解除限售 </w:t>
            </w:r>
            <w:r>
              <w:rPr>
                <w:rFonts w:ascii="Times New Roman" w:hAnsi="Times New Roman" w:cs="Times New Roman" w:eastAsia="Times New Roman" w:hint="default"/>
                <w:sz w:val="18"/>
                <w:szCs w:val="18"/>
              </w:rPr>
              <w:t>13,459,000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102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25" w:lineRule="auto" w:before="22"/>
              <w:ind w:left="22" w:right="92"/>
              <w:jc w:val="both"/>
              <w:rPr>
                <w:rFonts w:ascii="宋体" w:hAnsi="宋体" w:cs="宋体" w:eastAsia="宋体" w:hint="default"/>
                <w:sz w:val="18"/>
                <w:szCs w:val="18"/>
              </w:rPr>
            </w:pPr>
            <w:r>
              <w:rPr>
                <w:rFonts w:ascii="宋体" w:hAnsi="宋体" w:cs="宋体" w:eastAsia="宋体" w:hint="default"/>
                <w:sz w:val="18"/>
                <w:szCs w:val="18"/>
              </w:rPr>
              <w:t>中信建投基金</w:t>
            </w:r>
            <w:r>
              <w:rPr>
                <w:rFonts w:ascii="Times New Roman" w:hAnsi="Times New Roman" w:cs="Times New Roman" w:eastAsia="Times New Roman" w:hint="default"/>
                <w:sz w:val="18"/>
                <w:szCs w:val="18"/>
              </w:rPr>
              <w:t>-</w:t>
            </w:r>
            <w:r>
              <w:rPr>
                <w:rFonts w:ascii="宋体" w:hAnsi="宋体" w:cs="宋体" w:eastAsia="宋体" w:hint="default"/>
                <w:sz w:val="18"/>
                <w:szCs w:val="18"/>
              </w:rPr>
              <w:t>中 信证券</w:t>
            </w:r>
            <w:r>
              <w:rPr>
                <w:rFonts w:ascii="Times New Roman" w:hAnsi="Times New Roman" w:cs="Times New Roman" w:eastAsia="Times New Roman" w:hint="default"/>
                <w:sz w:val="18"/>
                <w:szCs w:val="18"/>
              </w:rPr>
              <w:t>-</w:t>
            </w:r>
            <w:r>
              <w:rPr>
                <w:rFonts w:ascii="宋体" w:hAnsi="宋体" w:cs="宋体" w:eastAsia="宋体" w:hint="default"/>
                <w:sz w:val="18"/>
                <w:szCs w:val="18"/>
              </w:rPr>
              <w:t>中信建投 基金定增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w:t>
            </w:r>
            <w:r>
              <w:rPr>
                <w:rFonts w:ascii="宋体" w:hAnsi="宋体" w:cs="宋体" w:eastAsia="宋体" w:hint="default"/>
                <w:spacing w:val="1"/>
                <w:sz w:val="18"/>
                <w:szCs w:val="18"/>
              </w:rPr>
              <w:t> </w:t>
            </w:r>
            <w:r>
              <w:rPr>
                <w:rFonts w:ascii="宋体" w:hAnsi="宋体" w:cs="宋体" w:eastAsia="宋体" w:hint="default"/>
                <w:sz w:val="18"/>
                <w:szCs w:val="18"/>
              </w:rPr>
              <w:t>产管理计划</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29,609,700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29,609,700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8"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29,609,700 </w:t>
            </w:r>
            <w:r>
              <w:rPr>
                <w:rFonts w:ascii="宋体" w:hAnsi="宋体" w:cs="宋体" w:eastAsia="宋体" w:hint="default"/>
                <w:sz w:val="18"/>
                <w:szCs w:val="18"/>
              </w:rPr>
              <w:t>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50"/>
              <w:jc w:val="both"/>
              <w:rPr>
                <w:rFonts w:ascii="宋体" w:hAnsi="宋体" w:cs="宋体" w:eastAsia="宋体" w:hint="default"/>
                <w:sz w:val="18"/>
                <w:szCs w:val="18"/>
              </w:rPr>
            </w:pPr>
            <w:r>
              <w:rPr>
                <w:rFonts w:ascii="宋体" w:hAnsi="宋体" w:cs="宋体" w:eastAsia="宋体" w:hint="default"/>
                <w:sz w:val="18"/>
                <w:szCs w:val="18"/>
              </w:rPr>
              <w:t>标的资产核心管 理团队业绩承诺 达成后可解除限 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29,609,700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791"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张明</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6,729,500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6,729,500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27"/>
              <w:ind w:left="23"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8"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6,729,500 </w:t>
            </w:r>
            <w:r>
              <w:rPr>
                <w:rFonts w:ascii="宋体" w:hAnsi="宋体" w:cs="宋体" w:eastAsia="宋体" w:hint="default"/>
                <w:sz w:val="18"/>
                <w:szCs w:val="18"/>
              </w:rPr>
              <w:t>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 已解除限售 </w:t>
            </w:r>
            <w:r>
              <w:rPr>
                <w:rFonts w:ascii="Times New Roman" w:hAnsi="Times New Roman" w:cs="Times New Roman" w:eastAsia="Times New Roman" w:hint="default"/>
                <w:sz w:val="18"/>
                <w:szCs w:val="18"/>
              </w:rPr>
              <w:t>6,729,500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557"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3,598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3,598</w:t>
            </w:r>
          </w:p>
        </w:tc>
        <w:tc>
          <w:tcPr>
            <w:tcW w:w="1350"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9"/>
              <w:ind w:left="23" w:right="54"/>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45"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9"/>
              <w:ind w:left="22" w:right="50"/>
              <w:jc w:val="left"/>
              <w:rPr>
                <w:rFonts w:ascii="宋体" w:hAnsi="宋体" w:cs="宋体" w:eastAsia="宋体" w:hint="default"/>
                <w:sz w:val="18"/>
                <w:szCs w:val="18"/>
              </w:rPr>
            </w:pPr>
            <w:r>
              <w:rPr>
                <w:rFonts w:ascii="宋体" w:hAnsi="宋体" w:cs="宋体" w:eastAsia="宋体" w:hint="default"/>
                <w:sz w:val="18"/>
                <w:szCs w:val="18"/>
              </w:rPr>
              <w:t>持有人申请解除 时方可解除</w:t>
            </w:r>
          </w:p>
        </w:tc>
      </w:tr>
      <w:tr>
        <w:trPr>
          <w:trHeight w:val="323"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296,100,501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296,100,501</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2"/>
        <w:rPr>
          <w:rFonts w:ascii="宋体" w:hAnsi="宋体" w:cs="宋体" w:eastAsia="宋体" w:hint="default"/>
          <w:sz w:val="17"/>
          <w:szCs w:val="17"/>
        </w:rPr>
      </w:pPr>
    </w:p>
    <w:p>
      <w:pPr>
        <w:pStyle w:val="Heading2"/>
        <w:spacing w:line="240" w:lineRule="auto" w:before="26"/>
        <w:ind w:right="0"/>
        <w:jc w:val="left"/>
        <w:rPr>
          <w:b w:val="0"/>
          <w:bCs w:val="0"/>
        </w:rPr>
      </w:pPr>
      <w:bookmarkStart w:name="二、证券发行与上市情况" w:id="109"/>
      <w:bookmarkEnd w:id="109"/>
      <w:r>
        <w:rPr>
          <w:b w:val="0"/>
          <w:bCs w:val="0"/>
        </w:rPr>
      </w:r>
      <w:r>
        <w:rPr/>
        <w:t>二、证券发行与上市情况</w:t>
      </w:r>
      <w:r>
        <w:rPr>
          <w:b w:val="0"/>
          <w:bCs w:val="0"/>
        </w:rPr>
      </w:r>
    </w:p>
    <w:p>
      <w:pPr>
        <w:spacing w:line="240" w:lineRule="auto" w:before="2"/>
        <w:rPr>
          <w:rFonts w:ascii="宋体" w:hAnsi="宋体" w:cs="宋体" w:eastAsia="宋体" w:hint="default"/>
          <w:b/>
          <w:bCs/>
          <w:sz w:val="23"/>
          <w:szCs w:val="23"/>
        </w:rPr>
      </w:pPr>
    </w:p>
    <w:p>
      <w:pPr>
        <w:pStyle w:val="Heading3"/>
        <w:spacing w:line="240" w:lineRule="auto"/>
        <w:ind w:right="0"/>
        <w:jc w:val="left"/>
        <w:rPr>
          <w:b w:val="0"/>
          <w:bCs w:val="0"/>
        </w:rPr>
      </w:pPr>
      <w:bookmarkStart w:name="1、报告期内证券发行（不含优先股）情况" w:id="110"/>
      <w:bookmarkEnd w:id="110"/>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2、公司股份总数及股东结构的变动、公司资产和负债结构的变动情况说明" w:id="111"/>
      <w:bookmarkEnd w:id="111"/>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3、现存的内部职工股情况" w:id="112"/>
      <w:bookmarkEnd w:id="112"/>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Heading2"/>
        <w:spacing w:line="240" w:lineRule="auto" w:before="26"/>
        <w:ind w:right="0"/>
        <w:jc w:val="left"/>
        <w:rPr>
          <w:b w:val="0"/>
          <w:bCs w:val="0"/>
        </w:rPr>
      </w:pPr>
      <w:bookmarkStart w:name="三、股东和实际控制人情况" w:id="113"/>
      <w:bookmarkEnd w:id="113"/>
      <w:r>
        <w:rPr>
          <w:b w:val="0"/>
          <w:bCs w:val="0"/>
        </w:rPr>
      </w:r>
      <w:r>
        <w:rPr/>
        <w:t>三、股东和实际控制人情况</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right="0"/>
        <w:jc w:val="left"/>
        <w:rPr>
          <w:b w:val="0"/>
          <w:bCs w:val="0"/>
        </w:rPr>
      </w:pPr>
      <w:bookmarkStart w:name="1、公司股东数量及持股情况" w:id="114"/>
      <w:bookmarkEnd w:id="114"/>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单位：股</w:t>
      </w:r>
    </w:p>
    <w:p>
      <w:pPr>
        <w:spacing w:line="240" w:lineRule="auto" w:before="3"/>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1187"/>
        <w:gridCol w:w="240"/>
        <w:gridCol w:w="920"/>
        <w:gridCol w:w="449"/>
        <w:gridCol w:w="796"/>
        <w:gridCol w:w="929"/>
        <w:gridCol w:w="317"/>
        <w:gridCol w:w="421"/>
        <w:gridCol w:w="956"/>
        <w:gridCol w:w="213"/>
        <w:gridCol w:w="654"/>
        <w:gridCol w:w="428"/>
        <w:gridCol w:w="880"/>
        <w:gridCol w:w="385"/>
        <w:gridCol w:w="920"/>
      </w:tblGrid>
      <w:tr>
        <w:trPr>
          <w:trHeight w:val="239" w:hRule="exact"/>
        </w:trPr>
        <w:tc>
          <w:tcPr>
            <w:tcW w:w="1187" w:type="dxa"/>
            <w:vMerge w:val="restart"/>
            <w:tcBorders>
              <w:top w:val="single" w:sz="4" w:space="0" w:color="000000"/>
              <w:left w:val="single" w:sz="4" w:space="0" w:color="000000"/>
              <w:right w:val="single" w:sz="4" w:space="0" w:color="000000"/>
            </w:tcBorders>
            <w:shd w:val="clear" w:color="auto" w:fill="D2D2D2"/>
          </w:tcPr>
          <w:p>
            <w:pPr/>
          </w:p>
        </w:tc>
        <w:tc>
          <w:tcPr>
            <w:tcW w:w="1160" w:type="dxa"/>
            <w:gridSpan w:val="2"/>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21" w:right="0"/>
              <w:jc w:val="left"/>
              <w:rPr>
                <w:rFonts w:ascii="Times New Roman" w:hAnsi="Times New Roman" w:cs="Times New Roman" w:eastAsia="Times New Roman" w:hint="default"/>
                <w:sz w:val="18"/>
                <w:szCs w:val="18"/>
              </w:rPr>
            </w:pPr>
            <w:r>
              <w:rPr>
                <w:rFonts w:ascii="Times New Roman"/>
                <w:sz w:val="18"/>
              </w:rPr>
              <w:t>30,110</w:t>
            </w:r>
          </w:p>
        </w:tc>
        <w:tc>
          <w:tcPr>
            <w:tcW w:w="124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46" w:type="dxa"/>
            <w:gridSpan w:val="2"/>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706" w:right="0"/>
              <w:jc w:val="left"/>
              <w:rPr>
                <w:rFonts w:ascii="Times New Roman" w:hAnsi="Times New Roman" w:cs="Times New Roman" w:eastAsia="Times New Roman" w:hint="default"/>
                <w:sz w:val="18"/>
                <w:szCs w:val="18"/>
              </w:rPr>
            </w:pPr>
            <w:r>
              <w:rPr>
                <w:rFonts w:ascii="Times New Roman"/>
                <w:sz w:val="18"/>
              </w:rPr>
              <w:t>32,011</w:t>
            </w:r>
          </w:p>
        </w:tc>
        <w:tc>
          <w:tcPr>
            <w:tcW w:w="1591"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1082"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w:t>
            </w:r>
          </w:p>
        </w:tc>
        <w:tc>
          <w:tcPr>
            <w:tcW w:w="126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12"/>
              <w:ind w:left="11" w:right="71"/>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3"/>
                <w:sz w:val="18"/>
                <w:szCs w:val="18"/>
              </w:rPr>
              <w:t>数（如有）（参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920"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234" w:hRule="exact"/>
        </w:trPr>
        <w:tc>
          <w:tcPr>
            <w:tcW w:w="1187" w:type="dxa"/>
            <w:vMerge/>
            <w:tcBorders>
              <w:left w:val="single" w:sz="4" w:space="0" w:color="000000"/>
              <w:bottom w:val="nil" w:sz="6" w:space="0" w:color="auto"/>
              <w:right w:val="single" w:sz="4" w:space="0" w:color="000000"/>
            </w:tcBorders>
            <w:shd w:val="clear" w:color="auto" w:fill="D2D2D2"/>
          </w:tcPr>
          <w:p>
            <w:pPr/>
          </w:p>
        </w:tc>
        <w:tc>
          <w:tcPr>
            <w:tcW w:w="1160" w:type="dxa"/>
            <w:gridSpan w:val="2"/>
            <w:vMerge/>
            <w:tcBorders>
              <w:left w:val="single" w:sz="9" w:space="0" w:color="D2D2D2"/>
              <w:right w:val="single" w:sz="10" w:space="0" w:color="D2D2D2"/>
            </w:tcBorders>
          </w:tcPr>
          <w:p>
            <w:pPr/>
          </w:p>
        </w:tc>
        <w:tc>
          <w:tcPr>
            <w:tcW w:w="124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37" w:lineRule="auto" w:before="11"/>
              <w:ind w:left="11" w:right="141"/>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46" w:type="dxa"/>
            <w:gridSpan w:val="2"/>
            <w:vMerge/>
            <w:tcBorders>
              <w:left w:val="single" w:sz="9" w:space="0" w:color="D2D2D2"/>
              <w:right w:val="single" w:sz="10" w:space="0" w:color="D2D2D2"/>
            </w:tcBorders>
          </w:tcPr>
          <w:p>
            <w:pPr/>
          </w:p>
        </w:tc>
        <w:tc>
          <w:tcPr>
            <w:tcW w:w="1591"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37" w:lineRule="auto" w:before="11"/>
              <w:ind w:left="12" w:right="38"/>
              <w:jc w:val="left"/>
              <w:rPr>
                <w:rFonts w:ascii="宋体" w:hAnsi="宋体" w:cs="宋体" w:eastAsia="宋体" w:hint="default"/>
                <w:sz w:val="18"/>
                <w:szCs w:val="18"/>
              </w:rPr>
            </w:pPr>
            <w:r>
              <w:rPr>
                <w:rFonts w:ascii="宋体" w:hAnsi="宋体" w:cs="宋体" w:eastAsia="宋体" w:hint="default"/>
                <w:sz w:val="18"/>
                <w:szCs w:val="18"/>
              </w:rPr>
              <w:t>报告期末表决权恢 复的优先股股东总 </w:t>
            </w:r>
            <w:r>
              <w:rPr>
                <w:rFonts w:ascii="宋体" w:hAnsi="宋体" w:cs="宋体" w:eastAsia="宋体" w:hint="default"/>
                <w:spacing w:val="-10"/>
                <w:sz w:val="18"/>
                <w:szCs w:val="18"/>
              </w:rPr>
              <w:t>数（如有）（参见注</w:t>
            </w: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082" w:type="dxa"/>
            <w:gridSpan w:val="2"/>
            <w:vMerge/>
            <w:tcBorders>
              <w:left w:val="single" w:sz="9" w:space="0" w:color="D2D2D2"/>
              <w:right w:val="single" w:sz="9" w:space="0" w:color="D2D2D2"/>
            </w:tcBorders>
          </w:tcPr>
          <w:p>
            <w:pPr/>
          </w:p>
        </w:tc>
        <w:tc>
          <w:tcPr>
            <w:tcW w:w="1265" w:type="dxa"/>
            <w:gridSpan w:val="2"/>
            <w:vMerge/>
            <w:tcBorders>
              <w:left w:val="single" w:sz="4" w:space="0" w:color="000000"/>
              <w:right w:val="single" w:sz="4" w:space="0" w:color="000000"/>
            </w:tcBorders>
            <w:shd w:val="clear" w:color="auto" w:fill="D2D2D2"/>
          </w:tcPr>
          <w:p>
            <w:pPr/>
          </w:p>
        </w:tc>
        <w:tc>
          <w:tcPr>
            <w:tcW w:w="920" w:type="dxa"/>
            <w:vMerge/>
            <w:tcBorders>
              <w:left w:val="single" w:sz="13" w:space="0" w:color="D2D2D2"/>
              <w:right w:val="single" w:sz="4" w:space="0" w:color="000000"/>
            </w:tcBorders>
          </w:tcPr>
          <w:p>
            <w:pPr/>
          </w:p>
        </w:tc>
      </w:tr>
      <w:tr>
        <w:trPr>
          <w:trHeight w:val="546" w:hRule="exact"/>
        </w:trPr>
        <w:tc>
          <w:tcPr>
            <w:tcW w:w="11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2" w:lineRule="exact" w:before="34"/>
              <w:ind w:left="22" w:right="72"/>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160" w:type="dxa"/>
            <w:gridSpan w:val="2"/>
            <w:vMerge/>
            <w:tcBorders>
              <w:left w:val="single" w:sz="9" w:space="0" w:color="D2D2D2"/>
              <w:right w:val="single" w:sz="10" w:space="0" w:color="D2D2D2"/>
            </w:tcBorders>
          </w:tcPr>
          <w:p>
            <w:pPr/>
          </w:p>
        </w:tc>
        <w:tc>
          <w:tcPr>
            <w:tcW w:w="1245" w:type="dxa"/>
            <w:gridSpan w:val="2"/>
            <w:vMerge/>
            <w:tcBorders>
              <w:left w:val="single" w:sz="4" w:space="0" w:color="000000"/>
              <w:right w:val="single" w:sz="4" w:space="0" w:color="000000"/>
            </w:tcBorders>
            <w:shd w:val="clear" w:color="auto" w:fill="D2D2D2"/>
          </w:tcPr>
          <w:p>
            <w:pPr/>
          </w:p>
        </w:tc>
        <w:tc>
          <w:tcPr>
            <w:tcW w:w="1246" w:type="dxa"/>
            <w:gridSpan w:val="2"/>
            <w:vMerge/>
            <w:tcBorders>
              <w:left w:val="single" w:sz="9" w:space="0" w:color="D2D2D2"/>
              <w:right w:val="single" w:sz="10" w:space="0" w:color="D2D2D2"/>
            </w:tcBorders>
          </w:tcPr>
          <w:p>
            <w:pPr/>
          </w:p>
        </w:tc>
        <w:tc>
          <w:tcPr>
            <w:tcW w:w="1591" w:type="dxa"/>
            <w:gridSpan w:val="3"/>
            <w:vMerge/>
            <w:tcBorders>
              <w:left w:val="single" w:sz="4" w:space="0" w:color="000000"/>
              <w:right w:val="single" w:sz="4" w:space="0" w:color="000000"/>
            </w:tcBorders>
            <w:shd w:val="clear" w:color="auto" w:fill="D2D2D2"/>
          </w:tcPr>
          <w:p>
            <w:pPr/>
          </w:p>
        </w:tc>
        <w:tc>
          <w:tcPr>
            <w:tcW w:w="1082" w:type="dxa"/>
            <w:gridSpan w:val="2"/>
            <w:vMerge/>
            <w:tcBorders>
              <w:left w:val="single" w:sz="9" w:space="0" w:color="D2D2D2"/>
              <w:right w:val="single" w:sz="9" w:space="0" w:color="D2D2D2"/>
            </w:tcBorders>
          </w:tcPr>
          <w:p>
            <w:pPr/>
          </w:p>
        </w:tc>
        <w:tc>
          <w:tcPr>
            <w:tcW w:w="1265" w:type="dxa"/>
            <w:gridSpan w:val="2"/>
            <w:vMerge/>
            <w:tcBorders>
              <w:left w:val="single" w:sz="4" w:space="0" w:color="000000"/>
              <w:right w:val="single" w:sz="4" w:space="0" w:color="000000"/>
            </w:tcBorders>
            <w:shd w:val="clear" w:color="auto" w:fill="D2D2D2"/>
          </w:tcPr>
          <w:p>
            <w:pPr/>
          </w:p>
        </w:tc>
        <w:tc>
          <w:tcPr>
            <w:tcW w:w="920" w:type="dxa"/>
            <w:vMerge/>
            <w:tcBorders>
              <w:left w:val="single" w:sz="13" w:space="0" w:color="D2D2D2"/>
              <w:right w:val="single" w:sz="4" w:space="0" w:color="000000"/>
            </w:tcBorders>
          </w:tcPr>
          <w:p>
            <w:pPr/>
          </w:p>
        </w:tc>
      </w:tr>
      <w:tr>
        <w:trPr>
          <w:trHeight w:val="234" w:hRule="exact"/>
        </w:trPr>
        <w:tc>
          <w:tcPr>
            <w:tcW w:w="1187" w:type="dxa"/>
            <w:vMerge w:val="restart"/>
            <w:tcBorders>
              <w:top w:val="nil" w:sz="6" w:space="0" w:color="auto"/>
              <w:left w:val="single" w:sz="4" w:space="0" w:color="000000"/>
              <w:right w:val="single" w:sz="4" w:space="0" w:color="000000"/>
            </w:tcBorders>
            <w:shd w:val="clear" w:color="auto" w:fill="D2D2D2"/>
          </w:tcPr>
          <w:p>
            <w:pPr/>
          </w:p>
        </w:tc>
        <w:tc>
          <w:tcPr>
            <w:tcW w:w="1160" w:type="dxa"/>
            <w:gridSpan w:val="2"/>
            <w:vMerge/>
            <w:tcBorders>
              <w:left w:val="single" w:sz="9" w:space="0" w:color="D2D2D2"/>
              <w:right w:val="single" w:sz="10" w:space="0" w:color="D2D2D2"/>
            </w:tcBorders>
          </w:tcPr>
          <w:p>
            <w:pPr/>
          </w:p>
        </w:tc>
        <w:tc>
          <w:tcPr>
            <w:tcW w:w="1245" w:type="dxa"/>
            <w:gridSpan w:val="2"/>
            <w:vMerge/>
            <w:tcBorders>
              <w:left w:val="single" w:sz="4" w:space="0" w:color="000000"/>
              <w:bottom w:val="nil" w:sz="6" w:space="0" w:color="auto"/>
              <w:right w:val="single" w:sz="4" w:space="0" w:color="000000"/>
            </w:tcBorders>
            <w:shd w:val="clear" w:color="auto" w:fill="D2D2D2"/>
          </w:tcPr>
          <w:p>
            <w:pPr/>
          </w:p>
        </w:tc>
        <w:tc>
          <w:tcPr>
            <w:tcW w:w="1246" w:type="dxa"/>
            <w:gridSpan w:val="2"/>
            <w:vMerge/>
            <w:tcBorders>
              <w:left w:val="single" w:sz="9" w:space="0" w:color="D2D2D2"/>
              <w:right w:val="single" w:sz="10" w:space="0" w:color="D2D2D2"/>
            </w:tcBorders>
          </w:tcPr>
          <w:p>
            <w:pPr/>
          </w:p>
        </w:tc>
        <w:tc>
          <w:tcPr>
            <w:tcW w:w="1591" w:type="dxa"/>
            <w:gridSpan w:val="3"/>
            <w:vMerge/>
            <w:tcBorders>
              <w:left w:val="single" w:sz="4" w:space="0" w:color="000000"/>
              <w:bottom w:val="nil" w:sz="6" w:space="0" w:color="auto"/>
              <w:right w:val="single" w:sz="4" w:space="0" w:color="000000"/>
            </w:tcBorders>
            <w:shd w:val="clear" w:color="auto" w:fill="D2D2D2"/>
          </w:tcPr>
          <w:p>
            <w:pPr/>
          </w:p>
        </w:tc>
        <w:tc>
          <w:tcPr>
            <w:tcW w:w="1082" w:type="dxa"/>
            <w:gridSpan w:val="2"/>
            <w:vMerge/>
            <w:tcBorders>
              <w:left w:val="single" w:sz="9" w:space="0" w:color="D2D2D2"/>
              <w:right w:val="single" w:sz="9" w:space="0" w:color="D2D2D2"/>
            </w:tcBorders>
          </w:tcPr>
          <w:p>
            <w:pPr/>
          </w:p>
        </w:tc>
        <w:tc>
          <w:tcPr>
            <w:tcW w:w="1265" w:type="dxa"/>
            <w:gridSpan w:val="2"/>
            <w:vMerge/>
            <w:tcBorders>
              <w:left w:val="single" w:sz="4" w:space="0" w:color="000000"/>
              <w:right w:val="single" w:sz="4" w:space="0" w:color="000000"/>
            </w:tcBorders>
            <w:shd w:val="clear" w:color="auto" w:fill="D2D2D2"/>
          </w:tcPr>
          <w:p>
            <w:pPr/>
          </w:p>
        </w:tc>
        <w:tc>
          <w:tcPr>
            <w:tcW w:w="920" w:type="dxa"/>
            <w:vMerge/>
            <w:tcBorders>
              <w:left w:val="single" w:sz="13" w:space="0" w:color="D2D2D2"/>
              <w:right w:val="single" w:sz="4" w:space="0" w:color="000000"/>
            </w:tcBorders>
          </w:tcPr>
          <w:p>
            <w:pPr/>
          </w:p>
        </w:tc>
      </w:tr>
      <w:tr>
        <w:trPr>
          <w:trHeight w:val="244" w:hRule="exact"/>
        </w:trPr>
        <w:tc>
          <w:tcPr>
            <w:tcW w:w="1187" w:type="dxa"/>
            <w:vMerge/>
            <w:tcBorders>
              <w:left w:val="single" w:sz="4" w:space="0" w:color="000000"/>
              <w:bottom w:val="single" w:sz="4" w:space="0" w:color="000000"/>
              <w:right w:val="single" w:sz="4" w:space="0" w:color="000000"/>
            </w:tcBorders>
            <w:shd w:val="clear" w:color="auto" w:fill="D2D2D2"/>
          </w:tcPr>
          <w:p>
            <w:pPr/>
          </w:p>
        </w:tc>
        <w:tc>
          <w:tcPr>
            <w:tcW w:w="1160" w:type="dxa"/>
            <w:gridSpan w:val="2"/>
            <w:vMerge/>
            <w:tcBorders>
              <w:left w:val="single" w:sz="9" w:space="0" w:color="D2D2D2"/>
              <w:bottom w:val="single" w:sz="4" w:space="0" w:color="000000"/>
              <w:right w:val="single" w:sz="10" w:space="0" w:color="D2D2D2"/>
            </w:tcBorders>
          </w:tcPr>
          <w:p>
            <w:pPr/>
          </w:p>
        </w:tc>
        <w:tc>
          <w:tcPr>
            <w:tcW w:w="124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46" w:type="dxa"/>
            <w:gridSpan w:val="2"/>
            <w:vMerge/>
            <w:tcBorders>
              <w:left w:val="single" w:sz="9" w:space="0" w:color="D2D2D2"/>
              <w:bottom w:val="single" w:sz="4" w:space="0" w:color="000000"/>
              <w:right w:val="single" w:sz="10" w:space="0" w:color="D2D2D2"/>
            </w:tcBorders>
          </w:tcPr>
          <w:p>
            <w:pPr/>
          </w:p>
        </w:tc>
        <w:tc>
          <w:tcPr>
            <w:tcW w:w="1591"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082" w:type="dxa"/>
            <w:gridSpan w:val="2"/>
            <w:vMerge/>
            <w:tcBorders>
              <w:left w:val="single" w:sz="9" w:space="0" w:color="D2D2D2"/>
              <w:bottom w:val="single" w:sz="4" w:space="0" w:color="000000"/>
              <w:right w:val="single" w:sz="9" w:space="0" w:color="D2D2D2"/>
            </w:tcBorders>
          </w:tcPr>
          <w:p>
            <w:pPr/>
          </w:p>
        </w:tc>
        <w:tc>
          <w:tcPr>
            <w:tcW w:w="1265" w:type="dxa"/>
            <w:gridSpan w:val="2"/>
            <w:vMerge/>
            <w:tcBorders>
              <w:left w:val="single" w:sz="4" w:space="0" w:color="000000"/>
              <w:bottom w:val="single" w:sz="4" w:space="0" w:color="000000"/>
              <w:right w:val="single" w:sz="4" w:space="0" w:color="000000"/>
            </w:tcBorders>
            <w:shd w:val="clear" w:color="auto" w:fill="D2D2D2"/>
          </w:tcPr>
          <w:p>
            <w:pPr/>
          </w:p>
        </w:tc>
        <w:tc>
          <w:tcPr>
            <w:tcW w:w="920" w:type="dxa"/>
            <w:vMerge/>
            <w:tcBorders>
              <w:left w:val="single" w:sz="13" w:space="0" w:color="D2D2D2"/>
              <w:bottom w:val="single" w:sz="4" w:space="0" w:color="000000"/>
              <w:right w:val="single" w:sz="4" w:space="0" w:color="000000"/>
            </w:tcBorders>
          </w:tcPr>
          <w:p>
            <w:pPr/>
          </w:p>
        </w:tc>
      </w:tr>
      <w:tr>
        <w:trPr>
          <w:trHeight w:val="313" w:hRule="exact"/>
        </w:trPr>
        <w:tc>
          <w:tcPr>
            <w:tcW w:w="9695"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3125"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27" w:hRule="exact"/>
        </w:trPr>
        <w:tc>
          <w:tcPr>
            <w:tcW w:w="1427" w:type="dxa"/>
            <w:gridSpan w:val="2"/>
            <w:vMerge w:val="restart"/>
            <w:tcBorders>
              <w:top w:val="single" w:sz="4" w:space="0" w:color="000000"/>
              <w:left w:val="single" w:sz="4" w:space="0" w:color="000000"/>
              <w:right w:val="single" w:sz="4" w:space="0" w:color="000000"/>
            </w:tcBorders>
            <w:shd w:val="clear" w:color="auto" w:fill="D2D2D2"/>
          </w:tcPr>
          <w:p>
            <w:pPr/>
          </w:p>
        </w:tc>
        <w:tc>
          <w:tcPr>
            <w:tcW w:w="1369" w:type="dxa"/>
            <w:gridSpan w:val="2"/>
            <w:vMerge w:val="restart"/>
            <w:tcBorders>
              <w:top w:val="single" w:sz="4" w:space="0" w:color="000000"/>
              <w:left w:val="single" w:sz="4" w:space="0" w:color="000000"/>
              <w:right w:val="single" w:sz="4" w:space="0" w:color="000000"/>
            </w:tcBorders>
            <w:shd w:val="clear" w:color="auto" w:fill="D2D2D2"/>
          </w:tcPr>
          <w:p>
            <w:pPr/>
          </w:p>
        </w:tc>
        <w:tc>
          <w:tcPr>
            <w:tcW w:w="796" w:type="dxa"/>
            <w:vMerge w:val="restart"/>
            <w:tcBorders>
              <w:top w:val="single" w:sz="4" w:space="0" w:color="000000"/>
              <w:left w:val="single" w:sz="4" w:space="0" w:color="000000"/>
              <w:right w:val="single" w:sz="4" w:space="0" w:color="000000"/>
            </w:tcBorders>
            <w:shd w:val="clear" w:color="auto" w:fill="D2D2D2"/>
          </w:tcPr>
          <w:p>
            <w:pPr/>
          </w:p>
        </w:tc>
        <w:tc>
          <w:tcPr>
            <w:tcW w:w="929" w:type="dxa"/>
            <w:vMerge w:val="restart"/>
            <w:tcBorders>
              <w:top w:val="single" w:sz="4" w:space="0" w:color="000000"/>
              <w:left w:val="single" w:sz="4" w:space="0" w:color="000000"/>
              <w:right w:val="single" w:sz="4" w:space="0" w:color="000000"/>
            </w:tcBorders>
            <w:shd w:val="clear" w:color="auto" w:fill="D2D2D2"/>
          </w:tcPr>
          <w:p>
            <w:pPr/>
          </w:p>
        </w:tc>
        <w:tc>
          <w:tcPr>
            <w:tcW w:w="7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16"/>
              <w:ind w:left="93" w:right="92"/>
              <w:jc w:val="center"/>
              <w:rPr>
                <w:rFonts w:ascii="宋体" w:hAnsi="宋体" w:cs="宋体" w:eastAsia="宋体" w:hint="default"/>
                <w:sz w:val="18"/>
                <w:szCs w:val="18"/>
              </w:rPr>
            </w:pPr>
            <w:r>
              <w:rPr>
                <w:rFonts w:ascii="宋体" w:hAnsi="宋体" w:cs="宋体" w:eastAsia="宋体" w:hint="default"/>
                <w:sz w:val="18"/>
                <w:szCs w:val="18"/>
              </w:rPr>
              <w:t>报告期 内增减 变动情 况</w:t>
            </w:r>
          </w:p>
        </w:tc>
        <w:tc>
          <w:tcPr>
            <w:tcW w:w="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867"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261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67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77" w:hRule="exact"/>
        </w:trPr>
        <w:tc>
          <w:tcPr>
            <w:tcW w:w="1427" w:type="dxa"/>
            <w:gridSpan w:val="2"/>
            <w:vMerge/>
            <w:tcBorders>
              <w:left w:val="single" w:sz="4" w:space="0" w:color="000000"/>
              <w:bottom w:val="single" w:sz="15" w:space="0" w:color="FFFFFF"/>
              <w:right w:val="single" w:sz="4" w:space="0" w:color="000000"/>
            </w:tcBorders>
            <w:shd w:val="clear" w:color="auto" w:fill="D2D2D2"/>
          </w:tcPr>
          <w:p>
            <w:pPr/>
          </w:p>
        </w:tc>
        <w:tc>
          <w:tcPr>
            <w:tcW w:w="1369" w:type="dxa"/>
            <w:gridSpan w:val="2"/>
            <w:vMerge/>
            <w:tcBorders>
              <w:left w:val="single" w:sz="4" w:space="0" w:color="000000"/>
              <w:bottom w:val="single" w:sz="15" w:space="0" w:color="FFFFFF"/>
              <w:right w:val="single" w:sz="4" w:space="0" w:color="000000"/>
            </w:tcBorders>
            <w:shd w:val="clear" w:color="auto" w:fill="D2D2D2"/>
          </w:tcPr>
          <w:p>
            <w:pPr/>
          </w:p>
        </w:tc>
        <w:tc>
          <w:tcPr>
            <w:tcW w:w="796" w:type="dxa"/>
            <w:vMerge/>
            <w:tcBorders>
              <w:left w:val="single" w:sz="4" w:space="0" w:color="000000"/>
              <w:bottom w:val="single" w:sz="15" w:space="0" w:color="FFFFFF"/>
              <w:right w:val="single" w:sz="4" w:space="0" w:color="000000"/>
            </w:tcBorders>
            <w:shd w:val="clear" w:color="auto" w:fill="D2D2D2"/>
          </w:tcPr>
          <w:p>
            <w:pPr/>
          </w:p>
        </w:tc>
        <w:tc>
          <w:tcPr>
            <w:tcW w:w="929" w:type="dxa"/>
            <w:vMerge/>
            <w:tcBorders>
              <w:left w:val="single" w:sz="4" w:space="0" w:color="000000"/>
              <w:bottom w:val="single" w:sz="15" w:space="0" w:color="FFFFFF"/>
              <w:right w:val="single" w:sz="4" w:space="0" w:color="000000"/>
            </w:tcBorders>
            <w:shd w:val="clear" w:color="auto" w:fill="D2D2D2"/>
          </w:tcPr>
          <w:p>
            <w:pPr/>
          </w:p>
        </w:tc>
        <w:tc>
          <w:tcPr>
            <w:tcW w:w="738" w:type="dxa"/>
            <w:gridSpan w:val="2"/>
            <w:vMerge/>
            <w:tcBorders>
              <w:left w:val="single" w:sz="4" w:space="0" w:color="000000"/>
              <w:right w:val="single" w:sz="4" w:space="0" w:color="000000"/>
            </w:tcBorders>
            <w:shd w:val="clear" w:color="auto" w:fill="D2D2D2"/>
          </w:tcPr>
          <w:p>
            <w:pPr/>
          </w:p>
        </w:tc>
        <w:tc>
          <w:tcPr>
            <w:tcW w:w="956" w:type="dxa"/>
            <w:vMerge w:val="restart"/>
            <w:tcBorders>
              <w:top w:val="nil" w:sz="6" w:space="0" w:color="auto"/>
              <w:left w:val="single" w:sz="4" w:space="0" w:color="000000"/>
              <w:right w:val="single" w:sz="4" w:space="0" w:color="000000"/>
            </w:tcBorders>
            <w:shd w:val="clear" w:color="auto" w:fill="D2D2D2"/>
          </w:tcPr>
          <w:p>
            <w:pPr>
              <w:pStyle w:val="TableParagraph"/>
              <w:spacing w:line="237" w:lineRule="auto" w:before="11"/>
              <w:ind w:left="22" w:right="23"/>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86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37" w:lineRule="auto" w:before="11"/>
              <w:ind w:left="68" w:right="66"/>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12" w:type="dxa"/>
            <w:gridSpan w:val="4"/>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427" w:type="dxa"/>
            <w:gridSpan w:val="2"/>
            <w:vMerge w:val="restart"/>
            <w:tcBorders>
              <w:top w:val="single" w:sz="15" w:space="0" w:color="FFFFFF"/>
              <w:left w:val="single" w:sz="4" w:space="0" w:color="000000"/>
              <w:right w:val="single" w:sz="4" w:space="0" w:color="000000"/>
            </w:tcBorders>
            <w:shd w:val="clear" w:color="auto" w:fill="D2D2D2"/>
          </w:tcPr>
          <w:p>
            <w:pPr>
              <w:pStyle w:val="TableParagraph"/>
              <w:spacing w:line="240" w:lineRule="auto" w:before="47"/>
              <w:ind w:left="34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gridSpan w:val="2"/>
            <w:vMerge w:val="restart"/>
            <w:tcBorders>
              <w:top w:val="single" w:sz="15" w:space="0" w:color="FFFFFF"/>
              <w:left w:val="single" w:sz="4" w:space="0" w:color="000000"/>
              <w:right w:val="single" w:sz="4" w:space="0" w:color="000000"/>
            </w:tcBorders>
            <w:shd w:val="clear" w:color="auto" w:fill="D2D2D2"/>
          </w:tcPr>
          <w:p>
            <w:pPr>
              <w:pStyle w:val="TableParagraph"/>
              <w:spacing w:line="240" w:lineRule="auto" w:before="47"/>
              <w:ind w:left="31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96" w:type="dxa"/>
            <w:vMerge w:val="restart"/>
            <w:tcBorders>
              <w:top w:val="single" w:sz="15" w:space="0" w:color="FFFFFF"/>
              <w:left w:val="single" w:sz="4" w:space="0" w:color="000000"/>
              <w:right w:val="single" w:sz="4" w:space="0" w:color="000000"/>
            </w:tcBorders>
            <w:shd w:val="clear" w:color="auto" w:fill="D2D2D2"/>
          </w:tcPr>
          <w:p>
            <w:pPr>
              <w:pStyle w:val="TableParagraph"/>
              <w:spacing w:line="165" w:lineRule="exact"/>
              <w:ind w:right="28"/>
              <w:jc w:val="center"/>
              <w:rPr>
                <w:rFonts w:ascii="宋体" w:hAnsi="宋体" w:cs="宋体" w:eastAsia="宋体" w:hint="default"/>
                <w:sz w:val="18"/>
                <w:szCs w:val="18"/>
              </w:rPr>
            </w:pPr>
            <w:r>
              <w:rPr>
                <w:rFonts w:ascii="宋体" w:hAnsi="宋体" w:cs="宋体" w:eastAsia="宋体" w:hint="default"/>
                <w:sz w:val="18"/>
                <w:szCs w:val="18"/>
              </w:rPr>
              <w:t>持股比</w:t>
            </w:r>
          </w:p>
          <w:p>
            <w:pPr>
              <w:pStyle w:val="TableParagraph"/>
              <w:spacing w:line="235" w:lineRule="exact"/>
              <w:ind w:right="28"/>
              <w:jc w:val="center"/>
              <w:rPr>
                <w:rFonts w:ascii="宋体" w:hAnsi="宋体" w:cs="宋体" w:eastAsia="宋体" w:hint="default"/>
                <w:sz w:val="18"/>
                <w:szCs w:val="18"/>
              </w:rPr>
            </w:pPr>
            <w:r>
              <w:rPr>
                <w:rFonts w:ascii="宋体" w:hAnsi="宋体" w:cs="宋体" w:eastAsia="宋体" w:hint="default"/>
                <w:sz w:val="18"/>
                <w:szCs w:val="18"/>
              </w:rPr>
              <w:t>例</w:t>
            </w:r>
          </w:p>
        </w:tc>
        <w:tc>
          <w:tcPr>
            <w:tcW w:w="929" w:type="dxa"/>
            <w:vMerge w:val="restart"/>
            <w:tcBorders>
              <w:top w:val="single" w:sz="15" w:space="0" w:color="FFFFFF"/>
              <w:left w:val="single" w:sz="4" w:space="0" w:color="000000"/>
              <w:right w:val="single" w:sz="4" w:space="0" w:color="000000"/>
            </w:tcBorders>
            <w:shd w:val="clear" w:color="auto" w:fill="D2D2D2"/>
          </w:tcPr>
          <w:p>
            <w:pPr>
              <w:pStyle w:val="TableParagraph"/>
              <w:spacing w:line="165" w:lineRule="exact"/>
              <w:ind w:left="-6" w:right="22"/>
              <w:jc w:val="center"/>
              <w:rPr>
                <w:rFonts w:ascii="宋体" w:hAnsi="宋体" w:cs="宋体" w:eastAsia="宋体" w:hint="default"/>
                <w:sz w:val="18"/>
                <w:szCs w:val="18"/>
              </w:rPr>
            </w:pPr>
            <w:r>
              <w:rPr>
                <w:rFonts w:ascii="宋体" w:hAnsi="宋体" w:cs="宋体" w:eastAsia="宋体" w:hint="default"/>
                <w:sz w:val="18"/>
                <w:szCs w:val="18"/>
              </w:rPr>
              <w:t>报告期末持</w:t>
            </w:r>
          </w:p>
          <w:p>
            <w:pPr>
              <w:pStyle w:val="TableParagraph"/>
              <w:spacing w:line="235" w:lineRule="exact"/>
              <w:ind w:right="26"/>
              <w:jc w:val="center"/>
              <w:rPr>
                <w:rFonts w:ascii="宋体" w:hAnsi="宋体" w:cs="宋体" w:eastAsia="宋体" w:hint="default"/>
                <w:sz w:val="18"/>
                <w:szCs w:val="18"/>
              </w:rPr>
            </w:pPr>
            <w:r>
              <w:rPr>
                <w:rFonts w:ascii="宋体" w:hAnsi="宋体" w:cs="宋体" w:eastAsia="宋体" w:hint="default"/>
                <w:sz w:val="18"/>
                <w:szCs w:val="18"/>
              </w:rPr>
              <w:t>股数量</w:t>
            </w:r>
          </w:p>
        </w:tc>
        <w:tc>
          <w:tcPr>
            <w:tcW w:w="738" w:type="dxa"/>
            <w:gridSpan w:val="2"/>
            <w:vMerge/>
            <w:tcBorders>
              <w:left w:val="single" w:sz="4" w:space="0" w:color="000000"/>
              <w:right w:val="single" w:sz="4" w:space="0" w:color="000000"/>
            </w:tcBorders>
            <w:shd w:val="clear" w:color="auto" w:fill="D2D2D2"/>
          </w:tcPr>
          <w:p>
            <w:pPr/>
          </w:p>
        </w:tc>
        <w:tc>
          <w:tcPr>
            <w:tcW w:w="956" w:type="dxa"/>
            <w:vMerge/>
            <w:tcBorders>
              <w:left w:val="single" w:sz="4" w:space="0" w:color="000000"/>
              <w:right w:val="single" w:sz="4" w:space="0" w:color="000000"/>
            </w:tcBorders>
            <w:shd w:val="clear" w:color="auto" w:fill="D2D2D2"/>
          </w:tcPr>
          <w:p>
            <w:pPr/>
          </w:p>
        </w:tc>
        <w:tc>
          <w:tcPr>
            <w:tcW w:w="867" w:type="dxa"/>
            <w:gridSpan w:val="2"/>
            <w:vMerge/>
            <w:tcBorders>
              <w:left w:val="single" w:sz="4" w:space="0" w:color="000000"/>
              <w:right w:val="single" w:sz="4" w:space="0" w:color="000000"/>
            </w:tcBorders>
            <w:shd w:val="clear" w:color="auto" w:fill="D2D2D2"/>
          </w:tcPr>
          <w:p>
            <w:pPr/>
          </w:p>
        </w:tc>
        <w:tc>
          <w:tcPr>
            <w:tcW w:w="130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304"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gridSpan w:val="2"/>
            <w:vMerge/>
            <w:tcBorders>
              <w:left w:val="single" w:sz="4" w:space="0" w:color="000000"/>
              <w:bottom w:val="nil" w:sz="6" w:space="0" w:color="auto"/>
              <w:right w:val="single" w:sz="4" w:space="0" w:color="000000"/>
            </w:tcBorders>
            <w:shd w:val="clear" w:color="auto" w:fill="D2D2D2"/>
          </w:tcPr>
          <w:p>
            <w:pPr/>
          </w:p>
        </w:tc>
        <w:tc>
          <w:tcPr>
            <w:tcW w:w="1369" w:type="dxa"/>
            <w:gridSpan w:val="2"/>
            <w:vMerge/>
            <w:tcBorders>
              <w:left w:val="single" w:sz="4" w:space="0" w:color="000000"/>
              <w:bottom w:val="nil" w:sz="6" w:space="0" w:color="auto"/>
              <w:right w:val="single" w:sz="4" w:space="0" w:color="000000"/>
            </w:tcBorders>
            <w:shd w:val="clear" w:color="auto" w:fill="D2D2D2"/>
          </w:tcPr>
          <w:p>
            <w:pPr/>
          </w:p>
        </w:tc>
        <w:tc>
          <w:tcPr>
            <w:tcW w:w="796" w:type="dxa"/>
            <w:vMerge/>
            <w:tcBorders>
              <w:left w:val="single" w:sz="4" w:space="0" w:color="000000"/>
              <w:right w:val="single" w:sz="4" w:space="0" w:color="000000"/>
            </w:tcBorders>
            <w:shd w:val="clear" w:color="auto" w:fill="D2D2D2"/>
          </w:tcPr>
          <w:p>
            <w:pPr/>
          </w:p>
        </w:tc>
        <w:tc>
          <w:tcPr>
            <w:tcW w:w="929" w:type="dxa"/>
            <w:vMerge/>
            <w:tcBorders>
              <w:left w:val="single" w:sz="4" w:space="0" w:color="000000"/>
              <w:right w:val="single" w:sz="4" w:space="0" w:color="000000"/>
            </w:tcBorders>
            <w:shd w:val="clear" w:color="auto" w:fill="D2D2D2"/>
          </w:tcPr>
          <w:p>
            <w:pPr/>
          </w:p>
        </w:tc>
        <w:tc>
          <w:tcPr>
            <w:tcW w:w="738" w:type="dxa"/>
            <w:gridSpan w:val="2"/>
            <w:vMerge/>
            <w:tcBorders>
              <w:left w:val="single" w:sz="4" w:space="0" w:color="000000"/>
              <w:right w:val="single" w:sz="4" w:space="0" w:color="000000"/>
            </w:tcBorders>
            <w:shd w:val="clear" w:color="auto" w:fill="D2D2D2"/>
          </w:tcPr>
          <w:p>
            <w:pPr/>
          </w:p>
        </w:tc>
        <w:tc>
          <w:tcPr>
            <w:tcW w:w="956" w:type="dxa"/>
            <w:vMerge/>
            <w:tcBorders>
              <w:left w:val="single" w:sz="4" w:space="0" w:color="000000"/>
              <w:right w:val="single" w:sz="4" w:space="0" w:color="000000"/>
            </w:tcBorders>
            <w:shd w:val="clear" w:color="auto" w:fill="D2D2D2"/>
          </w:tcPr>
          <w:p>
            <w:pPr/>
          </w:p>
        </w:tc>
        <w:tc>
          <w:tcPr>
            <w:tcW w:w="867" w:type="dxa"/>
            <w:gridSpan w:val="2"/>
            <w:vMerge/>
            <w:tcBorders>
              <w:left w:val="single" w:sz="4" w:space="0" w:color="000000"/>
              <w:right w:val="single" w:sz="4" w:space="0" w:color="000000"/>
            </w:tcBorders>
            <w:shd w:val="clear" w:color="auto" w:fill="D2D2D2"/>
          </w:tcPr>
          <w:p>
            <w:pPr/>
          </w:p>
        </w:tc>
        <w:tc>
          <w:tcPr>
            <w:tcW w:w="130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0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40" w:hRule="exact"/>
        </w:trPr>
        <w:tc>
          <w:tcPr>
            <w:tcW w:w="1427" w:type="dxa"/>
            <w:gridSpan w:val="2"/>
            <w:vMerge w:val="restart"/>
            <w:tcBorders>
              <w:top w:val="nil" w:sz="6" w:space="0" w:color="auto"/>
              <w:left w:val="single" w:sz="4" w:space="0" w:color="000000"/>
              <w:right w:val="single" w:sz="4" w:space="0" w:color="000000"/>
            </w:tcBorders>
            <w:shd w:val="clear" w:color="auto" w:fill="D2D2D2"/>
          </w:tcPr>
          <w:p>
            <w:pPr/>
          </w:p>
        </w:tc>
        <w:tc>
          <w:tcPr>
            <w:tcW w:w="1369" w:type="dxa"/>
            <w:gridSpan w:val="2"/>
            <w:vMerge w:val="restart"/>
            <w:tcBorders>
              <w:top w:val="nil" w:sz="6" w:space="0" w:color="auto"/>
              <w:left w:val="single" w:sz="4" w:space="0" w:color="000000"/>
              <w:right w:val="single" w:sz="4" w:space="0" w:color="000000"/>
            </w:tcBorders>
            <w:shd w:val="clear" w:color="auto" w:fill="D2D2D2"/>
          </w:tcPr>
          <w:p>
            <w:pPr/>
          </w:p>
        </w:tc>
        <w:tc>
          <w:tcPr>
            <w:tcW w:w="796" w:type="dxa"/>
            <w:vMerge/>
            <w:tcBorders>
              <w:left w:val="single" w:sz="4" w:space="0" w:color="000000"/>
              <w:bottom w:val="nil" w:sz="6" w:space="0" w:color="auto"/>
              <w:right w:val="single" w:sz="4" w:space="0" w:color="000000"/>
            </w:tcBorders>
            <w:shd w:val="clear" w:color="auto" w:fill="D2D2D2"/>
          </w:tcPr>
          <w:p>
            <w:pPr/>
          </w:p>
        </w:tc>
        <w:tc>
          <w:tcPr>
            <w:tcW w:w="929" w:type="dxa"/>
            <w:vMerge/>
            <w:tcBorders>
              <w:left w:val="single" w:sz="4" w:space="0" w:color="000000"/>
              <w:bottom w:val="nil" w:sz="6" w:space="0" w:color="auto"/>
              <w:right w:val="single" w:sz="4" w:space="0" w:color="000000"/>
            </w:tcBorders>
            <w:shd w:val="clear" w:color="auto" w:fill="D2D2D2"/>
          </w:tcPr>
          <w:p>
            <w:pPr/>
          </w:p>
        </w:tc>
        <w:tc>
          <w:tcPr>
            <w:tcW w:w="738" w:type="dxa"/>
            <w:gridSpan w:val="2"/>
            <w:vMerge/>
            <w:tcBorders>
              <w:left w:val="single" w:sz="4" w:space="0" w:color="000000"/>
              <w:right w:val="single" w:sz="4" w:space="0" w:color="000000"/>
            </w:tcBorders>
            <w:shd w:val="clear" w:color="auto" w:fill="D2D2D2"/>
          </w:tcPr>
          <w:p>
            <w:pPr/>
          </w:p>
        </w:tc>
        <w:tc>
          <w:tcPr>
            <w:tcW w:w="956" w:type="dxa"/>
            <w:vMerge/>
            <w:tcBorders>
              <w:left w:val="single" w:sz="4" w:space="0" w:color="000000"/>
              <w:right w:val="single" w:sz="4" w:space="0" w:color="000000"/>
            </w:tcBorders>
            <w:shd w:val="clear" w:color="auto" w:fill="D2D2D2"/>
          </w:tcPr>
          <w:p>
            <w:pPr/>
          </w:p>
        </w:tc>
        <w:tc>
          <w:tcPr>
            <w:tcW w:w="867" w:type="dxa"/>
            <w:gridSpan w:val="2"/>
            <w:vMerge/>
            <w:tcBorders>
              <w:left w:val="single" w:sz="4" w:space="0" w:color="000000"/>
              <w:right w:val="single" w:sz="4" w:space="0" w:color="000000"/>
            </w:tcBorders>
            <w:shd w:val="clear" w:color="auto" w:fill="D2D2D2"/>
          </w:tcPr>
          <w:p>
            <w:pPr/>
          </w:p>
        </w:tc>
        <w:tc>
          <w:tcPr>
            <w:tcW w:w="1308" w:type="dxa"/>
            <w:gridSpan w:val="2"/>
            <w:vMerge/>
            <w:tcBorders>
              <w:left w:val="single" w:sz="4" w:space="0" w:color="000000"/>
              <w:bottom w:val="nil" w:sz="6" w:space="0" w:color="auto"/>
              <w:right w:val="single" w:sz="4" w:space="0" w:color="000000"/>
            </w:tcBorders>
            <w:shd w:val="clear" w:color="auto" w:fill="D2D2D2"/>
          </w:tcPr>
          <w:p>
            <w:pPr/>
          </w:p>
        </w:tc>
        <w:tc>
          <w:tcPr>
            <w:tcW w:w="1304" w:type="dxa"/>
            <w:gridSpan w:val="2"/>
            <w:vMerge/>
            <w:tcBorders>
              <w:left w:val="single" w:sz="4" w:space="0" w:color="000000"/>
              <w:bottom w:val="nil" w:sz="6" w:space="0" w:color="auto"/>
              <w:right w:val="single" w:sz="4" w:space="0" w:color="000000"/>
            </w:tcBorders>
            <w:shd w:val="clear" w:color="auto" w:fill="D2D2D2"/>
          </w:tcPr>
          <w:p>
            <w:pPr/>
          </w:p>
        </w:tc>
      </w:tr>
      <w:tr>
        <w:trPr>
          <w:trHeight w:val="215" w:hRule="exact"/>
        </w:trPr>
        <w:tc>
          <w:tcPr>
            <w:tcW w:w="1427" w:type="dxa"/>
            <w:gridSpan w:val="2"/>
            <w:vMerge/>
            <w:tcBorders>
              <w:left w:val="single" w:sz="4" w:space="0" w:color="000000"/>
              <w:bottom w:val="single" w:sz="4" w:space="0" w:color="000000"/>
              <w:right w:val="single" w:sz="4" w:space="0" w:color="000000"/>
            </w:tcBorders>
            <w:shd w:val="clear" w:color="auto" w:fill="D2D2D2"/>
          </w:tcPr>
          <w:p>
            <w:pPr/>
          </w:p>
        </w:tc>
        <w:tc>
          <w:tcPr>
            <w:tcW w:w="1369" w:type="dxa"/>
            <w:gridSpan w:val="2"/>
            <w:vMerge/>
            <w:tcBorders>
              <w:left w:val="single" w:sz="4" w:space="0" w:color="000000"/>
              <w:bottom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929" w:type="dxa"/>
            <w:tcBorders>
              <w:top w:val="nil" w:sz="6" w:space="0" w:color="auto"/>
              <w:left w:val="single" w:sz="4" w:space="0" w:color="000000"/>
              <w:bottom w:val="single" w:sz="4" w:space="0" w:color="000000"/>
              <w:right w:val="single" w:sz="4" w:space="0" w:color="000000"/>
            </w:tcBorders>
            <w:shd w:val="clear" w:color="auto" w:fill="D2D2D2"/>
          </w:tcPr>
          <w:p>
            <w:pPr/>
          </w:p>
        </w:tc>
        <w:tc>
          <w:tcPr>
            <w:tcW w:w="738" w:type="dxa"/>
            <w:gridSpan w:val="2"/>
            <w:vMerge/>
            <w:tcBorders>
              <w:left w:val="single" w:sz="4" w:space="0" w:color="000000"/>
              <w:bottom w:val="single" w:sz="4" w:space="0" w:color="000000"/>
              <w:right w:val="single" w:sz="4" w:space="0" w:color="000000"/>
            </w:tcBorders>
            <w:shd w:val="clear" w:color="auto" w:fill="D2D2D2"/>
          </w:tcPr>
          <w:p>
            <w:pPr/>
          </w:p>
        </w:tc>
        <w:tc>
          <w:tcPr>
            <w:tcW w:w="956" w:type="dxa"/>
            <w:vMerge/>
            <w:tcBorders>
              <w:left w:val="single" w:sz="4" w:space="0" w:color="000000"/>
              <w:bottom w:val="single" w:sz="4" w:space="0" w:color="000000"/>
              <w:right w:val="single" w:sz="4" w:space="0" w:color="000000"/>
            </w:tcBorders>
            <w:shd w:val="clear" w:color="auto" w:fill="D2D2D2"/>
          </w:tcPr>
          <w:p>
            <w:pPr/>
          </w:p>
        </w:tc>
        <w:tc>
          <w:tcPr>
            <w:tcW w:w="867" w:type="dxa"/>
            <w:gridSpan w:val="2"/>
            <w:vMerge/>
            <w:tcBorders>
              <w:left w:val="single" w:sz="4" w:space="0" w:color="000000"/>
              <w:bottom w:val="single" w:sz="4" w:space="0" w:color="000000"/>
              <w:right w:val="single" w:sz="4" w:space="0" w:color="000000"/>
            </w:tcBorders>
            <w:shd w:val="clear" w:color="auto" w:fill="D2D2D2"/>
          </w:tcPr>
          <w:p>
            <w:pPr/>
          </w:p>
        </w:tc>
        <w:tc>
          <w:tcPr>
            <w:tcW w:w="130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304"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4" w:hRule="exact"/>
        </w:trPr>
        <w:tc>
          <w:tcPr>
            <w:tcW w:w="14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0"/>
              <w:jc w:val="right"/>
              <w:rPr>
                <w:rFonts w:ascii="Times New Roman" w:hAnsi="Times New Roman" w:cs="Times New Roman" w:eastAsia="Times New Roman" w:hint="default"/>
                <w:sz w:val="18"/>
                <w:szCs w:val="18"/>
              </w:rPr>
            </w:pPr>
            <w:r>
              <w:rPr>
                <w:rFonts w:ascii="Times New Roman"/>
                <w:sz w:val="18"/>
              </w:rPr>
              <w:t>23.66%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20"/>
              <w:jc w:val="right"/>
              <w:rPr>
                <w:rFonts w:ascii="Times New Roman" w:hAnsi="Times New Roman" w:cs="Times New Roman" w:eastAsia="Times New Roman" w:hint="default"/>
                <w:sz w:val="18"/>
                <w:szCs w:val="18"/>
              </w:rPr>
            </w:pPr>
            <w:r>
              <w:rPr>
                <w:rFonts w:ascii="Times New Roman"/>
                <w:sz w:val="18"/>
              </w:rPr>
              <w:t>154,777,803</w:t>
            </w:r>
          </w:p>
        </w:tc>
        <w:tc>
          <w:tcPr>
            <w:tcW w:w="7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50" w:space="0" w:color="D2D2D2"/>
              <w:left w:val="single" w:sz="4" w:space="0" w:color="000000"/>
              <w:bottom w:val="single" w:sz="4" w:space="0" w:color="000000"/>
              <w:right w:val="single" w:sz="4" w:space="0" w:color="000000"/>
            </w:tcBorders>
          </w:tcPr>
          <w:p>
            <w:pPr>
              <w:pStyle w:val="TableParagraph"/>
              <w:spacing w:line="198" w:lineRule="exact"/>
              <w:ind w:right="21"/>
              <w:jc w:val="right"/>
              <w:rPr>
                <w:rFonts w:ascii="Times New Roman" w:hAnsi="Times New Roman" w:cs="Times New Roman" w:eastAsia="Times New Roman" w:hint="default"/>
                <w:sz w:val="18"/>
                <w:szCs w:val="18"/>
              </w:rPr>
            </w:pPr>
            <w:r>
              <w:rPr>
                <w:rFonts w:ascii="Times New Roman"/>
                <w:sz w:val="18"/>
              </w:rPr>
              <w:t>154,777,803</w:t>
            </w:r>
          </w:p>
        </w:tc>
        <w:tc>
          <w:tcPr>
            <w:tcW w:w="867" w:type="dxa"/>
            <w:gridSpan w:val="2"/>
            <w:tcBorders>
              <w:top w:val="single" w:sz="50" w:space="0" w:color="D2D2D2"/>
              <w:left w:val="single" w:sz="4" w:space="0" w:color="000000"/>
              <w:bottom w:val="single" w:sz="4" w:space="0" w:color="000000"/>
              <w:right w:val="single" w:sz="4" w:space="0" w:color="000000"/>
            </w:tcBorders>
          </w:tcPr>
          <w:p>
            <w:pPr>
              <w:pStyle w:val="TableParagraph"/>
              <w:spacing w:line="198" w:lineRule="exact"/>
              <w:ind w:right="21"/>
              <w:jc w:val="right"/>
              <w:rPr>
                <w:rFonts w:ascii="Times New Roman" w:hAnsi="Times New Roman" w:cs="Times New Roman" w:eastAsia="Times New Roman" w:hint="default"/>
                <w:sz w:val="18"/>
                <w:szCs w:val="18"/>
              </w:rPr>
            </w:pPr>
            <w:r>
              <w:rPr>
                <w:rFonts w:ascii="Times New Roman"/>
                <w:sz w:val="18"/>
              </w:rPr>
              <w:t>0</w:t>
            </w:r>
          </w:p>
        </w:tc>
        <w:tc>
          <w:tcPr>
            <w:tcW w:w="1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71" w:right="0"/>
              <w:jc w:val="left"/>
              <w:rPr>
                <w:rFonts w:ascii="Times New Roman" w:hAnsi="Times New Roman" w:cs="Times New Roman" w:eastAsia="Times New Roman" w:hint="default"/>
                <w:sz w:val="18"/>
                <w:szCs w:val="18"/>
              </w:rPr>
            </w:pPr>
            <w:r>
              <w:rPr>
                <w:rFonts w:ascii="Times New Roman"/>
                <w:sz w:val="18"/>
              </w:rPr>
              <w:t>151,959,200</w:t>
            </w:r>
          </w:p>
        </w:tc>
      </w:tr>
      <w:tr>
        <w:trPr>
          <w:trHeight w:val="557" w:hRule="exact"/>
        </w:trPr>
        <w:tc>
          <w:tcPr>
            <w:tcW w:w="14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32"/>
              <w:jc w:val="left"/>
              <w:rPr>
                <w:rFonts w:ascii="宋体" w:hAnsi="宋体" w:cs="宋体" w:eastAsia="宋体" w:hint="default"/>
                <w:sz w:val="18"/>
                <w:szCs w:val="18"/>
              </w:rPr>
            </w:pPr>
            <w:r>
              <w:rPr>
                <w:rFonts w:ascii="宋体" w:hAnsi="宋体" w:cs="宋体" w:eastAsia="宋体" w:hint="default"/>
                <w:sz w:val="18"/>
                <w:szCs w:val="18"/>
              </w:rPr>
              <w:t>中国希格玛有限 公司</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12.26%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80,185,746</w:t>
            </w:r>
          </w:p>
        </w:tc>
        <w:tc>
          <w:tcPr>
            <w:tcW w:w="7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80,185,746</w:t>
            </w:r>
          </w:p>
        </w:tc>
        <w:tc>
          <w:tcPr>
            <w:tcW w:w="1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61" w:right="0"/>
              <w:jc w:val="left"/>
              <w:rPr>
                <w:rFonts w:ascii="Times New Roman" w:hAnsi="Times New Roman" w:cs="Times New Roman" w:eastAsia="Times New Roman" w:hint="default"/>
                <w:sz w:val="18"/>
                <w:szCs w:val="18"/>
              </w:rPr>
            </w:pPr>
            <w:r>
              <w:rPr>
                <w:rFonts w:ascii="Times New Roman"/>
                <w:sz w:val="18"/>
              </w:rPr>
              <w:t>70,130,000</w:t>
            </w:r>
          </w:p>
        </w:tc>
      </w:tr>
      <w:tr>
        <w:trPr>
          <w:trHeight w:val="323" w:hRule="exact"/>
        </w:trPr>
        <w:tc>
          <w:tcPr>
            <w:tcW w:w="14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王晓岩</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0"/>
              <w:jc w:val="right"/>
              <w:rPr>
                <w:rFonts w:ascii="Times New Roman" w:hAnsi="Times New Roman" w:cs="Times New Roman" w:eastAsia="Times New Roman" w:hint="default"/>
                <w:sz w:val="18"/>
                <w:szCs w:val="18"/>
              </w:rPr>
            </w:pPr>
            <w:r>
              <w:rPr>
                <w:rFonts w:ascii="Times New Roman"/>
                <w:sz w:val="18"/>
              </w:rPr>
              <w:t>9.88%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64,603,000</w:t>
            </w:r>
          </w:p>
        </w:tc>
        <w:tc>
          <w:tcPr>
            <w:tcW w:w="7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64,603,000</w:t>
            </w:r>
          </w:p>
        </w:tc>
        <w:tc>
          <w:tcPr>
            <w:tcW w:w="8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w:t>
            </w:r>
          </w:p>
        </w:tc>
        <w:tc>
          <w:tcPr>
            <w:tcW w:w="1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1" w:right="0"/>
              <w:jc w:val="left"/>
              <w:rPr>
                <w:rFonts w:ascii="Times New Roman" w:hAnsi="Times New Roman" w:cs="Times New Roman" w:eastAsia="Times New Roman" w:hint="default"/>
                <w:sz w:val="18"/>
                <w:szCs w:val="18"/>
              </w:rPr>
            </w:pPr>
            <w:r>
              <w:rPr>
                <w:rFonts w:ascii="Times New Roman"/>
                <w:sz w:val="18"/>
              </w:rPr>
              <w:t>64,602,987</w:t>
            </w:r>
          </w:p>
        </w:tc>
      </w:tr>
      <w:tr>
        <w:trPr>
          <w:trHeight w:val="1024" w:hRule="exact"/>
        </w:trPr>
        <w:tc>
          <w:tcPr>
            <w:tcW w:w="14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auto" w:before="17"/>
              <w:ind w:left="22" w:right="89"/>
              <w:jc w:val="both"/>
              <w:rPr>
                <w:rFonts w:ascii="宋体" w:hAnsi="宋体" w:cs="宋体" w:eastAsia="宋体" w:hint="default"/>
                <w:sz w:val="18"/>
                <w:szCs w:val="18"/>
              </w:rPr>
            </w:pPr>
            <w:r>
              <w:rPr>
                <w:rFonts w:ascii="宋体" w:hAnsi="宋体" w:cs="宋体" w:eastAsia="宋体" w:hint="default"/>
                <w:sz w:val="18"/>
                <w:szCs w:val="18"/>
              </w:rPr>
              <w:t>中信建投基金－ 中信证券－中信 建投基金定增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号资产管理计划</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4.53%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29,609,700</w:t>
            </w:r>
          </w:p>
        </w:tc>
        <w:tc>
          <w:tcPr>
            <w:tcW w:w="7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29,609,700</w:t>
            </w:r>
          </w:p>
        </w:tc>
        <w:tc>
          <w:tcPr>
            <w:tcW w:w="8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08" w:type="dxa"/>
            <w:gridSpan w:val="2"/>
            <w:tcBorders>
              <w:top w:val="single" w:sz="4" w:space="0" w:color="000000"/>
              <w:left w:val="single" w:sz="4" w:space="0" w:color="000000"/>
              <w:bottom w:val="single" w:sz="4" w:space="0" w:color="000000"/>
              <w:right w:val="single" w:sz="4" w:space="0" w:color="000000"/>
            </w:tcBorders>
          </w:tcPr>
          <w:p>
            <w:pPr/>
          </w:p>
        </w:tc>
        <w:tc>
          <w:tcPr>
            <w:tcW w:w="1304" w:type="dxa"/>
            <w:gridSpan w:val="2"/>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王廷月</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0"/>
              <w:jc w:val="right"/>
              <w:rPr>
                <w:rFonts w:ascii="Times New Roman" w:hAnsi="Times New Roman" w:cs="Times New Roman" w:eastAsia="Times New Roman" w:hint="default"/>
                <w:sz w:val="18"/>
                <w:szCs w:val="18"/>
              </w:rPr>
            </w:pPr>
            <w:r>
              <w:rPr>
                <w:rFonts w:ascii="Times New Roman"/>
                <w:sz w:val="18"/>
              </w:rPr>
              <w:t>4.12%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26,917,900</w:t>
            </w:r>
          </w:p>
        </w:tc>
        <w:tc>
          <w:tcPr>
            <w:tcW w:w="7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26,917,900</w:t>
            </w:r>
          </w:p>
        </w:tc>
        <w:tc>
          <w:tcPr>
            <w:tcW w:w="8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w:t>
            </w:r>
          </w:p>
        </w:tc>
        <w:tc>
          <w:tcPr>
            <w:tcW w:w="1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1" w:right="0"/>
              <w:jc w:val="left"/>
              <w:rPr>
                <w:rFonts w:ascii="Times New Roman" w:hAnsi="Times New Roman" w:cs="Times New Roman" w:eastAsia="Times New Roman" w:hint="default"/>
                <w:sz w:val="18"/>
                <w:szCs w:val="18"/>
              </w:rPr>
            </w:pPr>
            <w:r>
              <w:rPr>
                <w:rFonts w:ascii="Times New Roman"/>
                <w:sz w:val="18"/>
              </w:rPr>
              <w:t>26,917,500</w:t>
            </w:r>
          </w:p>
        </w:tc>
      </w:tr>
      <w:tr>
        <w:trPr>
          <w:trHeight w:val="790" w:hRule="exact"/>
        </w:trPr>
        <w:tc>
          <w:tcPr>
            <w:tcW w:w="14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32"/>
              <w:jc w:val="both"/>
              <w:rPr>
                <w:rFonts w:ascii="宋体" w:hAnsi="宋体" w:cs="宋体" w:eastAsia="宋体" w:hint="default"/>
                <w:sz w:val="18"/>
                <w:szCs w:val="18"/>
              </w:rPr>
            </w:pPr>
            <w:r>
              <w:rPr>
                <w:rFonts w:ascii="宋体" w:hAnsi="宋体" w:cs="宋体" w:eastAsia="宋体" w:hint="default"/>
                <w:sz w:val="18"/>
                <w:szCs w:val="18"/>
              </w:rPr>
              <w:t>深圳市宝安建设 投资集团有限公 司</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4.02%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26,261,759</w:t>
            </w:r>
          </w:p>
        </w:tc>
        <w:tc>
          <w:tcPr>
            <w:tcW w:w="7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26,261,759</w:t>
            </w:r>
          </w:p>
        </w:tc>
        <w:tc>
          <w:tcPr>
            <w:tcW w:w="1308" w:type="dxa"/>
            <w:gridSpan w:val="2"/>
            <w:tcBorders>
              <w:top w:val="single" w:sz="4" w:space="0" w:color="000000"/>
              <w:left w:val="single" w:sz="4" w:space="0" w:color="000000"/>
              <w:bottom w:val="single" w:sz="4" w:space="0" w:color="000000"/>
              <w:right w:val="single" w:sz="4" w:space="0" w:color="000000"/>
            </w:tcBorders>
          </w:tcPr>
          <w:p>
            <w:pPr/>
          </w:p>
        </w:tc>
        <w:tc>
          <w:tcPr>
            <w:tcW w:w="1304" w:type="dxa"/>
            <w:gridSpan w:val="2"/>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钱学宁</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0"/>
              <w:jc w:val="right"/>
              <w:rPr>
                <w:rFonts w:ascii="Times New Roman" w:hAnsi="Times New Roman" w:cs="Times New Roman" w:eastAsia="Times New Roman" w:hint="default"/>
                <w:sz w:val="18"/>
                <w:szCs w:val="18"/>
              </w:rPr>
            </w:pPr>
            <w:r>
              <w:rPr>
                <w:rFonts w:ascii="Times New Roman"/>
                <w:sz w:val="18"/>
              </w:rPr>
              <w:t>2.10%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13,729,000</w:t>
            </w:r>
          </w:p>
        </w:tc>
        <w:tc>
          <w:tcPr>
            <w:tcW w:w="7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270000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13,459,000</w:t>
            </w:r>
          </w:p>
        </w:tc>
        <w:tc>
          <w:tcPr>
            <w:tcW w:w="8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9" w:right="0"/>
              <w:jc w:val="left"/>
              <w:rPr>
                <w:rFonts w:ascii="Times New Roman" w:hAnsi="Times New Roman" w:cs="Times New Roman" w:eastAsia="Times New Roman" w:hint="default"/>
                <w:sz w:val="18"/>
                <w:szCs w:val="18"/>
              </w:rPr>
            </w:pPr>
            <w:r>
              <w:rPr>
                <w:rFonts w:ascii="Times New Roman"/>
                <w:sz w:val="18"/>
              </w:rPr>
              <w:t>270,000</w:t>
            </w:r>
          </w:p>
        </w:tc>
        <w:tc>
          <w:tcPr>
            <w:tcW w:w="1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1" w:right="0"/>
              <w:jc w:val="left"/>
              <w:rPr>
                <w:rFonts w:ascii="Times New Roman" w:hAnsi="Times New Roman" w:cs="Times New Roman" w:eastAsia="Times New Roman" w:hint="default"/>
                <w:sz w:val="18"/>
                <w:szCs w:val="18"/>
              </w:rPr>
            </w:pPr>
            <w:r>
              <w:rPr>
                <w:rFonts w:ascii="Times New Roman"/>
                <w:sz w:val="18"/>
              </w:rPr>
              <w:t>13,459,000</w:t>
            </w:r>
          </w:p>
        </w:tc>
      </w:tr>
      <w:tr>
        <w:trPr>
          <w:trHeight w:val="557" w:hRule="exact"/>
        </w:trPr>
        <w:tc>
          <w:tcPr>
            <w:tcW w:w="14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32"/>
              <w:jc w:val="left"/>
              <w:rPr>
                <w:rFonts w:ascii="宋体" w:hAnsi="宋体" w:cs="宋体" w:eastAsia="宋体" w:hint="default"/>
                <w:sz w:val="18"/>
                <w:szCs w:val="18"/>
              </w:rPr>
            </w:pPr>
            <w:r>
              <w:rPr>
                <w:rFonts w:ascii="宋体" w:hAnsi="宋体" w:cs="宋体" w:eastAsia="宋体" w:hint="default"/>
                <w:sz w:val="18"/>
                <w:szCs w:val="18"/>
              </w:rPr>
              <w:t>全国社保基金四 一三组合</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1.38%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9,000,006</w:t>
            </w:r>
          </w:p>
        </w:tc>
        <w:tc>
          <w:tcPr>
            <w:tcW w:w="7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6975951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9,000,006</w:t>
            </w:r>
          </w:p>
        </w:tc>
        <w:tc>
          <w:tcPr>
            <w:tcW w:w="1308" w:type="dxa"/>
            <w:gridSpan w:val="2"/>
            <w:tcBorders>
              <w:top w:val="single" w:sz="4" w:space="0" w:color="000000"/>
              <w:left w:val="single" w:sz="4" w:space="0" w:color="000000"/>
              <w:bottom w:val="single" w:sz="4" w:space="0" w:color="000000"/>
              <w:right w:val="single" w:sz="4" w:space="0" w:color="000000"/>
            </w:tcBorders>
          </w:tcPr>
          <w:p>
            <w:pPr/>
          </w:p>
        </w:tc>
        <w:tc>
          <w:tcPr>
            <w:tcW w:w="1304" w:type="dxa"/>
            <w:gridSpan w:val="2"/>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张明</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0"/>
              <w:jc w:val="right"/>
              <w:rPr>
                <w:rFonts w:ascii="Times New Roman" w:hAnsi="Times New Roman" w:cs="Times New Roman" w:eastAsia="Times New Roman" w:hint="default"/>
                <w:sz w:val="18"/>
                <w:szCs w:val="18"/>
              </w:rPr>
            </w:pPr>
            <w:r>
              <w:rPr>
                <w:rFonts w:ascii="Times New Roman"/>
                <w:sz w:val="18"/>
              </w:rPr>
              <w:t>1.03%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6,729,500</w:t>
            </w:r>
          </w:p>
        </w:tc>
        <w:tc>
          <w:tcPr>
            <w:tcW w:w="7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6,729,500</w:t>
            </w:r>
          </w:p>
        </w:tc>
        <w:tc>
          <w:tcPr>
            <w:tcW w:w="8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w:t>
            </w:r>
          </w:p>
        </w:tc>
        <w:tc>
          <w:tcPr>
            <w:tcW w:w="1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51" w:right="0"/>
              <w:jc w:val="left"/>
              <w:rPr>
                <w:rFonts w:ascii="Times New Roman" w:hAnsi="Times New Roman" w:cs="Times New Roman" w:eastAsia="Times New Roman" w:hint="default"/>
                <w:sz w:val="18"/>
                <w:szCs w:val="18"/>
              </w:rPr>
            </w:pPr>
            <w:r>
              <w:rPr>
                <w:rFonts w:ascii="Times New Roman"/>
                <w:sz w:val="18"/>
              </w:rPr>
              <w:t>3,550,000</w:t>
            </w:r>
          </w:p>
        </w:tc>
      </w:tr>
      <w:tr>
        <w:trPr>
          <w:trHeight w:val="323" w:hRule="exact"/>
        </w:trPr>
        <w:tc>
          <w:tcPr>
            <w:tcW w:w="14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郝峻晟</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0"/>
              <w:jc w:val="right"/>
              <w:rPr>
                <w:rFonts w:ascii="Times New Roman" w:hAnsi="Times New Roman" w:cs="Times New Roman" w:eastAsia="Times New Roman" w:hint="default"/>
                <w:sz w:val="18"/>
                <w:szCs w:val="18"/>
              </w:rPr>
            </w:pPr>
            <w:r>
              <w:rPr>
                <w:rFonts w:ascii="Times New Roman"/>
                <w:sz w:val="18"/>
              </w:rPr>
              <w:t>0.89%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5,804,000</w:t>
            </w:r>
          </w:p>
        </w:tc>
        <w:tc>
          <w:tcPr>
            <w:tcW w:w="7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5804000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8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3" w:right="0"/>
              <w:jc w:val="left"/>
              <w:rPr>
                <w:rFonts w:ascii="Times New Roman" w:hAnsi="Times New Roman" w:cs="Times New Roman" w:eastAsia="Times New Roman" w:hint="default"/>
                <w:sz w:val="18"/>
                <w:szCs w:val="18"/>
              </w:rPr>
            </w:pPr>
            <w:r>
              <w:rPr>
                <w:rFonts w:ascii="Times New Roman"/>
                <w:sz w:val="18"/>
              </w:rPr>
              <w:t>5,804,000</w:t>
            </w:r>
          </w:p>
        </w:tc>
        <w:tc>
          <w:tcPr>
            <w:tcW w:w="1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51" w:right="0"/>
              <w:jc w:val="left"/>
              <w:rPr>
                <w:rFonts w:ascii="Times New Roman" w:hAnsi="Times New Roman" w:cs="Times New Roman" w:eastAsia="Times New Roman" w:hint="default"/>
                <w:sz w:val="18"/>
                <w:szCs w:val="18"/>
              </w:rPr>
            </w:pPr>
            <w:r>
              <w:rPr>
                <w:rFonts w:ascii="Times New Roman"/>
                <w:sz w:val="18"/>
              </w:rPr>
              <w:t>5,803,700</w:t>
            </w:r>
          </w:p>
        </w:tc>
      </w:tr>
      <w:tr>
        <w:trPr>
          <w:trHeight w:val="791" w:hRule="exact"/>
        </w:trPr>
        <w:tc>
          <w:tcPr>
            <w:tcW w:w="279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21"/>
              <w:jc w:val="both"/>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20"/>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898" w:type="dxa"/>
            <w:gridSpan w:val="11"/>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239" w:hRule="exact"/>
        </w:trPr>
        <w:tc>
          <w:tcPr>
            <w:tcW w:w="2796"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898" w:type="dxa"/>
            <w:gridSpan w:val="11"/>
            <w:vMerge w:val="restart"/>
            <w:tcBorders>
              <w:top w:val="single" w:sz="4" w:space="0" w:color="000000"/>
              <w:left w:val="single" w:sz="10" w:space="0" w:color="D2D2D2"/>
              <w:right w:val="single" w:sz="4" w:space="0" w:color="000000"/>
            </w:tcBorders>
          </w:tcPr>
          <w:p>
            <w:pPr>
              <w:pStyle w:val="TableParagraph"/>
              <w:spacing w:line="242" w:lineRule="exact" w:before="9"/>
              <w:ind w:left="15" w:right="0"/>
              <w:jc w:val="both"/>
              <w:rPr>
                <w:rFonts w:ascii="宋体" w:hAnsi="宋体" w:cs="宋体" w:eastAsia="宋体" w:hint="default"/>
                <w:sz w:val="18"/>
                <w:szCs w:val="18"/>
              </w:rPr>
            </w:pPr>
            <w:r>
              <w:rPr>
                <w:rFonts w:ascii="宋体" w:hAnsi="宋体" w:cs="宋体" w:eastAsia="宋体" w:hint="default"/>
                <w:sz w:val="18"/>
                <w:szCs w:val="18"/>
              </w:rPr>
              <w:t>王晓岩先生与中国希格玛有限公司之间根据《企业会计准则第</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1"/>
                <w:sz w:val="18"/>
                <w:szCs w:val="18"/>
              </w:rPr>
              <w:t> </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关联方披露》的规</w:t>
            </w:r>
          </w:p>
          <w:p>
            <w:pPr>
              <w:pStyle w:val="TableParagraph"/>
              <w:spacing w:line="230" w:lineRule="auto" w:before="1"/>
              <w:ind w:left="15" w:right="20"/>
              <w:jc w:val="both"/>
              <w:rPr>
                <w:rFonts w:ascii="宋体" w:hAnsi="宋体" w:cs="宋体" w:eastAsia="宋体" w:hint="default"/>
                <w:sz w:val="18"/>
                <w:szCs w:val="18"/>
              </w:rPr>
            </w:pPr>
            <w:r>
              <w:rPr>
                <w:rFonts w:ascii="宋体" w:hAnsi="宋体" w:cs="宋体" w:eastAsia="宋体" w:hint="default"/>
                <w:spacing w:val="-4"/>
                <w:sz w:val="18"/>
                <w:szCs w:val="18"/>
              </w:rPr>
              <w:t>定存在关联关系。中信建投基金</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中信证券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中信建投基金定增</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号资产管理计划与郭</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为先生为一致行动人。未知其余股东之间是否存在关联关系或存在《上市公司收购管理 办法》规定的一致行动人的情形。</w:t>
            </w:r>
          </w:p>
        </w:tc>
      </w:tr>
      <w:tr>
        <w:trPr>
          <w:trHeight w:val="546" w:hRule="exact"/>
        </w:trPr>
        <w:tc>
          <w:tcPr>
            <w:tcW w:w="2796"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2" w:lineRule="exact" w:before="34"/>
              <w:ind w:left="22" w:right="63"/>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898" w:type="dxa"/>
            <w:gridSpan w:val="11"/>
            <w:vMerge/>
            <w:tcBorders>
              <w:left w:val="single" w:sz="10" w:space="0" w:color="D2D2D2"/>
              <w:right w:val="single" w:sz="4" w:space="0" w:color="000000"/>
            </w:tcBorders>
          </w:tcPr>
          <w:p>
            <w:pPr/>
          </w:p>
        </w:tc>
      </w:tr>
      <w:tr>
        <w:trPr>
          <w:trHeight w:val="239" w:hRule="exact"/>
        </w:trPr>
        <w:tc>
          <w:tcPr>
            <w:tcW w:w="2796"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898" w:type="dxa"/>
            <w:gridSpan w:val="11"/>
            <w:vMerge/>
            <w:tcBorders>
              <w:left w:val="single" w:sz="10" w:space="0" w:color="D2D2D2"/>
              <w:bottom w:val="single" w:sz="4" w:space="0" w:color="000000"/>
              <w:right w:val="single" w:sz="4" w:space="0" w:color="000000"/>
            </w:tcBorders>
          </w:tcPr>
          <w:p>
            <w:pPr/>
          </w:p>
        </w:tc>
      </w:tr>
      <w:tr>
        <w:trPr>
          <w:trHeight w:val="323" w:hRule="exact"/>
        </w:trPr>
        <w:tc>
          <w:tcPr>
            <w:tcW w:w="9695"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166" w:hRule="exact"/>
        </w:trPr>
        <w:tc>
          <w:tcPr>
            <w:tcW w:w="2796"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4286" w:type="dxa"/>
            <w:gridSpan w:val="7"/>
            <w:tcBorders>
              <w:top w:val="single" w:sz="4" w:space="0" w:color="000000"/>
              <w:left w:val="single" w:sz="4" w:space="0" w:color="000000"/>
              <w:bottom w:val="nil" w:sz="6" w:space="0" w:color="auto"/>
              <w:right w:val="single" w:sz="4" w:space="0" w:color="000000"/>
            </w:tcBorders>
            <w:shd w:val="clear" w:color="auto" w:fill="D2D2D2"/>
          </w:tcPr>
          <w:p>
            <w:pPr/>
          </w:p>
        </w:tc>
        <w:tc>
          <w:tcPr>
            <w:tcW w:w="261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52" w:hRule="exact"/>
        </w:trPr>
        <w:tc>
          <w:tcPr>
            <w:tcW w:w="2796"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286" w:type="dxa"/>
            <w:gridSpan w:val="7"/>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787"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12" w:type="dxa"/>
            <w:gridSpan w:val="4"/>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2796" w:type="dxa"/>
            <w:gridSpan w:val="4"/>
            <w:vMerge/>
            <w:tcBorders>
              <w:left w:val="single" w:sz="4" w:space="0" w:color="000000"/>
              <w:bottom w:val="nil" w:sz="6" w:space="0" w:color="auto"/>
              <w:right w:val="single" w:sz="4" w:space="0" w:color="000000"/>
            </w:tcBorders>
            <w:shd w:val="clear" w:color="auto" w:fill="D2D2D2"/>
          </w:tcPr>
          <w:p>
            <w:pPr/>
          </w:p>
        </w:tc>
        <w:tc>
          <w:tcPr>
            <w:tcW w:w="4286" w:type="dxa"/>
            <w:gridSpan w:val="7"/>
            <w:vMerge/>
            <w:tcBorders>
              <w:left w:val="single" w:sz="4" w:space="0" w:color="000000"/>
              <w:bottom w:val="nil" w:sz="6" w:space="0" w:color="auto"/>
              <w:right w:val="single" w:sz="4" w:space="0" w:color="000000"/>
            </w:tcBorders>
            <w:shd w:val="clear" w:color="auto" w:fill="D2D2D2"/>
          </w:tcPr>
          <w:p>
            <w:pPr/>
          </w:p>
        </w:tc>
        <w:tc>
          <w:tcPr>
            <w:tcW w:w="130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28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0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66" w:hRule="exact"/>
        </w:trPr>
        <w:tc>
          <w:tcPr>
            <w:tcW w:w="2796"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4286" w:type="dxa"/>
            <w:gridSpan w:val="7"/>
            <w:tcBorders>
              <w:top w:val="nil" w:sz="6" w:space="0" w:color="auto"/>
              <w:left w:val="single" w:sz="4" w:space="0" w:color="000000"/>
              <w:bottom w:val="single" w:sz="4" w:space="0" w:color="000000"/>
              <w:right w:val="single" w:sz="4" w:space="0" w:color="000000"/>
            </w:tcBorders>
            <w:shd w:val="clear" w:color="auto" w:fill="D2D2D2"/>
          </w:tcPr>
          <w:p>
            <w:pPr/>
          </w:p>
        </w:tc>
        <w:tc>
          <w:tcPr>
            <w:tcW w:w="1308" w:type="dxa"/>
            <w:gridSpan w:val="2"/>
            <w:vMerge/>
            <w:tcBorders>
              <w:left w:val="single" w:sz="4" w:space="0" w:color="000000"/>
              <w:bottom w:val="single" w:sz="4" w:space="0" w:color="000000"/>
              <w:right w:val="single" w:sz="4" w:space="0" w:color="000000"/>
            </w:tcBorders>
            <w:shd w:val="clear" w:color="auto" w:fill="D2D2D2"/>
          </w:tcPr>
          <w:p>
            <w:pPr/>
          </w:p>
        </w:tc>
        <w:tc>
          <w:tcPr>
            <w:tcW w:w="1304" w:type="dxa"/>
            <w:gridSpan w:val="2"/>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27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中国希格玛有限公司</w:t>
            </w:r>
          </w:p>
        </w:tc>
        <w:tc>
          <w:tcPr>
            <w:tcW w:w="428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80,185,746</w:t>
            </w:r>
          </w:p>
        </w:tc>
        <w:tc>
          <w:tcPr>
            <w:tcW w:w="1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1" w:right="0"/>
              <w:jc w:val="left"/>
              <w:rPr>
                <w:rFonts w:ascii="Times New Roman" w:hAnsi="Times New Roman" w:cs="Times New Roman" w:eastAsia="Times New Roman" w:hint="default"/>
                <w:sz w:val="18"/>
                <w:szCs w:val="18"/>
              </w:rPr>
            </w:pPr>
            <w:r>
              <w:rPr>
                <w:rFonts w:ascii="Times New Roman"/>
                <w:sz w:val="18"/>
              </w:rPr>
              <w:t>80,185,746</w:t>
            </w:r>
          </w:p>
        </w:tc>
      </w:tr>
      <w:tr>
        <w:trPr>
          <w:trHeight w:val="323" w:hRule="exact"/>
        </w:trPr>
        <w:tc>
          <w:tcPr>
            <w:tcW w:w="27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深圳市宝安建设投资集团有限公司</w:t>
            </w:r>
          </w:p>
        </w:tc>
        <w:tc>
          <w:tcPr>
            <w:tcW w:w="428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26,261,759</w:t>
            </w:r>
          </w:p>
        </w:tc>
        <w:tc>
          <w:tcPr>
            <w:tcW w:w="1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1" w:right="0"/>
              <w:jc w:val="left"/>
              <w:rPr>
                <w:rFonts w:ascii="Times New Roman" w:hAnsi="Times New Roman" w:cs="Times New Roman" w:eastAsia="Times New Roman" w:hint="default"/>
                <w:sz w:val="18"/>
                <w:szCs w:val="18"/>
              </w:rPr>
            </w:pPr>
            <w:r>
              <w:rPr>
                <w:rFonts w:ascii="Times New Roman"/>
                <w:sz w:val="18"/>
              </w:rPr>
              <w:t>26,261,759</w:t>
            </w:r>
          </w:p>
        </w:tc>
      </w:tr>
      <w:tr>
        <w:trPr>
          <w:trHeight w:val="324" w:hRule="exact"/>
        </w:trPr>
        <w:tc>
          <w:tcPr>
            <w:tcW w:w="27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全国社保基金四一三组合</w:t>
            </w:r>
          </w:p>
        </w:tc>
        <w:tc>
          <w:tcPr>
            <w:tcW w:w="428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9,000,006</w:t>
            </w:r>
          </w:p>
        </w:tc>
        <w:tc>
          <w:tcPr>
            <w:tcW w:w="1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51" w:right="0"/>
              <w:jc w:val="left"/>
              <w:rPr>
                <w:rFonts w:ascii="Times New Roman" w:hAnsi="Times New Roman" w:cs="Times New Roman" w:eastAsia="Times New Roman" w:hint="default"/>
                <w:sz w:val="18"/>
                <w:szCs w:val="18"/>
              </w:rPr>
            </w:pPr>
            <w:r>
              <w:rPr>
                <w:rFonts w:ascii="Times New Roman"/>
                <w:sz w:val="18"/>
              </w:rPr>
              <w:t>9,000,006</w:t>
            </w:r>
          </w:p>
        </w:tc>
      </w:tr>
      <w:tr>
        <w:trPr>
          <w:trHeight w:val="324" w:hRule="exact"/>
        </w:trPr>
        <w:tc>
          <w:tcPr>
            <w:tcW w:w="27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郝峻晟</w:t>
            </w:r>
          </w:p>
        </w:tc>
        <w:tc>
          <w:tcPr>
            <w:tcW w:w="428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5,804,000</w:t>
            </w:r>
          </w:p>
        </w:tc>
        <w:tc>
          <w:tcPr>
            <w:tcW w:w="1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51" w:right="0"/>
              <w:jc w:val="left"/>
              <w:rPr>
                <w:rFonts w:ascii="Times New Roman" w:hAnsi="Times New Roman" w:cs="Times New Roman" w:eastAsia="Times New Roman" w:hint="default"/>
                <w:sz w:val="18"/>
                <w:szCs w:val="18"/>
              </w:rPr>
            </w:pPr>
            <w:r>
              <w:rPr>
                <w:rFonts w:ascii="Times New Roman"/>
                <w:sz w:val="18"/>
              </w:rPr>
              <w:t>5,804,000</w:t>
            </w:r>
          </w:p>
        </w:tc>
      </w:tr>
      <w:tr>
        <w:trPr>
          <w:trHeight w:val="323" w:hRule="exact"/>
        </w:trPr>
        <w:tc>
          <w:tcPr>
            <w:tcW w:w="27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重庆国投股权投资管理有限公司</w:t>
            </w:r>
          </w:p>
        </w:tc>
        <w:tc>
          <w:tcPr>
            <w:tcW w:w="428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5,094,081</w:t>
            </w:r>
          </w:p>
        </w:tc>
        <w:tc>
          <w:tcPr>
            <w:tcW w:w="1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51" w:right="0"/>
              <w:jc w:val="left"/>
              <w:rPr>
                <w:rFonts w:ascii="Times New Roman" w:hAnsi="Times New Roman" w:cs="Times New Roman" w:eastAsia="Times New Roman" w:hint="default"/>
                <w:sz w:val="18"/>
                <w:szCs w:val="18"/>
              </w:rPr>
            </w:pPr>
            <w:r>
              <w:rPr>
                <w:rFonts w:ascii="Times New Roman"/>
                <w:sz w:val="18"/>
              </w:rPr>
              <w:t>5,094,081</w:t>
            </w:r>
          </w:p>
        </w:tc>
      </w:tr>
      <w:tr>
        <w:trPr>
          <w:trHeight w:val="324" w:hRule="exact"/>
        </w:trPr>
        <w:tc>
          <w:tcPr>
            <w:tcW w:w="27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中国信达资产管理股份有限公司</w:t>
            </w:r>
          </w:p>
        </w:tc>
        <w:tc>
          <w:tcPr>
            <w:tcW w:w="428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4,417,982</w:t>
            </w:r>
          </w:p>
        </w:tc>
        <w:tc>
          <w:tcPr>
            <w:tcW w:w="1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51" w:right="0"/>
              <w:jc w:val="left"/>
              <w:rPr>
                <w:rFonts w:ascii="Times New Roman" w:hAnsi="Times New Roman" w:cs="Times New Roman" w:eastAsia="Times New Roman" w:hint="default"/>
                <w:sz w:val="18"/>
                <w:szCs w:val="18"/>
              </w:rPr>
            </w:pPr>
            <w:r>
              <w:rPr>
                <w:rFonts w:ascii="Times New Roman"/>
                <w:sz w:val="18"/>
              </w:rPr>
              <w:t>4,417,982</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BodyText"/>
        <w:spacing w:line="240" w:lineRule="auto" w:before="44"/>
        <w:ind w:left="0" w:right="1042"/>
        <w:jc w:val="right"/>
      </w:pPr>
      <w:r>
        <w:rPr/>
        <w:pict>
          <v:shape style="position:absolute;margin-left:55.080002pt;margin-top:-92.668304pt;width:485.5pt;height:155.9pt;mso-position-horizontal-relative:page;mso-position-vertical-relative:paragraph;z-index:22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96"/>
                    <w:gridCol w:w="4286"/>
                    <w:gridCol w:w="1308"/>
                    <w:gridCol w:w="1304"/>
                  </w:tblGrid>
                  <w:tr>
                    <w:trPr>
                      <w:trHeight w:val="324"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朱丽英</w:t>
                        </w:r>
                      </w:p>
                    </w:tc>
                    <w:tc>
                      <w:tcPr>
                        <w:tcW w:w="4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4,369,470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4,369,470</w:t>
                        </w:r>
                      </w:p>
                    </w:tc>
                  </w:tr>
                  <w:tr>
                    <w:trPr>
                      <w:trHeight w:val="557"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63"/>
                          <w:jc w:val="left"/>
                          <w:rPr>
                            <w:rFonts w:ascii="宋体" w:hAnsi="宋体" w:cs="宋体" w:eastAsia="宋体" w:hint="default"/>
                            <w:sz w:val="18"/>
                            <w:szCs w:val="18"/>
                          </w:rPr>
                        </w:pPr>
                        <w:r>
                          <w:rPr>
                            <w:rFonts w:ascii="宋体" w:hAnsi="宋体" w:cs="宋体" w:eastAsia="宋体" w:hint="default"/>
                            <w:sz w:val="18"/>
                            <w:szCs w:val="18"/>
                          </w:rPr>
                          <w:t>太平人寿保险有限公司－分红－个 险分红</w:t>
                        </w:r>
                      </w:p>
                    </w:tc>
                    <w:tc>
                      <w:tcPr>
                        <w:tcW w:w="4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4,000,034</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4,000,034</w:t>
                        </w:r>
                      </w:p>
                    </w:tc>
                  </w:tr>
                  <w:tr>
                    <w:trPr>
                      <w:trHeight w:val="323"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全国社保基金四一二组合</w:t>
                        </w:r>
                      </w:p>
                    </w:tc>
                    <w:tc>
                      <w:tcPr>
                        <w:tcW w:w="4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3,490,700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3,490,700</w:t>
                        </w:r>
                      </w:p>
                    </w:tc>
                  </w:tr>
                  <w:tr>
                    <w:trPr>
                      <w:trHeight w:val="324"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郑礼灿</w:t>
                        </w:r>
                      </w:p>
                    </w:tc>
                    <w:tc>
                      <w:tcPr>
                        <w:tcW w:w="4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3,394,493</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3,394,493</w:t>
                        </w:r>
                      </w:p>
                    </w:tc>
                  </w:tr>
                  <w:tr>
                    <w:trPr>
                      <w:trHeight w:val="1024"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9"/>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pacing w:val="-4"/>
                            <w:sz w:val="18"/>
                            <w:szCs w:val="18"/>
                          </w:rPr>
                          <w:t>名无限售流通股股东之间，以</w:t>
                        </w:r>
                      </w:p>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名无限售流通股股东和前</w:t>
                        </w:r>
                      </w:p>
                      <w:p>
                        <w:pPr>
                          <w:pStyle w:val="TableParagraph"/>
                          <w:spacing w:line="234" w:lineRule="exact" w:before="15"/>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名股东之间关联关系或一致行动 的说明</w:t>
                        </w:r>
                      </w:p>
                    </w:tc>
                    <w:tc>
                      <w:tcPr>
                        <w:tcW w:w="68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4" w:lineRule="exact" w:before="149"/>
                          <w:ind w:left="22" w:right="53"/>
                          <w:jc w:val="left"/>
                          <w:rPr>
                            <w:rFonts w:ascii="宋体" w:hAnsi="宋体" w:cs="宋体" w:eastAsia="宋体" w:hint="default"/>
                            <w:sz w:val="18"/>
                            <w:szCs w:val="18"/>
                          </w:rPr>
                        </w:pPr>
                        <w:r>
                          <w:rPr>
                            <w:rFonts w:ascii="宋体" w:hAnsi="宋体" w:cs="宋体" w:eastAsia="宋体" w:hint="default"/>
                            <w:sz w:val="18"/>
                            <w:szCs w:val="18"/>
                          </w:rPr>
                          <w:t>王晓岩先生与中国希格玛有限公司之间根据《企业会计准则第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关联方披露》的规 </w:t>
                        </w:r>
                        <w:r>
                          <w:rPr>
                            <w:rFonts w:ascii="宋体" w:hAnsi="宋体" w:cs="宋体" w:eastAsia="宋体" w:hint="default"/>
                            <w:spacing w:val="-3"/>
                            <w:sz w:val="18"/>
                            <w:szCs w:val="18"/>
                          </w:rPr>
                          <w:t>定存在关联关系。未知其余股东之间是否存在关联关系或存在《上市公司收购管理办法</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规定的一致行动人的情形。</w:t>
                        </w:r>
                      </w:p>
                    </w:tc>
                  </w:tr>
                  <w:tr>
                    <w:trPr>
                      <w:trHeight w:val="557"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17"/>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 </w:t>
                        </w:r>
                        <w:r>
                          <w:rPr>
                            <w:rFonts w:ascii="宋体" w:hAnsi="宋体" w:cs="宋体" w:eastAsia="宋体" w:hint="default"/>
                            <w:spacing w:val="-7"/>
                            <w:sz w:val="18"/>
                            <w:szCs w:val="18"/>
                          </w:rPr>
                          <w:t>业务情况说明（如有）（参见注</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8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2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24"/>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2、公司控股股东情况" w:id="115"/>
      <w:bookmarkEnd w:id="115"/>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0"/>
        <w:rPr>
          <w:rFonts w:ascii="宋体" w:hAnsi="宋体" w:cs="宋体" w:eastAsia="宋体" w:hint="default"/>
          <w:b/>
          <w:bCs/>
          <w:sz w:val="22"/>
          <w:szCs w:val="22"/>
        </w:rPr>
      </w:pPr>
    </w:p>
    <w:p>
      <w:pPr>
        <w:pStyle w:val="BodyText"/>
        <w:spacing w:line="278" w:lineRule="auto"/>
        <w:ind w:right="8592"/>
        <w:jc w:val="left"/>
      </w:pPr>
      <w:r>
        <w:rPr/>
        <w:t>控股股东性质：自然人控股 控股股东类型：自然人</w:t>
      </w:r>
    </w:p>
    <w:p>
      <w:pPr>
        <w:spacing w:line="240" w:lineRule="auto" w:before="1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930"/>
        <w:gridCol w:w="1700"/>
        <w:gridCol w:w="2938"/>
      </w:tblGrid>
      <w:tr>
        <w:trPr>
          <w:trHeight w:val="323" w:hRule="exact"/>
        </w:trPr>
        <w:tc>
          <w:tcPr>
            <w:tcW w:w="4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2"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323" w:hRule="exact"/>
        </w:trPr>
        <w:tc>
          <w:tcPr>
            <w:tcW w:w="4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4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4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神州数码集团股份有限公司董事长、总裁</w:t>
            </w:r>
          </w:p>
        </w:tc>
      </w:tr>
      <w:tr>
        <w:trPr>
          <w:trHeight w:val="324" w:hRule="exact"/>
        </w:trPr>
        <w:tc>
          <w:tcPr>
            <w:tcW w:w="4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报告期内控股和参股的其他境内外上市公司的股权情况</w:t>
            </w:r>
          </w:p>
        </w:tc>
        <w:tc>
          <w:tcPr>
            <w:tcW w:w="4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10"/>
        <w:ind w:right="0"/>
        <w:jc w:val="left"/>
      </w:pPr>
      <w:r>
        <w:rPr/>
        <w:t>控股股东报告期内变更</w:t>
      </w:r>
    </w:p>
    <w:p>
      <w:pPr>
        <w:pStyle w:val="BodyText"/>
        <w:spacing w:line="264" w:lineRule="auto" w:before="3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公司实际控制人及其一致行动人" w:id="116"/>
      <w:bookmarkEnd w:id="116"/>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12"/>
        <w:rPr>
          <w:rFonts w:ascii="宋体" w:hAnsi="宋体" w:cs="宋体" w:eastAsia="宋体" w:hint="default"/>
          <w:b/>
          <w:bCs/>
          <w:sz w:val="21"/>
          <w:szCs w:val="21"/>
        </w:rPr>
      </w:pPr>
    </w:p>
    <w:p>
      <w:pPr>
        <w:pStyle w:val="BodyText"/>
        <w:spacing w:line="278" w:lineRule="auto"/>
        <w:ind w:right="8412"/>
        <w:jc w:val="left"/>
      </w:pPr>
      <w:r>
        <w:rPr/>
        <w:t>实际控制人性质：境内自然人 实际控制人类型：自然人</w:t>
      </w:r>
    </w:p>
    <w:p>
      <w:pPr>
        <w:spacing w:line="240" w:lineRule="auto" w:before="0"/>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3653"/>
        <w:gridCol w:w="1559"/>
        <w:gridCol w:w="1560"/>
        <w:gridCol w:w="2796"/>
      </w:tblGrid>
      <w:tr>
        <w:trPr>
          <w:trHeight w:val="324" w:hRule="exact"/>
        </w:trPr>
        <w:tc>
          <w:tcPr>
            <w:tcW w:w="3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9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3"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31"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32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3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59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神州数码集团股份有限公司董事长、总裁</w:t>
            </w:r>
          </w:p>
        </w:tc>
      </w:tr>
      <w:tr>
        <w:trPr>
          <w:trHeight w:val="324" w:hRule="exact"/>
        </w:trPr>
        <w:tc>
          <w:tcPr>
            <w:tcW w:w="3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59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10"/>
        <w:ind w:right="0"/>
        <w:jc w:val="left"/>
      </w:pPr>
      <w:r>
        <w:rPr/>
        <w:t>实际控制人报告期内变更</w:t>
      </w:r>
    </w:p>
    <w:p>
      <w:pPr>
        <w:pStyle w:val="BodyText"/>
        <w:spacing w:line="271" w:lineRule="auto" w:before="37"/>
        <w:ind w:right="6792"/>
        <w:jc w:val="left"/>
      </w:pPr>
      <w:r>
        <w:rPr/>
        <w:pict>
          <v:shape style="position:absolute;margin-left:256.5pt;margin-top:53.701721pt;width:82.95pt;height:27.2pt;mso-position-horizontal-relative:page;mso-position-vertical-relative:paragraph;z-index:-1465240" type="#_x0000_t202" filled="false" stroked="false">
            <v:textbox inset="0,0,0,0">
              <w:txbxContent>
                <w:p>
                  <w:pPr>
                    <w:spacing w:line="240" w:lineRule="auto" w:before="1"/>
                    <w:rPr>
                      <w:rFonts w:ascii="宋体" w:hAnsi="宋体" w:cs="宋体" w:eastAsia="宋体" w:hint="default"/>
                      <w:sz w:val="23"/>
                      <w:szCs w:val="23"/>
                    </w:rPr>
                  </w:pPr>
                </w:p>
                <w:p>
                  <w:pPr>
                    <w:pStyle w:val="BodyText"/>
                    <w:spacing w:line="240" w:lineRule="auto"/>
                    <w:ind w:left="864" w:right="0"/>
                    <w:jc w:val="left"/>
                    <w:rPr>
                      <w:rFonts w:ascii="Times New Roman" w:hAnsi="Times New Roman" w:cs="Times New Roman" w:eastAsia="Times New Roman" w:hint="default"/>
                    </w:rPr>
                  </w:pPr>
                  <w:r>
                    <w:rPr>
                      <w:rFonts w:ascii="Times New Roman"/>
                    </w:rPr>
                    <w:t>23.66%</w:t>
                  </w: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2"/>
        <w:rPr>
          <w:rFonts w:ascii="宋体" w:hAnsi="宋体" w:cs="宋体" w:eastAsia="宋体" w:hint="default"/>
          <w:sz w:val="17"/>
          <w:szCs w:val="17"/>
        </w:rPr>
      </w:pPr>
    </w:p>
    <w:p>
      <w:pPr>
        <w:spacing w:line="1759" w:lineRule="exact"/>
        <w:ind w:left="3257" w:right="0" w:firstLine="0"/>
        <w:rPr>
          <w:rFonts w:ascii="宋体" w:hAnsi="宋体" w:cs="宋体" w:eastAsia="宋体" w:hint="default"/>
          <w:sz w:val="20"/>
          <w:szCs w:val="20"/>
        </w:rPr>
      </w:pPr>
      <w:r>
        <w:rPr>
          <w:rFonts w:ascii="宋体" w:hAnsi="宋体" w:cs="宋体" w:eastAsia="宋体" w:hint="default"/>
          <w:position w:val="-34"/>
          <w:sz w:val="20"/>
          <w:szCs w:val="20"/>
        </w:rPr>
        <w:pict>
          <v:group style="width:176.55pt;height:87.95pt;mso-position-horizontal-relative:char;mso-position-vertical-relative:line" coordorigin="0,0" coordsize="3531,1759">
            <v:group style="position:absolute;left:893;top:8;width:1659;height:544" coordorigin="893,8" coordsize="1659,544">
              <v:shape style="position:absolute;left:893;top:8;width:1659;height:544" coordorigin="893,8" coordsize="1659,544" path="m893,551l2552,551,2552,8,893,8,893,551xe" filled="true" fillcolor="#ffffff" stroked="false">
                <v:path arrowok="t"/>
                <v:fill type="solid"/>
              </v:shape>
            </v:group>
            <v:group style="position:absolute;left:893;top:8;width:1659;height:544" coordorigin="893,8" coordsize="1659,544">
              <v:shape style="position:absolute;left:893;top:8;width:1659;height:544" coordorigin="893,8" coordsize="1659,544" path="m893,551l2552,551,2552,8,893,8,893,551xe" filled="false" stroked="true" strokeweight=".75pt" strokecolor="#000000">
                <v:path arrowok="t"/>
              </v:shape>
            </v:group>
            <v:group style="position:absolute;left:1626;top:595;width:120;height:460" coordorigin="1626,595" coordsize="120,460">
              <v:shape style="position:absolute;left:1626;top:595;width:120;height:460" coordorigin="1626,595" coordsize="120,460" path="m1676,935l1626,935,1686,1055,1731,965,1681,965,1676,960,1676,935xe" filled="true" fillcolor="#000000" stroked="false">
                <v:path arrowok="t"/>
                <v:fill type="solid"/>
              </v:shape>
              <v:shape style="position:absolute;left:1626;top:595;width:120;height:460" coordorigin="1626,595" coordsize="120,460" path="m1692,595l1681,595,1676,599,1676,960,1681,965,1692,965,1696,960,1696,599,1692,595xe" filled="true" fillcolor="#000000" stroked="false">
                <v:path arrowok="t"/>
                <v:fill type="solid"/>
              </v:shape>
              <v:shape style="position:absolute;left:1626;top:595;width:120;height:460" coordorigin="1626,595" coordsize="120,460" path="m1746,935l1696,935,1696,960,1692,965,1731,965,1746,935xe" filled="true" fillcolor="#000000" stroked="false">
                <v:path arrowok="t"/>
                <v:fill type="solid"/>
              </v:shape>
            </v:group>
            <v:group style="position:absolute;left:8;top:1062;width:3516;height:690" coordorigin="8,1062" coordsize="3516,690">
              <v:shape style="position:absolute;left:8;top:1062;width:3516;height:690" coordorigin="8,1062" coordsize="3516,690" path="m8,1752l3524,1752,3524,1062,8,1062,8,1752xe" filled="false" stroked="true" strokeweight=".75pt" strokecolor="#000000">
                <v:path arrowok="t"/>
              </v:shape>
              <v:shape style="position:absolute;left:1799;top:740;width:55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23.66%</w:t>
                      </w:r>
                    </w:p>
                  </w:txbxContent>
                </v:textbox>
                <w10:wrap type="none"/>
              </v:shape>
            </v:group>
          </v:group>
        </w:pict>
      </w:r>
      <w:r>
        <w:rPr>
          <w:rFonts w:ascii="宋体" w:hAnsi="宋体" w:cs="宋体" w:eastAsia="宋体" w:hint="default"/>
          <w:position w:val="-34"/>
          <w:sz w:val="20"/>
          <w:szCs w:val="20"/>
        </w:rPr>
      </w:r>
    </w:p>
    <w:p>
      <w:pPr>
        <w:spacing w:line="240" w:lineRule="auto" w:before="8"/>
        <w:rPr>
          <w:rFonts w:ascii="宋体" w:hAnsi="宋体" w:cs="宋体" w:eastAsia="宋体" w:hint="default"/>
          <w:sz w:val="13"/>
          <w:szCs w:val="13"/>
        </w:rPr>
      </w:pPr>
    </w:p>
    <w:p>
      <w:pPr>
        <w:pStyle w:val="BodyText"/>
        <w:spacing w:line="240" w:lineRule="auto" w:before="44"/>
        <w:ind w:right="0"/>
        <w:jc w:val="left"/>
      </w:pPr>
      <w:r>
        <w:rPr/>
        <w:t>实际控制人通过信托或其他资产管理方式控制公司</w:t>
      </w:r>
    </w:p>
    <w:p>
      <w:pPr>
        <w:spacing w:after="0" w:line="240" w:lineRule="auto"/>
        <w:jc w:val="left"/>
        <w:sectPr>
          <w:pgSz w:w="11910" w:h="16840"/>
          <w:pgMar w:header="877" w:footer="979" w:top="1100" w:bottom="1160" w:left="980" w:right="0"/>
        </w:sectPr>
      </w:pPr>
    </w:p>
    <w:p>
      <w:pPr>
        <w:spacing w:line="240" w:lineRule="auto" w:before="10"/>
        <w:rPr>
          <w:rFonts w:ascii="宋体" w:hAnsi="宋体" w:cs="宋体" w:eastAsia="宋体" w:hint="default"/>
          <w:sz w:val="18"/>
          <w:szCs w:val="18"/>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4、其他持股在10%以上的法人股东" w:id="117"/>
      <w:bookmarkEnd w:id="117"/>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BodyText"/>
        <w:spacing w:line="240" w:lineRule="auto" w:before="44"/>
        <w:ind w:left="0" w:right="1041"/>
        <w:jc w:val="right"/>
      </w:pPr>
      <w:r>
        <w:rPr/>
        <w:pict>
          <v:shape style="position:absolute;margin-left:55.080002pt;margin-top:-38.318253pt;width:485.5pt;height:114.55pt;mso-position-horizontal-relative:page;mso-position-vertical-relative:paragraph;z-index:22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34"/>
                    <w:gridCol w:w="1192"/>
                    <w:gridCol w:w="1708"/>
                    <w:gridCol w:w="1710"/>
                    <w:gridCol w:w="3051"/>
                  </w:tblGrid>
                  <w:tr>
                    <w:trPr>
                      <w:trHeight w:val="556" w:hRule="exact"/>
                    </w:trPr>
                    <w:tc>
                      <w:tcPr>
                        <w:tcW w:w="2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71"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4"/>
                          <w:ind w:left="230" w:right="24" w:hanging="20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 位负责人</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88"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9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530"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1724" w:hRule="exact"/>
                    </w:trPr>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中国希格玛有限公司</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王晓岩</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10037  </w:t>
                        </w:r>
                        <w:r>
                          <w:rPr>
                            <w:rFonts w:ascii="宋体" w:hAnsi="宋体" w:cs="宋体" w:eastAsia="宋体" w:hint="default"/>
                            <w:sz w:val="18"/>
                            <w:szCs w:val="18"/>
                          </w:rPr>
                          <w:t>万人民币</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4" w:right="21"/>
                          <w:jc w:val="left"/>
                          <w:rPr>
                            <w:rFonts w:ascii="宋体" w:hAnsi="宋体" w:cs="宋体" w:eastAsia="宋体" w:hint="default"/>
                            <w:sz w:val="18"/>
                            <w:szCs w:val="18"/>
                          </w:rPr>
                        </w:pPr>
                        <w:r>
                          <w:rPr>
                            <w:rFonts w:ascii="宋体" w:hAnsi="宋体" w:cs="宋体" w:eastAsia="宋体" w:hint="default"/>
                            <w:spacing w:val="-4"/>
                            <w:sz w:val="18"/>
                            <w:szCs w:val="18"/>
                          </w:rPr>
                          <w:t>高新技术、新工艺、新产品的开发、生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产、销售；化工原材料（危险品除外）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建筑材料、计算机软硬件、电子电器设</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备、有线通讯设备、机械设备、家用电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器的开发、生产、销售；装饰装修工程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百货的销售；上述范围的项目承包、技</w:t>
                        </w:r>
                        <w:r>
                          <w:rPr>
                            <w:rFonts w:ascii="宋体" w:hAnsi="宋体" w:cs="宋体" w:eastAsia="宋体" w:hint="default"/>
                            <w:sz w:val="18"/>
                            <w:szCs w:val="18"/>
                          </w:rPr>
                          <w:t> 术咨询、信息咨询。</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240" w:lineRule="auto"/>
        <w:ind w:left="0" w:right="1041"/>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控股股东、实际控制人、重组方及其他承诺主体股份限制减持情况" w:id="118"/>
      <w:bookmarkEnd w:id="118"/>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86" w:right="0"/>
        <w:jc w:val="left"/>
        <w:rPr>
          <w:b w:val="0"/>
          <w:bCs w:val="0"/>
        </w:rPr>
      </w:pPr>
      <w:bookmarkStart w:name="第七节 优先股相关情况" w:id="119"/>
      <w:bookmarkEnd w:id="119"/>
      <w:r>
        <w:rPr>
          <w:b w:val="0"/>
          <w:bCs w:val="0"/>
        </w:rPr>
      </w:r>
      <w:bookmarkStart w:name="_bookmark5" w:id="120"/>
      <w:bookmarkEnd w:id="120"/>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264" w:lineRule="auto" w:before="44"/>
        <w:ind w:right="85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264"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1680" w:right="0"/>
        <w:jc w:val="left"/>
        <w:rPr>
          <w:b w:val="0"/>
          <w:bCs w:val="0"/>
        </w:rPr>
      </w:pPr>
      <w:bookmarkStart w:name="第八节 董事、监事、高级管理人员和员工情况" w:id="121"/>
      <w:bookmarkEnd w:id="121"/>
      <w:r>
        <w:rPr>
          <w:b w:val="0"/>
          <w:bCs w:val="0"/>
        </w:rPr>
      </w:r>
      <w:bookmarkStart w:name="_bookmark6" w:id="122"/>
      <w:bookmarkEnd w:id="122"/>
      <w:r>
        <w:rPr>
          <w:b w:val="0"/>
          <w:bCs w:val="0"/>
        </w:rPr>
      </w:r>
      <w:r>
        <w:rPr/>
        <w:t>第八节</w:t>
      </w:r>
      <w:r>
        <w:rPr>
          <w:spacing w:val="-17"/>
        </w:rPr>
        <w:t> </w:t>
      </w:r>
      <w:r>
        <w:rPr/>
        <w:t>董事、监事、高级管理人员和员工情况</w:t>
      </w:r>
      <w:r>
        <w:rPr>
          <w:b w:val="0"/>
          <w:bCs w:val="0"/>
        </w:rPr>
      </w:r>
    </w:p>
    <w:p>
      <w:pPr>
        <w:spacing w:line="240" w:lineRule="auto" w:before="12"/>
        <w:rPr>
          <w:rFonts w:ascii="宋体" w:hAnsi="宋体" w:cs="宋体" w:eastAsia="宋体" w:hint="default"/>
          <w:b/>
          <w:bCs/>
          <w:sz w:val="41"/>
          <w:szCs w:val="41"/>
        </w:rPr>
      </w:pPr>
    </w:p>
    <w:p>
      <w:pPr>
        <w:pStyle w:val="Heading2"/>
        <w:spacing w:line="240" w:lineRule="auto"/>
        <w:ind w:right="0"/>
        <w:jc w:val="left"/>
        <w:rPr>
          <w:b w:val="0"/>
          <w:bCs w:val="0"/>
        </w:rPr>
      </w:pPr>
      <w:bookmarkStart w:name="一、董事、监事和高级管理人员持股变动" w:id="123"/>
      <w:bookmarkEnd w:id="123"/>
      <w:r>
        <w:rPr>
          <w:b w:val="0"/>
          <w:bCs w:val="0"/>
        </w:rPr>
      </w:r>
      <w:r>
        <w:rPr/>
        <w:t>一、董事、监事和高级管理人员持股变动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776"/>
        <w:gridCol w:w="776"/>
        <w:gridCol w:w="776"/>
        <w:gridCol w:w="775"/>
        <w:gridCol w:w="778"/>
        <w:gridCol w:w="776"/>
        <w:gridCol w:w="776"/>
        <w:gridCol w:w="962"/>
        <w:gridCol w:w="777"/>
        <w:gridCol w:w="778"/>
        <w:gridCol w:w="776"/>
        <w:gridCol w:w="967"/>
      </w:tblGrid>
      <w:tr>
        <w:trPr>
          <w:trHeight w:val="790"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202" w:right="23"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202" w:right="23"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126"/>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4"/>
              <w:ind w:left="22" w:right="22"/>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13" w:lineRule="exact"/>
              <w:ind w:left="11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4"/>
              <w:ind w:left="22" w:right="23"/>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13" w:lineRule="exact"/>
              <w:ind w:left="11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22" w:right="23"/>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23"/>
                <w:sz w:val="18"/>
                <w:szCs w:val="18"/>
              </w:rPr>
              <w:t>变动（股</w:t>
            </w:r>
          </w:p>
        </w:tc>
        <w:tc>
          <w:tcPr>
            <w:tcW w:w="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126"/>
              <w:ind w:left="27" w:right="0"/>
              <w:jc w:val="left"/>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35"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59"/>
                <w:sz w:val="18"/>
                <w:szCs w:val="18"/>
              </w:rPr>
              <w:t> </w:t>
            </w:r>
            <w:r>
              <w:rPr>
                <w:rFonts w:ascii="宋体" w:hAnsi="宋体" w:cs="宋体" w:eastAsia="宋体" w:hint="default"/>
                <w:sz w:val="18"/>
                <w:szCs w:val="18"/>
              </w:rPr>
              <w:t>（股）</w:t>
            </w:r>
          </w:p>
        </w:tc>
      </w:tr>
      <w:tr>
        <w:trPr>
          <w:trHeight w:val="790" w:hRule="exact"/>
        </w:trPr>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48"/>
              <w:ind w:left="24" w:right="150"/>
              <w:jc w:val="left"/>
              <w:rPr>
                <w:rFonts w:ascii="宋体" w:hAnsi="宋体" w:cs="宋体" w:eastAsia="宋体" w:hint="default"/>
                <w:sz w:val="18"/>
                <w:szCs w:val="18"/>
              </w:rPr>
            </w:pPr>
            <w:r>
              <w:rPr>
                <w:rFonts w:ascii="宋体" w:hAnsi="宋体" w:cs="宋体" w:eastAsia="宋体" w:hint="default"/>
                <w:sz w:val="18"/>
                <w:szCs w:val="18"/>
              </w:rPr>
              <w:t>董事长</w:t>
            </w:r>
            <w:r>
              <w:rPr>
                <w:rFonts w:ascii="Times New Roman" w:hAnsi="Times New Roman" w:cs="Times New Roman" w:eastAsia="Times New Roman" w:hint="default"/>
                <w:sz w:val="18"/>
                <w:szCs w:val="18"/>
              </w:rPr>
              <w:t>/ </w:t>
            </w:r>
            <w:r>
              <w:rPr>
                <w:rFonts w:ascii="宋体" w:hAnsi="宋体" w:cs="宋体" w:eastAsia="宋体" w:hint="default"/>
                <w:sz w:val="18"/>
                <w:szCs w:val="18"/>
              </w:rPr>
              <w:t>总裁</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154,777,803</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154,777,803</w:t>
            </w:r>
          </w:p>
        </w:tc>
      </w:tr>
      <w:tr>
        <w:trPr>
          <w:trHeight w:val="791" w:hRule="exact"/>
        </w:trPr>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王晓岩</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64,603,000</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64,603,000</w:t>
            </w:r>
          </w:p>
        </w:tc>
      </w:tr>
      <w:tr>
        <w:trPr>
          <w:trHeight w:val="791" w:hRule="exact"/>
        </w:trPr>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辛昕</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1"/>
              <w:ind w:left="24" w:right="150"/>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财 务总监</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90" w:hRule="exact"/>
        </w:trPr>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许军利</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91" w:hRule="exact"/>
        </w:trPr>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朱锦梅</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90" w:hRule="exact"/>
        </w:trPr>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张志强</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91" w:hRule="exact"/>
        </w:trPr>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张宏江</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91" w:hRule="exact"/>
        </w:trPr>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张连起</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90" w:hRule="exact"/>
        </w:trPr>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张梅</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20"/>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91" w:hRule="exact"/>
        </w:trPr>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孙丹梅</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90" w:hRule="exact"/>
        </w:trPr>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刘烨</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91" w:hRule="exact"/>
        </w:trPr>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叶海强</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3,230,122</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3,230,122</w:t>
            </w:r>
          </w:p>
        </w:tc>
      </w:tr>
      <w:tr>
        <w:trPr>
          <w:trHeight w:val="791" w:hRule="exact"/>
        </w:trPr>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张赐安</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3,230,122</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3,230,122</w:t>
            </w:r>
          </w:p>
        </w:tc>
      </w:tr>
      <w:tr>
        <w:trPr>
          <w:trHeight w:val="790" w:hRule="exact"/>
        </w:trPr>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周立达</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3,230,122</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3,230,122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21" w:type="dxa"/>
        <w:tblLayout w:type="fixed"/>
        <w:tblCellMar>
          <w:top w:w="0" w:type="dxa"/>
          <w:left w:w="0" w:type="dxa"/>
          <w:bottom w:w="0" w:type="dxa"/>
          <w:right w:w="0" w:type="dxa"/>
        </w:tblCellMar>
        <w:tblLook w:val="01E0"/>
      </w:tblPr>
      <w:tblGrid>
        <w:gridCol w:w="776"/>
        <w:gridCol w:w="776"/>
        <w:gridCol w:w="776"/>
        <w:gridCol w:w="775"/>
        <w:gridCol w:w="778"/>
        <w:gridCol w:w="776"/>
        <w:gridCol w:w="776"/>
        <w:gridCol w:w="962"/>
        <w:gridCol w:w="777"/>
        <w:gridCol w:w="778"/>
        <w:gridCol w:w="776"/>
        <w:gridCol w:w="967"/>
      </w:tblGrid>
      <w:tr>
        <w:trPr>
          <w:trHeight w:val="791"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1"/>
              <w:ind w:left="202" w:right="23"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1"/>
              <w:ind w:left="202" w:right="23"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127"/>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22"/>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34" w:lineRule="exact"/>
              <w:ind w:left="11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23"/>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34" w:lineRule="exact"/>
              <w:ind w:left="11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1"/>
              <w:ind w:left="22" w:right="23"/>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23"/>
                <w:sz w:val="18"/>
                <w:szCs w:val="18"/>
              </w:rPr>
              <w:t>变动（股</w:t>
            </w:r>
          </w:p>
        </w:tc>
        <w:tc>
          <w:tcPr>
            <w:tcW w:w="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127"/>
              <w:ind w:left="27" w:right="0"/>
              <w:jc w:val="left"/>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34"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59"/>
                <w:sz w:val="18"/>
                <w:szCs w:val="18"/>
              </w:rPr>
              <w:t> </w:t>
            </w:r>
            <w:r>
              <w:rPr>
                <w:rFonts w:ascii="宋体" w:hAnsi="宋体" w:cs="宋体" w:eastAsia="宋体" w:hint="default"/>
                <w:sz w:val="18"/>
                <w:szCs w:val="18"/>
              </w:rPr>
              <w:t>（股）</w:t>
            </w:r>
          </w:p>
        </w:tc>
      </w:tr>
      <w:tr>
        <w:trPr>
          <w:trHeight w:val="790" w:hRule="exact"/>
        </w:trPr>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韩智敏</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107,058</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107,058</w:t>
            </w:r>
          </w:p>
        </w:tc>
      </w:tr>
      <w:tr>
        <w:trPr>
          <w:trHeight w:val="791" w:hRule="exact"/>
        </w:trPr>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吕敬</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90" w:hRule="exact"/>
        </w:trPr>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李岩</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20"/>
              <w:jc w:val="left"/>
              <w:rPr>
                <w:rFonts w:ascii="宋体" w:hAnsi="宋体" w:cs="宋体" w:eastAsia="宋体" w:hint="default"/>
                <w:sz w:val="18"/>
                <w:szCs w:val="18"/>
              </w:rPr>
            </w:pPr>
            <w:r>
              <w:rPr>
                <w:rFonts w:ascii="宋体" w:hAnsi="宋体" w:cs="宋体" w:eastAsia="宋体" w:hint="default"/>
                <w:sz w:val="18"/>
                <w:szCs w:val="18"/>
              </w:rPr>
              <w:t>人力资源 总监</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1,884,362</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1,884,362</w:t>
            </w:r>
          </w:p>
        </w:tc>
      </w:tr>
      <w:tr>
        <w:trPr>
          <w:trHeight w:val="791" w:hRule="exact"/>
        </w:trPr>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汤凯</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技术总监</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91" w:hRule="exact"/>
        </w:trPr>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陈振坤</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运营总监</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90" w:hRule="exact"/>
        </w:trPr>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王继业</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20"/>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91" w:hRule="exact"/>
        </w:trPr>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侯松容</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90" w:hRule="exact"/>
        </w:trPr>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刘娇娇</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600</w:t>
            </w:r>
          </w:p>
        </w:tc>
      </w:tr>
      <w:tr>
        <w:trPr>
          <w:trHeight w:val="797" w:hRule="exact"/>
        </w:trPr>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韩玉华</w:t>
            </w:r>
          </w:p>
        </w:tc>
        <w:tc>
          <w:tcPr>
            <w:tcW w:w="776"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运营总监</w:t>
            </w:r>
          </w:p>
        </w:tc>
        <w:tc>
          <w:tcPr>
            <w:tcW w:w="776"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75"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78"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w:t>
            </w:r>
          </w:p>
        </w:tc>
        <w:tc>
          <w:tcPr>
            <w:tcW w:w="776" w:type="dxa"/>
            <w:tcBorders>
              <w:top w:val="single" w:sz="4" w:space="0" w:color="000000"/>
              <w:left w:val="single" w:sz="4" w:space="0" w:color="000000"/>
              <w:bottom w:val="single" w:sz="9" w:space="0" w:color="D2D2D2"/>
              <w:right w:val="single" w:sz="4" w:space="0" w:color="000000"/>
            </w:tcBorders>
          </w:tcPr>
          <w:p>
            <w:pPr>
              <w:pStyle w:val="TableParagraph"/>
              <w:spacing w:line="242" w:lineRule="exact"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6" w:type="dxa"/>
            <w:tcBorders>
              <w:top w:val="single" w:sz="4" w:space="0" w:color="000000"/>
              <w:left w:val="single" w:sz="4" w:space="0" w:color="000000"/>
              <w:bottom w:val="single" w:sz="9" w:space="0" w:color="D2D2D2"/>
              <w:right w:val="single" w:sz="4" w:space="0" w:color="000000"/>
            </w:tcBorders>
          </w:tcPr>
          <w:p>
            <w:pPr>
              <w:pStyle w:val="TableParagraph"/>
              <w:spacing w:line="242" w:lineRule="exact"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1,884,362</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1,884,362</w:t>
            </w:r>
          </w:p>
        </w:tc>
      </w:tr>
      <w:tr>
        <w:trPr>
          <w:trHeight w:val="310"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1"/>
              <w:jc w:val="center"/>
              <w:rPr>
                <w:rFonts w:ascii="Times New Roman" w:hAnsi="Times New Roman" w:cs="Times New Roman" w:eastAsia="Times New Roman" w:hint="default"/>
                <w:sz w:val="18"/>
                <w:szCs w:val="18"/>
              </w:rPr>
            </w:pPr>
            <w:r>
              <w:rPr>
                <w:rFonts w:ascii="Times New Roman"/>
                <w:sz w:val="18"/>
              </w:rPr>
              <w:t>--</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1"/>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1"/>
              <w:jc w:val="center"/>
              <w:rPr>
                <w:rFonts w:ascii="Times New Roman" w:hAnsi="Times New Roman" w:cs="Times New Roman" w:eastAsia="Times New Roman" w:hint="default"/>
                <w:sz w:val="18"/>
                <w:szCs w:val="18"/>
              </w:rPr>
            </w:pPr>
            <w:r>
              <w:rPr>
                <w:rFonts w:ascii="Times New Roman"/>
                <w:sz w:val="18"/>
              </w:rPr>
              <w:t>--</w:t>
            </w:r>
          </w:p>
        </w:tc>
        <w:tc>
          <w:tcPr>
            <w:tcW w:w="9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2"/>
              <w:ind w:right="21"/>
              <w:jc w:val="right"/>
              <w:rPr>
                <w:rFonts w:ascii="Times New Roman" w:hAnsi="Times New Roman" w:cs="Times New Roman" w:eastAsia="Times New Roman" w:hint="default"/>
                <w:sz w:val="18"/>
                <w:szCs w:val="18"/>
              </w:rPr>
            </w:pPr>
            <w:r>
              <w:rPr>
                <w:rFonts w:ascii="Times New Roman"/>
                <w:sz w:val="18"/>
              </w:rPr>
              <w:t>232,946,951</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1"/>
              <w:jc w:val="right"/>
              <w:rPr>
                <w:rFonts w:ascii="Times New Roman" w:hAnsi="Times New Roman" w:cs="Times New Roman" w:eastAsia="Times New Roman" w:hint="default"/>
                <w:sz w:val="18"/>
                <w:szCs w:val="18"/>
              </w:rPr>
            </w:pPr>
            <w:r>
              <w:rPr>
                <w:rFonts w:ascii="Times New Roman"/>
                <w:sz w:val="18"/>
              </w:rPr>
              <w:t>600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3"/>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0"/>
              <w:jc w:val="right"/>
              <w:rPr>
                <w:rFonts w:ascii="Times New Roman" w:hAnsi="Times New Roman" w:cs="Times New Roman" w:eastAsia="Times New Roman" w:hint="default"/>
                <w:sz w:val="18"/>
                <w:szCs w:val="18"/>
              </w:rPr>
            </w:pPr>
            <w:r>
              <w:rPr>
                <w:rFonts w:ascii="Times New Roman"/>
                <w:sz w:val="18"/>
              </w:rPr>
              <w:t>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1"/>
              <w:jc w:val="right"/>
              <w:rPr>
                <w:rFonts w:ascii="Times New Roman" w:hAnsi="Times New Roman" w:cs="Times New Roman" w:eastAsia="Times New Roman" w:hint="default"/>
                <w:sz w:val="18"/>
                <w:szCs w:val="18"/>
              </w:rPr>
            </w:pPr>
            <w:r>
              <w:rPr>
                <w:rFonts w:ascii="Times New Roman"/>
                <w:sz w:val="18"/>
              </w:rPr>
              <w:t>232,947,551</w:t>
            </w:r>
          </w:p>
        </w:tc>
      </w:tr>
      <w:tr>
        <w:trPr>
          <w:trHeight w:val="565" w:hRule="exact"/>
        </w:trPr>
        <w:tc>
          <w:tcPr>
            <w:tcW w:w="9695" w:type="dxa"/>
            <w:gridSpan w:val="12"/>
            <w:tcBorders>
              <w:top w:val="single" w:sz="5" w:space="0" w:color="D2D2D2"/>
              <w:left w:val="single" w:sz="4" w:space="0" w:color="000000"/>
              <w:bottom w:val="single" w:sz="4" w:space="0" w:color="000000"/>
              <w:right w:val="single" w:sz="4" w:space="0" w:color="000000"/>
            </w:tcBorders>
          </w:tcPr>
          <w:p>
            <w:pPr>
              <w:pStyle w:val="TableParagraph"/>
              <w:spacing w:line="242" w:lineRule="exact" w:before="15"/>
              <w:ind w:left="22" w:right="0"/>
              <w:jc w:val="left"/>
              <w:rPr>
                <w:rFonts w:ascii="宋体" w:hAnsi="宋体" w:cs="宋体" w:eastAsia="宋体" w:hint="default"/>
                <w:sz w:val="18"/>
                <w:szCs w:val="18"/>
              </w:rPr>
            </w:pPr>
            <w:r>
              <w:rPr>
                <w:rFonts w:ascii="宋体" w:hAnsi="宋体" w:cs="宋体" w:eastAsia="宋体" w:hint="default"/>
                <w:sz w:val="18"/>
                <w:szCs w:val="18"/>
              </w:rPr>
              <w:t>以上现任高级管理人员通过中信建投基金定增</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号资产管理计划认购公司股份，股票发行价格为</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7.43</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股，其中叶海</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强、张赐安、周立达认购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23,999,808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元，韩玉华、李岩各认购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14,000,808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bl>
    <w:p>
      <w:pPr>
        <w:spacing w:line="240" w:lineRule="auto" w:before="12"/>
        <w:rPr>
          <w:rFonts w:ascii="宋体" w:hAnsi="宋体" w:cs="宋体" w:eastAsia="宋体" w:hint="default"/>
          <w:b/>
          <w:bCs/>
          <w:sz w:val="17"/>
          <w:szCs w:val="17"/>
        </w:rPr>
      </w:pPr>
    </w:p>
    <w:p>
      <w:pPr>
        <w:pStyle w:val="Heading2"/>
        <w:spacing w:line="240" w:lineRule="auto" w:before="26"/>
        <w:ind w:right="0"/>
        <w:jc w:val="left"/>
        <w:rPr>
          <w:b w:val="0"/>
          <w:bCs w:val="0"/>
        </w:rPr>
      </w:pPr>
      <w:bookmarkStart w:name="二、公司董事、监事、高级管理人员变动情况" w:id="124"/>
      <w:bookmarkEnd w:id="124"/>
      <w:r>
        <w:rPr>
          <w:b w:val="0"/>
          <w:bCs w:val="0"/>
        </w:rPr>
      </w:r>
      <w:r>
        <w:rPr/>
        <w:t>二、公司董事、监事、高级管理人员变动情况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3"/>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1330"/>
        <w:gridCol w:w="1614"/>
        <w:gridCol w:w="1278"/>
        <w:gridCol w:w="2268"/>
        <w:gridCol w:w="3078"/>
      </w:tblGrid>
      <w:tr>
        <w:trPr>
          <w:trHeight w:val="323"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52"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32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侯松容</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任期届满</w:t>
            </w:r>
          </w:p>
        </w:tc>
      </w:tr>
      <w:tr>
        <w:trPr>
          <w:trHeight w:val="32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刘娇娇</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任期届满</w:t>
            </w:r>
          </w:p>
        </w:tc>
      </w:tr>
      <w:tr>
        <w:trPr>
          <w:trHeight w:val="32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韩玉华</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运营总监</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bl>
    <w:p>
      <w:pPr>
        <w:spacing w:line="240" w:lineRule="auto" w:before="12"/>
        <w:rPr>
          <w:rFonts w:ascii="宋体" w:hAnsi="宋体" w:cs="宋体" w:eastAsia="宋体" w:hint="default"/>
          <w:sz w:val="17"/>
          <w:szCs w:val="17"/>
        </w:rPr>
      </w:pPr>
    </w:p>
    <w:p>
      <w:pPr>
        <w:pStyle w:val="Heading2"/>
        <w:spacing w:line="240" w:lineRule="auto" w:before="26"/>
        <w:ind w:right="0"/>
        <w:jc w:val="both"/>
        <w:rPr>
          <w:b w:val="0"/>
          <w:bCs w:val="0"/>
        </w:rPr>
      </w:pPr>
      <w:bookmarkStart w:name="三、任职情况" w:id="125"/>
      <w:bookmarkEnd w:id="125"/>
      <w:r>
        <w:rPr>
          <w:b w:val="0"/>
          <w:bCs w:val="0"/>
        </w:rPr>
      </w:r>
      <w:r>
        <w:rPr/>
        <w:t>三、任职情况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right="0"/>
        <w:jc w:val="both"/>
      </w:pPr>
      <w:r>
        <w:rPr/>
        <w:t>公司现任董事、监事、高级管理人员专业背景、主要工作经历以及目前在公司的主要职责</w:t>
      </w:r>
    </w:p>
    <w:p>
      <w:pPr>
        <w:pStyle w:val="BodyText"/>
        <w:spacing w:line="273" w:lineRule="auto" w:before="38"/>
        <w:ind w:left="514" w:right="0"/>
        <w:jc w:val="left"/>
      </w:pPr>
      <w:r>
        <w:rPr/>
        <w:t>（一）董事会成员 </w:t>
      </w:r>
      <w:r>
        <w:rPr>
          <w:spacing w:val="-2"/>
        </w:rPr>
        <w:t>郭为，男，</w:t>
      </w:r>
      <w:r>
        <w:rPr>
          <w:rFonts w:ascii="Times New Roman" w:hAnsi="Times New Roman" w:cs="Times New Roman" w:eastAsia="Times New Roman" w:hint="default"/>
          <w:spacing w:val="-2"/>
        </w:rPr>
        <w:t>56</w:t>
      </w:r>
      <w:r>
        <w:rPr>
          <w:spacing w:val="-2"/>
        </w:rPr>
        <w:t>岁，毕业于中国科技大学，获硕士学位。</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3</w:t>
      </w:r>
      <w:r>
        <w:rPr>
          <w:spacing w:val="-2"/>
        </w:rPr>
        <w:t>月，任神州数码控股有限公司董事会主席兼</w:t>
      </w:r>
    </w:p>
    <w:p>
      <w:pPr>
        <w:pStyle w:val="BodyText"/>
        <w:spacing w:line="259" w:lineRule="auto"/>
        <w:ind w:right="1129"/>
        <w:jc w:val="both"/>
      </w:pPr>
      <w:r>
        <w:rPr/>
        <w:t>首席执行官；</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月，任泰康人寿保险股份有限公司独立董事；</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月至今，任神州数码控股有限公司</w:t>
      </w:r>
      <w:r>
        <w:rPr>
          <w:spacing w:val="-83"/>
        </w:rPr>
        <w:t> </w:t>
      </w:r>
      <w:r>
        <w:rPr>
          <w:spacing w:val="-83"/>
        </w:rPr>
      </w:r>
      <w:r>
        <w:rPr/>
        <w:t>董事会主席；</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月起，任神州数码控股有限公司首席执行官，并继续担任主席；</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月，任鼎捷软件</w:t>
      </w:r>
      <w:r>
        <w:rPr>
          <w:spacing w:val="-82"/>
        </w:rPr>
        <w:t> </w:t>
      </w:r>
      <w:r>
        <w:rPr>
          <w:spacing w:val="-82"/>
        </w:rPr>
      </w:r>
      <w:r>
        <w:rPr>
          <w:spacing w:val="-2"/>
        </w:rPr>
        <w:t>股份有限公司董事；</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7</w:t>
      </w:r>
      <w:r>
        <w:rPr>
          <w:spacing w:val="-2"/>
        </w:rPr>
        <w:t>月至今，任神州数码信息服务股份有限公司董事长；</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3</w:t>
      </w:r>
      <w:r>
        <w:rPr>
          <w:spacing w:val="-2"/>
        </w:rPr>
        <w:t>月至今，任神州数码集团股份有限</w:t>
      </w:r>
    </w:p>
    <w:p>
      <w:pPr>
        <w:spacing w:after="0" w:line="259" w:lineRule="auto"/>
        <w:jc w:val="both"/>
        <w:sectPr>
          <w:pgSz w:w="11910" w:h="16840"/>
          <w:pgMar w:header="877" w:footer="979" w:top="1100" w:bottom="1160" w:left="980" w:right="0"/>
        </w:sectPr>
      </w:pPr>
    </w:p>
    <w:p>
      <w:pPr>
        <w:spacing w:line="240" w:lineRule="auto" w:before="10"/>
        <w:rPr>
          <w:rFonts w:ascii="宋体" w:hAnsi="宋体" w:cs="宋体" w:eastAsia="宋体" w:hint="default"/>
          <w:sz w:val="18"/>
          <w:szCs w:val="18"/>
        </w:rPr>
      </w:pPr>
    </w:p>
    <w:p>
      <w:pPr>
        <w:pStyle w:val="BodyText"/>
        <w:spacing w:line="259" w:lineRule="auto" w:before="44"/>
        <w:ind w:left="514" w:right="1122" w:hanging="360"/>
        <w:jc w:val="left"/>
      </w:pPr>
      <w:r>
        <w:rPr/>
        <w:t>公司董事长；</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月至今，任神州数码集团股份有限公司总裁，并继续担任董事长。 王晓岩，男，</w:t>
      </w:r>
      <w:r>
        <w:rPr>
          <w:rFonts w:ascii="Times New Roman" w:hAnsi="Times New Roman" w:cs="Times New Roman" w:eastAsia="Times New Roman" w:hint="default"/>
        </w:rPr>
        <w:t>59</w:t>
      </w:r>
      <w:r>
        <w:rPr/>
        <w:t>岁，毕业于中国人民银行总行金融研究所，获经济学硕士学位。</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3</w:t>
      </w:r>
      <w:r>
        <w:rPr/>
        <w:t>月至今，任中国希格玛有限公</w:t>
      </w:r>
    </w:p>
    <w:p>
      <w:pPr>
        <w:pStyle w:val="BodyText"/>
        <w:spacing w:line="259" w:lineRule="auto" w:before="2"/>
        <w:ind w:right="0"/>
        <w:jc w:val="left"/>
      </w:pPr>
      <w:r>
        <w:rPr>
          <w:spacing w:val="-2"/>
        </w:rPr>
        <w:t>司总裁、高级经济师；</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4</w:t>
      </w:r>
      <w:r>
        <w:rPr>
          <w:spacing w:val="-2"/>
        </w:rPr>
        <w:t>月至今，任北京东方太阳城房地产开发有限责任公司董事长；</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6</w:t>
      </w:r>
      <w:r>
        <w:rPr>
          <w:spacing w:val="-2"/>
        </w:rPr>
        <w:t>月至今，任神州数码集</w:t>
      </w:r>
      <w:r>
        <w:rPr>
          <w:spacing w:val="-56"/>
        </w:rPr>
        <w:t> </w:t>
      </w:r>
      <w:r>
        <w:rPr>
          <w:spacing w:val="-56"/>
        </w:rPr>
      </w:r>
      <w:r>
        <w:rPr/>
        <w:t>团股份有限公司董事。</w:t>
      </w:r>
    </w:p>
    <w:p>
      <w:pPr>
        <w:pStyle w:val="BodyText"/>
        <w:spacing w:line="259" w:lineRule="auto" w:before="19"/>
        <w:ind w:right="1032" w:firstLine="360"/>
        <w:jc w:val="left"/>
      </w:pPr>
      <w:r>
        <w:rPr/>
        <w:t>辛昕，女，</w:t>
      </w:r>
      <w:r>
        <w:rPr>
          <w:rFonts w:ascii="Times New Roman" w:hAnsi="Times New Roman" w:cs="Times New Roman" w:eastAsia="Times New Roman" w:hint="default"/>
        </w:rPr>
        <w:t>43</w:t>
      </w:r>
      <w:r>
        <w:rPr/>
        <w:t>岁，</w:t>
      </w:r>
      <w:r>
        <w:rPr>
          <w:rFonts w:ascii="Times New Roman" w:hAnsi="Times New Roman" w:cs="Times New Roman" w:eastAsia="Times New Roman" w:hint="default"/>
        </w:rPr>
        <w:t>1998</w:t>
      </w:r>
      <w:r>
        <w:rPr/>
        <w:t>年毕业于东北大学会计学专业。曾任神州控股金融服务事业部副总经理、企业发展部副总经理， </w:t>
      </w:r>
      <w:r>
        <w:rPr>
          <w:spacing w:val="-5"/>
        </w:rPr>
        <w:t>神州信息董事会秘书、财务总监，神州控股副总裁、财务总监、高级副总裁，</w:t>
      </w:r>
      <w:r>
        <w:rPr>
          <w:rFonts w:ascii="Times New Roman" w:hAnsi="Times New Roman" w:cs="Times New Roman" w:eastAsia="Times New Roman" w:hint="default"/>
          <w:spacing w:val="-5"/>
        </w:rPr>
        <w:t>2016</w:t>
      </w:r>
      <w:r>
        <w:rPr>
          <w:spacing w:val="-5"/>
        </w:rPr>
        <w:t>年</w:t>
      </w:r>
      <w:r>
        <w:rPr>
          <w:rFonts w:ascii="Times New Roman" w:hAnsi="Times New Roman" w:cs="Times New Roman" w:eastAsia="Times New Roman" w:hint="default"/>
          <w:spacing w:val="-5"/>
        </w:rPr>
        <w:t>4</w:t>
      </w:r>
      <w:r>
        <w:rPr>
          <w:spacing w:val="-5"/>
        </w:rPr>
        <w:t>月至</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1</w:t>
      </w:r>
      <w:r>
        <w:rPr>
          <w:spacing w:val="-5"/>
        </w:rPr>
        <w:t>月，任神州信息董事。</w:t>
      </w:r>
      <w:r>
        <w:rPr>
          <w:rFonts w:ascii="Times New Roman" w:hAnsi="Times New Roman" w:cs="Times New Roman" w:eastAsia="Times New Roman" w:hint="default"/>
          <w:spacing w:val="-5"/>
        </w:rPr>
        <w:t>2017</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12</w:t>
      </w:r>
      <w:r>
        <w:rPr/>
        <w:t>月至今，任神州数码集团股份有限公司财务总监。</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月至今，任北京神州数码置业发展有限公司董事。</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月至今，任嘉和美康（北京）科技股份有限公司董事。</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月至今，任北京迪信通商贸股份有限公司非执行董事。</w:t>
      </w:r>
      <w:r>
        <w:rPr>
          <w:rFonts w:ascii="Times New Roman" w:hAnsi="Times New Roman" w:cs="Times New Roman" w:eastAsia="Times New Roman" w:hint="default"/>
        </w:rPr>
        <w:t>2018</w:t>
      </w:r>
      <w:r>
        <w:rPr>
          <w:rFonts w:ascii="Times New Roman" w:hAnsi="Times New Roman" w:cs="Times New Roman" w:eastAsia="Times New Roman" w:hint="default"/>
          <w:spacing w:val="-37"/>
        </w:rPr>
        <w:t> </w:t>
      </w:r>
      <w:r>
        <w:rPr/>
        <w:t>年</w:t>
      </w:r>
      <w:r>
        <w:rPr>
          <w:rFonts w:ascii="Times New Roman" w:hAnsi="Times New Roman" w:cs="Times New Roman" w:eastAsia="Times New Roman" w:hint="default"/>
        </w:rPr>
        <w:t>1</w:t>
      </w:r>
      <w:r>
        <w:rPr/>
        <w:t>月至今，任神州数码集团股份有限公司董事。</w:t>
      </w:r>
    </w:p>
    <w:p>
      <w:pPr>
        <w:pStyle w:val="BodyText"/>
        <w:spacing w:line="259" w:lineRule="auto" w:before="2"/>
        <w:ind w:right="1129" w:firstLine="360"/>
        <w:jc w:val="both"/>
      </w:pPr>
      <w:r>
        <w:rPr>
          <w:spacing w:val="-2"/>
        </w:rPr>
        <w:t>许军利，男，</w:t>
      </w:r>
      <w:r>
        <w:rPr>
          <w:rFonts w:ascii="Times New Roman" w:hAnsi="Times New Roman" w:cs="Times New Roman" w:eastAsia="Times New Roman" w:hint="default"/>
          <w:spacing w:val="-2"/>
        </w:rPr>
        <w:t>59</w:t>
      </w:r>
      <w:r>
        <w:rPr>
          <w:spacing w:val="-2"/>
        </w:rPr>
        <w:t>岁，硕士学位。</w:t>
      </w:r>
      <w:r>
        <w:rPr>
          <w:rFonts w:ascii="Times New Roman" w:hAnsi="Times New Roman" w:cs="Times New Roman" w:eastAsia="Times New Roman" w:hint="default"/>
          <w:spacing w:val="-2"/>
        </w:rPr>
        <w:t>1986</w:t>
      </w:r>
      <w:r>
        <w:rPr>
          <w:spacing w:val="-2"/>
        </w:rPr>
        <w:t>年毕业于中国政法大学法律系，获法学学士学位；</w:t>
      </w:r>
      <w:r>
        <w:rPr>
          <w:rFonts w:ascii="Times New Roman" w:hAnsi="Times New Roman" w:cs="Times New Roman" w:eastAsia="Times New Roman" w:hint="default"/>
          <w:spacing w:val="-2"/>
        </w:rPr>
        <w:t>1989</w:t>
      </w:r>
      <w:r>
        <w:rPr>
          <w:spacing w:val="-2"/>
        </w:rPr>
        <w:t>年毕业于中国政法大学研究</w:t>
      </w:r>
      <w:r>
        <w:rPr/>
        <w:t> </w:t>
      </w:r>
      <w:r>
        <w:rPr>
          <w:spacing w:val="-2"/>
        </w:rPr>
        <w:t>生院，获法学硕士学位。曾供职于国家计委和国家专业投资公司，从事国家大中型能源项目投融资法律事务工作。</w:t>
      </w:r>
      <w:r>
        <w:rPr>
          <w:rFonts w:ascii="Times New Roman" w:hAnsi="Times New Roman" w:cs="Times New Roman" w:eastAsia="Times New Roman" w:hint="default"/>
          <w:spacing w:val="-2"/>
        </w:rPr>
        <w:t>1993</w:t>
      </w:r>
      <w:r>
        <w:rPr>
          <w:spacing w:val="-2"/>
        </w:rPr>
        <w:t>年专</w:t>
      </w:r>
      <w:r>
        <w:rPr>
          <w:spacing w:val="-61"/>
        </w:rPr>
        <w:t> </w:t>
      </w:r>
      <w:r>
        <w:rPr/>
        <w:t>职从事律师业务，曾任北京中关村科技发展（控股）股份有限公司（</w:t>
      </w:r>
      <w:r>
        <w:rPr>
          <w:rFonts w:ascii="Times New Roman" w:hAnsi="Times New Roman" w:cs="Times New Roman" w:eastAsia="Times New Roman" w:hint="default"/>
        </w:rPr>
        <w:t>SZ000931</w:t>
      </w:r>
      <w:r>
        <w:rPr/>
        <w:t>）独立董事；现任北京律师协会证券法律专</w:t>
      </w:r>
      <w:r>
        <w:rPr>
          <w:spacing w:val="-31"/>
        </w:rPr>
        <w:t> </w:t>
      </w:r>
      <w:r>
        <w:rPr>
          <w:spacing w:val="-31"/>
        </w:rPr>
      </w:r>
      <w:r>
        <w:rPr/>
        <w:t>业委员会委员、中国政法大学法学院兼职教授。</w:t>
      </w:r>
      <w:r>
        <w:rPr>
          <w:rFonts w:ascii="Times New Roman" w:hAnsi="Times New Roman" w:cs="Times New Roman" w:eastAsia="Times New Roman" w:hint="default"/>
        </w:rPr>
        <w:t>1998</w:t>
      </w:r>
      <w:r>
        <w:rPr/>
        <w:t>年至今，任北京市中瑞律师事务所主任、合伙人、律师。</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月至</w:t>
      </w:r>
      <w:r>
        <w:rPr>
          <w:spacing w:val="-82"/>
        </w:rPr>
        <w:t> </w:t>
      </w:r>
      <w:r>
        <w:rPr/>
        <w:t>今，任北京睿智源技术有限公司监事。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月至今，任四川天一科技股份有限公司独立董事。</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月至今，任神州</w:t>
      </w:r>
      <w:r>
        <w:rPr>
          <w:spacing w:val="-83"/>
        </w:rPr>
        <w:t> </w:t>
      </w:r>
      <w:r>
        <w:rPr>
          <w:spacing w:val="-83"/>
        </w:rPr>
      </w:r>
      <w:r>
        <w:rPr/>
        <w:t>数码集团股份有限公司董事。</w:t>
      </w:r>
    </w:p>
    <w:p>
      <w:pPr>
        <w:pStyle w:val="BodyText"/>
        <w:spacing w:line="259" w:lineRule="auto" w:before="19"/>
        <w:ind w:right="1032" w:firstLine="360"/>
        <w:jc w:val="left"/>
      </w:pPr>
      <w:r>
        <w:rPr/>
        <w:t>朱锦梅，女，</w:t>
      </w:r>
      <w:r>
        <w:rPr>
          <w:rFonts w:ascii="Times New Roman" w:hAnsi="Times New Roman" w:cs="Times New Roman" w:eastAsia="Times New Roman" w:hint="default"/>
        </w:rPr>
        <w:t>50</w:t>
      </w:r>
      <w:r>
        <w:rPr/>
        <w:t>岁，毕业于澳大利亚国立大学，获管理学硕士学位。</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月至今，任立信会计师事务所北京分所合 伙人；</w:t>
      </w:r>
      <w:r>
        <w:rPr>
          <w:rFonts w:ascii="Times New Roman" w:hAnsi="Times New Roman" w:cs="Times New Roman" w:eastAsia="Times New Roman" w:hint="default"/>
        </w:rPr>
        <w:t>2011</w:t>
      </w:r>
      <w:r>
        <w:rPr/>
        <w:t>年至今，任国家开发银行审贷委独立委员；</w:t>
      </w:r>
      <w:r>
        <w:rPr>
          <w:rFonts w:ascii="Times New Roman" w:hAnsi="Times New Roman" w:cs="Times New Roman" w:eastAsia="Times New Roman" w:hint="default"/>
        </w:rPr>
        <w:t>2013</w:t>
      </w:r>
      <w:r>
        <w:rPr/>
        <w:t>年至今，任立信会计师事务所（特殊普通合伙）天津分所所长；</w:t>
      </w:r>
      <w:r>
        <w:rPr>
          <w:spacing w:val="-83"/>
        </w:rPr>
        <w:t> </w:t>
      </w:r>
      <w:r>
        <w:rPr>
          <w:spacing w:val="-83"/>
        </w:rPr>
      </w:r>
      <w:r>
        <w:rPr>
          <w:rFonts w:ascii="Times New Roman" w:hAnsi="Times New Roman" w:cs="Times New Roman" w:eastAsia="Times New Roman" w:hint="default"/>
        </w:rPr>
        <w:t>2015</w:t>
      </w:r>
      <w:r>
        <w:rPr/>
        <w:t>年至今，任华泰联合证券有限责任公司内核独立委员、任北京市地铁运营有限公司外部董事；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月至今，任神州</w:t>
      </w:r>
      <w:r>
        <w:rPr>
          <w:spacing w:val="-81"/>
        </w:rPr>
        <w:t> </w:t>
      </w:r>
      <w:r>
        <w:rPr>
          <w:spacing w:val="-81"/>
        </w:rPr>
      </w:r>
      <w:r>
        <w:rPr/>
        <w:t>数码集团股份有限公司独立董事。</w:t>
      </w:r>
    </w:p>
    <w:p>
      <w:pPr>
        <w:pStyle w:val="BodyText"/>
        <w:spacing w:line="259" w:lineRule="auto" w:before="17"/>
        <w:ind w:right="1130" w:firstLine="360"/>
        <w:jc w:val="both"/>
      </w:pPr>
      <w:r>
        <w:rPr/>
        <w:t>张志强，男，</w:t>
      </w:r>
      <w:r>
        <w:rPr>
          <w:rFonts w:ascii="Times New Roman" w:hAnsi="Times New Roman" w:cs="Times New Roman" w:eastAsia="Times New Roman" w:hint="default"/>
        </w:rPr>
        <w:t>55</w:t>
      </w:r>
      <w:r>
        <w:rPr/>
        <w:t>岁，毕业于清华大学，获博士学位。</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月，任北京恒丰保险经纪有限公司董事长； </w:t>
      </w:r>
      <w:r>
        <w:rPr>
          <w:rFonts w:ascii="Times New Roman" w:hAnsi="Times New Roman" w:cs="Times New Roman" w:eastAsia="Times New Roman" w:hint="default"/>
          <w:spacing w:val="-2"/>
        </w:rPr>
        <w:t>2005</w:t>
      </w:r>
      <w:r>
        <w:rPr>
          <w:spacing w:val="-2"/>
        </w:rPr>
        <w:t>年至今，任北京智多信息科技发展有限公司执行董事、北京度辰伟力咨询有限公司总经理、执行董事；</w:t>
      </w:r>
      <w:r>
        <w:rPr>
          <w:rFonts w:ascii="Times New Roman" w:hAnsi="Times New Roman" w:cs="Times New Roman" w:eastAsia="Times New Roman" w:hint="default"/>
          <w:spacing w:val="-2"/>
        </w:rPr>
        <w:t>2014</w:t>
      </w:r>
      <w:r>
        <w:rPr>
          <w:spacing w:val="-2"/>
        </w:rPr>
        <w:t>年至今，任</w:t>
      </w:r>
      <w:r>
        <w:rPr>
          <w:spacing w:val="-57"/>
        </w:rPr>
        <w:t> </w:t>
      </w:r>
      <w:r>
        <w:rPr>
          <w:spacing w:val="-57"/>
        </w:rPr>
      </w:r>
      <w:r>
        <w:rPr>
          <w:spacing w:val="-2"/>
        </w:rPr>
        <w:t>北京一路同行网络科技有限公司董事、北京拼拼网络科技有限公司董事；</w:t>
      </w:r>
      <w:r>
        <w:rPr>
          <w:rFonts w:ascii="Times New Roman" w:hAnsi="Times New Roman" w:cs="Times New Roman" w:eastAsia="Times New Roman" w:hint="default"/>
          <w:spacing w:val="-2"/>
        </w:rPr>
        <w:t>2016</w:t>
      </w:r>
      <w:r>
        <w:rPr>
          <w:spacing w:val="-2"/>
        </w:rPr>
        <w:t>年至今，任北京中延汽车咨询服务有限公司董</w:t>
      </w:r>
      <w:r>
        <w:rPr>
          <w:spacing w:val="-61"/>
        </w:rPr>
        <w:t> </w:t>
      </w:r>
      <w:r>
        <w:rPr>
          <w:spacing w:val="-61"/>
        </w:rPr>
      </w:r>
      <w:r>
        <w:rPr/>
        <w:t>事；</w:t>
      </w:r>
      <w:r>
        <w:rPr>
          <w:rFonts w:ascii="Times New Roman" w:hAnsi="Times New Roman" w:cs="Times New Roman" w:eastAsia="Times New Roman" w:hint="default"/>
        </w:rPr>
        <w:t>2018</w:t>
      </w:r>
      <w:r>
        <w:rPr/>
        <w:t>年至今，任智能云科信息科技有限公司董事；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月至今，任神州数码集团股份有限公司独立董事。</w:t>
      </w:r>
    </w:p>
    <w:p>
      <w:pPr>
        <w:pStyle w:val="BodyText"/>
        <w:spacing w:line="259" w:lineRule="auto" w:before="2"/>
        <w:ind w:right="1129" w:firstLine="360"/>
        <w:jc w:val="both"/>
      </w:pPr>
      <w:r>
        <w:rPr>
          <w:spacing w:val="-2"/>
        </w:rPr>
        <w:t>张宏江，男，</w:t>
      </w:r>
      <w:r>
        <w:rPr>
          <w:rFonts w:ascii="Times New Roman" w:hAnsi="Times New Roman" w:cs="Times New Roman" w:eastAsia="Times New Roman" w:hint="default"/>
          <w:spacing w:val="-2"/>
        </w:rPr>
        <w:t>59</w:t>
      </w:r>
      <w:r>
        <w:rPr>
          <w:spacing w:val="-2"/>
        </w:rPr>
        <w:t>岁，毕业于丹麦科技大学，获博士学位。</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12</w:t>
      </w:r>
      <w:r>
        <w:rPr>
          <w:spacing w:val="-2"/>
        </w:rPr>
        <w:t>月，任微软亚洲研究院副院长；</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1</w:t>
      </w:r>
      <w:r>
        <w:rPr>
          <w:rFonts w:ascii="Times New Roman" w:hAnsi="Times New Roman" w:cs="Times New Roman" w:eastAsia="Times New Roman" w:hint="default"/>
        </w:rPr>
        <w:t> </w:t>
      </w:r>
      <w:r>
        <w:rPr>
          <w:spacing w:val="-4"/>
        </w:rPr>
        <w:t>月至</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10</w:t>
      </w:r>
      <w:r>
        <w:rPr>
          <w:spacing w:val="-4"/>
        </w:rPr>
        <w:t>月，任微软亚洲工程院院长、微软亚洲研发集团</w:t>
      </w:r>
      <w:r>
        <w:rPr>
          <w:rFonts w:ascii="Times New Roman" w:hAnsi="Times New Roman" w:cs="Times New Roman" w:eastAsia="Times New Roman" w:hint="default"/>
          <w:spacing w:val="-4"/>
        </w:rPr>
        <w:t>CTO</w:t>
      </w:r>
      <w:r>
        <w:rPr>
          <w:spacing w:val="-4"/>
        </w:rPr>
        <w:t>；</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10</w:t>
      </w:r>
      <w:r>
        <w:rPr>
          <w:spacing w:val="-4"/>
        </w:rPr>
        <w:t>月至</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11</w:t>
      </w:r>
      <w:r>
        <w:rPr>
          <w:spacing w:val="-4"/>
        </w:rPr>
        <w:t>月，任金山软件</w:t>
      </w:r>
      <w:r>
        <w:rPr>
          <w:rFonts w:ascii="Times New Roman" w:hAnsi="Times New Roman" w:cs="Times New Roman" w:eastAsia="Times New Roman" w:hint="default"/>
          <w:spacing w:val="-4"/>
        </w:rPr>
        <w:t>CEO</w:t>
      </w:r>
      <w:r>
        <w:rPr>
          <w:spacing w:val="-4"/>
        </w:rPr>
        <w:t>、执行董事；</w:t>
      </w:r>
      <w:r>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月至今，任源码资本投资合伙人、今日头条顾问；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月至今，任华米公司独立董事；</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月至今，任凯雷</w:t>
      </w:r>
      <w:r>
        <w:rPr>
          <w:spacing w:val="-83"/>
        </w:rPr>
        <w:t> </w:t>
      </w:r>
      <w:r>
        <w:rPr>
          <w:spacing w:val="-83"/>
        </w:rPr>
      </w:r>
      <w:r>
        <w:rPr>
          <w:spacing w:val="-2"/>
        </w:rPr>
        <w:t>集团高级顾问；</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月至今，任宝宝树集团独立非执行董事；</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月至今，任北京人工智能研究院理事长。</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5"/>
        </w:rPr>
        <w:t> </w:t>
      </w:r>
      <w:r>
        <w:rPr/>
        <w:t>月至今，任神州数码集团股份有限公司独立董事。</w:t>
      </w:r>
    </w:p>
    <w:p>
      <w:pPr>
        <w:pStyle w:val="BodyText"/>
        <w:spacing w:line="264" w:lineRule="auto" w:before="19"/>
        <w:ind w:right="1129" w:firstLine="360"/>
        <w:jc w:val="both"/>
      </w:pPr>
      <w:r>
        <w:rPr>
          <w:spacing w:val="-5"/>
        </w:rPr>
        <w:t>张连起，男，</w:t>
      </w:r>
      <w:r>
        <w:rPr>
          <w:rFonts w:ascii="Times New Roman" w:hAnsi="Times New Roman" w:cs="Times New Roman" w:eastAsia="Times New Roman" w:hint="default"/>
          <w:spacing w:val="-5"/>
        </w:rPr>
        <w:t>56</w:t>
      </w:r>
      <w:r>
        <w:rPr>
          <w:spacing w:val="-5"/>
        </w:rPr>
        <w:t>岁，毕业于北京大学经济学院，获博士学位。</w:t>
      </w:r>
      <w:r>
        <w:rPr>
          <w:rFonts w:ascii="Times New Roman" w:hAnsi="Times New Roman" w:cs="Times New Roman" w:eastAsia="Times New Roman" w:hint="default"/>
          <w:spacing w:val="-5"/>
        </w:rPr>
        <w:t>1979</w:t>
      </w:r>
      <w:r>
        <w:rPr>
          <w:spacing w:val="-5"/>
        </w:rPr>
        <w:t>年至</w:t>
      </w:r>
      <w:r>
        <w:rPr>
          <w:rFonts w:ascii="Times New Roman" w:hAnsi="Times New Roman" w:cs="Times New Roman" w:eastAsia="Times New Roman" w:hint="default"/>
          <w:spacing w:val="-5"/>
        </w:rPr>
        <w:t>1987</w:t>
      </w:r>
      <w:r>
        <w:rPr>
          <w:spacing w:val="-5"/>
        </w:rPr>
        <w:t>年担任北京商业网点建筑公司会计主管；</w:t>
      </w:r>
      <w:r>
        <w:rPr>
          <w:rFonts w:ascii="Times New Roman" w:hAnsi="Times New Roman" w:cs="Times New Roman" w:eastAsia="Times New Roman" w:hint="default"/>
          <w:spacing w:val="-5"/>
        </w:rPr>
        <w:t>1987</w:t>
      </w:r>
      <w:r>
        <w:rPr>
          <w:rFonts w:ascii="Times New Roman" w:hAnsi="Times New Roman" w:cs="Times New Roman" w:eastAsia="Times New Roman" w:hint="default"/>
        </w:rPr>
        <w:t> </w:t>
      </w:r>
      <w:r>
        <w:rPr>
          <w:spacing w:val="-2"/>
        </w:rPr>
        <w:t>年至</w:t>
      </w:r>
      <w:r>
        <w:rPr>
          <w:rFonts w:ascii="Times New Roman" w:hAnsi="Times New Roman" w:cs="Times New Roman" w:eastAsia="Times New Roman" w:hint="default"/>
          <w:spacing w:val="-2"/>
        </w:rPr>
        <w:t>1996</w:t>
      </w:r>
      <w:r>
        <w:rPr>
          <w:spacing w:val="-2"/>
        </w:rPr>
        <w:t>年担任经济日报财务处长；</w:t>
      </w:r>
      <w:r>
        <w:rPr>
          <w:rFonts w:ascii="Times New Roman" w:hAnsi="Times New Roman" w:cs="Times New Roman" w:eastAsia="Times New Roman" w:hint="default"/>
          <w:spacing w:val="-2"/>
        </w:rPr>
        <w:t>1996</w:t>
      </w:r>
      <w:r>
        <w:rPr>
          <w:spacing w:val="-2"/>
        </w:rPr>
        <w:t>年至</w:t>
      </w:r>
      <w:r>
        <w:rPr>
          <w:rFonts w:ascii="Times New Roman" w:hAnsi="Times New Roman" w:cs="Times New Roman" w:eastAsia="Times New Roman" w:hint="default"/>
          <w:spacing w:val="-2"/>
        </w:rPr>
        <w:t>2001</w:t>
      </w:r>
      <w:r>
        <w:rPr>
          <w:spacing w:val="-2"/>
        </w:rPr>
        <w:t>年担任岳华会计师事务所副总经理；</w:t>
      </w:r>
      <w:r>
        <w:rPr>
          <w:rFonts w:ascii="Times New Roman" w:hAnsi="Times New Roman" w:cs="Times New Roman" w:eastAsia="Times New Roman" w:hint="default"/>
          <w:spacing w:val="-2"/>
        </w:rPr>
        <w:t>2001</w:t>
      </w:r>
      <w:r>
        <w:rPr>
          <w:spacing w:val="-2"/>
        </w:rPr>
        <w:t>年至今担任瑞华会计师事务所管</w:t>
      </w:r>
      <w:r>
        <w:rPr>
          <w:spacing w:val="-48"/>
        </w:rPr>
        <w:t> </w:t>
      </w:r>
      <w:r>
        <w:rPr>
          <w:spacing w:val="-2"/>
        </w:rPr>
        <w:t>理合伙人。目前兼任北京天坛生物制品股份有限公司独立董事、江苏连云港港口股份有限公司独立董事、国药集团药业股份</w:t>
      </w:r>
      <w:r>
        <w:rPr>
          <w:spacing w:val="-66"/>
        </w:rPr>
        <w:t> </w:t>
      </w:r>
      <w:r>
        <w:rPr>
          <w:spacing w:val="-66"/>
        </w:rPr>
      </w:r>
      <w:r>
        <w:rPr/>
        <w:t>有限公司独立董事、华融证券股份有限公司独立董事。</w:t>
      </w:r>
      <w:r>
        <w:rPr>
          <w:rFonts w:ascii="宋体" w:hAnsi="宋体" w:cs="宋体" w:eastAsia="宋体" w:hint="default"/>
        </w:rPr>
        <w:t>2018</w:t>
      </w:r>
      <w:r>
        <w:rPr/>
        <w:t>年</w:t>
      </w:r>
      <w:r>
        <w:rPr>
          <w:rFonts w:ascii="宋体" w:hAnsi="宋体" w:cs="宋体" w:eastAsia="宋体" w:hint="default"/>
        </w:rPr>
        <w:t>4</w:t>
      </w:r>
      <w:r>
        <w:rPr/>
        <w:t>月至今，任神州数码集团股份有限公司独立董事。</w:t>
      </w:r>
    </w:p>
    <w:p>
      <w:pPr>
        <w:spacing w:line="240" w:lineRule="auto" w:before="4"/>
        <w:rPr>
          <w:rFonts w:ascii="宋体" w:hAnsi="宋体" w:cs="宋体" w:eastAsia="宋体" w:hint="default"/>
          <w:sz w:val="19"/>
          <w:szCs w:val="19"/>
        </w:rPr>
      </w:pPr>
    </w:p>
    <w:p>
      <w:pPr>
        <w:pStyle w:val="BodyText"/>
        <w:spacing w:line="273" w:lineRule="auto"/>
        <w:ind w:left="514" w:right="0"/>
        <w:jc w:val="left"/>
      </w:pPr>
      <w:r>
        <w:rPr/>
        <w:t>（二）监事会成员 </w:t>
      </w:r>
      <w:r>
        <w:rPr>
          <w:spacing w:val="-2"/>
        </w:rPr>
        <w:t>张梅，女，</w:t>
      </w:r>
      <w:r>
        <w:rPr>
          <w:rFonts w:ascii="Times New Roman" w:hAnsi="Times New Roman" w:cs="Times New Roman" w:eastAsia="Times New Roman" w:hint="default"/>
          <w:spacing w:val="-2"/>
        </w:rPr>
        <w:t>50</w:t>
      </w:r>
      <w:r>
        <w:rPr>
          <w:spacing w:val="-2"/>
        </w:rPr>
        <w:t>岁，毕业于中央民族大学，获法学学士学位。</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3</w:t>
      </w:r>
      <w:r>
        <w:rPr>
          <w:spacing w:val="-2"/>
        </w:rPr>
        <w:t>月，任神州数码控股有限公司消费电子</w:t>
      </w:r>
    </w:p>
    <w:p>
      <w:pPr>
        <w:pStyle w:val="BodyText"/>
        <w:spacing w:line="241" w:lineRule="exact"/>
        <w:ind w:right="0"/>
        <w:jc w:val="left"/>
      </w:pPr>
      <w:r>
        <w:rPr>
          <w:spacing w:val="-3"/>
        </w:rPr>
        <w:t>业务群副总裁、企划办主任；</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4</w:t>
      </w:r>
      <w:r>
        <w:rPr>
          <w:spacing w:val="-3"/>
        </w:rPr>
        <w:t>月至</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12</w:t>
      </w:r>
      <w:r>
        <w:rPr>
          <w:spacing w:val="-3"/>
        </w:rPr>
        <w:t>月，任神州数码控股有限公司终端及移动技术集团副总裁、企划办主任；</w:t>
      </w:r>
    </w:p>
    <w:p>
      <w:pPr>
        <w:pStyle w:val="BodyText"/>
        <w:spacing w:line="240" w:lineRule="auto" w:before="18"/>
        <w:ind w:right="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spacing w:val="-88"/>
        </w:rPr>
        <w:t>，</w:t>
      </w:r>
      <w:r>
        <w:rPr/>
        <w:t>任神州数码控股有限公司副总裁</w:t>
      </w:r>
      <w:r>
        <w:rPr>
          <w:spacing w:val="-88"/>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月至今</w:t>
      </w:r>
      <w:r>
        <w:rPr>
          <w:spacing w:val="-88"/>
        </w:rPr>
        <w:t>，</w:t>
      </w:r>
      <w:r>
        <w:rPr/>
        <w:t>任北京神州数码有限公司互联网运营部总经理；</w:t>
      </w:r>
    </w:p>
    <w:p>
      <w:pPr>
        <w:pStyle w:val="BodyText"/>
        <w:spacing w:line="259" w:lineRule="auto" w:before="19"/>
        <w:ind w:right="0"/>
        <w:jc w:val="left"/>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月，任神州数码集团股份有限公司人力资源部总经理；</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月至今，任神州数码集团股份有限公司</w:t>
      </w:r>
      <w:r>
        <w:rPr>
          <w:spacing w:val="-50"/>
        </w:rPr>
        <w:t> </w:t>
      </w:r>
      <w:r>
        <w:rPr>
          <w:spacing w:val="-50"/>
        </w:rPr>
      </w:r>
      <w:r>
        <w:rPr/>
        <w:t>人力资源部常务副总经理；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月至今，任神州数码集团股份有限公司监事会主席。</w:t>
      </w:r>
    </w:p>
    <w:p>
      <w:pPr>
        <w:pStyle w:val="BodyText"/>
        <w:spacing w:line="259" w:lineRule="auto" w:before="2"/>
        <w:ind w:right="1129" w:firstLine="360"/>
        <w:jc w:val="both"/>
      </w:pPr>
      <w:r>
        <w:rPr>
          <w:spacing w:val="-2"/>
        </w:rPr>
        <w:t>孙丹梅，女，</w:t>
      </w:r>
      <w:r>
        <w:rPr>
          <w:rFonts w:ascii="Times New Roman" w:hAnsi="Times New Roman" w:cs="Times New Roman" w:eastAsia="Times New Roman" w:hint="default"/>
          <w:spacing w:val="-2"/>
        </w:rPr>
        <w:t>42</w:t>
      </w:r>
      <w:r>
        <w:rPr>
          <w:spacing w:val="-2"/>
        </w:rPr>
        <w:t>岁，毕业于首都经济贸易大学，获会计学硕士学位。</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7</w:t>
      </w:r>
      <w:r>
        <w:rPr>
          <w:spacing w:val="-2"/>
        </w:rPr>
        <w:t>月，任神州数码控股有限公司</w:t>
      </w:r>
      <w:r>
        <w:rPr/>
        <w:t> 财务部高级经理；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月，任联想控股有限公司财务经理；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月，任北京群柏创联信</w:t>
      </w:r>
      <w:r>
        <w:rPr>
          <w:spacing w:val="-83"/>
        </w:rPr>
        <w:t> </w:t>
      </w:r>
      <w:r>
        <w:rPr>
          <w:spacing w:val="-83"/>
        </w:rPr>
      </w:r>
      <w:r>
        <w:rPr/>
        <w:t>息技术有限公司财务总监；</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月，任神州数码（中国）有限公司财务中心证券部高级经理；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spacing w:val="-83"/>
        </w:rPr>
        <w:t> </w:t>
      </w:r>
      <w:r>
        <w:rPr/>
        <w:t>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月，任神州数码（中国）有限公司证券部副总经理；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月至今，任神州数码（中国）有限公司证券部高级</w:t>
      </w:r>
      <w:r>
        <w:rPr>
          <w:spacing w:val="-83"/>
        </w:rPr>
        <w:t> </w:t>
      </w:r>
      <w:r>
        <w:rPr>
          <w:spacing w:val="-83"/>
        </w:rPr>
      </w:r>
      <w:r>
        <w:rPr/>
        <w:t>总监；</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月至今，任神州数码集团股份有限公司监事。</w:t>
      </w:r>
    </w:p>
    <w:p>
      <w:pPr>
        <w:pStyle w:val="BodyText"/>
        <w:spacing w:line="259" w:lineRule="auto" w:before="3"/>
        <w:ind w:right="1129" w:firstLine="360"/>
        <w:jc w:val="both"/>
      </w:pPr>
      <w:r>
        <w:rPr>
          <w:spacing w:val="-2"/>
        </w:rPr>
        <w:t>刘烨，女，</w:t>
      </w:r>
      <w:r>
        <w:rPr>
          <w:rFonts w:ascii="Times New Roman" w:hAnsi="Times New Roman" w:cs="Times New Roman" w:eastAsia="Times New Roman" w:hint="default"/>
          <w:spacing w:val="-2"/>
        </w:rPr>
        <w:t>33</w:t>
      </w:r>
      <w:r>
        <w:rPr>
          <w:spacing w:val="-2"/>
        </w:rPr>
        <w:t>岁，毕业于英国杜伦大学，获理学硕士学位。</w:t>
      </w:r>
      <w:r>
        <w:rPr>
          <w:rFonts w:ascii="Times New Roman" w:hAnsi="Times New Roman" w:cs="Times New Roman" w:eastAsia="Times New Roman" w:hint="default"/>
          <w:spacing w:val="-2"/>
        </w:rPr>
        <w:t>2011</w:t>
      </w:r>
      <w:r>
        <w:rPr>
          <w:spacing w:val="-2"/>
        </w:rPr>
        <w:t>年至</w:t>
      </w:r>
      <w:r>
        <w:rPr>
          <w:rFonts w:ascii="Times New Roman" w:hAnsi="Times New Roman" w:cs="Times New Roman" w:eastAsia="Times New Roman" w:hint="default"/>
          <w:spacing w:val="-2"/>
        </w:rPr>
        <w:t>2016</w:t>
      </w:r>
      <w:r>
        <w:rPr>
          <w:spacing w:val="-2"/>
        </w:rPr>
        <w:t>年，在神州数码信息服务股份有限公司负责投</w:t>
      </w:r>
      <w:r>
        <w:rPr/>
        <w:t> </w:t>
      </w:r>
      <w:r>
        <w:rPr>
          <w:spacing w:val="-2"/>
        </w:rPr>
        <w:t>后管理工作；</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月至今，任神州数码集团股份有限公司投资部投资经理；</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月至今，任神州数码集团股份有限公</w:t>
      </w:r>
      <w:r>
        <w:rPr>
          <w:spacing w:val="-55"/>
        </w:rPr>
        <w:t> </w:t>
      </w:r>
      <w:r>
        <w:rPr>
          <w:spacing w:val="-55"/>
        </w:rPr>
      </w:r>
      <w:r>
        <w:rPr/>
        <w:t>司职工监事。</w:t>
      </w:r>
    </w:p>
    <w:p>
      <w:pPr>
        <w:spacing w:line="240" w:lineRule="auto" w:before="8"/>
        <w:rPr>
          <w:rFonts w:ascii="宋体" w:hAnsi="宋体" w:cs="宋体" w:eastAsia="宋体" w:hint="default"/>
          <w:sz w:val="19"/>
          <w:szCs w:val="19"/>
        </w:rPr>
      </w:pPr>
    </w:p>
    <w:p>
      <w:pPr>
        <w:pStyle w:val="BodyText"/>
        <w:spacing w:line="273" w:lineRule="auto"/>
        <w:ind w:left="514" w:right="0"/>
        <w:jc w:val="left"/>
      </w:pPr>
      <w:r>
        <w:rPr/>
        <w:t>（三）高级管理人员 </w:t>
      </w:r>
      <w:r>
        <w:rPr>
          <w:spacing w:val="-2"/>
        </w:rPr>
        <w:t>叶海强，男，</w:t>
      </w:r>
      <w:r>
        <w:rPr>
          <w:rFonts w:ascii="宋体" w:hAnsi="宋体" w:cs="宋体" w:eastAsia="宋体" w:hint="default"/>
          <w:spacing w:val="-2"/>
        </w:rPr>
        <w:t>46</w:t>
      </w:r>
      <w:r>
        <w:rPr>
          <w:spacing w:val="-2"/>
        </w:rPr>
        <w:t>岁，毕业于北京石油化工学院，获管理学学士学位。联想集团分拆后，</w:t>
      </w:r>
      <w:r>
        <w:rPr>
          <w:rFonts w:ascii="宋体" w:hAnsi="宋体" w:cs="宋体" w:eastAsia="宋体" w:hint="default"/>
          <w:spacing w:val="-2"/>
        </w:rPr>
        <w:t>2003</w:t>
      </w:r>
      <w:r>
        <w:rPr>
          <w:spacing w:val="-2"/>
        </w:rPr>
        <w:t>年后，叶海强先生先后担任</w:t>
      </w:r>
    </w:p>
    <w:p>
      <w:pPr>
        <w:pStyle w:val="BodyText"/>
        <w:spacing w:line="273" w:lineRule="auto" w:before="8"/>
        <w:ind w:right="1127"/>
        <w:jc w:val="left"/>
      </w:pPr>
      <w:r>
        <w:rPr>
          <w:spacing w:val="-5"/>
        </w:rPr>
        <w:t>神码中国基础网络部副总经理、总经理、神码上海副总经理等职务，并负责神州数码集团日常管理工作及第一增值业务群组、</w:t>
      </w:r>
      <w:r>
        <w:rPr>
          <w:spacing w:val="-79"/>
        </w:rPr>
        <w:t> </w:t>
      </w:r>
      <w:r>
        <w:rPr>
          <w:spacing w:val="-79"/>
        </w:rPr>
      </w:r>
      <w:r>
        <w:rPr/>
        <w:t>云科业务群组的管理工作。</w:t>
      </w:r>
      <w:r>
        <w:rPr>
          <w:rFonts w:ascii="宋体" w:hAnsi="宋体" w:cs="宋体" w:eastAsia="宋体" w:hint="default"/>
        </w:rPr>
        <w:t>2016</w:t>
      </w:r>
      <w:r>
        <w:rPr/>
        <w:t>年</w:t>
      </w:r>
      <w:r>
        <w:rPr>
          <w:rFonts w:ascii="宋体" w:hAnsi="宋体" w:cs="宋体" w:eastAsia="宋体" w:hint="default"/>
        </w:rPr>
        <w:t>3</w:t>
      </w:r>
      <w:r>
        <w:rPr/>
        <w:t>月至今，任神州数码集团股份有限公司副总裁。</w:t>
      </w:r>
    </w:p>
    <w:p>
      <w:pPr>
        <w:spacing w:after="0" w:line="273" w:lineRule="auto"/>
        <w:jc w:val="left"/>
        <w:sectPr>
          <w:pgSz w:w="11910" w:h="16840"/>
          <w:pgMar w:header="877" w:footer="979" w:top="1100" w:bottom="1160" w:left="980" w:right="0"/>
        </w:sectPr>
      </w:pPr>
    </w:p>
    <w:p>
      <w:pPr>
        <w:spacing w:line="240" w:lineRule="auto" w:before="10"/>
        <w:rPr>
          <w:rFonts w:ascii="宋体" w:hAnsi="宋体" w:cs="宋体" w:eastAsia="宋体" w:hint="default"/>
          <w:sz w:val="18"/>
          <w:szCs w:val="18"/>
        </w:rPr>
      </w:pPr>
    </w:p>
    <w:p>
      <w:pPr>
        <w:pStyle w:val="BodyText"/>
        <w:spacing w:line="273" w:lineRule="auto" w:before="44"/>
        <w:ind w:right="1129" w:firstLine="360"/>
        <w:jc w:val="right"/>
      </w:pPr>
      <w:r>
        <w:rPr>
          <w:spacing w:val="-2"/>
        </w:rPr>
        <w:t>张赐安，男，</w:t>
      </w:r>
      <w:r>
        <w:rPr>
          <w:rFonts w:ascii="宋体" w:hAnsi="宋体" w:cs="宋体" w:eastAsia="宋体" w:hint="default"/>
          <w:spacing w:val="-2"/>
        </w:rPr>
        <w:t>46</w:t>
      </w:r>
      <w:r>
        <w:rPr>
          <w:spacing w:val="-2"/>
        </w:rPr>
        <w:t>岁，</w:t>
      </w:r>
      <w:r>
        <w:rPr>
          <w:rFonts w:ascii="宋体" w:hAnsi="宋体" w:cs="宋体" w:eastAsia="宋体" w:hint="default"/>
          <w:spacing w:val="-2"/>
        </w:rPr>
        <w:t>1997</w:t>
      </w:r>
      <w:r>
        <w:rPr>
          <w:spacing w:val="-2"/>
        </w:rPr>
        <w:t>年获中国纺织大学学士学位，</w:t>
      </w:r>
      <w:r>
        <w:rPr>
          <w:rFonts w:ascii="宋体" w:hAnsi="宋体" w:cs="宋体" w:eastAsia="宋体" w:hint="default"/>
          <w:spacing w:val="-2"/>
        </w:rPr>
        <w:t>2013</w:t>
      </w:r>
      <w:r>
        <w:rPr>
          <w:spacing w:val="-2"/>
        </w:rPr>
        <w:t>年获长江商学院硕士学位。</w:t>
      </w:r>
      <w:r>
        <w:rPr>
          <w:rFonts w:ascii="宋体" w:hAnsi="宋体" w:cs="宋体" w:eastAsia="宋体" w:hint="default"/>
          <w:spacing w:val="-2"/>
        </w:rPr>
        <w:t>2001</w:t>
      </w:r>
      <w:r>
        <w:rPr>
          <w:spacing w:val="-2"/>
        </w:rPr>
        <w:t>年加入神码中国，主要负责</w:t>
      </w:r>
      <w:r>
        <w:rPr/>
        <w:t> </w:t>
      </w:r>
      <w:r>
        <w:rPr>
          <w:spacing w:val="-2"/>
        </w:rPr>
        <w:t>数据存储、安全产品的分销工作，历任存储事业部高级经理、产品总监、事业部总经理、存储事业本部总经理、神码广州副</w:t>
      </w:r>
      <w:r>
        <w:rPr>
          <w:spacing w:val="-81"/>
        </w:rPr>
        <w:t> </w:t>
      </w:r>
      <w:r>
        <w:rPr>
          <w:spacing w:val="-81"/>
        </w:rPr>
      </w:r>
      <w:r>
        <w:rPr>
          <w:spacing w:val="-4"/>
        </w:rPr>
        <w:t>总经理等职位，并负责云业务群组及第三增值业务群组的管理工作。</w:t>
      </w:r>
      <w:r>
        <w:rPr>
          <w:rFonts w:ascii="宋体" w:hAnsi="宋体" w:cs="宋体" w:eastAsia="宋体" w:hint="default"/>
          <w:spacing w:val="-4"/>
        </w:rPr>
        <w:t>2016</w:t>
      </w:r>
      <w:r>
        <w:rPr>
          <w:spacing w:val="-4"/>
        </w:rPr>
        <w:t>年</w:t>
      </w:r>
      <w:r>
        <w:rPr>
          <w:rFonts w:ascii="宋体" w:hAnsi="宋体" w:cs="宋体" w:eastAsia="宋体" w:hint="default"/>
          <w:spacing w:val="-4"/>
        </w:rPr>
        <w:t>3</w:t>
      </w:r>
      <w:r>
        <w:rPr>
          <w:spacing w:val="-4"/>
        </w:rPr>
        <w:t>月至今，任神州数码集团股份有限公司副总裁。</w:t>
      </w:r>
      <w:r>
        <w:rPr>
          <w:spacing w:val="-45"/>
        </w:rPr>
        <w:t> </w:t>
      </w:r>
      <w:r>
        <w:rPr>
          <w:spacing w:val="-45"/>
        </w:rPr>
      </w:r>
      <w:r>
        <w:rPr/>
        <w:t>周立达，男，</w:t>
      </w:r>
      <w:r>
        <w:rPr>
          <w:rFonts w:ascii="宋体" w:hAnsi="宋体" w:cs="宋体" w:eastAsia="宋体" w:hint="default"/>
        </w:rPr>
        <w:t>51</w:t>
      </w:r>
      <w:r>
        <w:rPr/>
        <w:t>岁，毕业于广州市人民警察学校。</w:t>
      </w:r>
      <w:r>
        <w:rPr>
          <w:rFonts w:ascii="宋体" w:hAnsi="宋体" w:cs="宋体" w:eastAsia="宋体" w:hint="default"/>
        </w:rPr>
        <w:t>2003</w:t>
      </w:r>
      <w:r>
        <w:rPr/>
        <w:t>年进入神码中国工作，历任通用软件事业部总经理、</w:t>
      </w:r>
      <w:r>
        <w:rPr>
          <w:rFonts w:ascii="宋体" w:hAnsi="宋体" w:cs="宋体" w:eastAsia="宋体" w:hint="default"/>
        </w:rPr>
        <w:t>IBM</w:t>
      </w:r>
      <w:r>
        <w:rPr/>
        <w:t>事业部 总经理、神码广州副总经理等职务，并负责第二增值业务群组的管理工作。</w:t>
      </w:r>
      <w:r>
        <w:rPr>
          <w:rFonts w:ascii="宋体" w:hAnsi="宋体" w:cs="宋体" w:eastAsia="宋体" w:hint="default"/>
        </w:rPr>
        <w:t>2016</w:t>
      </w:r>
      <w:r>
        <w:rPr/>
        <w:t>年</w:t>
      </w:r>
      <w:r>
        <w:rPr>
          <w:rFonts w:ascii="宋体" w:hAnsi="宋体" w:cs="宋体" w:eastAsia="宋体" w:hint="default"/>
        </w:rPr>
        <w:t>3</w:t>
      </w:r>
      <w:r>
        <w:rPr/>
        <w:t>月至今，任神州数码集团股份有限公司</w:t>
      </w:r>
    </w:p>
    <w:p>
      <w:pPr>
        <w:pStyle w:val="BodyText"/>
        <w:spacing w:line="240" w:lineRule="auto" w:before="8"/>
        <w:ind w:right="0"/>
        <w:jc w:val="left"/>
      </w:pPr>
      <w:r>
        <w:rPr/>
        <w:t>副总裁。</w:t>
      </w:r>
    </w:p>
    <w:p>
      <w:pPr>
        <w:pStyle w:val="BodyText"/>
        <w:spacing w:line="273" w:lineRule="auto" w:before="32"/>
        <w:ind w:right="1129" w:firstLine="360"/>
        <w:jc w:val="both"/>
      </w:pPr>
      <w:r>
        <w:rPr/>
        <w:t>韩智敏，男，</w:t>
      </w:r>
      <w:r>
        <w:rPr>
          <w:rFonts w:ascii="宋体" w:hAnsi="宋体" w:cs="宋体" w:eastAsia="宋体" w:hint="default"/>
        </w:rPr>
        <w:t>44</w:t>
      </w:r>
      <w:r>
        <w:rPr/>
        <w:t>岁，毕业于北京电子科技学院，北京大学市场营销专业研究生，美国北佛吉尼亚大学</w:t>
      </w:r>
      <w:r>
        <w:rPr>
          <w:rFonts w:ascii="宋体" w:hAnsi="宋体" w:cs="宋体" w:eastAsia="宋体" w:hint="default"/>
        </w:rPr>
        <w:t>MBA</w:t>
      </w:r>
      <w:r>
        <w:rPr/>
        <w:t>管理硕士。自 </w:t>
      </w:r>
      <w:r>
        <w:rPr>
          <w:rFonts w:ascii="宋体" w:hAnsi="宋体" w:cs="宋体" w:eastAsia="宋体" w:hint="default"/>
        </w:rPr>
        <w:t>2010</w:t>
      </w:r>
      <w:r>
        <w:rPr/>
        <w:t>年以来，历任公司华为事业部总经理、华为本部总经理、助理总裁等职务。</w:t>
      </w:r>
      <w:r>
        <w:rPr>
          <w:rFonts w:ascii="宋体" w:hAnsi="宋体" w:cs="宋体" w:eastAsia="宋体" w:hint="default"/>
        </w:rPr>
        <w:t>2018</w:t>
      </w:r>
      <w:r>
        <w:rPr/>
        <w:t>年</w:t>
      </w:r>
      <w:r>
        <w:rPr>
          <w:rFonts w:ascii="宋体" w:hAnsi="宋体" w:cs="宋体" w:eastAsia="宋体" w:hint="default"/>
        </w:rPr>
        <w:t>4</w:t>
      </w:r>
      <w:r>
        <w:rPr/>
        <w:t>月至今，任神州数码集团股份有限</w:t>
      </w:r>
      <w:r>
        <w:rPr>
          <w:spacing w:val="-82"/>
        </w:rPr>
        <w:t> </w:t>
      </w:r>
      <w:r>
        <w:rPr>
          <w:spacing w:val="-82"/>
        </w:rPr>
      </w:r>
      <w:r>
        <w:rPr/>
        <w:t>公司副总裁，负责神州数码集团华为业务群组的管理工作。</w:t>
      </w:r>
    </w:p>
    <w:p>
      <w:pPr>
        <w:pStyle w:val="BodyText"/>
        <w:spacing w:line="273" w:lineRule="auto" w:before="7"/>
        <w:ind w:right="1130" w:firstLine="360"/>
        <w:jc w:val="both"/>
      </w:pPr>
      <w:r>
        <w:rPr>
          <w:spacing w:val="-2"/>
        </w:rPr>
        <w:t>吕敬，男，</w:t>
      </w:r>
      <w:r>
        <w:rPr>
          <w:rFonts w:ascii="宋体" w:hAnsi="宋体" w:cs="宋体" w:eastAsia="宋体" w:hint="default"/>
          <w:spacing w:val="-2"/>
        </w:rPr>
        <w:t>45</w:t>
      </w:r>
      <w:r>
        <w:rPr>
          <w:spacing w:val="-2"/>
        </w:rPr>
        <w:t>岁，毕业于重庆建筑大学，获工学学士学位，中欧国际工商学院</w:t>
      </w:r>
      <w:r>
        <w:rPr>
          <w:rFonts w:ascii="宋体" w:hAnsi="宋体" w:cs="宋体" w:eastAsia="宋体" w:hint="default"/>
          <w:spacing w:val="-2"/>
        </w:rPr>
        <w:t>EMBA</w:t>
      </w:r>
      <w:r>
        <w:rPr>
          <w:spacing w:val="-2"/>
        </w:rPr>
        <w:t>。自</w:t>
      </w:r>
      <w:r>
        <w:rPr>
          <w:rFonts w:ascii="宋体" w:hAnsi="宋体" w:cs="宋体" w:eastAsia="宋体" w:hint="default"/>
          <w:spacing w:val="-2"/>
        </w:rPr>
        <w:t>2000</w:t>
      </w:r>
      <w:r>
        <w:rPr>
          <w:spacing w:val="-2"/>
        </w:rPr>
        <w:t>年以来，历任公司外设部销</w:t>
      </w:r>
      <w:r>
        <w:rPr/>
        <w:t> 售经理，大区总监，</w:t>
      </w:r>
      <w:r>
        <w:rPr>
          <w:rFonts w:ascii="宋体" w:hAnsi="宋体" w:cs="宋体" w:eastAsia="宋体" w:hint="default"/>
        </w:rPr>
        <w:t>dell</w:t>
      </w:r>
      <w:r>
        <w:rPr/>
        <w:t>事业部副总经理，总经理等职务。</w:t>
      </w:r>
      <w:r>
        <w:rPr>
          <w:rFonts w:ascii="宋体" w:hAnsi="宋体" w:cs="宋体" w:eastAsia="宋体" w:hint="default"/>
        </w:rPr>
        <w:t>2018</w:t>
      </w:r>
      <w:r>
        <w:rPr/>
        <w:t>年</w:t>
      </w:r>
      <w:r>
        <w:rPr>
          <w:rFonts w:ascii="宋体" w:hAnsi="宋体" w:cs="宋体" w:eastAsia="宋体" w:hint="default"/>
        </w:rPr>
        <w:t>4</w:t>
      </w:r>
      <w:r>
        <w:rPr/>
        <w:t>月至今，任神州数码集团股份有限公司副总裁，负责神</w:t>
      </w:r>
      <w:r>
        <w:rPr>
          <w:spacing w:val="-83"/>
        </w:rPr>
        <w:t> </w:t>
      </w:r>
      <w:r>
        <w:rPr>
          <w:spacing w:val="-83"/>
        </w:rPr>
      </w:r>
      <w:r>
        <w:rPr/>
        <w:t>州数码集团终端业务群组的管理工作。</w:t>
      </w:r>
    </w:p>
    <w:p>
      <w:pPr>
        <w:pStyle w:val="BodyText"/>
        <w:spacing w:line="273" w:lineRule="auto" w:before="8"/>
        <w:ind w:right="1130" w:firstLine="360"/>
        <w:jc w:val="both"/>
      </w:pPr>
      <w:r>
        <w:rPr>
          <w:spacing w:val="-2"/>
        </w:rPr>
        <w:t>李岩，女，</w:t>
      </w:r>
      <w:r>
        <w:rPr>
          <w:rFonts w:ascii="宋体" w:hAnsi="宋体" w:cs="宋体" w:eastAsia="宋体" w:hint="default"/>
          <w:spacing w:val="-2"/>
        </w:rPr>
        <w:t>46</w:t>
      </w:r>
      <w:r>
        <w:rPr>
          <w:spacing w:val="-2"/>
        </w:rPr>
        <w:t>岁，毕业于中国社会科学院，获经济学硕士学位。</w:t>
      </w:r>
      <w:r>
        <w:rPr>
          <w:rFonts w:ascii="宋体" w:hAnsi="宋体" w:cs="宋体" w:eastAsia="宋体" w:hint="default"/>
          <w:spacing w:val="-2"/>
        </w:rPr>
        <w:t>2000</w:t>
      </w:r>
      <w:r>
        <w:rPr>
          <w:spacing w:val="-2"/>
        </w:rPr>
        <w:t>年，联想集团分拆后，李岩女士历任神码中国集团</w:t>
      </w:r>
      <w:r>
        <w:rPr/>
        <w:t> </w:t>
      </w:r>
      <w:r>
        <w:rPr>
          <w:spacing w:val="-2"/>
        </w:rPr>
        <w:t>办常务副总经理、品牌市场部和经营管理部总经理、神码中国副总经理、神码广州副总经理、神码上海董事兼副总经理等职</w:t>
      </w:r>
      <w:r>
        <w:rPr>
          <w:spacing w:val="-66"/>
        </w:rPr>
        <w:t> </w:t>
      </w:r>
      <w:r>
        <w:rPr>
          <w:spacing w:val="-66"/>
        </w:rPr>
      </w:r>
      <w:r>
        <w:rPr/>
        <w:t>务。</w:t>
      </w:r>
      <w:r>
        <w:rPr>
          <w:rFonts w:ascii="宋体" w:hAnsi="宋体" w:cs="宋体" w:eastAsia="宋体" w:hint="default"/>
        </w:rPr>
        <w:t>2016</w:t>
      </w:r>
      <w:r>
        <w:rPr/>
        <w:t>年</w:t>
      </w:r>
      <w:r>
        <w:rPr>
          <w:rFonts w:ascii="宋体" w:hAnsi="宋体" w:cs="宋体" w:eastAsia="宋体" w:hint="default"/>
        </w:rPr>
        <w:t>3</w:t>
      </w:r>
      <w:r>
        <w:rPr/>
        <w:t>月至</w:t>
      </w:r>
      <w:r>
        <w:rPr>
          <w:rFonts w:ascii="宋体" w:hAnsi="宋体" w:cs="宋体" w:eastAsia="宋体" w:hint="default"/>
        </w:rPr>
        <w:t>2018</w:t>
      </w:r>
      <w:r>
        <w:rPr/>
        <w:t>年</w:t>
      </w:r>
      <w:r>
        <w:rPr>
          <w:rFonts w:ascii="宋体" w:hAnsi="宋体" w:cs="宋体" w:eastAsia="宋体" w:hint="default"/>
        </w:rPr>
        <w:t>4</w:t>
      </w:r>
      <w:r>
        <w:rPr/>
        <w:t>月，任神州数码集团股份有限公司副总裁。</w:t>
      </w:r>
      <w:r>
        <w:rPr>
          <w:rFonts w:ascii="宋体" w:hAnsi="宋体" w:cs="宋体" w:eastAsia="宋体" w:hint="default"/>
        </w:rPr>
        <w:t>2018</w:t>
      </w:r>
      <w:r>
        <w:rPr/>
        <w:t>年</w:t>
      </w:r>
      <w:r>
        <w:rPr>
          <w:rFonts w:ascii="宋体" w:hAnsi="宋体" w:cs="宋体" w:eastAsia="宋体" w:hint="default"/>
        </w:rPr>
        <w:t>4</w:t>
      </w:r>
      <w:r>
        <w:rPr/>
        <w:t>月至今，任神州数码集团股份有限公司人力资</w:t>
      </w:r>
      <w:r>
        <w:rPr>
          <w:spacing w:val="-83"/>
        </w:rPr>
        <w:t> </w:t>
      </w:r>
      <w:r>
        <w:rPr>
          <w:spacing w:val="-83"/>
        </w:rPr>
      </w:r>
      <w:r>
        <w:rPr/>
        <w:t>源总监。</w:t>
      </w:r>
    </w:p>
    <w:p>
      <w:pPr>
        <w:pStyle w:val="BodyText"/>
        <w:spacing w:line="273" w:lineRule="auto" w:before="7"/>
        <w:ind w:right="1130" w:firstLine="360"/>
        <w:jc w:val="both"/>
      </w:pPr>
      <w:r>
        <w:rPr>
          <w:spacing w:val="-5"/>
        </w:rPr>
        <w:t>汤凯，男，</w:t>
      </w:r>
      <w:r>
        <w:rPr>
          <w:rFonts w:ascii="宋体" w:hAnsi="宋体" w:cs="宋体" w:eastAsia="宋体" w:hint="default"/>
          <w:spacing w:val="-5"/>
        </w:rPr>
        <w:t>44</w:t>
      </w:r>
      <w:r>
        <w:rPr>
          <w:spacing w:val="-5"/>
        </w:rPr>
        <w:t>岁，毕业于清华大学，获理学学士学位。自</w:t>
      </w:r>
      <w:r>
        <w:rPr>
          <w:rFonts w:ascii="宋体" w:hAnsi="宋体" w:cs="宋体" w:eastAsia="宋体" w:hint="default"/>
          <w:spacing w:val="-5"/>
        </w:rPr>
        <w:t>2000</w:t>
      </w:r>
      <w:r>
        <w:rPr>
          <w:spacing w:val="-5"/>
        </w:rPr>
        <w:t>年以来，历任神码中国信息化管理部技术总监、副总经理、</w:t>
      </w:r>
      <w:r>
        <w:rPr/>
        <w:t> </w:t>
      </w:r>
      <w:r>
        <w:rPr>
          <w:spacing w:val="-2"/>
        </w:rPr>
        <w:t>总经理、神州数码集团信息化管理部总经理、神州数码云计算有限公司交付中心总经理等职务。目前汤凯先生担任神州数码</w:t>
      </w:r>
      <w:r>
        <w:rPr>
          <w:spacing w:val="-66"/>
        </w:rPr>
        <w:t> </w:t>
      </w:r>
      <w:r>
        <w:rPr>
          <w:spacing w:val="-66"/>
        </w:rPr>
      </w:r>
      <w:r>
        <w:rPr/>
        <w:t>云计算有限公司数字化转型业务部总经理。</w:t>
      </w:r>
      <w:r>
        <w:rPr>
          <w:rFonts w:ascii="宋体" w:hAnsi="宋体" w:cs="宋体" w:eastAsia="宋体" w:hint="default"/>
        </w:rPr>
        <w:t>2018</w:t>
      </w:r>
      <w:r>
        <w:rPr/>
        <w:t>年</w:t>
      </w:r>
      <w:r>
        <w:rPr>
          <w:rFonts w:ascii="宋体" w:hAnsi="宋体" w:cs="宋体" w:eastAsia="宋体" w:hint="default"/>
        </w:rPr>
        <w:t>4</w:t>
      </w:r>
      <w:r>
        <w:rPr/>
        <w:t>月至今，任神州数码集团股份有限公司技术总监。</w:t>
      </w:r>
    </w:p>
    <w:p>
      <w:pPr>
        <w:pStyle w:val="BodyText"/>
        <w:spacing w:line="273" w:lineRule="auto" w:before="7"/>
        <w:ind w:right="1129" w:firstLine="360"/>
        <w:jc w:val="both"/>
      </w:pPr>
      <w:r>
        <w:rPr/>
        <w:t>陈振坤，男，</w:t>
      </w:r>
      <w:r>
        <w:rPr>
          <w:rFonts w:ascii="宋体" w:hAnsi="宋体" w:cs="宋体" w:eastAsia="宋体" w:hint="default"/>
        </w:rPr>
        <w:t>37</w:t>
      </w:r>
      <w:r>
        <w:rPr/>
        <w:t>岁，获中国传媒大学管理学学士学位、清华大学</w:t>
      </w:r>
      <w:r>
        <w:rPr>
          <w:rFonts w:ascii="宋体" w:hAnsi="宋体" w:cs="宋体" w:eastAsia="宋体" w:hint="default"/>
        </w:rPr>
        <w:t>-</w:t>
      </w:r>
      <w:r>
        <w:rPr/>
        <w:t>香港中文大学</w:t>
      </w:r>
      <w:r>
        <w:rPr>
          <w:rFonts w:ascii="宋体" w:hAnsi="宋体" w:cs="宋体" w:eastAsia="宋体" w:hint="default"/>
        </w:rPr>
        <w:t>FMBA</w:t>
      </w:r>
      <w:r>
        <w:rPr/>
        <w:t>工商管理硕士学位。</w:t>
      </w:r>
      <w:r>
        <w:rPr>
          <w:rFonts w:ascii="宋体" w:hAnsi="宋体" w:cs="宋体" w:eastAsia="宋体" w:hint="default"/>
        </w:rPr>
        <w:t>2004</w:t>
      </w:r>
      <w:r>
        <w:rPr/>
        <w:t>年加入公 司，自</w:t>
      </w:r>
      <w:r>
        <w:rPr>
          <w:rFonts w:ascii="宋体" w:hAnsi="宋体" w:cs="宋体" w:eastAsia="宋体" w:hint="default"/>
        </w:rPr>
        <w:t>2013</w:t>
      </w:r>
      <w:r>
        <w:rPr/>
        <w:t>年以来历任公司财务部副总经理、运控中心副总经理、助理总裁、集团财务部总经理等职务。</w:t>
      </w:r>
      <w:r>
        <w:rPr>
          <w:rFonts w:ascii="宋体" w:hAnsi="宋体" w:cs="宋体" w:eastAsia="宋体" w:hint="default"/>
        </w:rPr>
        <w:t>2019</w:t>
      </w:r>
      <w:r>
        <w:rPr/>
        <w:t>年</w:t>
      </w:r>
      <w:r>
        <w:rPr>
          <w:rFonts w:ascii="宋体" w:hAnsi="宋体" w:cs="宋体" w:eastAsia="宋体" w:hint="default"/>
        </w:rPr>
        <w:t>1</w:t>
      </w:r>
      <w:r>
        <w:rPr/>
        <w:t>月至今，</w:t>
      </w:r>
      <w:r>
        <w:rPr>
          <w:spacing w:val="-84"/>
        </w:rPr>
        <w:t> </w:t>
      </w:r>
      <w:r>
        <w:rPr>
          <w:spacing w:val="-84"/>
        </w:rPr>
      </w:r>
      <w:r>
        <w:rPr/>
        <w:t>任神州数码集团股份有限公司运营总监。</w:t>
      </w:r>
    </w:p>
    <w:p>
      <w:pPr>
        <w:pStyle w:val="BodyText"/>
        <w:spacing w:line="273" w:lineRule="auto" w:before="8"/>
        <w:ind w:right="1129" w:firstLine="360"/>
        <w:jc w:val="both"/>
      </w:pPr>
      <w:r>
        <w:rPr>
          <w:spacing w:val="-2"/>
        </w:rPr>
        <w:t>王继业，女，</w:t>
      </w:r>
      <w:r>
        <w:rPr>
          <w:rFonts w:ascii="宋体" w:hAnsi="宋体" w:cs="宋体" w:eastAsia="宋体" w:hint="default"/>
          <w:spacing w:val="-2"/>
        </w:rPr>
        <w:t>53</w:t>
      </w:r>
      <w:r>
        <w:rPr>
          <w:spacing w:val="-2"/>
        </w:rPr>
        <w:t>岁，毕业于北方交通大学，获管理学硕士学位。</w:t>
      </w:r>
      <w:r>
        <w:rPr>
          <w:rFonts w:ascii="宋体" w:hAnsi="宋体" w:cs="宋体" w:eastAsia="宋体" w:hint="default"/>
          <w:spacing w:val="-2"/>
        </w:rPr>
        <w:t>2000</w:t>
      </w:r>
      <w:r>
        <w:rPr>
          <w:spacing w:val="-2"/>
        </w:rPr>
        <w:t>年，联想集团分拆后，王继业女士历任神码上海及</w:t>
      </w:r>
      <w:r>
        <w:rPr/>
        <w:t> </w:t>
      </w:r>
      <w:r>
        <w:rPr>
          <w:spacing w:val="-2"/>
        </w:rPr>
        <w:t>各下属平台公司监事、神码中国会计主管、神码中国、神码广州和神码上海三家公司的董事会秘书、会计主管和各下属平台</w:t>
      </w:r>
      <w:r>
        <w:rPr>
          <w:spacing w:val="-66"/>
        </w:rPr>
        <w:t> </w:t>
      </w:r>
      <w:r>
        <w:rPr>
          <w:spacing w:val="-66"/>
        </w:rPr>
      </w:r>
      <w:r>
        <w:rPr/>
        <w:t>公司监事职务，主要负责神码中国、神码广州和神码上海的财务核算和董事会管理等工作。</w:t>
      </w:r>
      <w:r>
        <w:rPr>
          <w:rFonts w:ascii="宋体" w:hAnsi="宋体" w:cs="宋体" w:eastAsia="宋体" w:hint="default"/>
        </w:rPr>
        <w:t>2016</w:t>
      </w:r>
      <w:r>
        <w:rPr/>
        <w:t>年</w:t>
      </w:r>
      <w:r>
        <w:rPr>
          <w:rFonts w:ascii="宋体" w:hAnsi="宋体" w:cs="宋体" w:eastAsia="宋体" w:hint="default"/>
        </w:rPr>
        <w:t>3</w:t>
      </w:r>
      <w:r>
        <w:rPr/>
        <w:t>月至今，任神州数码集</w:t>
      </w:r>
      <w:r>
        <w:rPr>
          <w:spacing w:val="-82"/>
        </w:rPr>
        <w:t> </w:t>
      </w:r>
      <w:r>
        <w:rPr>
          <w:spacing w:val="-82"/>
        </w:rPr>
      </w:r>
      <w:r>
        <w:rPr/>
        <w:t>团股份有限公司董事会秘书。</w:t>
      </w:r>
    </w:p>
    <w:p>
      <w:pPr>
        <w:spacing w:line="240" w:lineRule="auto" w:before="7"/>
        <w:rPr>
          <w:rFonts w:ascii="宋体" w:hAnsi="宋体" w:cs="宋体" w:eastAsia="宋体" w:hint="default"/>
          <w:sz w:val="21"/>
          <w:szCs w:val="21"/>
        </w:rPr>
      </w:pPr>
    </w:p>
    <w:p>
      <w:pPr>
        <w:pStyle w:val="BodyText"/>
        <w:spacing w:line="240" w:lineRule="auto"/>
        <w:ind w:right="0"/>
        <w:jc w:val="left"/>
      </w:pPr>
      <w:r>
        <w:rPr/>
        <w:t>在股东单位任职情况</w:t>
      </w:r>
    </w:p>
    <w:p>
      <w:pPr>
        <w:pStyle w:val="BodyText"/>
        <w:spacing w:line="240" w:lineRule="auto" w:before="3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2"/>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1217"/>
        <w:gridCol w:w="2294"/>
        <w:gridCol w:w="2013"/>
        <w:gridCol w:w="1390"/>
        <w:gridCol w:w="1170"/>
        <w:gridCol w:w="1484"/>
      </w:tblGrid>
      <w:tr>
        <w:trPr>
          <w:trHeight w:val="557"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601"/>
              <w:jc w:val="right"/>
              <w:rPr>
                <w:rFonts w:ascii="宋体" w:hAnsi="宋体" w:cs="宋体" w:eastAsia="宋体" w:hint="default"/>
                <w:sz w:val="18"/>
                <w:szCs w:val="18"/>
              </w:rPr>
            </w:pPr>
            <w:r>
              <w:rPr>
                <w:rFonts w:ascii="宋体" w:hAnsi="宋体" w:cs="宋体" w:eastAsia="宋体" w:hint="default"/>
                <w:sz w:val="18"/>
                <w:szCs w:val="18"/>
              </w:rPr>
              <w:t>股东单位名称</w:t>
            </w:r>
          </w:p>
        </w:tc>
        <w:tc>
          <w:tcPr>
            <w:tcW w:w="2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00" w:right="0"/>
              <w:jc w:val="left"/>
              <w:rPr>
                <w:rFonts w:ascii="宋体" w:hAnsi="宋体" w:cs="宋体" w:eastAsia="宋体" w:hint="default"/>
                <w:sz w:val="18"/>
                <w:szCs w:val="18"/>
              </w:rPr>
            </w:pPr>
            <w:r>
              <w:rPr>
                <w:rFonts w:ascii="宋体" w:hAnsi="宋体" w:cs="宋体" w:eastAsia="宋体" w:hint="default"/>
                <w:sz w:val="18"/>
                <w:szCs w:val="18"/>
              </w:rPr>
              <w:t>在股东单位担任的职务</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4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557"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王晓岩</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641"/>
              <w:jc w:val="right"/>
              <w:rPr>
                <w:rFonts w:ascii="宋体" w:hAnsi="宋体" w:cs="宋体" w:eastAsia="宋体" w:hint="default"/>
                <w:sz w:val="18"/>
                <w:szCs w:val="18"/>
              </w:rPr>
            </w:pPr>
            <w:r>
              <w:rPr>
                <w:rFonts w:ascii="宋体" w:hAnsi="宋体" w:cs="宋体" w:eastAsia="宋体" w:hint="default"/>
                <w:sz w:val="18"/>
                <w:szCs w:val="18"/>
              </w:rPr>
              <w:t>中国希格玛有限公司</w:t>
            </w:r>
          </w:p>
        </w:tc>
        <w:tc>
          <w:tcPr>
            <w:tcW w:w="2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总裁、高级经济师</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8"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2" w:right="102"/>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10"/>
        <w:ind w:right="0"/>
        <w:jc w:val="left"/>
      </w:pPr>
      <w:r>
        <w:rPr/>
        <w:t>在其他单位任职情况</w:t>
      </w:r>
    </w:p>
    <w:p>
      <w:pPr>
        <w:pStyle w:val="BodyText"/>
        <w:spacing w:line="240" w:lineRule="auto" w:before="3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2"/>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1234"/>
        <w:gridCol w:w="2562"/>
        <w:gridCol w:w="1416"/>
        <w:gridCol w:w="1620"/>
        <w:gridCol w:w="1641"/>
        <w:gridCol w:w="1096"/>
      </w:tblGrid>
      <w:tr>
        <w:trPr>
          <w:trHeight w:val="790"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5"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433" w:right="71" w:hanging="360"/>
              <w:jc w:val="left"/>
              <w:rPr>
                <w:rFonts w:ascii="宋体" w:hAnsi="宋体" w:cs="宋体" w:eastAsia="宋体" w:hint="default"/>
                <w:sz w:val="18"/>
                <w:szCs w:val="18"/>
              </w:rPr>
            </w:pPr>
            <w:r>
              <w:rPr>
                <w:rFonts w:ascii="宋体" w:hAnsi="宋体" w:cs="宋体" w:eastAsia="宋体" w:hint="default"/>
                <w:sz w:val="18"/>
                <w:szCs w:val="18"/>
              </w:rPr>
              <w:t>在其他单位担任 的职务</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
              <w:ind w:left="92" w:right="91"/>
              <w:jc w:val="center"/>
              <w:rPr>
                <w:rFonts w:ascii="宋体" w:hAnsi="宋体" w:cs="宋体" w:eastAsia="宋体" w:hint="default"/>
                <w:sz w:val="18"/>
                <w:szCs w:val="18"/>
              </w:rPr>
            </w:pPr>
            <w:r>
              <w:rPr>
                <w:rFonts w:ascii="宋体" w:hAnsi="宋体" w:cs="宋体" w:eastAsia="宋体" w:hint="default"/>
                <w:sz w:val="18"/>
                <w:szCs w:val="18"/>
              </w:rPr>
              <w:t>在其他单位 是否领取报 酬津贴</w:t>
            </w:r>
          </w:p>
        </w:tc>
      </w:tr>
      <w:tr>
        <w:trPr>
          <w:trHeight w:val="32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神州数码控股有限公司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董事会主席</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8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64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神州数码控股有限公司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首席执行官</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北京首钢基金有限公司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7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89"/>
              <w:jc w:val="left"/>
              <w:rPr>
                <w:rFonts w:ascii="宋体" w:hAnsi="宋体" w:cs="宋体" w:eastAsia="宋体" w:hint="default"/>
                <w:sz w:val="18"/>
                <w:szCs w:val="18"/>
              </w:rPr>
            </w:pPr>
            <w:r>
              <w:rPr>
                <w:rFonts w:ascii="宋体" w:hAnsi="宋体" w:cs="宋体" w:eastAsia="宋体" w:hint="default"/>
                <w:sz w:val="18"/>
                <w:szCs w:val="18"/>
              </w:rPr>
              <w:t>神州数码信息服务股份有限公 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7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王晓岩</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89"/>
              <w:jc w:val="left"/>
              <w:rPr>
                <w:rFonts w:ascii="宋体" w:hAnsi="宋体" w:cs="宋体" w:eastAsia="宋体" w:hint="default"/>
                <w:sz w:val="18"/>
                <w:szCs w:val="18"/>
              </w:rPr>
            </w:pPr>
            <w:r>
              <w:rPr>
                <w:rFonts w:ascii="宋体" w:hAnsi="宋体" w:cs="宋体" w:eastAsia="宋体" w:hint="default"/>
                <w:sz w:val="18"/>
                <w:szCs w:val="18"/>
              </w:rPr>
              <w:t>北京东方太阳城房地产开发有 限责任公司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7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辛昕</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神州云盾信息安全有限公司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辛昕</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北京迪信通商贸股份有限公司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非执行董事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7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辛昕</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嘉和美康（北京）科技股份有限</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34"/>
        <w:gridCol w:w="2562"/>
        <w:gridCol w:w="1416"/>
        <w:gridCol w:w="1620"/>
        <w:gridCol w:w="1641"/>
        <w:gridCol w:w="1096"/>
      </w:tblGrid>
      <w:tr>
        <w:trPr>
          <w:trHeight w:val="791"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735"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1"/>
              <w:ind w:left="433" w:right="71" w:hanging="360"/>
              <w:jc w:val="left"/>
              <w:rPr>
                <w:rFonts w:ascii="宋体" w:hAnsi="宋体" w:cs="宋体" w:eastAsia="宋体" w:hint="default"/>
                <w:sz w:val="18"/>
                <w:szCs w:val="18"/>
              </w:rPr>
            </w:pPr>
            <w:r>
              <w:rPr>
                <w:rFonts w:ascii="宋体" w:hAnsi="宋体" w:cs="宋体" w:eastAsia="宋体" w:hint="default"/>
                <w:sz w:val="18"/>
                <w:szCs w:val="18"/>
              </w:rPr>
              <w:t>在其他单位担任 的职务</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92" w:right="91"/>
              <w:jc w:val="center"/>
              <w:rPr>
                <w:rFonts w:ascii="宋体" w:hAnsi="宋体" w:cs="宋体" w:eastAsia="宋体" w:hint="default"/>
                <w:sz w:val="18"/>
                <w:szCs w:val="18"/>
              </w:rPr>
            </w:pPr>
            <w:r>
              <w:rPr>
                <w:rFonts w:ascii="宋体" w:hAnsi="宋体" w:cs="宋体" w:eastAsia="宋体" w:hint="default"/>
                <w:sz w:val="18"/>
                <w:szCs w:val="18"/>
              </w:rPr>
              <w:t>在其他单位 是否领取报 酬津贴</w:t>
            </w:r>
          </w:p>
        </w:tc>
      </w:tr>
      <w:tr>
        <w:trPr>
          <w:trHeight w:val="283" w:hRule="exact"/>
        </w:trPr>
        <w:tc>
          <w:tcPr>
            <w:tcW w:w="1234" w:type="dxa"/>
            <w:tcBorders>
              <w:top w:val="single" w:sz="4" w:space="0" w:color="000000"/>
              <w:left w:val="single" w:sz="4" w:space="0" w:color="000000"/>
              <w:bottom w:val="single" w:sz="4" w:space="0" w:color="000000"/>
              <w:right w:val="single" w:sz="4" w:space="0" w:color="000000"/>
            </w:tcBorders>
          </w:tcPr>
          <w:p>
            <w:pP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1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4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辛昕</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89"/>
              <w:jc w:val="left"/>
              <w:rPr>
                <w:rFonts w:ascii="宋体" w:hAnsi="宋体" w:cs="宋体" w:eastAsia="宋体" w:hint="default"/>
                <w:sz w:val="18"/>
                <w:szCs w:val="18"/>
              </w:rPr>
            </w:pPr>
            <w:r>
              <w:rPr>
                <w:rFonts w:ascii="宋体" w:hAnsi="宋体" w:cs="宋体" w:eastAsia="宋体" w:hint="default"/>
                <w:sz w:val="18"/>
                <w:szCs w:val="18"/>
              </w:rPr>
              <w:t>北京神州数码置业发展有限公 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7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辛昕</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89"/>
              <w:jc w:val="left"/>
              <w:rPr>
                <w:rFonts w:ascii="宋体" w:hAnsi="宋体" w:cs="宋体" w:eastAsia="宋体" w:hint="default"/>
                <w:sz w:val="18"/>
                <w:szCs w:val="18"/>
              </w:rPr>
            </w:pPr>
            <w:r>
              <w:rPr>
                <w:rFonts w:ascii="宋体" w:hAnsi="宋体" w:cs="宋体" w:eastAsia="宋体" w:hint="default"/>
                <w:sz w:val="18"/>
                <w:szCs w:val="18"/>
              </w:rPr>
              <w:t>神州数码信息服务股份有限公 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7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许军利</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北京市中瑞律师事务所</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律师、主任</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6"/>
              <w:jc w:val="center"/>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许军利</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北京睿智源技术有限公司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7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许军利</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四川天一科技股份有限公司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朱锦梅</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立信会计师事务所北京分所</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朱锦梅</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立信会计师事务所天津分所</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所长</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朱锦梅</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内核独立委员</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朱锦梅</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北京市地铁运营有限公司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外部董事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朱锦梅</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国家开发银行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审贷委独立委员</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64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张志强</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智能云科信息科技有限公司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7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张志强</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89"/>
              <w:jc w:val="left"/>
              <w:rPr>
                <w:rFonts w:ascii="宋体" w:hAnsi="宋体" w:cs="宋体" w:eastAsia="宋体" w:hint="default"/>
                <w:sz w:val="18"/>
                <w:szCs w:val="18"/>
              </w:rPr>
            </w:pPr>
            <w:r>
              <w:rPr>
                <w:rFonts w:ascii="宋体" w:hAnsi="宋体" w:cs="宋体" w:eastAsia="宋体" w:hint="default"/>
                <w:sz w:val="18"/>
                <w:szCs w:val="18"/>
              </w:rPr>
              <w:t>北京中延汽车咨询服务有限公 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总经理</w:t>
            </w:r>
            <w:r>
              <w:rPr>
                <w:rFonts w:ascii="宋体" w:hAnsi="宋体" w:cs="宋体" w:eastAsia="宋体" w:hint="default"/>
                <w:spacing w:val="-80"/>
                <w:sz w:val="18"/>
                <w:szCs w:val="18"/>
              </w:rPr>
              <w:t>、</w:t>
            </w:r>
            <w:r>
              <w:rPr>
                <w:rFonts w:ascii="宋体" w:hAnsi="宋体" w:cs="宋体" w:eastAsia="宋体" w:hint="default"/>
                <w:sz w:val="18"/>
                <w:szCs w:val="18"/>
              </w:rPr>
              <w:t>执行董事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7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张志强</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89"/>
              <w:jc w:val="left"/>
              <w:rPr>
                <w:rFonts w:ascii="宋体" w:hAnsi="宋体" w:cs="宋体" w:eastAsia="宋体" w:hint="default"/>
                <w:sz w:val="18"/>
                <w:szCs w:val="18"/>
              </w:rPr>
            </w:pPr>
            <w:r>
              <w:rPr>
                <w:rFonts w:ascii="宋体" w:hAnsi="宋体" w:cs="宋体" w:eastAsia="宋体" w:hint="default"/>
                <w:sz w:val="18"/>
                <w:szCs w:val="18"/>
              </w:rPr>
              <w:t>北京一路同行网络科技有限公 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总经理</w:t>
            </w:r>
            <w:r>
              <w:rPr>
                <w:rFonts w:ascii="宋体" w:hAnsi="宋体" w:cs="宋体" w:eastAsia="宋体" w:hint="default"/>
                <w:spacing w:val="-80"/>
                <w:sz w:val="18"/>
                <w:szCs w:val="18"/>
              </w:rPr>
              <w:t>、</w:t>
            </w:r>
            <w:r>
              <w:rPr>
                <w:rFonts w:ascii="宋体" w:hAnsi="宋体" w:cs="宋体" w:eastAsia="宋体" w:hint="default"/>
                <w:sz w:val="18"/>
                <w:szCs w:val="18"/>
              </w:rPr>
              <w:t>执行董事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7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张志强</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北京拼拼网络科技有限公司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总经理</w:t>
            </w:r>
            <w:r>
              <w:rPr>
                <w:rFonts w:ascii="宋体" w:hAnsi="宋体" w:cs="宋体" w:eastAsia="宋体" w:hint="default"/>
                <w:spacing w:val="-80"/>
                <w:sz w:val="18"/>
                <w:szCs w:val="18"/>
              </w:rPr>
              <w:t>、</w:t>
            </w:r>
            <w:r>
              <w:rPr>
                <w:rFonts w:ascii="宋体" w:hAnsi="宋体" w:cs="宋体" w:eastAsia="宋体" w:hint="default"/>
                <w:sz w:val="18"/>
                <w:szCs w:val="18"/>
              </w:rPr>
              <w:t>执行董事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张志强</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189"/>
              <w:jc w:val="left"/>
              <w:rPr>
                <w:rFonts w:ascii="宋体" w:hAnsi="宋体" w:cs="宋体" w:eastAsia="宋体" w:hint="default"/>
                <w:sz w:val="18"/>
                <w:szCs w:val="18"/>
              </w:rPr>
            </w:pPr>
            <w:r>
              <w:rPr>
                <w:rFonts w:ascii="宋体" w:hAnsi="宋体" w:cs="宋体" w:eastAsia="宋体" w:hint="default"/>
                <w:sz w:val="18"/>
                <w:szCs w:val="18"/>
              </w:rPr>
              <w:t>北京智多信息科技发展有限公 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张志强</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北京度辰伟力咨询有限公司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总经理</w:t>
            </w:r>
            <w:r>
              <w:rPr>
                <w:rFonts w:ascii="宋体" w:hAnsi="宋体" w:cs="宋体" w:eastAsia="宋体" w:hint="default"/>
                <w:spacing w:val="-80"/>
                <w:sz w:val="18"/>
                <w:szCs w:val="18"/>
              </w:rPr>
              <w:t>、</w:t>
            </w:r>
            <w:r>
              <w:rPr>
                <w:rFonts w:ascii="宋体" w:hAnsi="宋体" w:cs="宋体" w:eastAsia="宋体" w:hint="default"/>
                <w:sz w:val="18"/>
                <w:szCs w:val="18"/>
              </w:rPr>
              <w:t>执行董事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8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张志强</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北京恒丰保险经纪有限公司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张宏江</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北京人工智能研究院</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理事长</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8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张宏江</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宝宝树集团</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独立非执行董事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张宏江</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凯雷集团</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高级顾问</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张宏江</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华米公司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张宏江</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北京源码资本投资有限公司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投资合伙人</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张宏江</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今日头条有限公司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顾问</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张连起</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89"/>
              <w:jc w:val="left"/>
              <w:rPr>
                <w:rFonts w:ascii="宋体" w:hAnsi="宋体" w:cs="宋体" w:eastAsia="宋体" w:hint="default"/>
                <w:sz w:val="18"/>
                <w:szCs w:val="18"/>
              </w:rPr>
            </w:pPr>
            <w:r>
              <w:rPr>
                <w:rFonts w:ascii="宋体" w:hAnsi="宋体" w:cs="宋体" w:eastAsia="宋体" w:hint="default"/>
                <w:sz w:val="18"/>
                <w:szCs w:val="18"/>
              </w:rPr>
              <w:t>北京天坛生物制品股份有限公 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7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张连起</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华融证券股份有限公司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张连起</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国药集团药业股份有限公司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7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张连起</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江苏连云港港口股份有限公司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张连起</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22"/>
              <w:jc w:val="left"/>
              <w:rPr>
                <w:rFonts w:ascii="宋体" w:hAnsi="宋体" w:cs="宋体" w:eastAsia="宋体" w:hint="default"/>
                <w:sz w:val="18"/>
                <w:szCs w:val="18"/>
              </w:rPr>
            </w:pPr>
            <w:r>
              <w:rPr>
                <w:rFonts w:ascii="宋体" w:hAnsi="宋体" w:cs="宋体" w:eastAsia="宋体" w:hint="default"/>
                <w:spacing w:val="-2"/>
                <w:sz w:val="18"/>
                <w:szCs w:val="18"/>
              </w:rPr>
              <w:t>瑞华会计师事务所（特殊普通合</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伙）</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管理合伙人</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刘烨</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神州云盾信息安全有限公司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7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叶海强</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神州云盾信息安全有限公司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周立达</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神州顶联科技有限公司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7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王继业</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2"/>
              <w:jc w:val="left"/>
              <w:rPr>
                <w:rFonts w:ascii="宋体" w:hAnsi="宋体" w:cs="宋体" w:eastAsia="宋体" w:hint="default"/>
                <w:sz w:val="18"/>
                <w:szCs w:val="18"/>
              </w:rPr>
            </w:pPr>
            <w:r>
              <w:rPr>
                <w:rFonts w:ascii="宋体" w:hAnsi="宋体" w:cs="宋体" w:eastAsia="宋体" w:hint="default"/>
                <w:spacing w:val="-2"/>
                <w:sz w:val="18"/>
                <w:szCs w:val="18"/>
              </w:rPr>
              <w:t>嘉和美康（北京）科技股份有限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119"/>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5"/>
        <w:rPr>
          <w:rFonts w:ascii="Times New Roman" w:hAnsi="Times New Roman" w:cs="Times New Roman" w:eastAsia="Times New Roman" w:hint="default"/>
          <w:sz w:val="21"/>
          <w:szCs w:val="21"/>
        </w:rPr>
      </w:pPr>
    </w:p>
    <w:p>
      <w:pPr>
        <w:pStyle w:val="BodyText"/>
        <w:spacing w:line="240" w:lineRule="auto" w:before="44"/>
        <w:ind w:right="0"/>
        <w:jc w:val="left"/>
      </w:pPr>
      <w:r>
        <w:rPr/>
        <w:t>公司现任及报告期内离任董事、监事和高级管理人员近三年证券监管机构处罚的情况</w:t>
      </w:r>
    </w:p>
    <w:p>
      <w:pPr>
        <w:pStyle w:val="BodyText"/>
        <w:spacing w:line="240" w:lineRule="auto" w:before="3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1"/>
          <w:szCs w:val="21"/>
        </w:rPr>
      </w:pPr>
    </w:p>
    <w:p>
      <w:pPr>
        <w:pStyle w:val="Heading2"/>
        <w:spacing w:line="240" w:lineRule="auto"/>
        <w:ind w:right="0"/>
        <w:jc w:val="left"/>
        <w:rPr>
          <w:b w:val="0"/>
          <w:bCs w:val="0"/>
        </w:rPr>
      </w:pPr>
      <w:bookmarkStart w:name="四、董事、监事、高级管理人员报酬情况" w:id="126"/>
      <w:bookmarkEnd w:id="126"/>
      <w:r>
        <w:rPr>
          <w:b w:val="0"/>
          <w:bCs w:val="0"/>
        </w:rPr>
      </w:r>
      <w:r>
        <w:rPr/>
        <w:t>四、董事、监事、高级管理人员报酬情况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right="0"/>
        <w:jc w:val="left"/>
      </w:pPr>
      <w:r>
        <w:rPr/>
        <w:t>董事、监事、高级管理人员报酬的决策程序、确定依据、实际支付情况</w:t>
      </w:r>
    </w:p>
    <w:p>
      <w:pPr>
        <w:pStyle w:val="BodyText"/>
        <w:spacing w:line="264" w:lineRule="auto" w:before="38"/>
        <w:ind w:left="444" w:right="0" w:hanging="291"/>
        <w:jc w:val="left"/>
      </w:pPr>
      <w:r>
        <w:rPr>
          <w:rFonts w:ascii="Times New Roman" w:hAnsi="Times New Roman" w:cs="Times New Roman" w:eastAsia="Times New Roman" w:hint="default"/>
        </w:rPr>
        <w:t>1</w:t>
      </w:r>
      <w:r>
        <w:rPr/>
        <w:t>、董事、监事、高级管理人员的报酬，根据其岗位职责、业绩贡献、同时参考行业综合水平等因素确定： 在公司担任具体管理职务的董事、监事、高级管理人员，依据其在公司任职岗位的职责和业绩贡献等领取相应的薪酬，</w:t>
      </w:r>
    </w:p>
    <w:p>
      <w:pPr>
        <w:pStyle w:val="BodyText"/>
        <w:spacing w:line="295" w:lineRule="auto" w:before="14"/>
        <w:ind w:right="1122"/>
        <w:jc w:val="left"/>
      </w:pPr>
      <w:r>
        <w:rPr>
          <w:spacing w:val="-2"/>
        </w:rPr>
        <w:t>经董事会薪酬与考核委员会考评；不在公司担任具体管理职务的董事、监事，不在本公司领取薪酬；独立董事依据公司董事</w:t>
      </w:r>
      <w:r>
        <w:rPr>
          <w:spacing w:val="-66"/>
        </w:rPr>
        <w:t> </w:t>
      </w:r>
      <w:r>
        <w:rPr>
          <w:spacing w:val="-66"/>
        </w:rPr>
      </w:r>
      <w:r>
        <w:rPr/>
        <w:t>会或股东大会决议中的相关规定领取独立董事津贴。 </w:t>
      </w:r>
      <w:r>
        <w:rPr>
          <w:rFonts w:ascii="Times New Roman" w:hAnsi="Times New Roman" w:cs="Times New Roman" w:eastAsia="Times New Roman" w:hint="default"/>
        </w:rPr>
        <w:t>2</w:t>
      </w:r>
      <w:r>
        <w:rPr/>
        <w:t>、公司严格按照董事、监事、高级管理人员津贴（薪酬）的决策程序和确定依据支付津贴（薪酬），实际支付情况如下：</w:t>
      </w:r>
    </w:p>
    <w:p>
      <w:pPr>
        <w:spacing w:line="240" w:lineRule="auto" w:before="11"/>
        <w:rPr>
          <w:rFonts w:ascii="宋体" w:hAnsi="宋体" w:cs="宋体" w:eastAsia="宋体" w:hint="default"/>
          <w:sz w:val="13"/>
          <w:szCs w:val="13"/>
        </w:rPr>
      </w:pPr>
    </w:p>
    <w:p>
      <w:pPr>
        <w:pStyle w:val="BodyText"/>
        <w:spacing w:line="240" w:lineRule="auto" w:before="44"/>
        <w:ind w:right="0"/>
        <w:jc w:val="left"/>
      </w:pPr>
      <w:r>
        <w:rPr/>
        <w:t>公司报告期内董事、监事和高级管理人员报酬情况</w:t>
      </w:r>
    </w:p>
    <w:p>
      <w:pPr>
        <w:pStyle w:val="BodyText"/>
        <w:spacing w:line="240" w:lineRule="auto" w:before="38"/>
        <w:ind w:left="0" w:right="1130"/>
        <w:jc w:val="right"/>
      </w:pPr>
      <w:r>
        <w:rPr/>
        <w:t>单位：万元</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557"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32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Times New Roman" w:hAnsi="Times New Roman" w:cs="Times New Roman" w:eastAsia="Times New Roman" w:hint="default"/>
                <w:sz w:val="18"/>
                <w:szCs w:val="18"/>
              </w:rPr>
              <w:t>/</w:t>
            </w:r>
            <w:r>
              <w:rPr>
                <w:rFonts w:ascii="宋体" w:hAnsi="宋体" w:cs="宋体" w:eastAsia="宋体" w:hint="default"/>
                <w:sz w:val="18"/>
                <w:szCs w:val="18"/>
              </w:rPr>
              <w:t>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651.24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王晓岩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辛昕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185.51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许军利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朱锦梅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9.60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张志强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9.60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张宏江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9.60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张连起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9.60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张梅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98.56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孙丹梅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54.00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刘烨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29.04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叶海强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238.25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张赐安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218.18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周立达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153.65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韩智敏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193.03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吕敬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126.26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李岩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人力资源总监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122.5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汤凯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98.65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王继业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78.36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侯松容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刘娇娇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17.05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韩玉华</w:t>
            </w:r>
          </w:p>
        </w:tc>
        <w:tc>
          <w:tcPr>
            <w:tcW w:w="1367"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运营总监</w:t>
            </w:r>
          </w:p>
        </w:tc>
        <w:tc>
          <w:tcPr>
            <w:tcW w:w="1367"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2"/>
                <w:sz w:val="18"/>
              </w:rPr>
              <w:t>117.08</w:t>
            </w:r>
          </w:p>
        </w:tc>
        <w:tc>
          <w:tcPr>
            <w:tcW w:w="1367"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0"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3"/>
              <w:ind w:right="19"/>
              <w:jc w:val="right"/>
              <w:rPr>
                <w:rFonts w:ascii="Times New Roman" w:hAnsi="Times New Roman" w:cs="Times New Roman" w:eastAsia="Times New Roman" w:hint="default"/>
                <w:sz w:val="18"/>
                <w:szCs w:val="18"/>
              </w:rPr>
            </w:pPr>
            <w:r>
              <w:rPr>
                <w:rFonts w:ascii="Times New Roman"/>
                <w:sz w:val="18"/>
              </w:rPr>
              <w:t>2,419.76</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17"/>
        <w:ind w:right="0"/>
        <w:jc w:val="left"/>
      </w:pPr>
      <w:r>
        <w:rPr/>
        <w:t>公司董事、高级管理人员报告期内被授予的股权激励情况</w:t>
      </w:r>
    </w:p>
    <w:p>
      <w:pPr>
        <w:pStyle w:val="BodyText"/>
        <w:spacing w:line="240" w:lineRule="auto" w:before="3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Heading2"/>
        <w:spacing w:line="240" w:lineRule="auto" w:before="26"/>
        <w:ind w:right="0"/>
        <w:jc w:val="left"/>
        <w:rPr>
          <w:b w:val="0"/>
          <w:bCs w:val="0"/>
        </w:rPr>
      </w:pPr>
      <w:bookmarkStart w:name="五、公司员工情况" w:id="127"/>
      <w:bookmarkEnd w:id="127"/>
      <w:r>
        <w:rPr>
          <w:b w:val="0"/>
          <w:bCs w:val="0"/>
        </w:rPr>
      </w:r>
      <w:r>
        <w:rPr/>
        <w:t>五、公司员工情况</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right="0"/>
        <w:jc w:val="left"/>
        <w:rPr>
          <w:b w:val="0"/>
          <w:bCs w:val="0"/>
        </w:rPr>
      </w:pPr>
      <w:bookmarkStart w:name="1、员工数量、专业构成及教育程度" w:id="128"/>
      <w:bookmarkEnd w:id="128"/>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4"/>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4781"/>
        <w:gridCol w:w="4788"/>
      </w:tblGrid>
      <w:tr>
        <w:trPr>
          <w:trHeight w:val="324"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10</w:t>
            </w:r>
          </w:p>
        </w:tc>
      </w:tr>
      <w:tr>
        <w:trPr>
          <w:trHeight w:val="32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4,218</w:t>
            </w:r>
          </w:p>
        </w:tc>
      </w:tr>
      <w:tr>
        <w:trPr>
          <w:trHeight w:val="32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4,228</w:t>
            </w:r>
          </w:p>
        </w:tc>
      </w:tr>
      <w:tr>
        <w:trPr>
          <w:trHeight w:val="32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4,228</w:t>
            </w:r>
          </w:p>
        </w:tc>
      </w:tr>
      <w:tr>
        <w:trPr>
          <w:trHeight w:val="328"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r>
      <w:tr>
        <w:trPr>
          <w:trHeight w:val="314"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28"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580"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324"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2,506</w:t>
            </w:r>
          </w:p>
        </w:tc>
      </w:tr>
      <w:tr>
        <w:trPr>
          <w:trHeight w:val="324"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1,150</w:t>
            </w:r>
          </w:p>
        </w:tc>
      </w:tr>
      <w:tr>
        <w:trPr>
          <w:trHeight w:val="32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165</w:t>
            </w:r>
          </w:p>
        </w:tc>
      </w:tr>
      <w:tr>
        <w:trPr>
          <w:trHeight w:val="324"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269</w:t>
            </w:r>
          </w:p>
        </w:tc>
      </w:tr>
      <w:tr>
        <w:trPr>
          <w:trHeight w:val="32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138</w:t>
            </w:r>
          </w:p>
        </w:tc>
      </w:tr>
      <w:tr>
        <w:trPr>
          <w:trHeight w:val="329"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4,228</w:t>
            </w:r>
          </w:p>
        </w:tc>
      </w:tr>
      <w:tr>
        <w:trPr>
          <w:trHeight w:val="313"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329"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26"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32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博士及以上</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w:t>
            </w:r>
          </w:p>
        </w:tc>
      </w:tr>
      <w:tr>
        <w:trPr>
          <w:trHeight w:val="324"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262</w:t>
            </w:r>
          </w:p>
        </w:tc>
      </w:tr>
      <w:tr>
        <w:trPr>
          <w:trHeight w:val="32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3,217</w:t>
            </w:r>
          </w:p>
        </w:tc>
      </w:tr>
      <w:tr>
        <w:trPr>
          <w:trHeight w:val="324"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本科以下</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745</w:t>
            </w:r>
          </w:p>
        </w:tc>
      </w:tr>
      <w:tr>
        <w:trPr>
          <w:trHeight w:val="324"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4,228</w:t>
            </w:r>
          </w:p>
        </w:tc>
      </w:tr>
    </w:tbl>
    <w:p>
      <w:pPr>
        <w:spacing w:line="240" w:lineRule="auto" w:before="7"/>
        <w:rPr>
          <w:rFonts w:ascii="宋体" w:hAnsi="宋体" w:cs="宋体" w:eastAsia="宋体" w:hint="default"/>
          <w:b/>
          <w:bCs/>
          <w:sz w:val="17"/>
          <w:szCs w:val="17"/>
        </w:rPr>
      </w:pPr>
    </w:p>
    <w:p>
      <w:pPr>
        <w:pStyle w:val="Heading3"/>
        <w:spacing w:line="240" w:lineRule="auto" w:before="35"/>
        <w:ind w:right="0"/>
        <w:jc w:val="left"/>
        <w:rPr>
          <w:b w:val="0"/>
          <w:bCs w:val="0"/>
        </w:rPr>
      </w:pPr>
      <w:bookmarkStart w:name="2、薪酬政策" w:id="129"/>
      <w:bookmarkEnd w:id="129"/>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12"/>
        <w:rPr>
          <w:rFonts w:ascii="宋体" w:hAnsi="宋体" w:cs="宋体" w:eastAsia="宋体" w:hint="default"/>
          <w:b/>
          <w:bCs/>
          <w:sz w:val="23"/>
          <w:szCs w:val="23"/>
        </w:rPr>
      </w:pPr>
    </w:p>
    <w:p>
      <w:pPr>
        <w:pStyle w:val="BodyText"/>
        <w:spacing w:line="232" w:lineRule="exact"/>
        <w:ind w:right="0" w:firstLine="290"/>
        <w:jc w:val="left"/>
      </w:pPr>
      <w:r>
        <w:rPr>
          <w:spacing w:val="-1"/>
        </w:rPr>
        <w:t>根据公司的战略需求，制定薪酬政策，将员工个人业绩与公司整体目标结合起来，共同分享发展所带来的收益，薪酬体</w:t>
      </w:r>
      <w:r>
        <w:rPr/>
        <w:t> 系与市场接轨，激发员工活力。根据业绩贡献、岗位价值、技能等多方面因素，给与管理者和员工应有的回报。</w:t>
      </w:r>
    </w:p>
    <w:p>
      <w:pPr>
        <w:pStyle w:val="BodyText"/>
        <w:spacing w:line="240" w:lineRule="auto" w:before="17"/>
        <w:ind w:right="0"/>
        <w:jc w:val="left"/>
      </w:pPr>
      <w:r>
        <w:rPr/>
        <w:t>（</w:t>
      </w:r>
      <w:r>
        <w:rPr>
          <w:rFonts w:ascii="Times New Roman" w:hAnsi="Times New Roman" w:cs="Times New Roman" w:eastAsia="Times New Roman" w:hint="default"/>
        </w:rPr>
        <w:t>1</w:t>
      </w:r>
      <w:r>
        <w:rPr/>
        <w:t>）年初根据收入利润目标，制定整体的人力资源预算边界，经总裁室批准后执行；</w:t>
      </w:r>
    </w:p>
    <w:p>
      <w:pPr>
        <w:pStyle w:val="BodyText"/>
        <w:spacing w:line="240" w:lineRule="auto" w:before="24"/>
        <w:ind w:right="0"/>
        <w:jc w:val="left"/>
      </w:pPr>
      <w:r>
        <w:rPr/>
        <w:t>（</w:t>
      </w:r>
      <w:r>
        <w:rPr>
          <w:rFonts w:ascii="Times New Roman" w:hAnsi="Times New Roman" w:cs="Times New Roman" w:eastAsia="Times New Roman" w:hint="default"/>
        </w:rPr>
        <w:t>2</w:t>
      </w:r>
      <w:r>
        <w:rPr/>
        <w:t>）层层分解年度目标，确定团队及个人的绩效目标，签订业绩协议书，明确任务指标及考核激励方式；</w:t>
      </w:r>
    </w:p>
    <w:p>
      <w:pPr>
        <w:pStyle w:val="BodyText"/>
        <w:spacing w:line="240" w:lineRule="auto" w:before="24"/>
        <w:ind w:right="0"/>
        <w:jc w:val="left"/>
      </w:pPr>
      <w:r>
        <w:rPr/>
        <w:t>（</w:t>
      </w:r>
      <w:r>
        <w:rPr>
          <w:rFonts w:ascii="Times New Roman" w:hAnsi="Times New Roman" w:cs="Times New Roman" w:eastAsia="Times New Roman" w:hint="default"/>
        </w:rPr>
        <w:t>3</w:t>
      </w:r>
      <w:r>
        <w:rPr/>
        <w:t>）依据个人承担的业绩指标，确定个人薪酬空间，激励员工多劳多得；</w:t>
      </w:r>
    </w:p>
    <w:p>
      <w:pPr>
        <w:pStyle w:val="BodyText"/>
        <w:spacing w:line="240" w:lineRule="auto" w:before="24"/>
        <w:ind w:right="0"/>
        <w:jc w:val="left"/>
      </w:pPr>
      <w:r>
        <w:rPr/>
        <w:t>（</w:t>
      </w:r>
      <w:r>
        <w:rPr>
          <w:rFonts w:ascii="Times New Roman" w:hAnsi="Times New Roman" w:cs="Times New Roman" w:eastAsia="Times New Roman" w:hint="default"/>
        </w:rPr>
        <w:t>4</w:t>
      </w:r>
      <w:r>
        <w:rPr/>
        <w:t>）根据岗位性质和工作特点，实行不同的薪酬制度，包括年薪制、固定工薪、绩效工薪、底薪加提成制度等；</w:t>
      </w:r>
    </w:p>
    <w:p>
      <w:pPr>
        <w:pStyle w:val="BodyText"/>
        <w:spacing w:line="240" w:lineRule="auto" w:before="24"/>
        <w:ind w:right="0"/>
        <w:jc w:val="left"/>
      </w:pPr>
      <w:r>
        <w:rPr/>
        <w:t>（</w:t>
      </w:r>
      <w:r>
        <w:rPr>
          <w:rFonts w:ascii="Times New Roman" w:hAnsi="Times New Roman" w:cs="Times New Roman" w:eastAsia="Times New Roman" w:hint="default"/>
        </w:rPr>
        <w:t>5</w:t>
      </w:r>
      <w:r>
        <w:rPr/>
        <w:t>）按照季度及年度，根据个人业绩达成，核定个人绩效表现，给与激励兑现。</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3、培训计划" w:id="130"/>
      <w:bookmarkEnd w:id="130"/>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right="1117" w:firstLine="360"/>
        <w:jc w:val="left"/>
      </w:pPr>
      <w:r>
        <w:rPr>
          <w:spacing w:val="-5"/>
        </w:rPr>
        <w:t>神州数码集团根据公司的战略发展和员工个人发展需要，针对员工的不同类型、不同级别，设计和提供对应的企业文化、</w:t>
      </w:r>
      <w:r>
        <w:rPr/>
        <w:t> 业务专业和领导管理培训体系，具体如下图所示：</w:t>
      </w:r>
    </w:p>
    <w:p>
      <w:pPr>
        <w:pStyle w:val="BodyText"/>
        <w:spacing w:line="242" w:lineRule="exact" w:before="37"/>
        <w:ind w:left="444" w:right="0"/>
        <w:jc w:val="left"/>
      </w:pPr>
      <w:r>
        <w:rPr>
          <w:rFonts w:ascii="Times New Roman" w:hAnsi="Times New Roman" w:cs="Times New Roman" w:eastAsia="Times New Roman" w:hint="default"/>
        </w:rPr>
        <w:t>1</w:t>
      </w:r>
      <w:r>
        <w:rPr/>
        <w:t>、人才梯队培养，根据集团对管理干部的要求以及岗位胜任需要的能力，覆盖总经理及以上、高级经理、经理，共计</w:t>
      </w:r>
    </w:p>
    <w:p>
      <w:pPr>
        <w:pStyle w:val="BodyText"/>
        <w:spacing w:line="242" w:lineRule="exact"/>
        <w:ind w:right="0"/>
        <w:jc w:val="left"/>
      </w:pPr>
      <w:r>
        <w:rPr>
          <w:rFonts w:ascii="Times New Roman" w:hAnsi="Times New Roman" w:cs="Times New Roman" w:eastAsia="Times New Roman" w:hint="default"/>
        </w:rPr>
        <w:t>774</w:t>
      </w:r>
      <w:r>
        <w:rPr/>
        <w:t>人次。</w:t>
      </w:r>
    </w:p>
    <w:p>
      <w:pPr>
        <w:pStyle w:val="BodyText"/>
        <w:spacing w:line="232" w:lineRule="exact" w:before="49"/>
        <w:ind w:right="0" w:firstLine="290"/>
        <w:jc w:val="left"/>
      </w:pPr>
      <w:r>
        <w:rPr>
          <w:rFonts w:ascii="Times New Roman" w:hAnsi="Times New Roman" w:cs="Times New Roman" w:eastAsia="Times New Roman" w:hint="default"/>
        </w:rPr>
        <w:t>2</w:t>
      </w:r>
      <w:r>
        <w:rPr/>
        <w:t>、设立专业技能类培训，给员工赋能，更好的胜任本岗位工作，尤其基于云转型的战略，集团内部也开展了面向全员</w:t>
      </w:r>
      <w:r>
        <w:rPr>
          <w:spacing w:val="1"/>
        </w:rPr>
        <w:t> </w:t>
      </w:r>
      <w:r>
        <w:rPr/>
        <w:t>的云知识普及培训。全年专业培训实施共计覆盖</w:t>
      </w:r>
      <w:r>
        <w:rPr>
          <w:rFonts w:ascii="Times New Roman" w:hAnsi="Times New Roman" w:cs="Times New Roman" w:eastAsia="Times New Roman" w:hint="default"/>
        </w:rPr>
        <w:t>6996</w:t>
      </w:r>
      <w:r>
        <w:rPr/>
        <w:t>人次。</w:t>
      </w:r>
    </w:p>
    <w:p>
      <w:pPr>
        <w:spacing w:after="0" w:line="232" w:lineRule="exact"/>
        <w:jc w:val="left"/>
        <w:sectPr>
          <w:pgSz w:w="11910" w:h="16840"/>
          <w:pgMar w:header="877" w:footer="979" w:top="1100" w:bottom="1160" w:left="980" w:right="0"/>
        </w:sectPr>
      </w:pPr>
    </w:p>
    <w:p>
      <w:pPr>
        <w:spacing w:line="240" w:lineRule="auto" w:before="6"/>
        <w:rPr>
          <w:rFonts w:ascii="宋体" w:hAnsi="宋体" w:cs="宋体" w:eastAsia="宋体" w:hint="default"/>
          <w:sz w:val="24"/>
          <w:szCs w:val="24"/>
        </w:rPr>
      </w:pPr>
    </w:p>
    <w:p>
      <w:pPr>
        <w:spacing w:line="5591" w:lineRule="exact"/>
        <w:ind w:left="154" w:right="0" w:firstLine="0"/>
        <w:rPr>
          <w:rFonts w:ascii="宋体" w:hAnsi="宋体" w:cs="宋体" w:eastAsia="宋体" w:hint="default"/>
          <w:sz w:val="20"/>
          <w:szCs w:val="20"/>
        </w:rPr>
      </w:pPr>
      <w:r>
        <w:rPr>
          <w:rFonts w:ascii="宋体" w:hAnsi="宋体" w:cs="宋体" w:eastAsia="宋体" w:hint="default"/>
          <w:position w:val="-111"/>
          <w:sz w:val="20"/>
          <w:szCs w:val="20"/>
        </w:rPr>
        <w:drawing>
          <wp:inline distT="0" distB="0" distL="0" distR="0">
            <wp:extent cx="4978236" cy="3550443"/>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27" cstate="print"/>
                    <a:stretch>
                      <a:fillRect/>
                    </a:stretch>
                  </pic:blipFill>
                  <pic:spPr>
                    <a:xfrm>
                      <a:off x="0" y="0"/>
                      <a:ext cx="4978236" cy="3550443"/>
                    </a:xfrm>
                    <a:prstGeom prst="rect">
                      <a:avLst/>
                    </a:prstGeom>
                  </pic:spPr>
                </pic:pic>
              </a:graphicData>
            </a:graphic>
          </wp:inline>
        </w:drawing>
      </w:r>
      <w:r>
        <w:rPr>
          <w:rFonts w:ascii="宋体" w:hAnsi="宋体" w:cs="宋体" w:eastAsia="宋体" w:hint="default"/>
          <w:position w:val="-111"/>
          <w:sz w:val="20"/>
          <w:szCs w:val="20"/>
        </w:rPr>
      </w:r>
    </w:p>
    <w:p>
      <w:pPr>
        <w:spacing w:line="240" w:lineRule="auto" w:before="3"/>
        <w:rPr>
          <w:rFonts w:ascii="宋体" w:hAnsi="宋体" w:cs="宋体" w:eastAsia="宋体" w:hint="default"/>
          <w:sz w:val="2"/>
          <w:szCs w:val="2"/>
        </w:rPr>
      </w:pPr>
    </w:p>
    <w:tbl>
      <w:tblPr>
        <w:tblW w:w="0" w:type="auto"/>
        <w:jc w:val="left"/>
        <w:tblInd w:w="467" w:type="dxa"/>
        <w:tblLayout w:type="fixed"/>
        <w:tblCellMar>
          <w:top w:w="0" w:type="dxa"/>
          <w:left w:w="0" w:type="dxa"/>
          <w:bottom w:w="0" w:type="dxa"/>
          <w:right w:w="0" w:type="dxa"/>
        </w:tblCellMar>
        <w:tblLook w:val="01E0"/>
      </w:tblPr>
      <w:tblGrid>
        <w:gridCol w:w="1780"/>
        <w:gridCol w:w="1334"/>
        <w:gridCol w:w="1276"/>
      </w:tblGrid>
      <w:tr>
        <w:trPr>
          <w:trHeight w:val="305" w:hRule="exact"/>
        </w:trPr>
        <w:tc>
          <w:tcPr>
            <w:tcW w:w="1780" w:type="dxa"/>
            <w:tcBorders>
              <w:top w:val="nil" w:sz="6" w:space="0" w:color="auto"/>
              <w:left w:val="nil" w:sz="6" w:space="0" w:color="auto"/>
              <w:bottom w:val="single" w:sz="4" w:space="0" w:color="FFFFFF"/>
              <w:right w:val="nil" w:sz="6" w:space="0" w:color="auto"/>
            </w:tcBorders>
            <w:shd w:val="clear" w:color="auto" w:fill="4471C4"/>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color w:val="FFFFFF"/>
                <w:sz w:val="18"/>
                <w:szCs w:val="18"/>
              </w:rPr>
              <w:t>课程大类</w:t>
            </w:r>
            <w:r>
              <w:rPr>
                <w:rFonts w:ascii="宋体" w:hAnsi="宋体" w:cs="宋体" w:eastAsia="宋体" w:hint="default"/>
                <w:sz w:val="18"/>
                <w:szCs w:val="18"/>
              </w:rPr>
            </w:r>
          </w:p>
        </w:tc>
        <w:tc>
          <w:tcPr>
            <w:tcW w:w="1334" w:type="dxa"/>
            <w:tcBorders>
              <w:top w:val="nil" w:sz="6" w:space="0" w:color="auto"/>
              <w:left w:val="nil" w:sz="6" w:space="0" w:color="auto"/>
              <w:bottom w:val="single" w:sz="4" w:space="0" w:color="FFFFFF"/>
              <w:right w:val="nil" w:sz="6" w:space="0" w:color="auto"/>
            </w:tcBorders>
            <w:shd w:val="clear" w:color="auto" w:fill="4471C4"/>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color w:val="FFFFFF"/>
                <w:sz w:val="18"/>
                <w:szCs w:val="18"/>
              </w:rPr>
              <w:t>学时</w:t>
            </w:r>
            <w:r>
              <w:rPr>
                <w:rFonts w:ascii="宋体" w:hAnsi="宋体" w:cs="宋体" w:eastAsia="宋体" w:hint="default"/>
                <w:sz w:val="18"/>
                <w:szCs w:val="18"/>
              </w:rPr>
            </w:r>
          </w:p>
        </w:tc>
        <w:tc>
          <w:tcPr>
            <w:tcW w:w="1276" w:type="dxa"/>
            <w:tcBorders>
              <w:top w:val="nil" w:sz="6" w:space="0" w:color="auto"/>
              <w:left w:val="nil" w:sz="6" w:space="0" w:color="auto"/>
              <w:bottom w:val="single" w:sz="4" w:space="0" w:color="FFFFFF"/>
              <w:right w:val="nil" w:sz="6" w:space="0" w:color="auto"/>
            </w:tcBorders>
            <w:shd w:val="clear" w:color="auto" w:fill="4471C4"/>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color w:val="FFFFFF"/>
                <w:sz w:val="18"/>
                <w:szCs w:val="18"/>
              </w:rPr>
              <w:t>培训人次</w:t>
            </w:r>
            <w:r>
              <w:rPr>
                <w:rFonts w:ascii="宋体" w:hAnsi="宋体" w:cs="宋体" w:eastAsia="宋体" w:hint="default"/>
                <w:sz w:val="18"/>
                <w:szCs w:val="18"/>
              </w:rPr>
            </w:r>
          </w:p>
        </w:tc>
      </w:tr>
      <w:tr>
        <w:trPr>
          <w:trHeight w:val="295" w:hRule="exact"/>
        </w:trPr>
        <w:tc>
          <w:tcPr>
            <w:tcW w:w="1780" w:type="dxa"/>
            <w:tcBorders>
              <w:top w:val="single" w:sz="4" w:space="0" w:color="FFFFFF"/>
              <w:left w:val="single" w:sz="4" w:space="0" w:color="8EAADB"/>
              <w:bottom w:val="single" w:sz="4" w:space="0" w:color="8EAADB"/>
              <w:right w:val="single" w:sz="4" w:space="0" w:color="8EAADB"/>
            </w:tcBorders>
            <w:shd w:val="clear" w:color="auto" w:fill="D9E1F3"/>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领导管理</w:t>
            </w:r>
            <w:r>
              <w:rPr>
                <w:rFonts w:ascii="宋体" w:hAnsi="宋体" w:cs="宋体" w:eastAsia="宋体" w:hint="default"/>
                <w:sz w:val="18"/>
                <w:szCs w:val="18"/>
              </w:rPr>
            </w:r>
          </w:p>
        </w:tc>
        <w:tc>
          <w:tcPr>
            <w:tcW w:w="1334" w:type="dxa"/>
            <w:tcBorders>
              <w:top w:val="single" w:sz="4" w:space="0" w:color="FFFFFF"/>
              <w:left w:val="single" w:sz="4" w:space="0" w:color="8EAADB"/>
              <w:bottom w:val="single" w:sz="4" w:space="0" w:color="8EAADB"/>
              <w:right w:val="single" w:sz="4" w:space="0" w:color="8EAADB"/>
            </w:tcBorders>
            <w:shd w:val="clear" w:color="auto" w:fill="D9E1F3"/>
          </w:tcPr>
          <w:p>
            <w:pPr>
              <w:pStyle w:val="TableParagraph"/>
              <w:spacing w:line="205" w:lineRule="exact"/>
              <w:ind w:right="1"/>
              <w:jc w:val="center"/>
              <w:rPr>
                <w:rFonts w:ascii="宋体" w:hAnsi="宋体" w:cs="宋体" w:eastAsia="宋体" w:hint="default"/>
                <w:sz w:val="18"/>
                <w:szCs w:val="18"/>
              </w:rPr>
            </w:pPr>
            <w:r>
              <w:rPr>
                <w:rFonts w:ascii="宋体"/>
                <w:sz w:val="18"/>
              </w:rPr>
              <w:t>5,132</w:t>
            </w:r>
          </w:p>
        </w:tc>
        <w:tc>
          <w:tcPr>
            <w:tcW w:w="1276" w:type="dxa"/>
            <w:tcBorders>
              <w:top w:val="single" w:sz="4" w:space="0" w:color="FFFFFF"/>
              <w:left w:val="single" w:sz="4" w:space="0" w:color="8EAADB"/>
              <w:bottom w:val="single" w:sz="4" w:space="0" w:color="8EAADB"/>
              <w:right w:val="single" w:sz="4" w:space="0" w:color="8EAADB"/>
            </w:tcBorders>
            <w:shd w:val="clear" w:color="auto" w:fill="D9E1F3"/>
          </w:tcPr>
          <w:p>
            <w:pPr>
              <w:pStyle w:val="TableParagraph"/>
              <w:spacing w:line="205" w:lineRule="exact"/>
              <w:ind w:right="0"/>
              <w:jc w:val="center"/>
              <w:rPr>
                <w:rFonts w:ascii="宋体" w:hAnsi="宋体" w:cs="宋体" w:eastAsia="宋体" w:hint="default"/>
                <w:sz w:val="18"/>
                <w:szCs w:val="18"/>
              </w:rPr>
            </w:pPr>
            <w:r>
              <w:rPr>
                <w:rFonts w:ascii="宋体"/>
                <w:sz w:val="18"/>
              </w:rPr>
              <w:t>774</w:t>
            </w:r>
          </w:p>
        </w:tc>
      </w:tr>
      <w:tr>
        <w:trPr>
          <w:trHeight w:val="295" w:hRule="exact"/>
        </w:trPr>
        <w:tc>
          <w:tcPr>
            <w:tcW w:w="1780" w:type="dxa"/>
            <w:tcBorders>
              <w:top w:val="single" w:sz="4" w:space="0" w:color="8EAADB"/>
              <w:left w:val="single" w:sz="4" w:space="0" w:color="8EAADB"/>
              <w:bottom w:val="single" w:sz="4" w:space="0" w:color="8EAADB"/>
              <w:right w:val="single" w:sz="4" w:space="0" w:color="8EAADB"/>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b/>
                <w:bCs/>
                <w:sz w:val="18"/>
                <w:szCs w:val="18"/>
              </w:rPr>
              <w:t>企业文化</w:t>
            </w:r>
            <w:r>
              <w:rPr>
                <w:rFonts w:ascii="宋体" w:hAnsi="宋体" w:cs="宋体" w:eastAsia="宋体" w:hint="default"/>
                <w:sz w:val="18"/>
                <w:szCs w:val="18"/>
              </w:rPr>
            </w:r>
          </w:p>
        </w:tc>
        <w:tc>
          <w:tcPr>
            <w:tcW w:w="1334" w:type="dxa"/>
            <w:tcBorders>
              <w:top w:val="single" w:sz="4" w:space="0" w:color="8EAADB"/>
              <w:left w:val="single" w:sz="4" w:space="0" w:color="8EAADB"/>
              <w:bottom w:val="single" w:sz="4" w:space="0" w:color="8EAADB"/>
              <w:right w:val="single" w:sz="4" w:space="0" w:color="8EAADB"/>
            </w:tcBorders>
          </w:tcPr>
          <w:p>
            <w:pPr>
              <w:pStyle w:val="TableParagraph"/>
              <w:spacing w:line="207" w:lineRule="exact"/>
              <w:ind w:right="0"/>
              <w:jc w:val="center"/>
              <w:rPr>
                <w:rFonts w:ascii="宋体" w:hAnsi="宋体" w:cs="宋体" w:eastAsia="宋体" w:hint="default"/>
                <w:sz w:val="18"/>
                <w:szCs w:val="18"/>
              </w:rPr>
            </w:pPr>
            <w:r>
              <w:rPr>
                <w:rFonts w:ascii="宋体"/>
                <w:sz w:val="18"/>
              </w:rPr>
              <w:t>25,800</w:t>
            </w:r>
          </w:p>
        </w:tc>
        <w:tc>
          <w:tcPr>
            <w:tcW w:w="1276" w:type="dxa"/>
            <w:tcBorders>
              <w:top w:val="single" w:sz="4" w:space="0" w:color="8EAADB"/>
              <w:left w:val="single" w:sz="4" w:space="0" w:color="8EAADB"/>
              <w:bottom w:val="single" w:sz="4" w:space="0" w:color="8EAADB"/>
              <w:right w:val="single" w:sz="4" w:space="0" w:color="8EAADB"/>
            </w:tcBorders>
          </w:tcPr>
          <w:p>
            <w:pPr>
              <w:pStyle w:val="TableParagraph"/>
              <w:spacing w:line="207" w:lineRule="exact"/>
              <w:ind w:right="0"/>
              <w:jc w:val="center"/>
              <w:rPr>
                <w:rFonts w:ascii="宋体" w:hAnsi="宋体" w:cs="宋体" w:eastAsia="宋体" w:hint="default"/>
                <w:sz w:val="18"/>
                <w:szCs w:val="18"/>
              </w:rPr>
            </w:pPr>
            <w:r>
              <w:rPr>
                <w:rFonts w:ascii="宋体"/>
                <w:sz w:val="18"/>
              </w:rPr>
              <w:t>1,076</w:t>
            </w:r>
          </w:p>
        </w:tc>
      </w:tr>
      <w:tr>
        <w:trPr>
          <w:trHeight w:val="295" w:hRule="exact"/>
        </w:trPr>
        <w:tc>
          <w:tcPr>
            <w:tcW w:w="1780" w:type="dxa"/>
            <w:tcBorders>
              <w:top w:val="single" w:sz="4" w:space="0" w:color="8EAADB"/>
              <w:left w:val="single" w:sz="4" w:space="0" w:color="8EAADB"/>
              <w:bottom w:val="single" w:sz="4" w:space="0" w:color="8EAADB"/>
              <w:right w:val="single" w:sz="4" w:space="0" w:color="8EAADB"/>
            </w:tcBorders>
            <w:shd w:val="clear" w:color="auto" w:fill="D9E1F3"/>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通用技能</w:t>
            </w:r>
            <w:r>
              <w:rPr>
                <w:rFonts w:ascii="宋体" w:hAnsi="宋体" w:cs="宋体" w:eastAsia="宋体" w:hint="default"/>
                <w:sz w:val="18"/>
                <w:szCs w:val="18"/>
              </w:rPr>
            </w:r>
          </w:p>
        </w:tc>
        <w:tc>
          <w:tcPr>
            <w:tcW w:w="1334" w:type="dxa"/>
            <w:tcBorders>
              <w:top w:val="single" w:sz="4" w:space="0" w:color="8EAADB"/>
              <w:left w:val="single" w:sz="4" w:space="0" w:color="8EAADB"/>
              <w:bottom w:val="single" w:sz="4" w:space="0" w:color="8EAADB"/>
              <w:right w:val="single" w:sz="4" w:space="0" w:color="8EAADB"/>
            </w:tcBorders>
            <w:shd w:val="clear" w:color="auto" w:fill="D9E1F3"/>
          </w:tcPr>
          <w:p>
            <w:pPr>
              <w:pStyle w:val="TableParagraph"/>
              <w:spacing w:line="205" w:lineRule="exact"/>
              <w:ind w:right="1"/>
              <w:jc w:val="center"/>
              <w:rPr>
                <w:rFonts w:ascii="宋体" w:hAnsi="宋体" w:cs="宋体" w:eastAsia="宋体" w:hint="default"/>
                <w:sz w:val="18"/>
                <w:szCs w:val="18"/>
              </w:rPr>
            </w:pPr>
            <w:r>
              <w:rPr>
                <w:rFonts w:ascii="宋体"/>
                <w:sz w:val="18"/>
              </w:rPr>
              <w:t>7,446</w:t>
            </w:r>
          </w:p>
        </w:tc>
        <w:tc>
          <w:tcPr>
            <w:tcW w:w="1276" w:type="dxa"/>
            <w:tcBorders>
              <w:top w:val="single" w:sz="4" w:space="0" w:color="8EAADB"/>
              <w:left w:val="single" w:sz="4" w:space="0" w:color="8EAADB"/>
              <w:bottom w:val="single" w:sz="4" w:space="0" w:color="8EAADB"/>
              <w:right w:val="single" w:sz="4" w:space="0" w:color="8EAADB"/>
            </w:tcBorders>
            <w:shd w:val="clear" w:color="auto" w:fill="D9E1F3"/>
          </w:tcPr>
          <w:p>
            <w:pPr>
              <w:pStyle w:val="TableParagraph"/>
              <w:spacing w:line="205" w:lineRule="exact"/>
              <w:ind w:right="0"/>
              <w:jc w:val="center"/>
              <w:rPr>
                <w:rFonts w:ascii="宋体" w:hAnsi="宋体" w:cs="宋体" w:eastAsia="宋体" w:hint="default"/>
                <w:sz w:val="18"/>
                <w:szCs w:val="18"/>
              </w:rPr>
            </w:pPr>
            <w:r>
              <w:rPr>
                <w:rFonts w:ascii="宋体"/>
                <w:sz w:val="18"/>
              </w:rPr>
              <w:t>468</w:t>
            </w:r>
          </w:p>
        </w:tc>
      </w:tr>
      <w:tr>
        <w:trPr>
          <w:trHeight w:val="296" w:hRule="exact"/>
        </w:trPr>
        <w:tc>
          <w:tcPr>
            <w:tcW w:w="1780" w:type="dxa"/>
            <w:tcBorders>
              <w:top w:val="single" w:sz="4" w:space="0" w:color="8EAADB"/>
              <w:left w:val="single" w:sz="4" w:space="0" w:color="8EAADB"/>
              <w:bottom w:val="single" w:sz="4" w:space="0" w:color="8EAADB"/>
              <w:right w:val="single" w:sz="4" w:space="0" w:color="8EAADB"/>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b/>
                <w:bCs/>
                <w:sz w:val="18"/>
                <w:szCs w:val="18"/>
              </w:rPr>
              <w:t>业务专业</w:t>
            </w:r>
            <w:r>
              <w:rPr>
                <w:rFonts w:ascii="宋体" w:hAnsi="宋体" w:cs="宋体" w:eastAsia="宋体" w:hint="default"/>
                <w:sz w:val="18"/>
                <w:szCs w:val="18"/>
              </w:rPr>
            </w:r>
          </w:p>
        </w:tc>
        <w:tc>
          <w:tcPr>
            <w:tcW w:w="1334" w:type="dxa"/>
            <w:tcBorders>
              <w:top w:val="single" w:sz="4" w:space="0" w:color="8EAADB"/>
              <w:left w:val="single" w:sz="4" w:space="0" w:color="8EAADB"/>
              <w:bottom w:val="single" w:sz="4" w:space="0" w:color="8EAADB"/>
              <w:right w:val="single" w:sz="4" w:space="0" w:color="8EAADB"/>
            </w:tcBorders>
          </w:tcPr>
          <w:p>
            <w:pPr>
              <w:pStyle w:val="TableParagraph"/>
              <w:spacing w:line="206" w:lineRule="exact"/>
              <w:ind w:right="0"/>
              <w:jc w:val="center"/>
              <w:rPr>
                <w:rFonts w:ascii="宋体" w:hAnsi="宋体" w:cs="宋体" w:eastAsia="宋体" w:hint="default"/>
                <w:sz w:val="18"/>
                <w:szCs w:val="18"/>
              </w:rPr>
            </w:pPr>
            <w:r>
              <w:rPr>
                <w:rFonts w:ascii="宋体"/>
                <w:sz w:val="18"/>
              </w:rPr>
              <w:t>40,414</w:t>
            </w:r>
          </w:p>
        </w:tc>
        <w:tc>
          <w:tcPr>
            <w:tcW w:w="1276" w:type="dxa"/>
            <w:tcBorders>
              <w:top w:val="single" w:sz="4" w:space="0" w:color="8EAADB"/>
              <w:left w:val="single" w:sz="4" w:space="0" w:color="8EAADB"/>
              <w:bottom w:val="single" w:sz="4" w:space="0" w:color="8EAADB"/>
              <w:right w:val="single" w:sz="4" w:space="0" w:color="8EAADB"/>
            </w:tcBorders>
          </w:tcPr>
          <w:p>
            <w:pPr>
              <w:pStyle w:val="TableParagraph"/>
              <w:spacing w:line="206" w:lineRule="exact"/>
              <w:ind w:right="0"/>
              <w:jc w:val="center"/>
              <w:rPr>
                <w:rFonts w:ascii="宋体" w:hAnsi="宋体" w:cs="宋体" w:eastAsia="宋体" w:hint="default"/>
                <w:sz w:val="18"/>
                <w:szCs w:val="18"/>
              </w:rPr>
            </w:pPr>
            <w:r>
              <w:rPr>
                <w:rFonts w:ascii="宋体"/>
                <w:sz w:val="18"/>
              </w:rPr>
              <w:t>6,996</w:t>
            </w:r>
          </w:p>
        </w:tc>
      </w:tr>
      <w:tr>
        <w:trPr>
          <w:trHeight w:val="310" w:hRule="exact"/>
        </w:trPr>
        <w:tc>
          <w:tcPr>
            <w:tcW w:w="1780" w:type="dxa"/>
            <w:tcBorders>
              <w:top w:val="single" w:sz="4" w:space="0" w:color="8EAADB"/>
              <w:left w:val="single" w:sz="4" w:space="0" w:color="8EAADB"/>
              <w:bottom w:val="single" w:sz="4" w:space="0" w:color="8EAADB"/>
              <w:right w:val="single" w:sz="4" w:space="0" w:color="8EAADB"/>
            </w:tcBorders>
            <w:shd w:val="clear" w:color="auto" w:fill="D9E1F3"/>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总和：</w:t>
            </w:r>
            <w:r>
              <w:rPr>
                <w:rFonts w:ascii="宋体" w:hAnsi="宋体" w:cs="宋体" w:eastAsia="宋体" w:hint="default"/>
                <w:sz w:val="18"/>
                <w:szCs w:val="18"/>
              </w:rPr>
            </w:r>
          </w:p>
        </w:tc>
        <w:tc>
          <w:tcPr>
            <w:tcW w:w="1334" w:type="dxa"/>
            <w:tcBorders>
              <w:top w:val="single" w:sz="4" w:space="0" w:color="8EAADB"/>
              <w:left w:val="single" w:sz="4" w:space="0" w:color="8EAADB"/>
              <w:bottom w:val="single" w:sz="4" w:space="0" w:color="8EAADB"/>
              <w:right w:val="single" w:sz="4" w:space="0" w:color="8EAADB"/>
            </w:tcBorders>
            <w:shd w:val="clear" w:color="auto" w:fill="D9E1F3"/>
          </w:tcPr>
          <w:p>
            <w:pPr>
              <w:pStyle w:val="TableParagraph"/>
              <w:spacing w:line="205" w:lineRule="exact"/>
              <w:ind w:right="1"/>
              <w:jc w:val="center"/>
              <w:rPr>
                <w:rFonts w:ascii="宋体" w:hAnsi="宋体" w:cs="宋体" w:eastAsia="宋体" w:hint="default"/>
                <w:sz w:val="18"/>
                <w:szCs w:val="18"/>
              </w:rPr>
            </w:pPr>
            <w:r>
              <w:rPr>
                <w:rFonts w:ascii="宋体"/>
                <w:b/>
                <w:sz w:val="18"/>
              </w:rPr>
              <w:t>78,792</w:t>
            </w:r>
            <w:r>
              <w:rPr>
                <w:rFonts w:ascii="宋体"/>
                <w:sz w:val="18"/>
              </w:rPr>
            </w:r>
          </w:p>
        </w:tc>
        <w:tc>
          <w:tcPr>
            <w:tcW w:w="1276" w:type="dxa"/>
            <w:tcBorders>
              <w:top w:val="single" w:sz="4" w:space="0" w:color="8EAADB"/>
              <w:left w:val="single" w:sz="4" w:space="0" w:color="8EAADB"/>
              <w:bottom w:val="single" w:sz="4" w:space="0" w:color="8EAADB"/>
              <w:right w:val="single" w:sz="4" w:space="0" w:color="8EAADB"/>
            </w:tcBorders>
            <w:shd w:val="clear" w:color="auto" w:fill="D9E1F3"/>
          </w:tcPr>
          <w:p>
            <w:pPr>
              <w:pStyle w:val="TableParagraph"/>
              <w:spacing w:line="205" w:lineRule="exact"/>
              <w:ind w:right="0"/>
              <w:jc w:val="center"/>
              <w:rPr>
                <w:rFonts w:ascii="宋体" w:hAnsi="宋体" w:cs="宋体" w:eastAsia="宋体" w:hint="default"/>
                <w:sz w:val="18"/>
                <w:szCs w:val="18"/>
              </w:rPr>
            </w:pPr>
            <w:r>
              <w:rPr>
                <w:rFonts w:ascii="宋体"/>
                <w:b/>
                <w:sz w:val="18"/>
              </w:rPr>
              <w:t>9,314</w:t>
            </w:r>
            <w:r>
              <w:rPr>
                <w:rFonts w:ascii="宋体"/>
                <w:sz w:val="18"/>
              </w:rPr>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4、劳务外包情况" w:id="131"/>
      <w:bookmarkEnd w:id="131"/>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4729"/>
        <w:jc w:val="center"/>
        <w:rPr>
          <w:b w:val="0"/>
          <w:bCs w:val="0"/>
        </w:rPr>
      </w:pPr>
      <w:bookmarkStart w:name="第九节 公司治理" w:id="132"/>
      <w:bookmarkEnd w:id="132"/>
      <w:r>
        <w:rPr>
          <w:b w:val="0"/>
          <w:bCs w:val="0"/>
        </w:rPr>
      </w:r>
      <w:bookmarkStart w:name="_bookmark7" w:id="133"/>
      <w:bookmarkEnd w:id="133"/>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Heading2"/>
        <w:spacing w:line="240" w:lineRule="auto" w:before="26"/>
        <w:ind w:right="0"/>
        <w:jc w:val="both"/>
        <w:rPr>
          <w:b w:val="0"/>
          <w:bCs w:val="0"/>
        </w:rPr>
      </w:pPr>
      <w:bookmarkStart w:name="一、公司治理的基本状况" w:id="134"/>
      <w:bookmarkEnd w:id="134"/>
      <w:r>
        <w:rPr>
          <w:b w:val="0"/>
          <w:bCs w:val="0"/>
        </w:rPr>
      </w:r>
      <w:r>
        <w:rPr/>
        <w:t>一、公司治理的基本状况</w:t>
      </w:r>
      <w:r>
        <w:rPr>
          <w:b w:val="0"/>
          <w:bCs w:val="0"/>
        </w:rPr>
      </w:r>
    </w:p>
    <w:p>
      <w:pPr>
        <w:spacing w:line="240" w:lineRule="auto" w:before="6"/>
        <w:rPr>
          <w:rFonts w:ascii="宋体" w:hAnsi="宋体" w:cs="宋体" w:eastAsia="宋体" w:hint="default"/>
          <w:b/>
          <w:bCs/>
          <w:sz w:val="23"/>
          <w:szCs w:val="23"/>
        </w:rPr>
      </w:pPr>
    </w:p>
    <w:p>
      <w:pPr>
        <w:pStyle w:val="BodyText"/>
        <w:spacing w:line="273" w:lineRule="auto"/>
        <w:ind w:right="0" w:firstLine="373"/>
        <w:jc w:val="left"/>
      </w:pPr>
      <w:r>
        <w:rPr/>
        <w:t>报告期内，公司按照《公司法》、《证券法》、《上市公司治理准则》及《深圳证券交易所主板上市公司规范运作指 </w:t>
      </w:r>
      <w:r>
        <w:rPr>
          <w:spacing w:val="-2"/>
        </w:rPr>
        <w:t>引》等法律法规及规范性文件的要求，立足于全体股东的利益，不断提高公司经营管理水平、公司诚信度和透明度，不断完</w:t>
      </w:r>
      <w:r>
        <w:rPr>
          <w:spacing w:val="-66"/>
        </w:rPr>
        <w:t> </w:t>
      </w:r>
      <w:r>
        <w:rPr>
          <w:spacing w:val="-66"/>
        </w:rPr>
      </w:r>
      <w:r>
        <w:rPr>
          <w:spacing w:val="-2"/>
        </w:rPr>
        <w:t>善符合现代企业制度要求的法人治理结构，健全公司内部控制制度，构建了与公司发展战略相匹配的内部管控体系，提高了</w:t>
      </w:r>
      <w:r>
        <w:rPr>
          <w:spacing w:val="-66"/>
        </w:rPr>
        <w:t> </w:t>
      </w:r>
      <w:r>
        <w:rPr>
          <w:spacing w:val="-66"/>
        </w:rPr>
      </w:r>
      <w:r>
        <w:rPr/>
        <w:t>公司规范运作水平。</w:t>
      </w:r>
    </w:p>
    <w:p>
      <w:pPr>
        <w:pStyle w:val="BodyText"/>
        <w:spacing w:line="266" w:lineRule="auto" w:before="128"/>
        <w:ind w:right="1130" w:firstLine="373"/>
        <w:jc w:val="both"/>
      </w:pPr>
      <w:r>
        <w:rPr>
          <w:rFonts w:ascii="Times New Roman" w:hAnsi="Times New Roman" w:cs="Times New Roman" w:eastAsia="Times New Roman" w:hint="default"/>
        </w:rPr>
        <w:t>1</w:t>
      </w:r>
      <w:r>
        <w:rPr/>
        <w:t>、报告期内，公司修订了《公司章程》、《对外担保管理制度》等内部管理制度。公司不断完善内部控制体系，进一 </w:t>
      </w:r>
      <w:r>
        <w:rPr>
          <w:spacing w:val="-2"/>
        </w:rPr>
        <w:t>步了提高公司治理水平，促进公司规范运作。截至报告期末，公司已建立了较为完善的法人治理结构，公司法人治理的实际</w:t>
      </w:r>
      <w:r>
        <w:rPr>
          <w:spacing w:val="-66"/>
        </w:rPr>
        <w:t> </w:t>
      </w:r>
      <w:r>
        <w:rPr>
          <w:spacing w:val="-66"/>
        </w:rPr>
      </w:r>
      <w:r>
        <w:rPr/>
        <w:t>状况与中国证监会发布的有关上市公司治理的规范性文件的要求基本一致。</w:t>
      </w:r>
    </w:p>
    <w:p>
      <w:pPr>
        <w:pStyle w:val="BodyText"/>
        <w:spacing w:line="370" w:lineRule="atLeast" w:before="12"/>
        <w:ind w:left="527" w:right="1123"/>
        <w:jc w:val="left"/>
      </w:pPr>
      <w:r>
        <w:rPr>
          <w:rFonts w:ascii="Times New Roman" w:hAnsi="Times New Roman" w:cs="Times New Roman" w:eastAsia="Times New Roman" w:hint="default"/>
        </w:rPr>
        <w:t>2</w:t>
      </w:r>
      <w:r>
        <w:rPr/>
        <w:t>、关于股东与股东大会 </w:t>
      </w:r>
      <w:r>
        <w:rPr>
          <w:spacing w:val="-2"/>
        </w:rPr>
        <w:t>公司严格按照《股东大会议事规则》的要求召集、召开股东大会，并由律师出席见证：公司与股东保持了有效的沟通，</w:t>
      </w:r>
    </w:p>
    <w:p>
      <w:pPr>
        <w:pStyle w:val="BodyText"/>
        <w:spacing w:line="240" w:lineRule="auto" w:before="33"/>
        <w:ind w:right="0"/>
        <w:jc w:val="both"/>
      </w:pPr>
      <w:r>
        <w:rPr/>
        <w:t>确保所有股东平等、充分地行使权利。报告期内，公司召开了</w:t>
      </w:r>
      <w:r>
        <w:rPr>
          <w:rFonts w:ascii="Times New Roman" w:hAnsi="Times New Roman" w:cs="Times New Roman" w:eastAsia="Times New Roman" w:hint="default"/>
        </w:rPr>
        <w:t>2017</w:t>
      </w:r>
      <w:r>
        <w:rPr/>
        <w:t>年度股东大会和五次临时股东大会。</w:t>
      </w:r>
    </w:p>
    <w:p>
      <w:pPr>
        <w:pStyle w:val="BodyText"/>
        <w:spacing w:line="370" w:lineRule="atLeast" w:before="17"/>
        <w:ind w:left="527" w:right="1199"/>
        <w:jc w:val="left"/>
      </w:pPr>
      <w:r>
        <w:rPr>
          <w:rFonts w:ascii="Times New Roman" w:hAnsi="Times New Roman" w:cs="Times New Roman" w:eastAsia="Times New Roman" w:hint="default"/>
        </w:rPr>
        <w:t>3</w:t>
      </w:r>
      <w:r>
        <w:rPr/>
        <w:t>、关于控股股东与公司的关系 公司与控股股东在资产、人员、机构等方面保持独立，控股股东没有超越股东大会直接或间接干预公司的决策和经营</w:t>
      </w:r>
    </w:p>
    <w:p>
      <w:pPr>
        <w:pStyle w:val="BodyText"/>
        <w:spacing w:line="240" w:lineRule="auto" w:before="33"/>
        <w:ind w:right="0"/>
        <w:jc w:val="both"/>
      </w:pPr>
      <w:r>
        <w:rPr/>
        <w:t>活动，不存在控股股东及其关联方占用公司资金或资产的情况。</w:t>
      </w:r>
    </w:p>
    <w:p>
      <w:pPr>
        <w:pStyle w:val="BodyText"/>
        <w:spacing w:line="370" w:lineRule="atLeast" w:before="31"/>
        <w:ind w:left="527" w:right="1199"/>
        <w:jc w:val="left"/>
      </w:pPr>
      <w:r>
        <w:rPr>
          <w:rFonts w:ascii="Times New Roman" w:hAnsi="Times New Roman" w:cs="Times New Roman" w:eastAsia="Times New Roman" w:hint="default"/>
        </w:rPr>
        <w:t>4</w:t>
      </w:r>
      <w:r>
        <w:rPr/>
        <w:t>、关于董事与董事会 报告期内，公司董事会能够严格按照相关法律法规及《公司章程》的规定召开董事会会议、召集股东大会。公司设有</w:t>
      </w:r>
    </w:p>
    <w:p>
      <w:pPr>
        <w:pStyle w:val="BodyText"/>
        <w:spacing w:line="273" w:lineRule="auto" w:before="33"/>
        <w:ind w:right="1131"/>
        <w:jc w:val="both"/>
      </w:pPr>
      <w:r>
        <w:rPr>
          <w:spacing w:val="-2"/>
        </w:rPr>
        <w:t>四名独立董事，占董事会总人数的三分之一以上：公司各位董事能够严格按照《董事会议事规则》的要求，以认真负责的态</w:t>
      </w:r>
      <w:r>
        <w:rPr>
          <w:spacing w:val="-66"/>
        </w:rPr>
        <w:t> </w:t>
      </w:r>
      <w:r>
        <w:rPr>
          <w:spacing w:val="-66"/>
        </w:rPr>
      </w:r>
      <w:r>
        <w:rPr>
          <w:spacing w:val="-2"/>
        </w:rPr>
        <w:t>度出席会议，公司董事还能够为公司的经营和发展献计献策，能够积极参加中国证监会组织的相关培训。报告期内，公司董</w:t>
      </w:r>
      <w:r>
        <w:rPr>
          <w:spacing w:val="-66"/>
        </w:rPr>
        <w:t> </w:t>
      </w:r>
      <w:r>
        <w:rPr>
          <w:spacing w:val="-66"/>
        </w:rPr>
      </w:r>
      <w:r>
        <w:rPr/>
        <w:t>事会召开了十三次董事会。</w:t>
      </w:r>
    </w:p>
    <w:p>
      <w:pPr>
        <w:pStyle w:val="BodyText"/>
        <w:spacing w:line="370" w:lineRule="atLeast" w:before="7"/>
        <w:ind w:left="527" w:right="1199"/>
        <w:jc w:val="left"/>
      </w:pPr>
      <w:r>
        <w:rPr>
          <w:rFonts w:ascii="Times New Roman" w:hAnsi="Times New Roman" w:cs="Times New Roman" w:eastAsia="Times New Roman" w:hint="default"/>
        </w:rPr>
        <w:t>5</w:t>
      </w:r>
      <w:r>
        <w:rPr/>
        <w:t>、关于监事和监事会 报告期内，公司严格按照相关法律法规及《公司章程》的规定召开监事会会议。公司监事能勤勉履行职责，对公司经</w:t>
      </w:r>
    </w:p>
    <w:p>
      <w:pPr>
        <w:pStyle w:val="BodyText"/>
        <w:spacing w:line="240" w:lineRule="auto" w:before="32"/>
        <w:ind w:right="0"/>
        <w:jc w:val="both"/>
      </w:pPr>
      <w:r>
        <w:rPr/>
        <w:t>营情况以及董事和高级管理人员履行职责的合法性进行监督，并独立发表意见。报告期内，公司监事会召开八次监事会。</w:t>
      </w:r>
    </w:p>
    <w:p>
      <w:pPr>
        <w:pStyle w:val="BodyText"/>
        <w:spacing w:line="370" w:lineRule="atLeast" w:before="32"/>
        <w:ind w:left="527" w:right="1199"/>
        <w:jc w:val="left"/>
      </w:pPr>
      <w:r>
        <w:rPr>
          <w:rFonts w:ascii="Times New Roman" w:hAnsi="Times New Roman" w:cs="Times New Roman" w:eastAsia="Times New Roman" w:hint="default"/>
        </w:rPr>
        <w:t>6</w:t>
      </w:r>
      <w:r>
        <w:rPr/>
        <w:t>、关于信息披露与透明度 公司高度重视投资者关系管理工作。通过电话、电子邮件、实地调研等方式接待来访者和机构，认真做好投资者来电</w:t>
      </w:r>
    </w:p>
    <w:p>
      <w:pPr>
        <w:pStyle w:val="BodyText"/>
        <w:spacing w:line="266" w:lineRule="auto" w:before="33"/>
        <w:ind w:right="1133"/>
        <w:jc w:val="both"/>
      </w:pPr>
      <w:r>
        <w:rPr>
          <w:spacing w:val="-2"/>
        </w:rPr>
        <w:t>的接听、答复以及传真、电子信箱的接收和回复；通过公司网站，使广大投资者了解公司治理情况、信息披露情况和生产经</w:t>
      </w:r>
      <w:r>
        <w:rPr>
          <w:spacing w:val="-66"/>
        </w:rPr>
        <w:t> </w:t>
      </w:r>
      <w:r>
        <w:rPr>
          <w:spacing w:val="-66"/>
        </w:rPr>
      </w:r>
      <w:r>
        <w:rPr/>
        <w:t>营情况等；积极参与投资者网上交流互动活动，及时回复投资者的咨询</w:t>
      </w:r>
      <w:r>
        <w:rPr>
          <w:rFonts w:ascii="Times New Roman" w:hAnsi="Times New Roman" w:cs="Times New Roman" w:eastAsia="Times New Roman" w:hint="default"/>
        </w:rPr>
        <w:t>.</w:t>
      </w:r>
      <w:r>
        <w:rPr/>
        <w:t>来访接待工作坚持公平、公正、公开的原则，有利 地保障了所有投资者平等地享有知情权及其他合法权益。</w:t>
      </w:r>
    </w:p>
    <w:p>
      <w:pPr>
        <w:spacing w:line="240" w:lineRule="auto" w:before="4"/>
        <w:rPr>
          <w:rFonts w:ascii="宋体" w:hAnsi="宋体" w:cs="宋体" w:eastAsia="宋体" w:hint="default"/>
          <w:sz w:val="22"/>
          <w:szCs w:val="22"/>
        </w:rPr>
      </w:pPr>
    </w:p>
    <w:p>
      <w:pPr>
        <w:pStyle w:val="BodyText"/>
        <w:spacing w:line="240" w:lineRule="auto"/>
        <w:ind w:right="0"/>
        <w:jc w:val="both"/>
      </w:pPr>
      <w:r>
        <w:rPr/>
        <w:t>公司治理的实际状况与中国证监会发布的有关上市公司治理的规范性文件是否存在重大差异</w:t>
      </w:r>
    </w:p>
    <w:p>
      <w:pPr>
        <w:pStyle w:val="BodyText"/>
        <w:spacing w:line="297" w:lineRule="auto" w:before="73"/>
        <w:ind w:right="35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5"/>
        <w:rPr>
          <w:rFonts w:ascii="宋体" w:hAnsi="宋体" w:cs="宋体" w:eastAsia="宋体" w:hint="default"/>
          <w:sz w:val="21"/>
          <w:szCs w:val="21"/>
        </w:rPr>
      </w:pPr>
    </w:p>
    <w:p>
      <w:pPr>
        <w:pStyle w:val="Heading2"/>
        <w:spacing w:line="240" w:lineRule="auto"/>
        <w:ind w:right="0"/>
        <w:jc w:val="both"/>
        <w:rPr>
          <w:b w:val="0"/>
          <w:bCs w:val="0"/>
        </w:rPr>
      </w:pPr>
      <w:bookmarkStart w:name="二、公司相对于控股股东在业务、人员、资产、机构、财务等方面的独立情况" w:id="135"/>
      <w:bookmarkEnd w:id="135"/>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3"/>
          <w:szCs w:val="23"/>
        </w:rPr>
      </w:pPr>
    </w:p>
    <w:p>
      <w:pPr>
        <w:pStyle w:val="BodyText"/>
        <w:spacing w:line="273" w:lineRule="auto"/>
        <w:ind w:right="0" w:firstLine="360"/>
        <w:jc w:val="left"/>
      </w:pPr>
      <w:r>
        <w:rPr>
          <w:spacing w:val="-2"/>
        </w:rPr>
        <w:t>本公司法人治理结构比较健全，公司与控股股东在业务、人员、资产、机构和财务上完全独立，具有较为独立完整的业</w:t>
      </w:r>
      <w:r>
        <w:rPr/>
        <w:t> 务及自主经营能力。具体情况如下：</w:t>
      </w:r>
    </w:p>
    <w:p>
      <w:pPr>
        <w:pStyle w:val="BodyText"/>
        <w:spacing w:line="240" w:lineRule="auto" w:before="127"/>
        <w:ind w:left="514" w:right="0"/>
        <w:jc w:val="left"/>
      </w:pPr>
      <w:r>
        <w:rPr>
          <w:rFonts w:ascii="Times New Roman" w:hAnsi="Times New Roman" w:cs="Times New Roman" w:eastAsia="Times New Roman" w:hint="default"/>
        </w:rPr>
        <w:t>1</w:t>
      </w:r>
      <w:r>
        <w:rPr/>
        <w:t>、业务方面：公司拥有自身独立的业务和自主经营权，与控股股东不存在同业竞争或者潜在的同业竞争；</w:t>
      </w:r>
    </w:p>
    <w:p>
      <w:pPr>
        <w:pStyle w:val="BodyText"/>
        <w:spacing w:line="256" w:lineRule="auto" w:before="139"/>
        <w:ind w:right="1122" w:firstLine="360"/>
        <w:jc w:val="left"/>
      </w:pPr>
      <w:r>
        <w:rPr>
          <w:rFonts w:ascii="Times New Roman" w:hAnsi="Times New Roman" w:cs="Times New Roman" w:eastAsia="Times New Roman" w:hint="default"/>
        </w:rPr>
        <w:t>2</w:t>
      </w:r>
      <w:r>
        <w:rPr/>
        <w:t>、人员方面：公司人员独立于控股股东，具有独立的劳动人事管理部门，制定独立的劳动、人事及薪酬管理制度。公 </w:t>
      </w:r>
      <w:r>
        <w:rPr>
          <w:spacing w:val="-2"/>
        </w:rPr>
        <w:t>司总裁、副总裁、人力资源总监、技术总监、运营总监、财务负责人、董事会秘书等高级管理人员未在控股股东单位担任除</w:t>
      </w:r>
    </w:p>
    <w:p>
      <w:pPr>
        <w:spacing w:after="0" w:line="256" w:lineRule="auto"/>
        <w:jc w:val="left"/>
        <w:sectPr>
          <w:pgSz w:w="11910" w:h="16840"/>
          <w:pgMar w:header="877" w:footer="979" w:top="1100" w:bottom="1160" w:left="980" w:right="0"/>
        </w:sectPr>
      </w:pPr>
    </w:p>
    <w:p>
      <w:pPr>
        <w:spacing w:line="240" w:lineRule="auto" w:before="10"/>
        <w:rPr>
          <w:rFonts w:ascii="宋体" w:hAnsi="宋体" w:cs="宋体" w:eastAsia="宋体" w:hint="default"/>
          <w:sz w:val="18"/>
          <w:szCs w:val="18"/>
        </w:rPr>
      </w:pPr>
    </w:p>
    <w:p>
      <w:pPr>
        <w:pStyle w:val="BodyText"/>
        <w:spacing w:line="276" w:lineRule="auto" w:before="44"/>
        <w:ind w:right="0"/>
        <w:jc w:val="left"/>
      </w:pPr>
      <w:r>
        <w:rPr>
          <w:spacing w:val="-2"/>
        </w:rPr>
        <w:t>董事外的其他职务，没有在控股股东单位领取报酬。公司的董事、监事及高级管理人员均通过合法程序选聘，无控股股东干</w:t>
      </w:r>
      <w:r>
        <w:rPr>
          <w:spacing w:val="-66"/>
        </w:rPr>
        <w:t> </w:t>
      </w:r>
      <w:r>
        <w:rPr>
          <w:spacing w:val="-66"/>
        </w:rPr>
      </w:r>
      <w:r>
        <w:rPr/>
        <w:t>预公司董事会和股东大会已做出的人事任免决定的情况；</w:t>
      </w:r>
    </w:p>
    <w:p>
      <w:pPr>
        <w:pStyle w:val="BodyText"/>
        <w:spacing w:line="266" w:lineRule="auto" w:before="125"/>
        <w:ind w:right="1032" w:firstLine="360"/>
        <w:jc w:val="left"/>
      </w:pPr>
      <w:r>
        <w:rPr>
          <w:rFonts w:ascii="Times New Roman" w:hAnsi="Times New Roman" w:cs="Times New Roman" w:eastAsia="Times New Roman" w:hint="default"/>
        </w:rPr>
        <w:t>3</w:t>
      </w:r>
      <w:r>
        <w:rPr/>
        <w:t>、资产方面：公司主要资产产权清晰，拥有完整的与生产经营有关的生产系统、辅助生产系统和配套设施；对与生产 经营相关的厂房、土地、设备以及商标、非专利技术等资产均合法拥有所有权。公司不存在控股股东占用公司资金的情形，</w:t>
      </w:r>
      <w:r>
        <w:rPr>
          <w:spacing w:val="-85"/>
        </w:rPr>
        <w:t> </w:t>
      </w:r>
      <w:r>
        <w:rPr>
          <w:spacing w:val="-85"/>
        </w:rPr>
      </w:r>
      <w:r>
        <w:rPr/>
        <w:t>也未向控股股东提供任何担保；</w:t>
      </w:r>
    </w:p>
    <w:p>
      <w:pPr>
        <w:pStyle w:val="BodyText"/>
        <w:spacing w:line="266" w:lineRule="auto" w:before="132"/>
        <w:ind w:right="1131" w:firstLine="360"/>
        <w:jc w:val="both"/>
      </w:pPr>
      <w:r>
        <w:rPr>
          <w:rFonts w:ascii="Times New Roman" w:hAnsi="Times New Roman" w:cs="Times New Roman" w:eastAsia="Times New Roman" w:hint="default"/>
        </w:rPr>
        <w:t>4</w:t>
      </w:r>
      <w:r>
        <w:rPr/>
        <w:t>、机构方面：公司设立了完全独立于控股股东的组织机构，公司董事会、监事会及其他内部机构独立运作，不存在与 </w:t>
      </w:r>
      <w:r>
        <w:rPr>
          <w:spacing w:val="-2"/>
        </w:rPr>
        <w:t>控股股东职能部门之间的从属关系。公司具有独立的办公机构，所有职能部门均独立行使职权，独立开展经营活动，不存在</w:t>
      </w:r>
      <w:r>
        <w:rPr>
          <w:spacing w:val="-66"/>
        </w:rPr>
        <w:t> </w:t>
      </w:r>
      <w:r>
        <w:rPr>
          <w:spacing w:val="-66"/>
        </w:rPr>
      </w:r>
      <w:r>
        <w:rPr/>
        <w:t>混合经营、合署办公情形；</w:t>
      </w:r>
    </w:p>
    <w:p>
      <w:pPr>
        <w:pStyle w:val="BodyText"/>
        <w:spacing w:line="259" w:lineRule="auto" w:before="52"/>
        <w:ind w:right="0" w:firstLine="290"/>
        <w:jc w:val="left"/>
      </w:pPr>
      <w:r>
        <w:rPr>
          <w:rFonts w:ascii="Times New Roman" w:hAnsi="Times New Roman" w:cs="Times New Roman" w:eastAsia="Times New Roman" w:hint="default"/>
        </w:rPr>
        <w:t>5</w:t>
      </w:r>
      <w:r>
        <w:rPr/>
        <w:t>、财务方面：公司设有独立的财务管理部门和财务人员，建立了独立的会计核算体系和财务管理制度，独立进行财务</w:t>
      </w:r>
      <w:r>
        <w:rPr>
          <w:spacing w:val="1"/>
        </w:rPr>
        <w:t> </w:t>
      </w:r>
      <w:r>
        <w:rPr/>
        <w:t>决策；独立在银行开户，没有与控股股东共用一个银行账户；独立进行税务登记，独立依法纳税。</w:t>
      </w:r>
    </w:p>
    <w:p>
      <w:pPr>
        <w:spacing w:line="240" w:lineRule="auto" w:before="8"/>
        <w:rPr>
          <w:rFonts w:ascii="宋体" w:hAnsi="宋体" w:cs="宋体" w:eastAsia="宋体" w:hint="default"/>
          <w:sz w:val="23"/>
          <w:szCs w:val="23"/>
        </w:rPr>
      </w:pPr>
    </w:p>
    <w:p>
      <w:pPr>
        <w:pStyle w:val="Heading2"/>
        <w:spacing w:line="240" w:lineRule="auto"/>
        <w:ind w:right="0"/>
        <w:jc w:val="left"/>
        <w:rPr>
          <w:b w:val="0"/>
          <w:bCs w:val="0"/>
        </w:rPr>
      </w:pPr>
      <w:bookmarkStart w:name="三、同业竞争情况" w:id="136"/>
      <w:bookmarkEnd w:id="136"/>
      <w:r>
        <w:rPr>
          <w:b w:val="0"/>
          <w:bCs w:val="0"/>
        </w:rPr>
      </w:r>
      <w:r>
        <w:rPr/>
        <w:t>三、同业竞争情况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1"/>
          <w:szCs w:val="21"/>
        </w:rPr>
      </w:pPr>
    </w:p>
    <w:p>
      <w:pPr>
        <w:pStyle w:val="Heading2"/>
        <w:spacing w:line="240" w:lineRule="auto"/>
        <w:ind w:right="0"/>
        <w:jc w:val="left"/>
        <w:rPr>
          <w:b w:val="0"/>
          <w:bCs w:val="0"/>
        </w:rPr>
      </w:pPr>
      <w:bookmarkStart w:name="四、报告期内召开的年度股东大会和临时股东大会的有关情况" w:id="137"/>
      <w:bookmarkEnd w:id="137"/>
      <w:r>
        <w:rPr>
          <w:b w:val="0"/>
          <w:bCs w:val="0"/>
        </w:rPr>
      </w:r>
      <w:r>
        <w:rPr/>
        <w:t>四、报告期内召开的年度股东大会和临时股东大会的有关情况</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right="0"/>
        <w:jc w:val="left"/>
        <w:rPr>
          <w:b w:val="0"/>
          <w:bCs w:val="0"/>
        </w:rPr>
      </w:pPr>
      <w:bookmarkStart w:name="1、本报告期股东大会情况" w:id="138"/>
      <w:bookmarkEnd w:id="138"/>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4"/>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2378"/>
        <w:gridCol w:w="1559"/>
        <w:gridCol w:w="848"/>
        <w:gridCol w:w="1594"/>
        <w:gridCol w:w="1594"/>
        <w:gridCol w:w="1595"/>
      </w:tblGrid>
      <w:tr>
        <w:trPr>
          <w:trHeight w:val="557"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413"/>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48" w:right="59" w:hanging="90"/>
              <w:jc w:val="left"/>
              <w:rPr>
                <w:rFonts w:ascii="宋体" w:hAnsi="宋体" w:cs="宋体" w:eastAsia="宋体" w:hint="default"/>
                <w:sz w:val="18"/>
                <w:szCs w:val="18"/>
              </w:rPr>
            </w:pPr>
            <w:r>
              <w:rPr>
                <w:rFonts w:ascii="宋体" w:hAnsi="宋体" w:cs="宋体" w:eastAsia="宋体" w:hint="default"/>
                <w:sz w:val="18"/>
                <w:szCs w:val="18"/>
              </w:rPr>
              <w:t>投资者参 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557"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444"/>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119"/>
              <w:jc w:val="left"/>
              <w:rPr>
                <w:rFonts w:ascii="宋体" w:hAnsi="宋体" w:cs="宋体" w:eastAsia="宋体" w:hint="default"/>
                <w:sz w:val="18"/>
                <w:szCs w:val="18"/>
              </w:rPr>
            </w:pPr>
            <w:r>
              <w:rPr>
                <w:rFonts w:ascii="宋体" w:hAnsi="宋体" w:cs="宋体" w:eastAsia="宋体" w:hint="default"/>
                <w:sz w:val="18"/>
                <w:szCs w:val="18"/>
              </w:rPr>
              <w:t>证券时报及巨潮资 讯网</w:t>
            </w:r>
          </w:p>
        </w:tc>
      </w:tr>
      <w:tr>
        <w:trPr>
          <w:trHeight w:val="557"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444"/>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119"/>
              <w:jc w:val="left"/>
              <w:rPr>
                <w:rFonts w:ascii="宋体" w:hAnsi="宋体" w:cs="宋体" w:eastAsia="宋体" w:hint="default"/>
                <w:sz w:val="18"/>
                <w:szCs w:val="18"/>
              </w:rPr>
            </w:pPr>
            <w:r>
              <w:rPr>
                <w:rFonts w:ascii="宋体" w:hAnsi="宋体" w:cs="宋体" w:eastAsia="宋体" w:hint="default"/>
                <w:sz w:val="18"/>
                <w:szCs w:val="18"/>
              </w:rPr>
              <w:t>证券时报及巨潮资 讯网</w:t>
            </w:r>
          </w:p>
        </w:tc>
      </w:tr>
      <w:tr>
        <w:trPr>
          <w:trHeight w:val="557"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444"/>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119"/>
              <w:jc w:val="left"/>
              <w:rPr>
                <w:rFonts w:ascii="宋体" w:hAnsi="宋体" w:cs="宋体" w:eastAsia="宋体" w:hint="default"/>
                <w:sz w:val="18"/>
                <w:szCs w:val="18"/>
              </w:rPr>
            </w:pPr>
            <w:r>
              <w:rPr>
                <w:rFonts w:ascii="宋体" w:hAnsi="宋体" w:cs="宋体" w:eastAsia="宋体" w:hint="default"/>
                <w:sz w:val="18"/>
                <w:szCs w:val="18"/>
              </w:rPr>
              <w:t>证券时报及巨潮资 讯网</w:t>
            </w:r>
          </w:p>
        </w:tc>
      </w:tr>
      <w:tr>
        <w:trPr>
          <w:trHeight w:val="557"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444"/>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119"/>
              <w:jc w:val="left"/>
              <w:rPr>
                <w:rFonts w:ascii="宋体" w:hAnsi="宋体" w:cs="宋体" w:eastAsia="宋体" w:hint="default"/>
                <w:sz w:val="18"/>
                <w:szCs w:val="18"/>
              </w:rPr>
            </w:pPr>
            <w:r>
              <w:rPr>
                <w:rFonts w:ascii="宋体" w:hAnsi="宋体" w:cs="宋体" w:eastAsia="宋体" w:hint="default"/>
                <w:sz w:val="18"/>
                <w:szCs w:val="18"/>
              </w:rPr>
              <w:t>证券时报及巨潮资 讯网</w:t>
            </w:r>
          </w:p>
        </w:tc>
      </w:tr>
      <w:tr>
        <w:trPr>
          <w:trHeight w:val="557"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年第四次临时股东大会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444"/>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119"/>
              <w:jc w:val="left"/>
              <w:rPr>
                <w:rFonts w:ascii="宋体" w:hAnsi="宋体" w:cs="宋体" w:eastAsia="宋体" w:hint="default"/>
                <w:sz w:val="18"/>
                <w:szCs w:val="18"/>
              </w:rPr>
            </w:pPr>
            <w:r>
              <w:rPr>
                <w:rFonts w:ascii="宋体" w:hAnsi="宋体" w:cs="宋体" w:eastAsia="宋体" w:hint="default"/>
                <w:sz w:val="18"/>
                <w:szCs w:val="18"/>
              </w:rPr>
              <w:t>证券时报及巨潮资 讯网</w:t>
            </w:r>
          </w:p>
        </w:tc>
      </w:tr>
      <w:tr>
        <w:trPr>
          <w:trHeight w:val="558"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年第五次临时股东大会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444"/>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20"/>
              <w:jc w:val="left"/>
              <w:rPr>
                <w:rFonts w:ascii="宋体" w:hAnsi="宋体" w:cs="宋体" w:eastAsia="宋体" w:hint="default"/>
                <w:sz w:val="18"/>
                <w:szCs w:val="18"/>
              </w:rPr>
            </w:pPr>
            <w:r>
              <w:rPr>
                <w:rFonts w:ascii="宋体" w:hAnsi="宋体" w:cs="宋体" w:eastAsia="宋体" w:hint="default"/>
                <w:spacing w:val="-10"/>
                <w:sz w:val="18"/>
                <w:szCs w:val="18"/>
              </w:rPr>
              <w:t>证券时报、上海证券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报及巨潮资讯网</w:t>
            </w:r>
          </w:p>
        </w:tc>
      </w:tr>
    </w:tbl>
    <w:p>
      <w:pPr>
        <w:spacing w:line="240" w:lineRule="auto" w:before="7"/>
        <w:rPr>
          <w:rFonts w:ascii="宋体" w:hAnsi="宋体" w:cs="宋体" w:eastAsia="宋体" w:hint="default"/>
          <w:b/>
          <w:bCs/>
          <w:sz w:val="17"/>
          <w:szCs w:val="17"/>
        </w:rPr>
      </w:pPr>
    </w:p>
    <w:p>
      <w:pPr>
        <w:pStyle w:val="Heading3"/>
        <w:spacing w:line="240" w:lineRule="auto" w:before="35"/>
        <w:ind w:right="0"/>
        <w:jc w:val="left"/>
        <w:rPr>
          <w:b w:val="0"/>
          <w:bCs w:val="0"/>
        </w:rPr>
      </w:pPr>
      <w:bookmarkStart w:name="2、表决权恢复的优先股股东请求召开临时股东大会" w:id="139"/>
      <w:bookmarkEnd w:id="139"/>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1"/>
          <w:szCs w:val="21"/>
        </w:rPr>
      </w:pPr>
    </w:p>
    <w:p>
      <w:pPr>
        <w:pStyle w:val="Heading2"/>
        <w:spacing w:line="240" w:lineRule="auto"/>
        <w:ind w:right="0"/>
        <w:jc w:val="left"/>
        <w:rPr>
          <w:b w:val="0"/>
          <w:bCs w:val="0"/>
        </w:rPr>
      </w:pPr>
      <w:bookmarkStart w:name="五、报告期内独立董事履行职责的情况" w:id="140"/>
      <w:bookmarkEnd w:id="140"/>
      <w:r>
        <w:rPr>
          <w:b w:val="0"/>
          <w:bCs w:val="0"/>
        </w:rPr>
      </w:r>
      <w:r>
        <w:rPr/>
        <w:t>五、报告期内独立董事履行职责的情况</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right="0"/>
        <w:jc w:val="left"/>
        <w:rPr>
          <w:b w:val="0"/>
          <w:bCs w:val="0"/>
        </w:rPr>
      </w:pPr>
      <w:bookmarkStart w:name="1、独立董事出席董事会及股东大会的情况" w:id="141"/>
      <w:bookmarkEnd w:id="141"/>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5"/>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323"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790"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324"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侯松容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朱锦梅</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13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324"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张志强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13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w:t>
            </w:r>
          </w:p>
        </w:tc>
      </w:tr>
      <w:tr>
        <w:trPr>
          <w:trHeight w:val="32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张宏江</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13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张连起</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7"/>
        <w:rPr>
          <w:rFonts w:ascii="宋体" w:hAnsi="宋体" w:cs="宋体" w:eastAsia="宋体" w:hint="default"/>
          <w:b/>
          <w:bCs/>
          <w:sz w:val="17"/>
          <w:szCs w:val="17"/>
        </w:rPr>
      </w:pPr>
    </w:p>
    <w:p>
      <w:pPr>
        <w:pStyle w:val="Heading3"/>
        <w:spacing w:line="240" w:lineRule="auto" w:before="35"/>
        <w:ind w:right="0"/>
        <w:jc w:val="both"/>
        <w:rPr>
          <w:b w:val="0"/>
          <w:bCs w:val="0"/>
        </w:rPr>
      </w:pPr>
      <w:bookmarkStart w:name="2、独立董事对公司有关事项提出异议的情况" w:id="142"/>
      <w:bookmarkEnd w:id="142"/>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right="0"/>
        <w:jc w:val="both"/>
      </w:pPr>
      <w:r>
        <w:rPr/>
        <w:t>独立董事对公司有关事项是否提出异议</w:t>
      </w:r>
    </w:p>
    <w:p>
      <w:pPr>
        <w:pStyle w:val="BodyText"/>
        <w:spacing w:line="264" w:lineRule="auto" w:before="38"/>
        <w:ind w:right="69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2"/>
        <w:rPr>
          <w:rFonts w:ascii="宋体" w:hAnsi="宋体" w:cs="宋体" w:eastAsia="宋体" w:hint="default"/>
          <w:sz w:val="20"/>
          <w:szCs w:val="20"/>
        </w:rPr>
      </w:pPr>
    </w:p>
    <w:p>
      <w:pPr>
        <w:pStyle w:val="Heading3"/>
        <w:spacing w:line="240" w:lineRule="auto"/>
        <w:ind w:right="0"/>
        <w:jc w:val="both"/>
        <w:rPr>
          <w:b w:val="0"/>
          <w:bCs w:val="0"/>
        </w:rPr>
      </w:pPr>
      <w:bookmarkStart w:name="3、独立董事履行职责的其他说明" w:id="143"/>
      <w:bookmarkEnd w:id="143"/>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right="0"/>
        <w:jc w:val="both"/>
      </w:pPr>
      <w:r>
        <w:rPr/>
        <w:t>独立董事对公司有关建议是否被采纳</w:t>
      </w:r>
    </w:p>
    <w:p>
      <w:pPr>
        <w:pStyle w:val="BodyText"/>
        <w:spacing w:line="264" w:lineRule="auto" w:before="38"/>
        <w:ind w:right="67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273" w:lineRule="auto" w:before="53"/>
        <w:ind w:right="1032" w:firstLine="290"/>
        <w:jc w:val="left"/>
      </w:pPr>
      <w:r>
        <w:rPr/>
        <w:t>报告期内，公司独立董事本着独立、客观和公正的原则，严格按照《公司法》、《证券法》、《公司章程》、《独立董 事工作制度》等有关法律法规及规章制度的要求，尽职尽责地开展工作，及时了解、关注公司的经营发展与内部控制情况，</w:t>
      </w:r>
      <w:r>
        <w:rPr>
          <w:spacing w:val="-85"/>
        </w:rPr>
        <w:t> </w:t>
      </w:r>
      <w:r>
        <w:rPr>
          <w:spacing w:val="-85"/>
        </w:rPr>
      </w:r>
      <w:r>
        <w:rPr>
          <w:spacing w:val="-5"/>
        </w:rPr>
        <w:t>积极出席公司相关会议，认真审议公司各项议案，对公司募集资金使用情况、对外投资、关联交易等相关事项发表独立意见，</w:t>
      </w:r>
      <w:r>
        <w:rPr>
          <w:spacing w:val="-81"/>
        </w:rPr>
        <w:t> </w:t>
      </w:r>
      <w:r>
        <w:rPr>
          <w:spacing w:val="-81"/>
        </w:rPr>
      </w:r>
      <w:r>
        <w:rPr>
          <w:spacing w:val="-2"/>
        </w:rPr>
        <w:t>有效保证公司规范运作，切实维护公司和全体股东尤其是中小股东的合法利益。公司结合自身实际情况，对独立董事的意见</w:t>
      </w:r>
      <w:r>
        <w:rPr>
          <w:spacing w:val="-66"/>
        </w:rPr>
        <w:t> </w:t>
      </w:r>
      <w:r>
        <w:rPr>
          <w:spacing w:val="-66"/>
        </w:rPr>
      </w:r>
      <w:r>
        <w:rPr/>
        <w:t>与建议予以采纳。</w:t>
      </w:r>
    </w:p>
    <w:p>
      <w:pPr>
        <w:spacing w:line="240" w:lineRule="auto" w:before="10"/>
        <w:rPr>
          <w:rFonts w:ascii="宋体" w:hAnsi="宋体" w:cs="宋体" w:eastAsia="宋体" w:hint="default"/>
          <w:sz w:val="22"/>
          <w:szCs w:val="22"/>
        </w:rPr>
      </w:pPr>
    </w:p>
    <w:p>
      <w:pPr>
        <w:pStyle w:val="Heading2"/>
        <w:spacing w:line="240" w:lineRule="auto"/>
        <w:ind w:right="0"/>
        <w:jc w:val="both"/>
        <w:rPr>
          <w:b w:val="0"/>
          <w:bCs w:val="0"/>
        </w:rPr>
      </w:pPr>
      <w:bookmarkStart w:name="六、董事会下设专门委员会在报告期内履行职责情况" w:id="144"/>
      <w:bookmarkEnd w:id="144"/>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514" w:right="0"/>
        <w:jc w:val="left"/>
      </w:pPr>
      <w:r>
        <w:rPr/>
        <w:t>（一）审计委员会履职情况</w:t>
      </w:r>
    </w:p>
    <w:p>
      <w:pPr>
        <w:pStyle w:val="BodyText"/>
        <w:spacing w:line="240" w:lineRule="auto" w:before="32"/>
        <w:ind w:left="514" w:right="0"/>
        <w:jc w:val="left"/>
      </w:pPr>
      <w:r>
        <w:rPr>
          <w:rFonts w:ascii="Times New Roman" w:hAnsi="Times New Roman" w:cs="Times New Roman" w:eastAsia="Times New Roman" w:hint="default"/>
        </w:rPr>
        <w:t>1</w:t>
      </w:r>
      <w:r>
        <w:rPr/>
        <w:t>、报告期内，董事会审计委员会共召开</w:t>
      </w:r>
      <w:r>
        <w:rPr>
          <w:rFonts w:ascii="Times New Roman" w:hAnsi="Times New Roman" w:cs="Times New Roman" w:eastAsia="Times New Roman" w:hint="default"/>
        </w:rPr>
        <w:t>5</w:t>
      </w:r>
      <w:r>
        <w:rPr/>
        <w:t>次会议，主要工作情况如下：</w:t>
      </w:r>
    </w:p>
    <w:p>
      <w:pPr>
        <w:pStyle w:val="BodyText"/>
        <w:spacing w:line="259" w:lineRule="auto" w:before="19"/>
        <w:ind w:right="0" w:firstLine="360"/>
        <w:jc w:val="left"/>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23</w:t>
      </w:r>
      <w:r>
        <w:rPr>
          <w:spacing w:val="-2"/>
        </w:rPr>
        <w:t>日，审计委员会召开第八届第十四次会议，会议形成决议：知悉信永中和会计师事务所提供的审计总</w:t>
      </w:r>
      <w:r>
        <w:rPr/>
        <w:t> 结全部内容，并已充分理解；将督促公司就审计总结所提及的重要事项及时进行跟进并整改。</w:t>
      </w:r>
    </w:p>
    <w:p>
      <w:pPr>
        <w:pStyle w:val="BodyText"/>
        <w:spacing w:line="256" w:lineRule="auto" w:before="19"/>
        <w:ind w:right="0" w:firstLine="360"/>
        <w:jc w:val="left"/>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27</w:t>
      </w:r>
      <w:r>
        <w:rPr>
          <w:spacing w:val="-2"/>
        </w:rPr>
        <w:t>日，审计委员会召开第八届第十五次会议，会议听取了审计委员会</w:t>
      </w:r>
      <w:r>
        <w:rPr>
          <w:rFonts w:ascii="Times New Roman" w:hAnsi="Times New Roman" w:cs="Times New Roman" w:eastAsia="Times New Roman" w:hint="default"/>
          <w:spacing w:val="-2"/>
        </w:rPr>
        <w:t>2017</w:t>
      </w:r>
      <w:r>
        <w:rPr>
          <w:spacing w:val="-2"/>
        </w:rPr>
        <w:t>年的工作情况汇报，重点介绍</w:t>
      </w:r>
      <w:r>
        <w:rPr/>
        <w:t> </w:t>
      </w:r>
      <w:r>
        <w:rPr>
          <w:spacing w:val="-8"/>
        </w:rPr>
        <w:t>关于</w:t>
      </w:r>
      <w:r>
        <w:rPr>
          <w:rFonts w:ascii="Times New Roman" w:hAnsi="Times New Roman" w:cs="Times New Roman" w:eastAsia="Times New Roman" w:hint="default"/>
          <w:spacing w:val="-8"/>
        </w:rPr>
        <w:t>2017</w:t>
      </w:r>
      <w:r>
        <w:rPr>
          <w:spacing w:val="-8"/>
        </w:rPr>
        <w:t>年年报和内控审计报告的情况，并且审议通过了《关于变更会计政策的议案》、《关于</w:t>
      </w:r>
      <w:r>
        <w:rPr>
          <w:rFonts w:ascii="Times New Roman" w:hAnsi="Times New Roman" w:cs="Times New Roman" w:eastAsia="Times New Roman" w:hint="default"/>
          <w:spacing w:val="-8"/>
        </w:rPr>
        <w:t>2017</w:t>
      </w:r>
      <w:r>
        <w:rPr>
          <w:spacing w:val="-8"/>
        </w:rPr>
        <w:t>年核销部分资产的议案》、</w:t>
      </w:r>
    </w:p>
    <w:p>
      <w:pPr>
        <w:pStyle w:val="BodyText"/>
        <w:spacing w:line="259" w:lineRule="auto" w:before="5"/>
        <w:ind w:right="1045"/>
        <w:jc w:val="both"/>
      </w:pPr>
      <w:r>
        <w:rPr>
          <w:spacing w:val="-2"/>
        </w:rPr>
        <w:t>《关于</w:t>
      </w:r>
      <w:r>
        <w:rPr>
          <w:rFonts w:ascii="Times New Roman" w:hAnsi="Times New Roman" w:cs="Times New Roman" w:eastAsia="Times New Roman" w:hint="default"/>
          <w:spacing w:val="-2"/>
        </w:rPr>
        <w:t>&lt;2017</w:t>
      </w:r>
      <w:r>
        <w:rPr>
          <w:spacing w:val="-2"/>
        </w:rPr>
        <w:t>年年度报告</w:t>
      </w:r>
      <w:r>
        <w:rPr>
          <w:rFonts w:ascii="Times New Roman" w:hAnsi="Times New Roman" w:cs="Times New Roman" w:eastAsia="Times New Roman" w:hint="default"/>
          <w:spacing w:val="-2"/>
        </w:rPr>
        <w:t>&gt;</w:t>
      </w:r>
      <w:r>
        <w:rPr>
          <w:spacing w:val="-2"/>
        </w:rPr>
        <w:t>及</w:t>
      </w:r>
      <w:r>
        <w:rPr>
          <w:rFonts w:ascii="Times New Roman" w:hAnsi="Times New Roman" w:cs="Times New Roman" w:eastAsia="Times New Roman" w:hint="default"/>
          <w:spacing w:val="-2"/>
        </w:rPr>
        <w:t>&lt;2017</w:t>
      </w:r>
      <w:r>
        <w:rPr>
          <w:spacing w:val="-2"/>
        </w:rPr>
        <w:t>年年度报告摘要</w:t>
      </w:r>
      <w:r>
        <w:rPr>
          <w:rFonts w:ascii="Times New Roman" w:hAnsi="Times New Roman" w:cs="Times New Roman" w:eastAsia="Times New Roman" w:hint="default"/>
          <w:spacing w:val="-2"/>
        </w:rPr>
        <w:t>&gt;</w:t>
      </w:r>
      <w:r>
        <w:rPr>
          <w:spacing w:val="-2"/>
        </w:rPr>
        <w:t>的议案》、《关于</w:t>
      </w:r>
      <w:r>
        <w:rPr>
          <w:rFonts w:ascii="Times New Roman" w:hAnsi="Times New Roman" w:cs="Times New Roman" w:eastAsia="Times New Roman" w:hint="default"/>
          <w:spacing w:val="-2"/>
        </w:rPr>
        <w:t>&lt;2017</w:t>
      </w:r>
      <w:r>
        <w:rPr>
          <w:spacing w:val="-2"/>
        </w:rPr>
        <w:t>年度财务决算报告</w:t>
      </w:r>
      <w:r>
        <w:rPr>
          <w:rFonts w:ascii="Times New Roman" w:hAnsi="Times New Roman" w:cs="Times New Roman" w:eastAsia="Times New Roman" w:hint="default"/>
          <w:spacing w:val="-2"/>
        </w:rPr>
        <w:t>&gt;</w:t>
      </w:r>
      <w:r>
        <w:rPr>
          <w:spacing w:val="-2"/>
        </w:rPr>
        <w:t>的议案》、《关于</w:t>
      </w:r>
      <w:r>
        <w:rPr>
          <w:rFonts w:ascii="Times New Roman" w:hAnsi="Times New Roman" w:cs="Times New Roman" w:eastAsia="Times New Roman" w:hint="default"/>
          <w:spacing w:val="-2"/>
        </w:rPr>
        <w:t>&lt;2017</w:t>
      </w:r>
      <w:r>
        <w:rPr>
          <w:spacing w:val="-2"/>
        </w:rPr>
        <w:t>年度</w:t>
      </w:r>
      <w:r>
        <w:rPr>
          <w:spacing w:val="-39"/>
        </w:rPr>
        <w:t> </w:t>
      </w:r>
      <w:r>
        <w:rPr/>
        <w:t>利润分配预案</w:t>
      </w:r>
      <w:r>
        <w:rPr>
          <w:rFonts w:ascii="Times New Roman" w:hAnsi="Times New Roman" w:cs="Times New Roman" w:eastAsia="Times New Roman" w:hint="default"/>
        </w:rPr>
        <w:t>&gt;</w:t>
      </w:r>
      <w:r>
        <w:rPr/>
        <w:t>的议案》、《关于</w:t>
      </w:r>
      <w:r>
        <w:rPr>
          <w:rFonts w:ascii="Times New Roman" w:hAnsi="Times New Roman" w:cs="Times New Roman" w:eastAsia="Times New Roman" w:hint="default"/>
        </w:rPr>
        <w:t>&lt;</w:t>
      </w:r>
      <w:r>
        <w:rPr/>
        <w:t>审计委员会履职情况报告</w:t>
      </w:r>
      <w:r>
        <w:rPr>
          <w:rFonts w:ascii="Times New Roman" w:hAnsi="Times New Roman" w:cs="Times New Roman" w:eastAsia="Times New Roman" w:hint="default"/>
        </w:rPr>
        <w:t>&gt;</w:t>
      </w:r>
      <w:r>
        <w:rPr/>
        <w:t>的议案》、《关于</w:t>
      </w:r>
      <w:r>
        <w:rPr>
          <w:rFonts w:ascii="Times New Roman" w:hAnsi="Times New Roman" w:cs="Times New Roman" w:eastAsia="Times New Roman" w:hint="default"/>
        </w:rPr>
        <w:t>&lt;</w:t>
      </w:r>
      <w:r>
        <w:rPr/>
        <w:t>神州数码集团股份有限公司</w:t>
      </w:r>
      <w:r>
        <w:rPr>
          <w:rFonts w:ascii="Times New Roman" w:hAnsi="Times New Roman" w:cs="Times New Roman" w:eastAsia="Times New Roman" w:hint="default"/>
        </w:rPr>
        <w:t>2017</w:t>
      </w:r>
      <w:r>
        <w:rPr/>
        <w:t>年度内部</w:t>
      </w:r>
      <w:r>
        <w:rPr>
          <w:spacing w:val="-48"/>
        </w:rPr>
        <w:t> </w:t>
      </w:r>
      <w:r>
        <w:rPr>
          <w:spacing w:val="-48"/>
        </w:rPr>
      </w:r>
      <w:r>
        <w:rPr/>
        <w:t>控制自我评价报告</w:t>
      </w:r>
      <w:r>
        <w:rPr>
          <w:rFonts w:ascii="Times New Roman" w:hAnsi="Times New Roman" w:cs="Times New Roman" w:eastAsia="Times New Roman" w:hint="default"/>
        </w:rPr>
        <w:t>&gt;</w:t>
      </w:r>
      <w:r>
        <w:rPr/>
        <w:t>的议案》、《关于续聘公司</w:t>
      </w:r>
      <w:r>
        <w:rPr>
          <w:rFonts w:ascii="Times New Roman" w:hAnsi="Times New Roman" w:cs="Times New Roman" w:eastAsia="Times New Roman" w:hint="default"/>
        </w:rPr>
        <w:t>2018</w:t>
      </w:r>
      <w:r>
        <w:rPr/>
        <w:t>年度审计机构的议案》、《关于预计</w:t>
      </w:r>
      <w:r>
        <w:rPr>
          <w:rFonts w:ascii="Times New Roman" w:hAnsi="Times New Roman" w:cs="Times New Roman" w:eastAsia="Times New Roman" w:hint="default"/>
        </w:rPr>
        <w:t>2018</w:t>
      </w:r>
      <w:r>
        <w:rPr/>
        <w:t>年度日常关联交易的议案》、</w:t>
      </w:r>
    </w:p>
    <w:p>
      <w:pPr>
        <w:pStyle w:val="BodyText"/>
        <w:spacing w:line="240" w:lineRule="auto" w:before="3"/>
        <w:ind w:right="0"/>
        <w:jc w:val="both"/>
      </w:pPr>
      <w:r>
        <w:rPr/>
        <w:t>《关于衍生品额度的议案》、《关于使用自有资金进行委托理财投资额度的议案》。</w:t>
      </w:r>
    </w:p>
    <w:p>
      <w:pPr>
        <w:pStyle w:val="BodyText"/>
        <w:spacing w:line="259" w:lineRule="auto" w:before="33"/>
        <w:ind w:right="0" w:firstLine="360"/>
        <w:jc w:val="left"/>
      </w:pPr>
      <w:r>
        <w:rPr>
          <w:spacing w:val="-2"/>
        </w:rPr>
        <w:t>（</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26</w:t>
      </w:r>
      <w:r>
        <w:rPr>
          <w:spacing w:val="-2"/>
        </w:rPr>
        <w:t>日，审计委员会召开第九届第一次会议，会议形成决议：同意选举朱锦梅女士为第九届董事会审计委</w:t>
      </w:r>
      <w:r>
        <w:rPr/>
        <w:t> 员会主任委员。</w:t>
      </w:r>
    </w:p>
    <w:p>
      <w:pPr>
        <w:pStyle w:val="BodyText"/>
        <w:spacing w:line="259" w:lineRule="auto" w:before="17"/>
        <w:ind w:right="0" w:firstLine="360"/>
        <w:jc w:val="left"/>
      </w:pPr>
      <w:r>
        <w:rPr>
          <w:spacing w:val="-1"/>
        </w:rPr>
        <w:t>（</w:t>
      </w:r>
      <w:r>
        <w:rPr>
          <w:rFonts w:ascii="Times New Roman" w:hAnsi="Times New Roman" w:cs="Times New Roman" w:eastAsia="Times New Roman" w:hint="default"/>
          <w:spacing w:val="-1"/>
        </w:rPr>
        <w:t>4</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22</w:t>
      </w:r>
      <w:r>
        <w:rPr>
          <w:spacing w:val="-1"/>
        </w:rPr>
        <w:t>日，审计委员会召开第九届第二次会议，审议通过了《关于</w:t>
      </w:r>
      <w:r>
        <w:rPr>
          <w:rFonts w:ascii="Times New Roman" w:hAnsi="Times New Roman" w:cs="Times New Roman" w:eastAsia="Times New Roman" w:hint="default"/>
          <w:spacing w:val="-1"/>
        </w:rPr>
        <w:t>&lt;2018</w:t>
      </w:r>
      <w:r>
        <w:rPr>
          <w:spacing w:val="-1"/>
        </w:rPr>
        <w:t>年半年度报告</w:t>
      </w:r>
      <w:r>
        <w:rPr>
          <w:rFonts w:ascii="Times New Roman" w:hAnsi="Times New Roman" w:cs="Times New Roman" w:eastAsia="Times New Roman" w:hint="default"/>
          <w:spacing w:val="-1"/>
        </w:rPr>
        <w:t>&gt;</w:t>
      </w:r>
      <w:r>
        <w:rPr>
          <w:spacing w:val="-1"/>
        </w:rPr>
        <w:t>及</w:t>
      </w:r>
      <w:r>
        <w:rPr>
          <w:rFonts w:ascii="Times New Roman" w:hAnsi="Times New Roman" w:cs="Times New Roman" w:eastAsia="Times New Roman" w:hint="default"/>
          <w:spacing w:val="-1"/>
        </w:rPr>
        <w:t>&lt;2018</w:t>
      </w:r>
      <w:r>
        <w:rPr>
          <w:spacing w:val="-1"/>
        </w:rPr>
        <w:t>年半年度报</w:t>
      </w:r>
      <w:r>
        <w:rPr/>
        <w:t> 告摘要</w:t>
      </w:r>
      <w:r>
        <w:rPr>
          <w:rFonts w:ascii="Times New Roman" w:hAnsi="Times New Roman" w:cs="Times New Roman" w:eastAsia="Times New Roman" w:hint="default"/>
        </w:rPr>
        <w:t>&gt;</w:t>
      </w:r>
      <w:r>
        <w:rPr/>
        <w:t>的议案》。</w:t>
      </w:r>
    </w:p>
    <w:p>
      <w:pPr>
        <w:pStyle w:val="BodyText"/>
        <w:spacing w:line="256" w:lineRule="auto" w:before="3"/>
        <w:ind w:right="0" w:firstLine="360"/>
        <w:jc w:val="left"/>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日，审计委员会召开第九届第三次会议，审议通过了《关于</w:t>
      </w:r>
      <w:r>
        <w:rPr>
          <w:rFonts w:ascii="Times New Roman" w:hAnsi="Times New Roman" w:cs="Times New Roman" w:eastAsia="Times New Roman" w:hint="default"/>
        </w:rPr>
        <w:t>&lt;2018</w:t>
      </w:r>
      <w:r>
        <w:rPr/>
        <w:t>年第三季度报告</w:t>
      </w:r>
      <w:r>
        <w:rPr>
          <w:rFonts w:ascii="Times New Roman" w:hAnsi="Times New Roman" w:cs="Times New Roman" w:eastAsia="Times New Roman" w:hint="default"/>
        </w:rPr>
        <w:t>&gt;</w:t>
      </w:r>
      <w:r>
        <w:rPr/>
        <w:t>及</w:t>
      </w:r>
      <w:r>
        <w:rPr>
          <w:rFonts w:ascii="Times New Roman" w:hAnsi="Times New Roman" w:cs="Times New Roman" w:eastAsia="Times New Roman" w:hint="default"/>
        </w:rPr>
        <w:t>&lt;2018</w:t>
      </w:r>
      <w:r>
        <w:rPr/>
        <w:t>年第三</w:t>
      </w:r>
      <w:r>
        <w:rPr>
          <w:spacing w:val="1"/>
        </w:rPr>
        <w:t> </w:t>
      </w:r>
      <w:r>
        <w:rPr/>
        <w:t>季度报告正文</w:t>
      </w:r>
      <w:r>
        <w:rPr>
          <w:rFonts w:ascii="Times New Roman" w:hAnsi="Times New Roman" w:cs="Times New Roman" w:eastAsia="Times New Roman" w:hint="default"/>
        </w:rPr>
        <w:t>&gt;</w:t>
      </w:r>
      <w:r>
        <w:rPr/>
        <w:t>的议案》。</w:t>
      </w:r>
    </w:p>
    <w:p>
      <w:pPr>
        <w:pStyle w:val="BodyText"/>
        <w:spacing w:line="240" w:lineRule="auto" w:before="5"/>
        <w:ind w:left="514" w:right="0"/>
        <w:jc w:val="left"/>
      </w:pPr>
      <w:r>
        <w:rPr>
          <w:rFonts w:ascii="Times New Roman" w:hAnsi="Times New Roman" w:cs="Times New Roman" w:eastAsia="Times New Roman" w:hint="default"/>
        </w:rPr>
        <w:t>2</w:t>
      </w:r>
      <w:r>
        <w:rPr/>
        <w:t>、审计委员会在公司</w:t>
      </w:r>
      <w:r>
        <w:rPr>
          <w:rFonts w:ascii="Times New Roman" w:hAnsi="Times New Roman" w:cs="Times New Roman" w:eastAsia="Times New Roman" w:hint="default"/>
        </w:rPr>
        <w:t>2018</w:t>
      </w:r>
      <w:r>
        <w:rPr/>
        <w:t>年度财务报告编制过程中，主要履行了以下工作职责：</w:t>
      </w:r>
    </w:p>
    <w:p>
      <w:pPr>
        <w:pStyle w:val="BodyText"/>
        <w:spacing w:line="259" w:lineRule="auto" w:before="19"/>
        <w:ind w:right="1129" w:firstLine="360"/>
        <w:jc w:val="both"/>
      </w:pPr>
      <w:r>
        <w:rPr/>
        <w:t>（</w:t>
      </w:r>
      <w:r>
        <w:rPr>
          <w:rFonts w:ascii="Times New Roman" w:hAnsi="Times New Roman" w:cs="Times New Roman" w:eastAsia="Times New Roman" w:hint="default"/>
        </w:rPr>
        <w:t>1</w:t>
      </w:r>
      <w:r>
        <w:rPr/>
        <w:t>）与负责公司的年审注册会计师协商确定了</w:t>
      </w:r>
      <w:r>
        <w:rPr>
          <w:rFonts w:ascii="Times New Roman" w:hAnsi="Times New Roman" w:cs="Times New Roman" w:eastAsia="Times New Roman" w:hint="default"/>
        </w:rPr>
        <w:t>2018</w:t>
      </w:r>
      <w:r>
        <w:rPr/>
        <w:t>年度财务报告审计工作的时间安排。在年审注册会计师进场前，审 </w:t>
      </w:r>
      <w:r>
        <w:rPr>
          <w:spacing w:val="-2"/>
        </w:rPr>
        <w:t>计委员会审阅了公司财务部编制的</w:t>
      </w:r>
      <w:r>
        <w:rPr>
          <w:rFonts w:ascii="Times New Roman" w:hAnsi="Times New Roman" w:cs="Times New Roman" w:eastAsia="Times New Roman" w:hint="default"/>
          <w:spacing w:val="-2"/>
        </w:rPr>
        <w:t>2018</w:t>
      </w:r>
      <w:r>
        <w:rPr>
          <w:spacing w:val="-2"/>
        </w:rPr>
        <w:t>年度财务报告（初稿）。审计委员会认为，公司编制的</w:t>
      </w:r>
      <w:r>
        <w:rPr>
          <w:rFonts w:ascii="Times New Roman" w:hAnsi="Times New Roman" w:cs="Times New Roman" w:eastAsia="Times New Roman" w:hint="default"/>
          <w:spacing w:val="-2"/>
        </w:rPr>
        <w:t>2018</w:t>
      </w:r>
      <w:r>
        <w:rPr>
          <w:spacing w:val="-2"/>
        </w:rPr>
        <w:t>年度财务报告（初稿）有</w:t>
      </w:r>
      <w:r>
        <w:rPr>
          <w:spacing w:val="-60"/>
        </w:rPr>
        <w:t> </w:t>
      </w:r>
      <w:r>
        <w:rPr>
          <w:spacing w:val="-60"/>
        </w:rPr>
      </w:r>
      <w:r>
        <w:rPr>
          <w:spacing w:val="-2"/>
        </w:rPr>
        <w:t>关数据基本反映了公司</w:t>
      </w:r>
      <w:r>
        <w:rPr>
          <w:rFonts w:ascii="Times New Roman" w:hAnsi="Times New Roman" w:cs="Times New Roman" w:eastAsia="Times New Roman" w:hint="default"/>
          <w:spacing w:val="-2"/>
        </w:rPr>
        <w:t>2018</w:t>
      </w:r>
      <w:r>
        <w:rPr>
          <w:spacing w:val="-2"/>
        </w:rPr>
        <w:t>年度的资产负债情况和经营业绩，财务会计报表信息客观、全面、真实，同意以此财务会计报表</w:t>
      </w:r>
      <w:r>
        <w:rPr>
          <w:spacing w:val="-62"/>
        </w:rPr>
        <w:t> </w:t>
      </w:r>
      <w:r>
        <w:rPr>
          <w:spacing w:val="-62"/>
        </w:rPr>
      </w:r>
      <w:r>
        <w:rPr/>
        <w:t>为基础开展</w:t>
      </w:r>
      <w:r>
        <w:rPr>
          <w:rFonts w:ascii="Times New Roman" w:hAnsi="Times New Roman" w:cs="Times New Roman" w:eastAsia="Times New Roman" w:hint="default"/>
        </w:rPr>
        <w:t>2018</w:t>
      </w:r>
      <w:r>
        <w:rPr/>
        <w:t>年度的财务审计工作。</w:t>
      </w:r>
    </w:p>
    <w:p>
      <w:pPr>
        <w:pStyle w:val="BodyText"/>
        <w:spacing w:line="261" w:lineRule="auto" w:before="3"/>
        <w:ind w:right="1129" w:firstLine="360"/>
        <w:jc w:val="both"/>
      </w:pPr>
      <w:r>
        <w:rPr/>
        <w:t>（</w:t>
      </w:r>
      <w:r>
        <w:rPr>
          <w:rFonts w:ascii="Times New Roman" w:hAnsi="Times New Roman" w:cs="Times New Roman" w:eastAsia="Times New Roman" w:hint="default"/>
        </w:rPr>
        <w:t>2</w:t>
      </w:r>
      <w:r>
        <w:rPr/>
        <w:t>）年审注册会计师进场后，加强与年审注册会计师的沟通。审计委员会认为，初步审计的</w:t>
      </w:r>
      <w:r>
        <w:rPr>
          <w:rFonts w:ascii="Times New Roman" w:hAnsi="Times New Roman" w:cs="Times New Roman" w:eastAsia="Times New Roman" w:hint="default"/>
        </w:rPr>
        <w:t>2018</w:t>
      </w:r>
      <w:r>
        <w:rPr/>
        <w:t>年度财务报告已经按 </w:t>
      </w:r>
      <w:r>
        <w:rPr>
          <w:spacing w:val="-2"/>
        </w:rPr>
        <w:t>照新企业会计准则及公司有关财务制度进行编制，财务报告的编制基础、依据、原则和方法符合相关法律、法规和《公司章</w:t>
      </w:r>
      <w:r>
        <w:rPr>
          <w:spacing w:val="-66"/>
        </w:rPr>
        <w:t> </w:t>
      </w:r>
      <w:r>
        <w:rPr>
          <w:spacing w:val="-66"/>
        </w:rPr>
      </w:r>
      <w:r>
        <w:rPr>
          <w:spacing w:val="-2"/>
        </w:rPr>
        <w:t>程》，所包含的信息在重大方面公允地反映了公司截至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日的财务状况以及</w:t>
      </w:r>
      <w:r>
        <w:rPr>
          <w:rFonts w:ascii="Times New Roman" w:hAnsi="Times New Roman" w:cs="Times New Roman" w:eastAsia="Times New Roman" w:hint="default"/>
          <w:spacing w:val="-2"/>
        </w:rPr>
        <w:t>2018</w:t>
      </w:r>
      <w:r>
        <w:rPr>
          <w:spacing w:val="-2"/>
        </w:rPr>
        <w:t>年度的经营成果和现金流量，并</w:t>
      </w:r>
      <w:r>
        <w:rPr>
          <w:spacing w:val="-54"/>
        </w:rPr>
        <w:t> </w:t>
      </w:r>
      <w:r>
        <w:rPr>
          <w:spacing w:val="-54"/>
        </w:rPr>
      </w:r>
      <w:r>
        <w:rPr>
          <w:spacing w:val="-2"/>
        </w:rPr>
        <w:t>同意以此数据为基础编制</w:t>
      </w:r>
      <w:r>
        <w:rPr>
          <w:rFonts w:ascii="Times New Roman" w:hAnsi="Times New Roman" w:cs="Times New Roman" w:eastAsia="Times New Roman" w:hint="default"/>
          <w:spacing w:val="-2"/>
        </w:rPr>
        <w:t>2018</w:t>
      </w:r>
      <w:r>
        <w:rPr>
          <w:spacing w:val="-2"/>
        </w:rPr>
        <w:t>年年度报告及摘要，并提交公司董事会进行审议。同时，要求会计师事务所按照计划尽快完成</w:t>
      </w:r>
      <w:r>
        <w:rPr>
          <w:spacing w:val="-62"/>
        </w:rPr>
        <w:t> </w:t>
      </w:r>
      <w:r>
        <w:rPr>
          <w:spacing w:val="-62"/>
        </w:rPr>
      </w:r>
      <w:r>
        <w:rPr/>
        <w:t>审计工作，以保证公司如期披露</w:t>
      </w:r>
      <w:r>
        <w:rPr>
          <w:rFonts w:ascii="Times New Roman" w:hAnsi="Times New Roman" w:cs="Times New Roman" w:eastAsia="Times New Roman" w:hint="default"/>
        </w:rPr>
        <w:t>2018</w:t>
      </w:r>
      <w:r>
        <w:rPr/>
        <w:t>年年度报告及摘要。</w:t>
      </w:r>
    </w:p>
    <w:p>
      <w:pPr>
        <w:pStyle w:val="BodyText"/>
        <w:spacing w:line="240" w:lineRule="auto"/>
        <w:ind w:left="514" w:right="0"/>
        <w:jc w:val="left"/>
      </w:pPr>
      <w:r>
        <w:rPr/>
        <w:t>（</w:t>
      </w:r>
      <w:r>
        <w:rPr>
          <w:rFonts w:ascii="Times New Roman" w:hAnsi="Times New Roman" w:cs="Times New Roman" w:eastAsia="Times New Roman" w:hint="default"/>
        </w:rPr>
        <w:t>3</w:t>
      </w:r>
      <w:r>
        <w:rPr/>
        <w:t>）年审注册会计师出具审计报告后，审计委员会召开会议对公司</w:t>
      </w:r>
      <w:r>
        <w:rPr>
          <w:rFonts w:ascii="Times New Roman" w:hAnsi="Times New Roman" w:cs="Times New Roman" w:eastAsia="Times New Roman" w:hint="default"/>
        </w:rPr>
        <w:t>2018</w:t>
      </w:r>
      <w:r>
        <w:rPr/>
        <w:t>年度财务报告、董事会审计委员会履职情况报</w:t>
      </w:r>
    </w:p>
    <w:p>
      <w:pPr>
        <w:spacing w:after="0" w:line="240" w:lineRule="auto"/>
        <w:jc w:val="left"/>
        <w:sectPr>
          <w:pgSz w:w="11910" w:h="16840"/>
          <w:pgMar w:header="877" w:footer="979" w:top="1100" w:bottom="1160" w:left="980" w:right="0"/>
        </w:sectPr>
      </w:pPr>
    </w:p>
    <w:p>
      <w:pPr>
        <w:spacing w:line="240" w:lineRule="auto" w:before="10"/>
        <w:rPr>
          <w:rFonts w:ascii="宋体" w:hAnsi="宋体" w:cs="宋体" w:eastAsia="宋体" w:hint="default"/>
          <w:sz w:val="18"/>
          <w:szCs w:val="18"/>
        </w:rPr>
      </w:pPr>
    </w:p>
    <w:p>
      <w:pPr>
        <w:pStyle w:val="BodyText"/>
        <w:spacing w:line="259" w:lineRule="auto" w:before="44"/>
        <w:ind w:right="0"/>
        <w:jc w:val="left"/>
      </w:pPr>
      <w:r>
        <w:rPr>
          <w:spacing w:val="-2"/>
        </w:rPr>
        <w:t>告、关于会计师事务所</w:t>
      </w:r>
      <w:r>
        <w:rPr>
          <w:rFonts w:ascii="Times New Roman" w:hAnsi="Times New Roman" w:cs="Times New Roman" w:eastAsia="Times New Roman" w:hint="default"/>
          <w:spacing w:val="-2"/>
        </w:rPr>
        <w:t>2018</w:t>
      </w:r>
      <w:r>
        <w:rPr>
          <w:spacing w:val="-2"/>
        </w:rPr>
        <w:t>年度审计工作的总结报告，以及续聘公司</w:t>
      </w:r>
      <w:r>
        <w:rPr>
          <w:rFonts w:ascii="Times New Roman" w:hAnsi="Times New Roman" w:cs="Times New Roman" w:eastAsia="Times New Roman" w:hint="default"/>
          <w:spacing w:val="-2"/>
        </w:rPr>
        <w:t>2019</w:t>
      </w:r>
      <w:r>
        <w:rPr>
          <w:spacing w:val="-2"/>
        </w:rPr>
        <w:t>年度审计机构等事项进行了审议，形成相关决议后</w:t>
      </w:r>
      <w:r>
        <w:rPr>
          <w:spacing w:val="-58"/>
        </w:rPr>
        <w:t> </w:t>
      </w:r>
      <w:r>
        <w:rPr>
          <w:spacing w:val="-58"/>
        </w:rPr>
      </w:r>
      <w:r>
        <w:rPr/>
        <w:t>提交董事会进行审核。</w:t>
      </w:r>
    </w:p>
    <w:p>
      <w:pPr>
        <w:pStyle w:val="BodyText"/>
        <w:spacing w:line="259" w:lineRule="auto" w:before="17"/>
        <w:ind w:left="514" w:right="0"/>
        <w:jc w:val="left"/>
      </w:pPr>
      <w:r>
        <w:rPr>
          <w:rFonts w:ascii="Times New Roman" w:hAnsi="Times New Roman" w:cs="Times New Roman" w:eastAsia="Times New Roman" w:hint="default"/>
        </w:rPr>
        <w:t>3</w:t>
      </w:r>
      <w:r>
        <w:rPr/>
        <w:t>、审计委员会关于年审注册会计师从事</w:t>
      </w:r>
      <w:r>
        <w:rPr>
          <w:rFonts w:ascii="Times New Roman" w:hAnsi="Times New Roman" w:cs="Times New Roman" w:eastAsia="Times New Roman" w:hint="default"/>
        </w:rPr>
        <w:t>2018</w:t>
      </w:r>
      <w:r>
        <w:rPr/>
        <w:t>年度审计工作的总结报告 </w:t>
      </w:r>
      <w:r>
        <w:rPr>
          <w:spacing w:val="-2"/>
        </w:rPr>
        <w:t>审计委员会对</w:t>
      </w:r>
      <w:r>
        <w:rPr>
          <w:rFonts w:ascii="Times New Roman" w:hAnsi="Times New Roman" w:cs="Times New Roman" w:eastAsia="Times New Roman" w:hint="default"/>
          <w:spacing w:val="-2"/>
        </w:rPr>
        <w:t>2018</w:t>
      </w:r>
      <w:r>
        <w:rPr>
          <w:spacing w:val="-2"/>
        </w:rPr>
        <w:t>年度会计师事务所的审计工作进行了总结报告，认为年审注册会计师已按照中国注册会计师审计准则</w:t>
      </w:r>
    </w:p>
    <w:p>
      <w:pPr>
        <w:pStyle w:val="BodyText"/>
        <w:spacing w:line="266" w:lineRule="auto" w:before="3"/>
        <w:ind w:right="1032"/>
        <w:jc w:val="left"/>
      </w:pPr>
      <w:r>
        <w:rPr/>
        <w:t>的规定执行了审计工作，恪尽职守，遵循独立、客观、公正的执业准则，勤勉、审慎、尽责地完成了公司委托的各项工作，</w:t>
      </w:r>
      <w:r>
        <w:rPr>
          <w:spacing w:val="-85"/>
        </w:rPr>
        <w:t> </w:t>
      </w:r>
      <w:r>
        <w:rPr>
          <w:spacing w:val="-85"/>
        </w:rPr>
      </w:r>
      <w:r>
        <w:rPr>
          <w:spacing w:val="-2"/>
        </w:rPr>
        <w:t>审计时间充分，审计人员配置合理、执业能力胜任，出具的审计报告从重大方面公允地反映了公司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日的财务状</w:t>
      </w:r>
      <w:r>
        <w:rPr>
          <w:spacing w:val="-57"/>
        </w:rPr>
        <w:t> </w:t>
      </w:r>
      <w:r>
        <w:rPr/>
        <w:t>况以及</w:t>
      </w:r>
      <w:r>
        <w:rPr>
          <w:rFonts w:ascii="Times New Roman" w:hAnsi="Times New Roman" w:cs="Times New Roman" w:eastAsia="Times New Roman" w:hint="default"/>
        </w:rPr>
        <w:t>2018</w:t>
      </w:r>
      <w:r>
        <w:rPr/>
        <w:t>年度的经营成果和现金流量，出具的审计结论符合公司的实际情况。</w:t>
      </w:r>
    </w:p>
    <w:p>
      <w:pPr>
        <w:pStyle w:val="BodyText"/>
        <w:spacing w:line="273" w:lineRule="auto"/>
        <w:ind w:left="514" w:right="4542"/>
        <w:jc w:val="left"/>
      </w:pPr>
      <w:r>
        <w:rPr/>
        <w:t>（二）薪酬与考核委员会履职情况 报告期内，董事会薪酬与考核委员会共召开</w:t>
      </w:r>
      <w:r>
        <w:rPr>
          <w:rFonts w:ascii="Times New Roman" w:hAnsi="Times New Roman" w:cs="Times New Roman" w:eastAsia="Times New Roman" w:hint="default"/>
        </w:rPr>
        <w:t>2</w:t>
      </w:r>
      <w:r>
        <w:rPr/>
        <w:t>次会议，主要工作情况如下：</w:t>
      </w:r>
    </w:p>
    <w:p>
      <w:pPr>
        <w:pStyle w:val="BodyText"/>
        <w:spacing w:line="259" w:lineRule="auto"/>
        <w:ind w:right="1130" w:firstLine="36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23</w:t>
      </w:r>
      <w:r>
        <w:rPr>
          <w:spacing w:val="-2"/>
        </w:rPr>
        <w:t>日，薪酬与考核委员会召开第八届第六次会议，会议形成决议：同意</w:t>
      </w:r>
      <w:r>
        <w:rPr>
          <w:rFonts w:ascii="Times New Roman" w:hAnsi="Times New Roman" w:cs="Times New Roman" w:eastAsia="Times New Roman" w:hint="default"/>
          <w:spacing w:val="-2"/>
        </w:rPr>
        <w:t>2017</w:t>
      </w:r>
      <w:r>
        <w:rPr>
          <w:spacing w:val="-2"/>
        </w:rPr>
        <w:t>年管理层按照考核结果确定薪</w:t>
      </w:r>
      <w:r>
        <w:rPr/>
        <w:t> 酬；同意公司</w:t>
      </w:r>
      <w:r>
        <w:rPr>
          <w:rFonts w:ascii="Times New Roman" w:hAnsi="Times New Roman" w:cs="Times New Roman" w:eastAsia="Times New Roman" w:hint="default"/>
        </w:rPr>
        <w:t>2018</w:t>
      </w:r>
      <w:r>
        <w:rPr/>
        <w:t>年管理层薪酬原则。</w:t>
      </w:r>
    </w:p>
    <w:p>
      <w:pPr>
        <w:pStyle w:val="BodyText"/>
        <w:spacing w:line="259" w:lineRule="auto" w:before="3"/>
        <w:ind w:right="1131" w:firstLine="360"/>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26</w:t>
      </w:r>
      <w:r>
        <w:rPr>
          <w:spacing w:val="-2"/>
        </w:rPr>
        <w:t>日，薪酬与考核委员会召开第九届第一次会议，会议形成决议：同意选举张志强先生为第九届董事会薪</w:t>
      </w:r>
      <w:r>
        <w:rPr/>
        <w:t> 酬与考核委员会主任委员。</w:t>
      </w:r>
    </w:p>
    <w:p>
      <w:pPr>
        <w:pStyle w:val="BodyText"/>
        <w:spacing w:line="273" w:lineRule="auto" w:before="17"/>
        <w:ind w:left="514" w:right="5082"/>
        <w:jc w:val="left"/>
      </w:pPr>
      <w:r>
        <w:rPr/>
        <w:t>（三）提名委员会履职情况 报告期内，董事会提名委员会共召开</w:t>
      </w:r>
      <w:r>
        <w:rPr>
          <w:rFonts w:ascii="Times New Roman" w:hAnsi="Times New Roman" w:cs="Times New Roman" w:eastAsia="Times New Roman" w:hint="default"/>
        </w:rPr>
        <w:t>2</w:t>
      </w:r>
      <w:r>
        <w:rPr/>
        <w:t>次会议，主要工作情况如下：</w:t>
      </w:r>
    </w:p>
    <w:p>
      <w:pPr>
        <w:pStyle w:val="BodyText"/>
        <w:spacing w:line="266" w:lineRule="auto"/>
        <w:ind w:right="1130" w:firstLine="36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27</w:t>
      </w:r>
      <w:r>
        <w:rPr>
          <w:spacing w:val="-2"/>
        </w:rPr>
        <w:t>日，提名委员会召开第八届第八次会议，审议通过了《关于公司董事会换届选举的议案》，提名郭为先</w:t>
      </w:r>
      <w:r>
        <w:rPr/>
        <w:t> </w:t>
      </w:r>
      <w:r>
        <w:rPr>
          <w:spacing w:val="-2"/>
        </w:rPr>
        <w:t>生、王晓岩先生、辛昕女士、许军利先生、朱锦梅女士、张志强先生、张宏江先生为第九届董事会董事候选人，其中，朱锦</w:t>
      </w:r>
      <w:r>
        <w:rPr>
          <w:spacing w:val="-68"/>
        </w:rPr>
        <w:t> </w:t>
      </w:r>
      <w:r>
        <w:rPr>
          <w:spacing w:val="-68"/>
        </w:rPr>
      </w:r>
      <w:r>
        <w:rPr/>
        <w:t>梅女士、张志强先生、张宏江先生为独立董事候选人。</w:t>
      </w:r>
    </w:p>
    <w:p>
      <w:pPr>
        <w:pStyle w:val="BodyText"/>
        <w:spacing w:line="268" w:lineRule="auto" w:before="13"/>
        <w:ind w:right="1130" w:firstLine="360"/>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26</w:t>
      </w:r>
      <w:r>
        <w:rPr>
          <w:spacing w:val="-2"/>
        </w:rPr>
        <w:t>日，提名委员会召开第九届第一次会议，会议形成决议：同意选举张连起先生为第九届董事会提名委员</w:t>
      </w:r>
      <w:r>
        <w:rPr/>
        <w:t> </w:t>
      </w:r>
      <w:r>
        <w:rPr>
          <w:spacing w:val="-2"/>
        </w:rPr>
        <w:t>会主任委员。审议通过了《关于聘任公司总裁的议案》，提名郭为先生为公司总裁；通过了《关于聘任公司副总裁及其他高</w:t>
      </w:r>
      <w:r>
        <w:rPr>
          <w:spacing w:val="-68"/>
        </w:rPr>
        <w:t> </w:t>
      </w:r>
      <w:r>
        <w:rPr>
          <w:spacing w:val="-68"/>
        </w:rPr>
      </w:r>
      <w:r>
        <w:rPr>
          <w:spacing w:val="-2"/>
        </w:rPr>
        <w:t>级管理人员的议案》，提名叶海强先生、张赐安先生、周立达先生、韩智敏先生、吕敬先生为公司副总裁，提名辛昕女士为</w:t>
      </w:r>
      <w:r>
        <w:rPr>
          <w:spacing w:val="-72"/>
        </w:rPr>
        <w:t> </w:t>
      </w:r>
      <w:r>
        <w:rPr>
          <w:spacing w:val="-72"/>
        </w:rPr>
      </w:r>
      <w:r>
        <w:rPr>
          <w:spacing w:val="-2"/>
        </w:rPr>
        <w:t>公司财务总监、韩玉华女士为公司运营总监、李岩女士为公司人力资源总监、汤凯先生为公司技术总监；通过了《关于聘任</w:t>
      </w:r>
      <w:r>
        <w:rPr>
          <w:spacing w:val="-66"/>
        </w:rPr>
        <w:t> </w:t>
      </w:r>
      <w:r>
        <w:rPr>
          <w:spacing w:val="-66"/>
        </w:rPr>
      </w:r>
      <w:r>
        <w:rPr/>
        <w:t>公司董事会秘书的议案》，提名王继业女士为公司董事会秘书。</w:t>
      </w:r>
    </w:p>
    <w:p>
      <w:pPr>
        <w:pStyle w:val="BodyText"/>
        <w:spacing w:line="273" w:lineRule="auto" w:before="10"/>
        <w:ind w:left="514" w:right="5082"/>
        <w:jc w:val="left"/>
      </w:pPr>
      <w:r>
        <w:rPr/>
        <w:t>（四）战略委员会履职情况 报告期内，董事会战略委员会共召开</w:t>
      </w:r>
      <w:r>
        <w:rPr>
          <w:rFonts w:ascii="Times New Roman" w:hAnsi="Times New Roman" w:cs="Times New Roman" w:eastAsia="Times New Roman" w:hint="default"/>
        </w:rPr>
        <w:t>2</w:t>
      </w:r>
      <w:r>
        <w:rPr/>
        <w:t>次会议，主要工作情况如下：</w:t>
      </w:r>
    </w:p>
    <w:p>
      <w:pPr>
        <w:pStyle w:val="BodyText"/>
        <w:spacing w:line="259" w:lineRule="auto"/>
        <w:ind w:right="1131" w:firstLine="36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26</w:t>
      </w:r>
      <w:r>
        <w:rPr>
          <w:spacing w:val="-2"/>
        </w:rPr>
        <w:t>日，战略委员会召开第九届第一次会议，会议形成决议：同意选举郭为先生为第九届董事会战略委员会</w:t>
      </w:r>
      <w:r>
        <w:rPr/>
        <w:t> 主任委员。</w:t>
      </w:r>
    </w:p>
    <w:p>
      <w:pPr>
        <w:pStyle w:val="BodyText"/>
        <w:spacing w:line="259" w:lineRule="auto" w:before="59"/>
        <w:ind w:right="1131" w:firstLine="290"/>
        <w:jc w:val="both"/>
      </w:pP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22</w:t>
      </w:r>
      <w:r>
        <w:rPr>
          <w:spacing w:val="-1"/>
        </w:rPr>
        <w:t>日，战略委员会召开第九届第二次会议，会议对云服务进行战略研讨，听取云事业本部的规划和进展以</w:t>
      </w:r>
      <w:r>
        <w:rPr/>
        <w:t> 及对云业务的介绍。</w:t>
      </w:r>
    </w:p>
    <w:p>
      <w:pPr>
        <w:spacing w:line="240" w:lineRule="auto" w:before="8"/>
        <w:rPr>
          <w:rFonts w:ascii="宋体" w:hAnsi="宋体" w:cs="宋体" w:eastAsia="宋体" w:hint="default"/>
          <w:sz w:val="23"/>
          <w:szCs w:val="23"/>
        </w:rPr>
      </w:pPr>
    </w:p>
    <w:p>
      <w:pPr>
        <w:pStyle w:val="Heading2"/>
        <w:spacing w:line="240" w:lineRule="auto"/>
        <w:ind w:right="0"/>
        <w:jc w:val="left"/>
        <w:rPr>
          <w:b w:val="0"/>
          <w:bCs w:val="0"/>
        </w:rPr>
      </w:pPr>
      <w:bookmarkStart w:name="七、监事会工作情况" w:id="145"/>
      <w:bookmarkEnd w:id="145"/>
      <w:r>
        <w:rPr>
          <w:b w:val="0"/>
          <w:bCs w:val="0"/>
        </w:rPr>
      </w:r>
      <w:r>
        <w:rPr/>
        <w:t>七、监事会工作情况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right="0"/>
        <w:jc w:val="left"/>
      </w:pPr>
      <w:r>
        <w:rPr/>
        <w:t>监事会在报告期内的监督活动中发现公司是否存在风险</w:t>
      </w:r>
    </w:p>
    <w:p>
      <w:pPr>
        <w:pStyle w:val="BodyText"/>
        <w:spacing w:line="264" w:lineRule="auto" w:before="38"/>
        <w:ind w:right="76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八、高级管理人员的考评及激励情况" w:id="146"/>
      <w:bookmarkEnd w:id="146"/>
      <w:r>
        <w:rPr>
          <w:b w:val="0"/>
          <w:bCs w:val="0"/>
        </w:rPr>
      </w:r>
      <w:r>
        <w:rPr/>
        <w:t>八、高级管理人员的考评及激励情况</w:t>
      </w:r>
      <w:r>
        <w:rPr>
          <w:b w:val="0"/>
          <w:bCs w:val="0"/>
        </w:rPr>
      </w:r>
    </w:p>
    <w:p>
      <w:pPr>
        <w:spacing w:line="240" w:lineRule="auto" w:before="6"/>
        <w:rPr>
          <w:rFonts w:ascii="宋体" w:hAnsi="宋体" w:cs="宋体" w:eastAsia="宋体" w:hint="default"/>
          <w:b/>
          <w:bCs/>
          <w:sz w:val="23"/>
          <w:szCs w:val="23"/>
        </w:rPr>
      </w:pPr>
    </w:p>
    <w:p>
      <w:pPr>
        <w:pStyle w:val="BodyText"/>
        <w:spacing w:line="273" w:lineRule="auto"/>
        <w:ind w:right="1133" w:firstLine="290"/>
        <w:jc w:val="both"/>
      </w:pPr>
      <w:r>
        <w:rPr>
          <w:spacing w:val="-1"/>
        </w:rPr>
        <w:t>报告期内，公司高级管理人员严格按照《公司法》、《公司章程》及有关法律法规认真履行职责，积极落实公司股东大</w:t>
      </w:r>
      <w:r>
        <w:rPr/>
        <w:t> </w:t>
      </w:r>
      <w:r>
        <w:rPr>
          <w:spacing w:val="-2"/>
        </w:rPr>
        <w:t>会和董事会各项决议。公司高级管理人员依据其在公司的任职岗位领取相应薪酬，并经董事会薪酬与考核委员会考评。报告</w:t>
      </w:r>
      <w:r>
        <w:rPr>
          <w:spacing w:val="-66"/>
        </w:rPr>
        <w:t> </w:t>
      </w:r>
      <w:r>
        <w:rPr>
          <w:spacing w:val="-66"/>
        </w:rPr>
      </w:r>
      <w:r>
        <w:rPr/>
        <w:t>期内，公司未实施股权激励计划。</w:t>
      </w:r>
    </w:p>
    <w:p>
      <w:pPr>
        <w:spacing w:line="240" w:lineRule="auto" w:before="10"/>
        <w:rPr>
          <w:rFonts w:ascii="宋体" w:hAnsi="宋体" w:cs="宋体" w:eastAsia="宋体" w:hint="default"/>
          <w:sz w:val="22"/>
          <w:szCs w:val="22"/>
        </w:rPr>
      </w:pPr>
    </w:p>
    <w:p>
      <w:pPr>
        <w:pStyle w:val="Heading2"/>
        <w:spacing w:line="240" w:lineRule="auto"/>
        <w:ind w:right="0"/>
        <w:jc w:val="left"/>
        <w:rPr>
          <w:b w:val="0"/>
          <w:bCs w:val="0"/>
        </w:rPr>
      </w:pPr>
      <w:bookmarkStart w:name="九、内部控制情况" w:id="147"/>
      <w:bookmarkEnd w:id="147"/>
      <w:r>
        <w:rPr>
          <w:b w:val="0"/>
          <w:bCs w:val="0"/>
        </w:rPr>
      </w:r>
      <w:r>
        <w:rPr/>
        <w:t>九、内部控制情况</w:t>
      </w:r>
      <w:r>
        <w:rPr>
          <w:b w:val="0"/>
          <w:bCs w:val="0"/>
        </w:rPr>
      </w:r>
    </w:p>
    <w:p>
      <w:pPr>
        <w:spacing w:line="240" w:lineRule="auto" w:before="2"/>
        <w:rPr>
          <w:rFonts w:ascii="宋体" w:hAnsi="宋体" w:cs="宋体" w:eastAsia="宋体" w:hint="default"/>
          <w:b/>
          <w:bCs/>
          <w:sz w:val="23"/>
          <w:szCs w:val="23"/>
        </w:rPr>
      </w:pPr>
    </w:p>
    <w:p>
      <w:pPr>
        <w:pStyle w:val="Heading3"/>
        <w:spacing w:line="240" w:lineRule="auto"/>
        <w:ind w:right="0"/>
        <w:jc w:val="left"/>
        <w:rPr>
          <w:b w:val="0"/>
          <w:bCs w:val="0"/>
        </w:rPr>
      </w:pPr>
      <w:bookmarkStart w:name="1、报告期内发现的内部控制重大缺陷的具体情况" w:id="148"/>
      <w:bookmarkEnd w:id="148"/>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877" w:footer="979" w:top="1100" w:bottom="1160" w:left="980" w:right="0"/>
        </w:sectPr>
      </w:pPr>
    </w:p>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2、内控自我评价报告" w:id="149"/>
      <w:bookmarkEnd w:id="149"/>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9"/>
          <w:szCs w:val="29"/>
        </w:rPr>
      </w:pPr>
    </w:p>
    <w:p>
      <w:pPr>
        <w:spacing w:line="806" w:lineRule="exact"/>
        <w:ind w:left="6676"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152.1pt;height:40.35pt;mso-position-horizontal-relative:char;mso-position-vertical-relative:line" coordorigin="0,0" coordsize="3042,807">
            <v:group style="position:absolute;left:0;top:0;width:3042;height:807" coordorigin="0,0" coordsize="3042,807">
              <v:shape style="position:absolute;left:0;top:0;width:3042;height:807" coordorigin="0,0" coordsize="3042,807" path="m0,806l3041,806,3041,0,0,0,0,806xe" filled="true" fillcolor="#ffffff" stroked="false">
                <v:path arrowok="t"/>
                <v:fill type="solid"/>
              </v:shape>
            </v:group>
          </v:group>
        </w:pict>
      </w:r>
      <w:r>
        <w:rPr>
          <w:rFonts w:ascii="宋体" w:hAnsi="宋体" w:cs="宋体" w:eastAsia="宋体" w:hint="default"/>
          <w:position w:val="-15"/>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0"/>
          <w:szCs w:val="20"/>
        </w:rPr>
      </w:pPr>
    </w:p>
    <w:p>
      <w:pPr>
        <w:pStyle w:val="BodyText"/>
        <w:spacing w:line="240" w:lineRule="auto" w:before="44"/>
        <w:ind w:left="0" w:right="1139"/>
        <w:jc w:val="right"/>
      </w:pPr>
      <w:r>
        <w:rPr/>
        <w:pict>
          <v:shape style="position:absolute;margin-left:331.634003pt;margin-top:-119.108284pt;width:203.3pt;height:40.35pt;mso-position-horizontal-relative:page;mso-position-vertical-relative:paragraph;z-index:-1465144" type="#_x0000_t202" filled="false" stroked="false">
            <v:textbox inset="0,0,0,0">
              <w:txbxContent>
                <w:p>
                  <w:pPr>
                    <w:spacing w:line="240" w:lineRule="auto" w:before="5"/>
                    <w:rPr>
                      <w:rFonts w:ascii="宋体" w:hAnsi="宋体" w:cs="宋体" w:eastAsia="宋体" w:hint="default"/>
                      <w:b/>
                      <w:bCs/>
                      <w:sz w:val="21"/>
                      <w:szCs w:val="21"/>
                    </w:rPr>
                  </w:pPr>
                </w:p>
                <w:p>
                  <w:pPr>
                    <w:pStyle w:val="BodyText"/>
                    <w:spacing w:line="240" w:lineRule="auto"/>
                    <w:ind w:left="0" w:right="0"/>
                    <w:jc w:val="left"/>
                  </w:pPr>
                  <w:r>
                    <w:rPr/>
                    <w:t>情形之一时，</w:t>
                  </w:r>
                </w:p>
              </w:txbxContent>
            </v:textbox>
            <w10:wrap type="none"/>
          </v:shape>
        </w:pict>
      </w:r>
      <w:r>
        <w:rPr/>
        <w:pict>
          <v:shape style="position:absolute;margin-left:56.459999pt;margin-top:-239.968277pt;width:479.2pt;height:540.1pt;mso-position-horizontal-relative:page;mso-position-vertical-relative:paragraph;z-index:23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77"/>
                    <w:gridCol w:w="3329"/>
                    <w:gridCol w:w="3051"/>
                  </w:tblGrid>
                  <w:tr>
                    <w:trPr>
                      <w:trHeight w:val="323" w:hRule="exact"/>
                    </w:trPr>
                    <w:tc>
                      <w:tcPr>
                        <w:tcW w:w="3177" w:type="dxa"/>
                        <w:tcBorders>
                          <w:top w:val="single" w:sz="4" w:space="0" w:color="000000"/>
                          <w:left w:val="single" w:sz="13" w:space="0" w:color="FFFFFF"/>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4" w:hRule="exact"/>
                    </w:trPr>
                    <w:tc>
                      <w:tcPr>
                        <w:tcW w:w="3177" w:type="dxa"/>
                        <w:tcBorders>
                          <w:top w:val="single" w:sz="4" w:space="0" w:color="000000"/>
                          <w:left w:val="single" w:sz="13" w:space="0" w:color="FFFFFF"/>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left="16" w:right="0"/>
                          <w:jc w:val="left"/>
                          <w:rPr>
                            <w:rFonts w:ascii="宋体" w:hAnsi="宋体" w:cs="宋体" w:eastAsia="宋体" w:hint="default"/>
                            <w:sz w:val="18"/>
                            <w:szCs w:val="18"/>
                          </w:rPr>
                        </w:pPr>
                        <w:r>
                          <w:rPr>
                            <w:rFonts w:ascii="宋体" w:hAnsi="宋体" w:cs="宋体" w:eastAsia="宋体" w:hint="default"/>
                            <w:sz w:val="18"/>
                            <w:szCs w:val="18"/>
                          </w:rPr>
                          <w:t>巨潮资讯网《内部控制自我评价报告》</w:t>
                        </w:r>
                      </w:p>
                    </w:tc>
                  </w:tr>
                  <w:tr>
                    <w:trPr>
                      <w:trHeight w:val="557" w:hRule="exact"/>
                    </w:trPr>
                    <w:tc>
                      <w:tcPr>
                        <w:tcW w:w="3177" w:type="dxa"/>
                        <w:tcBorders>
                          <w:top w:val="single" w:sz="4" w:space="0" w:color="000000"/>
                          <w:left w:val="single" w:sz="13" w:space="0" w:color="FFFFFF"/>
                          <w:bottom w:val="single" w:sz="4" w:space="0" w:color="000000"/>
                          <w:right w:val="single" w:sz="4" w:space="0" w:color="000000"/>
                        </w:tcBorders>
                        <w:shd w:val="clear" w:color="auto" w:fill="D2D2D2"/>
                      </w:tcPr>
                      <w:p>
                        <w:pPr>
                          <w:pStyle w:val="TableParagraph"/>
                          <w:spacing w:line="240" w:lineRule="auto" w:before="9"/>
                          <w:ind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w:t>
                        </w:r>
                      </w:p>
                    </w:tc>
                  </w:tr>
                  <w:tr>
                    <w:trPr>
                      <w:trHeight w:val="557" w:hRule="exact"/>
                    </w:trPr>
                    <w:tc>
                      <w:tcPr>
                        <w:tcW w:w="3177" w:type="dxa"/>
                        <w:tcBorders>
                          <w:top w:val="single" w:sz="4" w:space="0" w:color="000000"/>
                          <w:left w:val="single" w:sz="13" w:space="0" w:color="FFFFFF"/>
                          <w:bottom w:val="single" w:sz="4" w:space="0" w:color="000000"/>
                          <w:right w:val="single" w:sz="4" w:space="0" w:color="000000"/>
                        </w:tcBorders>
                        <w:shd w:val="clear" w:color="auto" w:fill="D2D2D2"/>
                      </w:tcPr>
                      <w:p>
                        <w:pPr>
                          <w:pStyle w:val="TableParagraph"/>
                          <w:spacing w:line="240" w:lineRule="auto" w:before="9"/>
                          <w:ind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w:t>
                        </w:r>
                      </w:p>
                    </w:tc>
                  </w:tr>
                  <w:tr>
                    <w:trPr>
                      <w:trHeight w:val="319" w:hRule="exact"/>
                    </w:trPr>
                    <w:tc>
                      <w:tcPr>
                        <w:tcW w:w="9557" w:type="dxa"/>
                        <w:gridSpan w:val="3"/>
                        <w:tcBorders>
                          <w:top w:val="single" w:sz="4" w:space="0" w:color="000000"/>
                          <w:left w:val="single" w:sz="13" w:space="0" w:color="FFFFFF"/>
                          <w:bottom w:val="single" w:sz="4" w:space="0" w:color="000000"/>
                          <w:right w:val="single" w:sz="4" w:space="0" w:color="000000"/>
                        </w:tcBorders>
                        <w:shd w:val="clear" w:color="auto" w:fill="D2D2D2"/>
                      </w:tcPr>
                      <w:p>
                        <w:pPr>
                          <w:pStyle w:val="TableParagraph"/>
                          <w:spacing w:line="240" w:lineRule="auto" w:before="10"/>
                          <w:ind w:left="-1" w:right="21"/>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328" w:hRule="exact"/>
                    </w:trPr>
                    <w:tc>
                      <w:tcPr>
                        <w:tcW w:w="3177" w:type="dxa"/>
                        <w:tcBorders>
                          <w:top w:val="single" w:sz="4" w:space="0" w:color="000000"/>
                          <w:left w:val="single" w:sz="13" w:space="0" w:color="FFFFFF"/>
                          <w:bottom w:val="single" w:sz="4" w:space="0" w:color="000000"/>
                          <w:right w:val="single" w:sz="4" w:space="0" w:color="000000"/>
                        </w:tcBorders>
                        <w:shd w:val="clear" w:color="auto" w:fill="D2D2D2"/>
                      </w:tcPr>
                      <w:p>
                        <w:pPr>
                          <w:pStyle w:val="TableParagraph"/>
                          <w:spacing w:line="240" w:lineRule="auto" w:before="15"/>
                          <w:ind w:right="16"/>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110" w:hRule="exact"/>
                    </w:trPr>
                    <w:tc>
                      <w:tcPr>
                        <w:tcW w:w="3177" w:type="dxa"/>
                        <w:tcBorders>
                          <w:top w:val="single" w:sz="4" w:space="0" w:color="000000"/>
                          <w:left w:val="single" w:sz="13" w:space="0" w:color="FFFFFF"/>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266" w:lineRule="auto" w:before="10"/>
                          <w:ind w:left="22" w:right="48" w:firstLine="360"/>
                          <w:jc w:val="left"/>
                          <w:rPr>
                            <w:rFonts w:ascii="宋体" w:hAnsi="宋体" w:cs="宋体" w:eastAsia="宋体" w:hint="default"/>
                            <w:sz w:val="18"/>
                            <w:szCs w:val="18"/>
                          </w:rPr>
                        </w:pPr>
                        <w:r>
                          <w:rPr>
                            <w:rFonts w:ascii="宋体" w:hAnsi="宋体" w:cs="宋体" w:eastAsia="宋体" w:hint="default"/>
                            <w:sz w:val="18"/>
                            <w:szCs w:val="18"/>
                          </w:rPr>
                          <w:t>公司确定的财务报告内部控制缺陷评 </w:t>
                        </w:r>
                        <w:r>
                          <w:rPr>
                            <w:rFonts w:ascii="宋体" w:hAnsi="宋体" w:cs="宋体" w:eastAsia="宋体" w:hint="default"/>
                            <w:spacing w:val="-5"/>
                            <w:sz w:val="18"/>
                            <w:szCs w:val="18"/>
                          </w:rPr>
                          <w:t>价的定性标准如下：存在下列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认定为财务报告的重大缺陷：（</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）重述以</w:t>
                        </w:r>
                        <w:r>
                          <w:rPr>
                            <w:rFonts w:ascii="宋体" w:hAnsi="宋体" w:cs="宋体" w:eastAsia="宋体" w:hint="default"/>
                            <w:spacing w:val="-85"/>
                            <w:sz w:val="18"/>
                            <w:szCs w:val="18"/>
                          </w:rPr>
                          <w:t> </w:t>
                        </w:r>
                        <w:r>
                          <w:rPr>
                            <w:rFonts w:ascii="宋体" w:hAnsi="宋体" w:cs="宋体" w:eastAsia="宋体" w:hint="default"/>
                            <w:sz w:val="18"/>
                            <w:szCs w:val="18"/>
                          </w:rPr>
                          <w:t>前年度的财务报告以纠正重大错报，该错 </w:t>
                        </w:r>
                        <w:r>
                          <w:rPr>
                            <w:rFonts w:ascii="宋体" w:hAnsi="宋体" w:cs="宋体" w:eastAsia="宋体" w:hint="default"/>
                            <w:spacing w:val="-5"/>
                            <w:sz w:val="18"/>
                            <w:szCs w:val="18"/>
                          </w:rPr>
                          <w:t>报因财务报告内部控制缺陷导致；（</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）审</w:t>
                        </w:r>
                        <w:r>
                          <w:rPr>
                            <w:rFonts w:ascii="宋体" w:hAnsi="宋体" w:cs="宋体" w:eastAsia="宋体" w:hint="default"/>
                            <w:spacing w:val="-85"/>
                            <w:sz w:val="18"/>
                            <w:szCs w:val="18"/>
                          </w:rPr>
                          <w:t> </w:t>
                        </w:r>
                        <w:r>
                          <w:rPr>
                            <w:rFonts w:ascii="宋体" w:hAnsi="宋体" w:cs="宋体" w:eastAsia="宋体" w:hint="default"/>
                            <w:sz w:val="18"/>
                            <w:szCs w:val="18"/>
                          </w:rPr>
                          <w:t>计师在当期审计中发现了财务报告中的重 大错报，该错报并未被公司的内部控制所 </w:t>
                        </w:r>
                        <w:r>
                          <w:rPr>
                            <w:rFonts w:ascii="宋体" w:hAnsi="宋体" w:cs="宋体" w:eastAsia="宋体" w:hint="default"/>
                            <w:spacing w:val="-5"/>
                            <w:sz w:val="18"/>
                            <w:szCs w:val="18"/>
                          </w:rPr>
                          <w:t>发现；（</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）审计委员会对财务报告和相关</w:t>
                        </w:r>
                        <w:r>
                          <w:rPr>
                            <w:rFonts w:ascii="宋体" w:hAnsi="宋体" w:cs="宋体" w:eastAsia="宋体" w:hint="default"/>
                            <w:spacing w:val="-85"/>
                            <w:sz w:val="18"/>
                            <w:szCs w:val="18"/>
                          </w:rPr>
                          <w:t> </w:t>
                        </w:r>
                        <w:r>
                          <w:rPr>
                            <w:rFonts w:ascii="宋体" w:hAnsi="宋体" w:cs="宋体" w:eastAsia="宋体" w:hint="default"/>
                            <w:spacing w:val="-5"/>
                            <w:sz w:val="18"/>
                            <w:szCs w:val="18"/>
                          </w:rPr>
                          <w:t>内部控制缺乏有效的监督；（</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）基本无效</w:t>
                        </w:r>
                        <w:r>
                          <w:rPr>
                            <w:rFonts w:ascii="宋体" w:hAnsi="宋体" w:cs="宋体" w:eastAsia="宋体" w:hint="default"/>
                            <w:spacing w:val="-85"/>
                            <w:sz w:val="18"/>
                            <w:szCs w:val="18"/>
                          </w:rPr>
                          <w:t> </w:t>
                        </w:r>
                        <w:r>
                          <w:rPr>
                            <w:rFonts w:ascii="宋体" w:hAnsi="宋体" w:cs="宋体" w:eastAsia="宋体" w:hint="default"/>
                            <w:spacing w:val="-5"/>
                            <w:sz w:val="18"/>
                            <w:szCs w:val="18"/>
                          </w:rPr>
                          <w:t>的内部审计和风险评估职能；（</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）发现高</w:t>
                        </w:r>
                        <w:r>
                          <w:rPr>
                            <w:rFonts w:ascii="宋体" w:hAnsi="宋体" w:cs="宋体" w:eastAsia="宋体" w:hint="default"/>
                            <w:spacing w:val="-85"/>
                            <w:sz w:val="18"/>
                            <w:szCs w:val="18"/>
                          </w:rPr>
                          <w:t> </w:t>
                        </w:r>
                        <w:r>
                          <w:rPr>
                            <w:rFonts w:ascii="宋体" w:hAnsi="宋体" w:cs="宋体" w:eastAsia="宋体" w:hint="default"/>
                            <w:sz w:val="18"/>
                            <w:szCs w:val="18"/>
                          </w:rPr>
                          <w:t>级管理人员的重大舞弊行为。存在下列情 形之一时，认定为财务报告的重要缺陷：</w:t>
                        </w:r>
                      </w:p>
                      <w:p>
                        <w:pPr>
                          <w:pStyle w:val="TableParagraph"/>
                          <w:spacing w:line="259" w:lineRule="auto" w:before="12"/>
                          <w:ind w:left="22" w:right="21"/>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）在选择和实施与《企业会计准则》相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一致的会计政策方面存在内部控制缺陷；</w:t>
                        </w:r>
                      </w:p>
                      <w:p>
                        <w:pPr>
                          <w:pStyle w:val="TableParagraph"/>
                          <w:spacing w:line="264" w:lineRule="auto" w:before="19"/>
                          <w:ind w:left="22" w:right="22"/>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）与财务报告相关的反舞弊程序和控制</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受到干预；（</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）对于期末财务报告过程的</w:t>
                        </w:r>
                        <w:r>
                          <w:rPr>
                            <w:rFonts w:ascii="宋体" w:hAnsi="宋体" w:cs="宋体" w:eastAsia="宋体" w:hint="default"/>
                            <w:spacing w:val="-85"/>
                            <w:sz w:val="18"/>
                            <w:szCs w:val="18"/>
                          </w:rPr>
                          <w:t> </w:t>
                        </w:r>
                        <w:r>
                          <w:rPr>
                            <w:rFonts w:ascii="宋体" w:hAnsi="宋体" w:cs="宋体" w:eastAsia="宋体" w:hint="default"/>
                            <w:sz w:val="18"/>
                            <w:szCs w:val="18"/>
                          </w:rPr>
                          <w:t>控制存在一项或多项缺陷且不能合理保证 编制的财务报表达到真实、准确的目标；</w:t>
                        </w:r>
                      </w:p>
                      <w:p>
                        <w:pPr>
                          <w:pStyle w:val="TableParagraph"/>
                          <w:spacing w:line="271" w:lineRule="auto" w:before="15"/>
                          <w:ind w:left="22" w:right="21"/>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）货币资金、存货、收入、成本、在建</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工程、固定资产等重要会计科目的关键控 制点在设计或执行方面存在明显缺陷，且 缺乏补偿性控制程序替代。除重大缺陷、 重要缺陷之外的其他缺陷被认定为一般缺 陷。</w:t>
                        </w:r>
                      </w:p>
                    </w:tc>
                    <w:tc>
                      <w:tcPr>
                        <w:tcW w:w="3051"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6"/>
                            <w:szCs w:val="26"/>
                          </w:rPr>
                        </w:pPr>
                      </w:p>
                      <w:p>
                        <w:pPr>
                          <w:pStyle w:val="TableParagraph"/>
                          <w:spacing w:line="268" w:lineRule="auto"/>
                          <w:ind w:left="22" w:right="25" w:firstLine="360"/>
                          <w:jc w:val="left"/>
                          <w:rPr>
                            <w:rFonts w:ascii="宋体" w:hAnsi="宋体" w:cs="宋体" w:eastAsia="宋体" w:hint="default"/>
                            <w:sz w:val="18"/>
                            <w:szCs w:val="18"/>
                          </w:rPr>
                        </w:pPr>
                        <w:r>
                          <w:rPr>
                            <w:rFonts w:ascii="宋体" w:hAnsi="宋体" w:cs="宋体" w:eastAsia="宋体" w:hint="default"/>
                            <w:spacing w:val="-5"/>
                            <w:sz w:val="18"/>
                            <w:szCs w:val="18"/>
                          </w:rPr>
                          <w:t>存在下列情形之一时，认定为非财</w:t>
                        </w:r>
                        <w:r>
                          <w:rPr>
                            <w:rFonts w:ascii="宋体" w:hAnsi="宋体" w:cs="宋体" w:eastAsia="宋体" w:hint="default"/>
                            <w:sz w:val="18"/>
                            <w:szCs w:val="18"/>
                          </w:rPr>
                          <w:t> </w:t>
                        </w:r>
                        <w:r>
                          <w:rPr>
                            <w:rFonts w:ascii="宋体" w:hAnsi="宋体" w:cs="宋体" w:eastAsia="宋体" w:hint="default"/>
                            <w:spacing w:val="-9"/>
                            <w:sz w:val="18"/>
                            <w:szCs w:val="18"/>
                          </w:rPr>
                          <w:t>务报告的重大缺陷：（</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）公司在税务管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理、生产经营、社会责任等方面发生重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大违法违规事件和责任事故，给公司造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成重要损失和不利影响，或者遭受重大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行政监管处罚，严重影响经营合规目标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4"/>
                            <w:sz w:val="18"/>
                            <w:szCs w:val="18"/>
                          </w:rPr>
                          <w:t>的实现；（</w:t>
                        </w: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）公司因资产安全管理失当</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发生重大资产损失。存在下列情形之一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4"/>
                            <w:sz w:val="18"/>
                            <w:szCs w:val="18"/>
                          </w:rPr>
                          <w:t>时，认定为非财务报告的重要缺陷：（</w:t>
                        </w:r>
                        <w:r>
                          <w:rPr>
                            <w:rFonts w:ascii="Times New Roman" w:hAnsi="Times New Roman" w:cs="Times New Roman" w:eastAsia="Times New Roman" w:hint="default"/>
                            <w:spacing w:val="-14"/>
                            <w:sz w:val="18"/>
                            <w:szCs w:val="18"/>
                          </w:rPr>
                          <w:t>1</w:t>
                        </w:r>
                        <w:r>
                          <w:rPr>
                            <w:rFonts w:ascii="Times New Roman" w:hAnsi="Times New Roman" w:cs="Times New Roman" w:eastAsia="Times New Roman" w:hint="default"/>
                            <w:spacing w:val="-39"/>
                            <w:sz w:val="18"/>
                            <w:szCs w:val="18"/>
                          </w:rPr>
                          <w:t> </w:t>
                        </w:r>
                        <w:r>
                          <w:rPr>
                            <w:rFonts w:ascii="宋体" w:hAnsi="宋体" w:cs="宋体" w:eastAsia="宋体" w:hint="default"/>
                            <w:spacing w:val="-4"/>
                            <w:sz w:val="18"/>
                            <w:szCs w:val="18"/>
                          </w:rPr>
                          <w:t>招标采购、业务分包等生产运营环节存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在明显违规，导致成本明显上升或存在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较大舞弊风险；（</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）因管理不善存在较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为明显的资产安全隐患；（</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）投资论证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不到位或不充分，投资实际情况与投资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目标严重偏离，造成投资决策较为严重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的失误或投资减值。除重大缺陷、重要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缺陷之外的其他缺陷被认定为一般缺 陷。</w:t>
                        </w:r>
                      </w:p>
                    </w:tc>
                  </w:tr>
                  <w:tr>
                    <w:trPr>
                      <w:trHeight w:val="313" w:hRule="exact"/>
                    </w:trPr>
                    <w:tc>
                      <w:tcPr>
                        <w:tcW w:w="3177" w:type="dxa"/>
                        <w:tcBorders>
                          <w:top w:val="nil" w:sz="6" w:space="0" w:color="auto"/>
                          <w:left w:val="single" w:sz="13" w:space="0" w:color="FFFFFF"/>
                          <w:bottom w:val="nil" w:sz="6" w:space="0" w:color="auto"/>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nil" w:sz="6" w:space="0" w:color="auto"/>
                        </w:tcBorders>
                      </w:tcPr>
                      <w:p>
                        <w:pPr/>
                      </w:p>
                    </w:tc>
                  </w:tr>
                  <w:tr>
                    <w:trPr>
                      <w:trHeight w:val="3110" w:hRule="exact"/>
                    </w:trPr>
                    <w:tc>
                      <w:tcPr>
                        <w:tcW w:w="3177" w:type="dxa"/>
                        <w:tcBorders>
                          <w:top w:val="nil" w:sz="6" w:space="0" w:color="auto"/>
                          <w:left w:val="single" w:sz="13" w:space="0" w:color="FFFFFF"/>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nil" w:sz="6" w:space="0" w:color="auto"/>
                        </w:tcBorders>
                      </w:tcPr>
                      <w:p>
                        <w:pPr/>
                      </w:p>
                    </w:tc>
                  </w:tr>
                  <w:tr>
                    <w:trPr>
                      <w:trHeight w:val="122" w:hRule="exact"/>
                    </w:trPr>
                    <w:tc>
                      <w:tcPr>
                        <w:tcW w:w="3177" w:type="dxa"/>
                        <w:tcBorders>
                          <w:top w:val="single" w:sz="4" w:space="0" w:color="000000"/>
                          <w:left w:val="single" w:sz="13" w:space="0" w:color="FFFFFF"/>
                          <w:bottom w:val="nil" w:sz="6" w:space="0" w:color="auto"/>
                          <w:right w:val="single" w:sz="4" w:space="0" w:color="000000"/>
                        </w:tcBorders>
                        <w:shd w:val="clear" w:color="auto" w:fill="D2D2D2"/>
                      </w:tcPr>
                      <w:p>
                        <w:pPr/>
                      </w:p>
                    </w:tc>
                    <w:tc>
                      <w:tcPr>
                        <w:tcW w:w="3329" w:type="dxa"/>
                        <w:vMerge w:val="restart"/>
                        <w:tcBorders>
                          <w:top w:val="single" w:sz="4" w:space="0" w:color="000000"/>
                          <w:left w:val="single" w:sz="13" w:space="0" w:color="D2D2D2"/>
                          <w:right w:val="single" w:sz="4" w:space="0" w:color="000000"/>
                        </w:tcBorders>
                      </w:tcPr>
                      <w:p>
                        <w:pPr>
                          <w:pStyle w:val="TableParagraph"/>
                          <w:spacing w:line="232" w:lineRule="exact" w:before="35"/>
                          <w:ind w:left="16" w:right="20"/>
                          <w:jc w:val="left"/>
                          <w:rPr>
                            <w:rFonts w:ascii="宋体" w:hAnsi="宋体" w:cs="宋体" w:eastAsia="宋体" w:hint="default"/>
                            <w:sz w:val="18"/>
                            <w:szCs w:val="18"/>
                          </w:rPr>
                        </w:pPr>
                        <w:r>
                          <w:rPr>
                            <w:rFonts w:ascii="宋体" w:hAnsi="宋体" w:cs="宋体" w:eastAsia="宋体" w:hint="default"/>
                            <w:sz w:val="18"/>
                            <w:szCs w:val="18"/>
                          </w:rPr>
                          <w:t>详见第</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部分内控自我评价报告</w:t>
                        </w:r>
                        <w:r>
                          <w:rPr>
                            <w:rFonts w:ascii="Times New Roman" w:hAnsi="Times New Roman" w:cs="Times New Roman" w:eastAsia="Times New Roman" w:hint="default"/>
                            <w:sz w:val="18"/>
                            <w:szCs w:val="18"/>
                          </w:rPr>
                          <w:t>-</w:t>
                        </w:r>
                        <w:r>
                          <w:rPr>
                            <w:rFonts w:ascii="宋体" w:hAnsi="宋体" w:cs="宋体" w:eastAsia="宋体" w:hint="default"/>
                            <w:sz w:val="18"/>
                            <w:szCs w:val="18"/>
                          </w:rPr>
                          <w:t>缺陷认定 标准</w:t>
                        </w:r>
                        <w:r>
                          <w:rPr>
                            <w:rFonts w:ascii="Times New Roman" w:hAnsi="Times New Roman" w:cs="Times New Roman" w:eastAsia="Times New Roman" w:hint="default"/>
                            <w:sz w:val="18"/>
                            <w:szCs w:val="18"/>
                          </w:rPr>
                          <w:t>-</w:t>
                        </w:r>
                        <w:r>
                          <w:rPr>
                            <w:rFonts w:ascii="宋体" w:hAnsi="宋体" w:cs="宋体" w:eastAsia="宋体" w:hint="default"/>
                            <w:sz w:val="18"/>
                            <w:szCs w:val="18"/>
                          </w:rPr>
                          <w:t>定量标准</w:t>
                        </w:r>
                      </w:p>
                    </w:tc>
                    <w:tc>
                      <w:tcPr>
                        <w:tcW w:w="3051" w:type="dxa"/>
                        <w:vMerge w:val="restart"/>
                        <w:tcBorders>
                          <w:top w:val="single" w:sz="4" w:space="0" w:color="000000"/>
                          <w:left w:val="single" w:sz="4" w:space="0" w:color="000000"/>
                          <w:right w:val="single" w:sz="4" w:space="0" w:color="000000"/>
                        </w:tcBorders>
                      </w:tcPr>
                      <w:p>
                        <w:pPr>
                          <w:pStyle w:val="TableParagraph"/>
                          <w:spacing w:line="232" w:lineRule="exact" w:before="35"/>
                          <w:ind w:left="22" w:right="77"/>
                          <w:jc w:val="left"/>
                          <w:rPr>
                            <w:rFonts w:ascii="宋体" w:hAnsi="宋体" w:cs="宋体" w:eastAsia="宋体" w:hint="default"/>
                            <w:sz w:val="18"/>
                            <w:szCs w:val="18"/>
                          </w:rPr>
                        </w:pPr>
                        <w:r>
                          <w:rPr>
                            <w:rFonts w:ascii="宋体" w:hAnsi="宋体" w:cs="宋体" w:eastAsia="宋体" w:hint="default"/>
                            <w:sz w:val="18"/>
                            <w:szCs w:val="18"/>
                          </w:rPr>
                          <w:t>详见第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部分内控自我评价报告</w:t>
                        </w:r>
                        <w:r>
                          <w:rPr>
                            <w:rFonts w:ascii="Times New Roman" w:hAnsi="Times New Roman" w:cs="Times New Roman" w:eastAsia="Times New Roman" w:hint="default"/>
                            <w:sz w:val="18"/>
                            <w:szCs w:val="18"/>
                          </w:rPr>
                          <w:t>-</w:t>
                        </w:r>
                        <w:r>
                          <w:rPr>
                            <w:rFonts w:ascii="宋体" w:hAnsi="宋体" w:cs="宋体" w:eastAsia="宋体" w:hint="default"/>
                            <w:sz w:val="18"/>
                            <w:szCs w:val="18"/>
                          </w:rPr>
                          <w:t>缺陷 认定标准</w:t>
                        </w:r>
                        <w:r>
                          <w:rPr>
                            <w:rFonts w:ascii="Times New Roman" w:hAnsi="Times New Roman" w:cs="Times New Roman" w:eastAsia="Times New Roman" w:hint="default"/>
                            <w:sz w:val="18"/>
                            <w:szCs w:val="18"/>
                          </w:rPr>
                          <w:t>-</w:t>
                        </w:r>
                        <w:r>
                          <w:rPr>
                            <w:rFonts w:ascii="宋体" w:hAnsi="宋体" w:cs="宋体" w:eastAsia="宋体" w:hint="default"/>
                            <w:sz w:val="18"/>
                            <w:szCs w:val="18"/>
                          </w:rPr>
                          <w:t>定量标准</w:t>
                        </w:r>
                      </w:p>
                    </w:tc>
                  </w:tr>
                  <w:tr>
                    <w:trPr>
                      <w:trHeight w:val="434" w:hRule="exact"/>
                    </w:trPr>
                    <w:tc>
                      <w:tcPr>
                        <w:tcW w:w="3177" w:type="dxa"/>
                        <w:tcBorders>
                          <w:top w:val="nil" w:sz="6" w:space="0" w:color="auto"/>
                          <w:left w:val="single" w:sz="13" w:space="0" w:color="FFFFFF"/>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9" w:type="dxa"/>
                        <w:vMerge/>
                        <w:tcBorders>
                          <w:left w:val="single" w:sz="13"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324" w:hRule="exact"/>
                    </w:trPr>
                    <w:tc>
                      <w:tcPr>
                        <w:tcW w:w="3177" w:type="dxa"/>
                        <w:tcBorders>
                          <w:top w:val="single" w:sz="4" w:space="0" w:color="000000"/>
                          <w:left w:val="single" w:sz="13" w:space="0" w:color="FFFFFF"/>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3177" w:type="dxa"/>
                        <w:tcBorders>
                          <w:top w:val="single" w:sz="4" w:space="0" w:color="000000"/>
                          <w:left w:val="single" w:sz="13" w:space="0" w:color="FFFFFF"/>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3177" w:type="dxa"/>
                        <w:tcBorders>
                          <w:top w:val="single" w:sz="4" w:space="0" w:color="000000"/>
                          <w:left w:val="single" w:sz="13" w:space="0" w:color="FFFFFF"/>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3177" w:type="dxa"/>
                        <w:tcBorders>
                          <w:top w:val="single" w:sz="4" w:space="0" w:color="000000"/>
                          <w:left w:val="single" w:sz="13" w:space="0" w:color="FFFFFF"/>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9"/>
        <w:rPr>
          <w:rFonts w:ascii="宋体" w:hAnsi="宋体" w:cs="宋体" w:eastAsia="宋体" w:hint="default"/>
          <w:sz w:val="19"/>
          <w:szCs w:val="19"/>
        </w:rPr>
      </w:pPr>
    </w:p>
    <w:p>
      <w:pPr>
        <w:pStyle w:val="BodyText"/>
        <w:spacing w:line="240" w:lineRule="auto" w:before="44"/>
        <w:ind w:left="0" w:right="114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3"/>
        <w:spacing w:line="240" w:lineRule="auto" w:before="35"/>
        <w:ind w:right="0"/>
        <w:jc w:val="left"/>
        <w:rPr>
          <w:b w:val="0"/>
          <w:bCs w:val="0"/>
        </w:rPr>
      </w:pPr>
      <w:bookmarkStart w:name="3、 内控自我评价报告-缺陷认定标准-定量标准" w:id="150"/>
      <w:bookmarkEnd w:id="150"/>
      <w:r>
        <w:rPr>
          <w:b w:val="0"/>
          <w:bCs w:val="0"/>
        </w:rPr>
      </w:r>
      <w:r>
        <w:rPr>
          <w:rFonts w:ascii="Times New Roman" w:hAnsi="Times New Roman" w:cs="Times New Roman" w:eastAsia="Times New Roman" w:hint="default"/>
        </w:rPr>
        <w:t>3</w:t>
      </w:r>
      <w:r>
        <w:rPr/>
        <w:t>、</w:t>
      </w:r>
      <w:r>
        <w:rPr>
          <w:spacing w:val="-4"/>
        </w:rPr>
        <w:t> </w:t>
      </w:r>
      <w:r>
        <w:rPr/>
        <w:t>内控自我评价报告</w:t>
      </w:r>
      <w:r>
        <w:rPr>
          <w:rFonts w:ascii="Times New Roman" w:hAnsi="Times New Roman" w:cs="Times New Roman" w:eastAsia="Times New Roman" w:hint="default"/>
        </w:rPr>
        <w:t>-</w:t>
      </w:r>
      <w:r>
        <w:rPr/>
        <w:t>缺陷认定标准</w:t>
      </w:r>
      <w:r>
        <w:rPr>
          <w:rFonts w:ascii="Times New Roman" w:hAnsi="Times New Roman" w:cs="Times New Roman" w:eastAsia="Times New Roman" w:hint="default"/>
        </w:rPr>
        <w:t>-</w:t>
      </w:r>
      <w:r>
        <w:rPr/>
        <w:t>定量标准</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宋体" w:hAnsi="宋体" w:cs="宋体" w:eastAsia="宋体" w:hint="default"/>
        </w:rPr>
        <w:t>1</w:t>
      </w:r>
      <w:r>
        <w:rPr/>
        <w:t>）财务报告内部控制缺陷认定标准</w:t>
      </w:r>
      <w:r>
        <w:rPr>
          <w:b w:val="0"/>
          <w:bCs w:val="0"/>
        </w:rPr>
      </w:r>
    </w:p>
    <w:p>
      <w:pPr>
        <w:spacing w:line="240" w:lineRule="auto" w:before="7"/>
        <w:rPr>
          <w:rFonts w:ascii="宋体" w:hAnsi="宋体" w:cs="宋体" w:eastAsia="宋体" w:hint="default"/>
          <w:b/>
          <w:bCs/>
          <w:sz w:val="2"/>
          <w:szCs w:val="2"/>
        </w:rPr>
      </w:pPr>
    </w:p>
    <w:tbl>
      <w:tblPr>
        <w:tblW w:w="0" w:type="auto"/>
        <w:jc w:val="left"/>
        <w:tblInd w:w="137" w:type="dxa"/>
        <w:tblLayout w:type="fixed"/>
        <w:tblCellMar>
          <w:top w:w="0" w:type="dxa"/>
          <w:left w:w="0" w:type="dxa"/>
          <w:bottom w:w="0" w:type="dxa"/>
          <w:right w:w="0" w:type="dxa"/>
        </w:tblCellMar>
        <w:tblLook w:val="01E0"/>
      </w:tblPr>
      <w:tblGrid>
        <w:gridCol w:w="1538"/>
        <w:gridCol w:w="2736"/>
        <w:gridCol w:w="2750"/>
        <w:gridCol w:w="2635"/>
      </w:tblGrid>
      <w:tr>
        <w:trPr>
          <w:trHeight w:val="270" w:hRule="exact"/>
        </w:trPr>
        <w:tc>
          <w:tcPr>
            <w:tcW w:w="1538" w:type="dxa"/>
            <w:tcBorders>
              <w:top w:val="single" w:sz="6" w:space="0" w:color="000000"/>
              <w:left w:val="single" w:sz="6" w:space="0" w:color="000000"/>
              <w:bottom w:val="single" w:sz="8" w:space="0" w:color="000000"/>
              <w:right w:val="single" w:sz="8" w:space="0" w:color="000000"/>
            </w:tcBorders>
            <w:shd w:val="clear" w:color="auto" w:fill="D9D9D9"/>
          </w:tcPr>
          <w:p>
            <w:pPr>
              <w:pStyle w:val="TableParagraph"/>
              <w:spacing w:line="215" w:lineRule="exact"/>
              <w:ind w:left="2" w:right="0"/>
              <w:jc w:val="left"/>
              <w:rPr>
                <w:rFonts w:ascii="宋体" w:hAnsi="宋体" w:cs="宋体" w:eastAsia="宋体" w:hint="default"/>
                <w:sz w:val="18"/>
                <w:szCs w:val="18"/>
              </w:rPr>
            </w:pPr>
            <w:r>
              <w:rPr>
                <w:rFonts w:ascii="宋体" w:hAnsi="宋体" w:cs="宋体" w:eastAsia="宋体" w:hint="default"/>
                <w:sz w:val="18"/>
                <w:szCs w:val="18"/>
              </w:rPr>
              <w:t>指标名称</w:t>
            </w:r>
          </w:p>
        </w:tc>
        <w:tc>
          <w:tcPr>
            <w:tcW w:w="2736" w:type="dxa"/>
            <w:tcBorders>
              <w:top w:val="single" w:sz="6" w:space="0" w:color="000000"/>
              <w:left w:val="single" w:sz="8" w:space="0" w:color="000000"/>
              <w:bottom w:val="single" w:sz="8" w:space="0" w:color="000000"/>
              <w:right w:val="single" w:sz="8" w:space="0" w:color="000000"/>
            </w:tcBorders>
            <w:shd w:val="clear" w:color="auto" w:fill="D9D9D9"/>
          </w:tcPr>
          <w:p>
            <w:pPr>
              <w:pStyle w:val="TableParagraph"/>
              <w:spacing w:line="215" w:lineRule="exact"/>
              <w:ind w:left="-1" w:right="0"/>
              <w:jc w:val="left"/>
              <w:rPr>
                <w:rFonts w:ascii="宋体" w:hAnsi="宋体" w:cs="宋体" w:eastAsia="宋体" w:hint="default"/>
                <w:sz w:val="18"/>
                <w:szCs w:val="18"/>
              </w:rPr>
            </w:pPr>
            <w:r>
              <w:rPr>
                <w:rFonts w:ascii="宋体" w:hAnsi="宋体" w:cs="宋体" w:eastAsia="宋体" w:hint="default"/>
                <w:sz w:val="18"/>
                <w:szCs w:val="18"/>
              </w:rPr>
              <w:t>重大缺陷定量标准</w:t>
            </w:r>
          </w:p>
        </w:tc>
        <w:tc>
          <w:tcPr>
            <w:tcW w:w="2750" w:type="dxa"/>
            <w:tcBorders>
              <w:top w:val="single" w:sz="6" w:space="0" w:color="000000"/>
              <w:left w:val="single" w:sz="8" w:space="0" w:color="000000"/>
              <w:bottom w:val="single" w:sz="8" w:space="0" w:color="000000"/>
              <w:right w:val="single" w:sz="8" w:space="0" w:color="000000"/>
            </w:tcBorders>
            <w:shd w:val="clear" w:color="auto" w:fill="D9D9D9"/>
          </w:tcPr>
          <w:p>
            <w:pPr>
              <w:pStyle w:val="TableParagraph"/>
              <w:spacing w:line="215" w:lineRule="exact"/>
              <w:ind w:left="1" w:right="0"/>
              <w:jc w:val="left"/>
              <w:rPr>
                <w:rFonts w:ascii="宋体" w:hAnsi="宋体" w:cs="宋体" w:eastAsia="宋体" w:hint="default"/>
                <w:sz w:val="18"/>
                <w:szCs w:val="18"/>
              </w:rPr>
            </w:pPr>
            <w:r>
              <w:rPr>
                <w:rFonts w:ascii="宋体" w:hAnsi="宋体" w:cs="宋体" w:eastAsia="宋体" w:hint="default"/>
                <w:sz w:val="18"/>
                <w:szCs w:val="18"/>
              </w:rPr>
              <w:t>重要缺陷定量标准</w:t>
            </w:r>
          </w:p>
        </w:tc>
        <w:tc>
          <w:tcPr>
            <w:tcW w:w="2635" w:type="dxa"/>
            <w:tcBorders>
              <w:top w:val="single" w:sz="6" w:space="0" w:color="000000"/>
              <w:left w:val="single" w:sz="8" w:space="0" w:color="000000"/>
              <w:bottom w:val="single" w:sz="8" w:space="0" w:color="000000"/>
              <w:right w:val="single" w:sz="8" w:space="0" w:color="000000"/>
            </w:tcBorders>
            <w:shd w:val="clear" w:color="auto" w:fill="D9D9D9"/>
          </w:tcPr>
          <w:p>
            <w:pPr>
              <w:pStyle w:val="TableParagraph"/>
              <w:spacing w:line="215" w:lineRule="exact"/>
              <w:ind w:left="-1" w:right="0"/>
              <w:jc w:val="left"/>
              <w:rPr>
                <w:rFonts w:ascii="宋体" w:hAnsi="宋体" w:cs="宋体" w:eastAsia="宋体" w:hint="default"/>
                <w:sz w:val="18"/>
                <w:szCs w:val="18"/>
              </w:rPr>
            </w:pPr>
            <w:r>
              <w:rPr>
                <w:rFonts w:ascii="宋体" w:hAnsi="宋体" w:cs="宋体" w:eastAsia="宋体" w:hint="default"/>
                <w:sz w:val="18"/>
                <w:szCs w:val="18"/>
              </w:rPr>
              <w:t>一般缺陷定量标准</w:t>
            </w:r>
          </w:p>
        </w:tc>
      </w:tr>
      <w:tr>
        <w:trPr>
          <w:trHeight w:val="736" w:hRule="exact"/>
        </w:trPr>
        <w:tc>
          <w:tcPr>
            <w:tcW w:w="1538" w:type="dxa"/>
            <w:tcBorders>
              <w:top w:val="single" w:sz="8" w:space="0" w:color="000000"/>
              <w:left w:val="single" w:sz="6" w:space="0" w:color="000000"/>
              <w:bottom w:val="single" w:sz="8" w:space="0" w:color="000000"/>
              <w:right w:val="single" w:sz="8" w:space="0" w:color="000000"/>
            </w:tcBorders>
          </w:tcPr>
          <w:p>
            <w:pPr>
              <w:pStyle w:val="TableParagraph"/>
              <w:spacing w:line="211" w:lineRule="exact"/>
              <w:ind w:left="2" w:right="0"/>
              <w:jc w:val="left"/>
              <w:rPr>
                <w:rFonts w:ascii="宋体" w:hAnsi="宋体" w:cs="宋体" w:eastAsia="宋体" w:hint="default"/>
                <w:sz w:val="18"/>
                <w:szCs w:val="18"/>
              </w:rPr>
            </w:pPr>
            <w:r>
              <w:rPr>
                <w:rFonts w:ascii="宋体" w:hAnsi="宋体" w:cs="宋体" w:eastAsia="宋体" w:hint="default"/>
                <w:sz w:val="18"/>
                <w:szCs w:val="18"/>
              </w:rPr>
              <w:t>营业收入错报</w:t>
            </w:r>
          </w:p>
        </w:tc>
        <w:tc>
          <w:tcPr>
            <w:tcW w:w="2736" w:type="dxa"/>
            <w:tcBorders>
              <w:top w:val="single" w:sz="8" w:space="0" w:color="000000"/>
              <w:left w:val="single" w:sz="8" w:space="0" w:color="000000"/>
              <w:bottom w:val="single" w:sz="8" w:space="0" w:color="000000"/>
              <w:right w:val="single" w:sz="8" w:space="0" w:color="000000"/>
            </w:tcBorders>
          </w:tcPr>
          <w:p>
            <w:pPr>
              <w:pStyle w:val="TableParagraph"/>
              <w:spacing w:line="211" w:lineRule="exact"/>
              <w:ind w:left="-1" w:right="-1"/>
              <w:jc w:val="left"/>
              <w:rPr>
                <w:rFonts w:ascii="宋体" w:hAnsi="宋体" w:cs="宋体" w:eastAsia="宋体" w:hint="default"/>
                <w:sz w:val="18"/>
                <w:szCs w:val="18"/>
              </w:rPr>
            </w:pPr>
            <w:r>
              <w:rPr>
                <w:rFonts w:ascii="宋体" w:hAnsi="宋体" w:cs="宋体" w:eastAsia="宋体" w:hint="default"/>
                <w:sz w:val="18"/>
                <w:szCs w:val="18"/>
              </w:rPr>
              <w:t>营业收入错报金额＞合并会计报表</w:t>
            </w:r>
          </w:p>
          <w:p>
            <w:pPr>
              <w:pStyle w:val="TableParagraph"/>
              <w:spacing w:line="235" w:lineRule="exact"/>
              <w:ind w:left="-1" w:right="0"/>
              <w:jc w:val="left"/>
              <w:rPr>
                <w:rFonts w:ascii="宋体" w:hAnsi="宋体" w:cs="宋体" w:eastAsia="宋体" w:hint="default"/>
                <w:sz w:val="18"/>
                <w:szCs w:val="18"/>
              </w:rPr>
            </w:pPr>
            <w:r>
              <w:rPr>
                <w:rFonts w:ascii="宋体" w:hAnsi="宋体" w:cs="宋体" w:eastAsia="宋体" w:hint="default"/>
                <w:sz w:val="18"/>
                <w:szCs w:val="18"/>
              </w:rPr>
              <w:t>营业收入的</w:t>
            </w:r>
            <w:r>
              <w:rPr>
                <w:rFonts w:ascii="宋体" w:hAnsi="宋体" w:cs="宋体" w:eastAsia="宋体" w:hint="default"/>
                <w:sz w:val="18"/>
                <w:szCs w:val="18"/>
              </w:rPr>
              <w:t>1%</w:t>
            </w:r>
          </w:p>
        </w:tc>
        <w:tc>
          <w:tcPr>
            <w:tcW w:w="2750" w:type="dxa"/>
            <w:tcBorders>
              <w:top w:val="single" w:sz="8" w:space="0" w:color="000000"/>
              <w:left w:val="single" w:sz="8" w:space="0" w:color="000000"/>
              <w:bottom w:val="single" w:sz="8" w:space="0" w:color="000000"/>
              <w:right w:val="single" w:sz="8" w:space="0" w:color="000000"/>
            </w:tcBorders>
          </w:tcPr>
          <w:p>
            <w:pPr>
              <w:pStyle w:val="TableParagraph"/>
              <w:spacing w:line="211" w:lineRule="exact"/>
              <w:ind w:left="1" w:right="-3"/>
              <w:jc w:val="left"/>
              <w:rPr>
                <w:rFonts w:ascii="宋体" w:hAnsi="宋体" w:cs="宋体" w:eastAsia="宋体" w:hint="default"/>
                <w:sz w:val="18"/>
                <w:szCs w:val="18"/>
              </w:rPr>
            </w:pPr>
            <w:r>
              <w:rPr>
                <w:rFonts w:ascii="宋体" w:hAnsi="宋体" w:cs="宋体" w:eastAsia="宋体" w:hint="default"/>
                <w:sz w:val="18"/>
                <w:szCs w:val="18"/>
              </w:rPr>
              <w:t>合并会计报表营业收入的</w:t>
            </w:r>
            <w:r>
              <w:rPr>
                <w:rFonts w:ascii="宋体" w:hAnsi="宋体" w:cs="宋体" w:eastAsia="宋体" w:hint="default"/>
                <w:sz w:val="18"/>
                <w:szCs w:val="18"/>
              </w:rPr>
              <w:t>0.5%</w:t>
            </w:r>
            <w:r>
              <w:rPr>
                <w:rFonts w:ascii="宋体" w:hAnsi="宋体" w:cs="宋体" w:eastAsia="宋体" w:hint="default"/>
                <w:sz w:val="18"/>
                <w:szCs w:val="18"/>
              </w:rPr>
              <w:t>≤营</w:t>
            </w:r>
          </w:p>
          <w:p>
            <w:pPr>
              <w:pStyle w:val="TableParagraph"/>
              <w:spacing w:line="232" w:lineRule="exact" w:before="24"/>
              <w:ind w:left="1" w:right="1"/>
              <w:jc w:val="left"/>
              <w:rPr>
                <w:rFonts w:ascii="宋体" w:hAnsi="宋体" w:cs="宋体" w:eastAsia="宋体" w:hint="default"/>
                <w:sz w:val="18"/>
                <w:szCs w:val="18"/>
              </w:rPr>
            </w:pPr>
            <w:r>
              <w:rPr>
                <w:rFonts w:ascii="宋体" w:hAnsi="宋体" w:cs="宋体" w:eastAsia="宋体" w:hint="default"/>
                <w:sz w:val="18"/>
                <w:szCs w:val="18"/>
              </w:rPr>
              <w:t>业收入错报金额≤合并会计报表营</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业收入的</w:t>
            </w:r>
            <w:r>
              <w:rPr>
                <w:rFonts w:ascii="宋体" w:hAnsi="宋体" w:cs="宋体" w:eastAsia="宋体" w:hint="default"/>
                <w:sz w:val="18"/>
                <w:szCs w:val="18"/>
              </w:rPr>
              <w:t>1%</w:t>
            </w:r>
          </w:p>
        </w:tc>
        <w:tc>
          <w:tcPr>
            <w:tcW w:w="2635" w:type="dxa"/>
            <w:tcBorders>
              <w:top w:val="single" w:sz="12" w:space="0" w:color="000000"/>
              <w:left w:val="single" w:sz="8" w:space="0" w:color="000000"/>
              <w:bottom w:val="single" w:sz="8" w:space="0" w:color="000000"/>
              <w:right w:val="single" w:sz="8"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pacing w:val="6"/>
                <w:sz w:val="18"/>
                <w:szCs w:val="18"/>
              </w:rPr>
              <w:t>营业收入错报金额＜合并会计报</w:t>
            </w:r>
          </w:p>
          <w:p>
            <w:pPr>
              <w:pStyle w:val="TableParagraph"/>
              <w:spacing w:line="235" w:lineRule="exact"/>
              <w:ind w:left="-1" w:right="0"/>
              <w:jc w:val="left"/>
              <w:rPr>
                <w:rFonts w:ascii="宋体" w:hAnsi="宋体" w:cs="宋体" w:eastAsia="宋体" w:hint="default"/>
                <w:sz w:val="18"/>
                <w:szCs w:val="18"/>
              </w:rPr>
            </w:pPr>
            <w:r>
              <w:rPr>
                <w:rFonts w:ascii="宋体" w:hAnsi="宋体" w:cs="宋体" w:eastAsia="宋体" w:hint="default"/>
                <w:sz w:val="18"/>
                <w:szCs w:val="18"/>
              </w:rPr>
              <w:t>表营业收入的</w:t>
            </w:r>
            <w:r>
              <w:rPr>
                <w:rFonts w:ascii="宋体" w:hAnsi="宋体" w:cs="宋体" w:eastAsia="宋体" w:hint="default"/>
                <w:sz w:val="18"/>
                <w:szCs w:val="18"/>
              </w:rPr>
              <w:t>0.5%</w:t>
            </w:r>
          </w:p>
        </w:tc>
      </w:tr>
      <w:tr>
        <w:trPr>
          <w:trHeight w:val="269" w:hRule="exact"/>
        </w:trPr>
        <w:tc>
          <w:tcPr>
            <w:tcW w:w="1538" w:type="dxa"/>
            <w:tcBorders>
              <w:top w:val="single" w:sz="8" w:space="0" w:color="000000"/>
              <w:left w:val="single" w:sz="6" w:space="0" w:color="000000"/>
              <w:bottom w:val="single" w:sz="8" w:space="0" w:color="000000"/>
              <w:right w:val="single" w:sz="8" w:space="0" w:color="000000"/>
            </w:tcBorders>
          </w:tcPr>
          <w:p>
            <w:pPr>
              <w:pStyle w:val="TableParagraph"/>
              <w:spacing w:line="211" w:lineRule="exact"/>
              <w:ind w:left="2" w:right="0"/>
              <w:jc w:val="left"/>
              <w:rPr>
                <w:rFonts w:ascii="宋体" w:hAnsi="宋体" w:cs="宋体" w:eastAsia="宋体" w:hint="default"/>
                <w:sz w:val="18"/>
                <w:szCs w:val="18"/>
              </w:rPr>
            </w:pPr>
            <w:r>
              <w:rPr>
                <w:rFonts w:ascii="宋体" w:hAnsi="宋体" w:cs="宋体" w:eastAsia="宋体" w:hint="default"/>
                <w:sz w:val="18"/>
                <w:szCs w:val="18"/>
              </w:rPr>
              <w:t>利润总额错报</w:t>
            </w:r>
          </w:p>
        </w:tc>
        <w:tc>
          <w:tcPr>
            <w:tcW w:w="2736" w:type="dxa"/>
            <w:tcBorders>
              <w:top w:val="single" w:sz="8" w:space="0" w:color="000000"/>
              <w:left w:val="single" w:sz="8" w:space="0" w:color="000000"/>
              <w:bottom w:val="single" w:sz="8" w:space="0" w:color="000000"/>
              <w:right w:val="single" w:sz="8" w:space="0" w:color="000000"/>
            </w:tcBorders>
          </w:tcPr>
          <w:p>
            <w:pPr>
              <w:pStyle w:val="TableParagraph"/>
              <w:spacing w:line="211" w:lineRule="exact"/>
              <w:ind w:left="-1" w:right="-1"/>
              <w:jc w:val="left"/>
              <w:rPr>
                <w:rFonts w:ascii="宋体" w:hAnsi="宋体" w:cs="宋体" w:eastAsia="宋体" w:hint="default"/>
                <w:sz w:val="18"/>
                <w:szCs w:val="18"/>
              </w:rPr>
            </w:pPr>
            <w:r>
              <w:rPr>
                <w:rFonts w:ascii="宋体" w:hAnsi="宋体" w:cs="宋体" w:eastAsia="宋体" w:hint="default"/>
                <w:sz w:val="18"/>
                <w:szCs w:val="18"/>
              </w:rPr>
              <w:t>利润总额错报金额＞合并会计报表</w:t>
            </w:r>
          </w:p>
        </w:tc>
        <w:tc>
          <w:tcPr>
            <w:tcW w:w="2750" w:type="dxa"/>
            <w:tcBorders>
              <w:top w:val="single" w:sz="8" w:space="0" w:color="000000"/>
              <w:left w:val="single" w:sz="8" w:space="0" w:color="000000"/>
              <w:bottom w:val="single" w:sz="8" w:space="0" w:color="000000"/>
              <w:right w:val="single" w:sz="8" w:space="0" w:color="000000"/>
            </w:tcBorders>
          </w:tcPr>
          <w:p>
            <w:pPr>
              <w:pStyle w:val="TableParagraph"/>
              <w:spacing w:line="211" w:lineRule="exact"/>
              <w:ind w:left="1" w:right="-3"/>
              <w:jc w:val="left"/>
              <w:rPr>
                <w:rFonts w:ascii="宋体" w:hAnsi="宋体" w:cs="宋体" w:eastAsia="宋体" w:hint="default"/>
                <w:sz w:val="18"/>
                <w:szCs w:val="18"/>
              </w:rPr>
            </w:pPr>
            <w:r>
              <w:rPr>
                <w:rFonts w:ascii="宋体" w:hAnsi="宋体" w:cs="宋体" w:eastAsia="宋体" w:hint="default"/>
                <w:sz w:val="18"/>
                <w:szCs w:val="18"/>
              </w:rPr>
              <w:t>合并会计报表利润总额的</w:t>
            </w:r>
            <w:r>
              <w:rPr>
                <w:rFonts w:ascii="宋体" w:hAnsi="宋体" w:cs="宋体" w:eastAsia="宋体" w:hint="default"/>
                <w:sz w:val="18"/>
                <w:szCs w:val="18"/>
              </w:rPr>
              <w:t>6%</w:t>
            </w:r>
            <w:r>
              <w:rPr>
                <w:rFonts w:ascii="宋体" w:hAnsi="宋体" w:cs="宋体" w:eastAsia="宋体" w:hint="default"/>
                <w:sz w:val="18"/>
                <w:szCs w:val="18"/>
              </w:rPr>
              <w:t>≤利润</w:t>
            </w:r>
          </w:p>
        </w:tc>
        <w:tc>
          <w:tcPr>
            <w:tcW w:w="2635" w:type="dxa"/>
            <w:tcBorders>
              <w:top w:val="single" w:sz="8" w:space="0" w:color="000000"/>
              <w:left w:val="single" w:sz="8" w:space="0" w:color="000000"/>
              <w:bottom w:val="single" w:sz="8" w:space="0" w:color="000000"/>
              <w:right w:val="single" w:sz="8" w:space="0" w:color="000000"/>
            </w:tcBorders>
          </w:tcPr>
          <w:p>
            <w:pPr>
              <w:pStyle w:val="TableParagraph"/>
              <w:spacing w:line="211" w:lineRule="exact"/>
              <w:ind w:left="-1" w:right="0"/>
              <w:jc w:val="left"/>
              <w:rPr>
                <w:rFonts w:ascii="宋体" w:hAnsi="宋体" w:cs="宋体" w:eastAsia="宋体" w:hint="default"/>
                <w:sz w:val="18"/>
                <w:szCs w:val="18"/>
              </w:rPr>
            </w:pPr>
            <w:r>
              <w:rPr>
                <w:rFonts w:ascii="宋体" w:hAnsi="宋体" w:cs="宋体" w:eastAsia="宋体" w:hint="default"/>
                <w:spacing w:val="6"/>
                <w:sz w:val="18"/>
                <w:szCs w:val="18"/>
              </w:rPr>
              <w:t>利润总额错报金额＜合并会计报</w:t>
            </w:r>
          </w:p>
        </w:tc>
      </w:tr>
    </w:tbl>
    <w:p>
      <w:pPr>
        <w:spacing w:after="0" w:line="211" w:lineRule="exact"/>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宋体" w:hAnsi="宋体" w:cs="宋体" w:eastAsia="宋体" w:hint="default"/>
          <w:b/>
          <w:bCs/>
          <w:sz w:val="25"/>
          <w:szCs w:val="25"/>
        </w:rPr>
      </w:pPr>
    </w:p>
    <w:tbl>
      <w:tblPr>
        <w:tblW w:w="0" w:type="auto"/>
        <w:jc w:val="left"/>
        <w:tblInd w:w="137" w:type="dxa"/>
        <w:tblLayout w:type="fixed"/>
        <w:tblCellMar>
          <w:top w:w="0" w:type="dxa"/>
          <w:left w:w="0" w:type="dxa"/>
          <w:bottom w:w="0" w:type="dxa"/>
          <w:right w:w="0" w:type="dxa"/>
        </w:tblCellMar>
        <w:tblLook w:val="01E0"/>
      </w:tblPr>
      <w:tblGrid>
        <w:gridCol w:w="1538"/>
        <w:gridCol w:w="2736"/>
        <w:gridCol w:w="2750"/>
        <w:gridCol w:w="2635"/>
      </w:tblGrid>
      <w:tr>
        <w:trPr>
          <w:trHeight w:val="253" w:hRule="exact"/>
        </w:trPr>
        <w:tc>
          <w:tcPr>
            <w:tcW w:w="1538" w:type="dxa"/>
            <w:tcBorders>
              <w:top w:val="single" w:sz="6" w:space="0" w:color="000000"/>
              <w:left w:val="single" w:sz="6" w:space="0" w:color="000000"/>
              <w:bottom w:val="single" w:sz="8" w:space="0" w:color="000000"/>
              <w:right w:val="single" w:sz="8" w:space="0" w:color="000000"/>
            </w:tcBorders>
            <w:shd w:val="clear" w:color="auto" w:fill="D9D9D9"/>
          </w:tcPr>
          <w:p>
            <w:pPr>
              <w:pStyle w:val="TableParagraph"/>
              <w:spacing w:line="198" w:lineRule="exact"/>
              <w:ind w:left="2" w:right="0"/>
              <w:jc w:val="left"/>
              <w:rPr>
                <w:rFonts w:ascii="宋体" w:hAnsi="宋体" w:cs="宋体" w:eastAsia="宋体" w:hint="default"/>
                <w:sz w:val="18"/>
                <w:szCs w:val="18"/>
              </w:rPr>
            </w:pPr>
            <w:r>
              <w:rPr>
                <w:rFonts w:ascii="宋体" w:hAnsi="宋体" w:cs="宋体" w:eastAsia="宋体" w:hint="default"/>
                <w:sz w:val="18"/>
                <w:szCs w:val="18"/>
              </w:rPr>
              <w:t>指标名称</w:t>
            </w:r>
          </w:p>
        </w:tc>
        <w:tc>
          <w:tcPr>
            <w:tcW w:w="2736" w:type="dxa"/>
            <w:tcBorders>
              <w:top w:val="single" w:sz="6" w:space="0" w:color="000000"/>
              <w:left w:val="single" w:sz="8" w:space="0" w:color="000000"/>
              <w:bottom w:val="single" w:sz="8" w:space="0" w:color="000000"/>
              <w:right w:val="single" w:sz="8" w:space="0" w:color="000000"/>
            </w:tcBorders>
            <w:shd w:val="clear" w:color="auto" w:fill="D9D9D9"/>
          </w:tcPr>
          <w:p>
            <w:pPr>
              <w:pStyle w:val="TableParagraph"/>
              <w:spacing w:line="198" w:lineRule="exact"/>
              <w:ind w:left="-1" w:right="0"/>
              <w:jc w:val="left"/>
              <w:rPr>
                <w:rFonts w:ascii="宋体" w:hAnsi="宋体" w:cs="宋体" w:eastAsia="宋体" w:hint="default"/>
                <w:sz w:val="18"/>
                <w:szCs w:val="18"/>
              </w:rPr>
            </w:pPr>
            <w:r>
              <w:rPr>
                <w:rFonts w:ascii="宋体" w:hAnsi="宋体" w:cs="宋体" w:eastAsia="宋体" w:hint="default"/>
                <w:sz w:val="18"/>
                <w:szCs w:val="18"/>
              </w:rPr>
              <w:t>重大缺陷定量标准</w:t>
            </w:r>
          </w:p>
        </w:tc>
        <w:tc>
          <w:tcPr>
            <w:tcW w:w="2750" w:type="dxa"/>
            <w:tcBorders>
              <w:top w:val="single" w:sz="6" w:space="0" w:color="000000"/>
              <w:left w:val="single" w:sz="8" w:space="0" w:color="000000"/>
              <w:bottom w:val="single" w:sz="8" w:space="0" w:color="000000"/>
              <w:right w:val="single" w:sz="8" w:space="0" w:color="000000"/>
            </w:tcBorders>
            <w:shd w:val="clear" w:color="auto" w:fill="D9D9D9"/>
          </w:tcPr>
          <w:p>
            <w:pPr>
              <w:pStyle w:val="TableParagraph"/>
              <w:spacing w:line="198" w:lineRule="exact"/>
              <w:ind w:left="1" w:right="0"/>
              <w:jc w:val="left"/>
              <w:rPr>
                <w:rFonts w:ascii="宋体" w:hAnsi="宋体" w:cs="宋体" w:eastAsia="宋体" w:hint="default"/>
                <w:sz w:val="18"/>
                <w:szCs w:val="18"/>
              </w:rPr>
            </w:pPr>
            <w:r>
              <w:rPr>
                <w:rFonts w:ascii="宋体" w:hAnsi="宋体" w:cs="宋体" w:eastAsia="宋体" w:hint="default"/>
                <w:sz w:val="18"/>
                <w:szCs w:val="18"/>
              </w:rPr>
              <w:t>重要缺陷定量标准</w:t>
            </w:r>
          </w:p>
        </w:tc>
        <w:tc>
          <w:tcPr>
            <w:tcW w:w="2635" w:type="dxa"/>
            <w:tcBorders>
              <w:top w:val="single" w:sz="6" w:space="0" w:color="000000"/>
              <w:left w:val="single" w:sz="8" w:space="0" w:color="000000"/>
              <w:bottom w:val="single" w:sz="8" w:space="0" w:color="000000"/>
              <w:right w:val="single" w:sz="8" w:space="0" w:color="000000"/>
            </w:tcBorders>
            <w:shd w:val="clear" w:color="auto" w:fill="D9D9D9"/>
          </w:tcPr>
          <w:p>
            <w:pPr>
              <w:pStyle w:val="TableParagraph"/>
              <w:spacing w:line="198" w:lineRule="exact"/>
              <w:ind w:left="-1" w:right="0"/>
              <w:jc w:val="left"/>
              <w:rPr>
                <w:rFonts w:ascii="宋体" w:hAnsi="宋体" w:cs="宋体" w:eastAsia="宋体" w:hint="default"/>
                <w:sz w:val="18"/>
                <w:szCs w:val="18"/>
              </w:rPr>
            </w:pPr>
            <w:r>
              <w:rPr>
                <w:rFonts w:ascii="宋体" w:hAnsi="宋体" w:cs="宋体" w:eastAsia="宋体" w:hint="default"/>
                <w:sz w:val="18"/>
                <w:szCs w:val="18"/>
              </w:rPr>
              <w:t>一般缺陷定量标准</w:t>
            </w:r>
          </w:p>
        </w:tc>
      </w:tr>
      <w:tr>
        <w:trPr>
          <w:trHeight w:val="502" w:hRule="exact"/>
        </w:trPr>
        <w:tc>
          <w:tcPr>
            <w:tcW w:w="1538" w:type="dxa"/>
            <w:tcBorders>
              <w:top w:val="single" w:sz="8" w:space="0" w:color="000000"/>
              <w:left w:val="single" w:sz="6" w:space="0" w:color="000000"/>
              <w:bottom w:val="single" w:sz="8" w:space="0" w:color="000000"/>
              <w:right w:val="single" w:sz="8" w:space="0" w:color="000000"/>
            </w:tcBorders>
          </w:tcPr>
          <w:p>
            <w:pPr/>
          </w:p>
        </w:tc>
        <w:tc>
          <w:tcPr>
            <w:tcW w:w="2736" w:type="dxa"/>
            <w:tcBorders>
              <w:top w:val="single" w:sz="8" w:space="0" w:color="000000"/>
              <w:left w:val="single" w:sz="8" w:space="0" w:color="000000"/>
              <w:bottom w:val="single" w:sz="8" w:space="0" w:color="000000"/>
              <w:right w:val="single" w:sz="8" w:space="0" w:color="000000"/>
            </w:tcBorders>
          </w:tcPr>
          <w:p>
            <w:pPr>
              <w:pStyle w:val="TableParagraph"/>
              <w:spacing w:line="212" w:lineRule="exact"/>
              <w:ind w:left="-1" w:right="0"/>
              <w:jc w:val="left"/>
              <w:rPr>
                <w:rFonts w:ascii="宋体" w:hAnsi="宋体" w:cs="宋体" w:eastAsia="宋体" w:hint="default"/>
                <w:sz w:val="18"/>
                <w:szCs w:val="18"/>
              </w:rPr>
            </w:pPr>
            <w:r>
              <w:rPr>
                <w:rFonts w:ascii="宋体" w:hAnsi="宋体" w:cs="宋体" w:eastAsia="宋体" w:hint="default"/>
                <w:sz w:val="18"/>
                <w:szCs w:val="18"/>
              </w:rPr>
              <w:t>利润总额的</w:t>
            </w:r>
            <w:r>
              <w:rPr>
                <w:rFonts w:ascii="宋体" w:hAnsi="宋体" w:cs="宋体" w:eastAsia="宋体" w:hint="default"/>
                <w:sz w:val="18"/>
                <w:szCs w:val="18"/>
              </w:rPr>
              <w:t>10%</w:t>
            </w:r>
          </w:p>
        </w:tc>
        <w:tc>
          <w:tcPr>
            <w:tcW w:w="275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1"/>
              <w:ind w:left="1" w:right="1"/>
              <w:jc w:val="left"/>
              <w:rPr>
                <w:rFonts w:ascii="宋体" w:hAnsi="宋体" w:cs="宋体" w:eastAsia="宋体" w:hint="default"/>
                <w:sz w:val="18"/>
                <w:szCs w:val="18"/>
              </w:rPr>
            </w:pPr>
            <w:r>
              <w:rPr>
                <w:rFonts w:ascii="宋体" w:hAnsi="宋体" w:cs="宋体" w:eastAsia="宋体" w:hint="default"/>
                <w:sz w:val="18"/>
                <w:szCs w:val="18"/>
              </w:rPr>
              <w:t>总额错报金额≤合并会计报表利润</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总额的</w:t>
            </w:r>
            <w:r>
              <w:rPr>
                <w:rFonts w:ascii="宋体" w:hAnsi="宋体" w:cs="宋体" w:eastAsia="宋体" w:hint="default"/>
                <w:sz w:val="18"/>
                <w:szCs w:val="18"/>
              </w:rPr>
              <w:t>10%</w:t>
            </w:r>
          </w:p>
        </w:tc>
        <w:tc>
          <w:tcPr>
            <w:tcW w:w="2635" w:type="dxa"/>
            <w:tcBorders>
              <w:top w:val="single" w:sz="8" w:space="0" w:color="000000"/>
              <w:left w:val="single" w:sz="8" w:space="0" w:color="000000"/>
              <w:bottom w:val="single" w:sz="8" w:space="0" w:color="000000"/>
              <w:right w:val="single" w:sz="8" w:space="0" w:color="000000"/>
            </w:tcBorders>
          </w:tcPr>
          <w:p>
            <w:pPr>
              <w:pStyle w:val="TableParagraph"/>
              <w:spacing w:line="212" w:lineRule="exact"/>
              <w:ind w:left="-1" w:right="0"/>
              <w:jc w:val="left"/>
              <w:rPr>
                <w:rFonts w:ascii="宋体" w:hAnsi="宋体" w:cs="宋体" w:eastAsia="宋体" w:hint="default"/>
                <w:sz w:val="18"/>
                <w:szCs w:val="18"/>
              </w:rPr>
            </w:pPr>
            <w:r>
              <w:rPr>
                <w:rFonts w:ascii="宋体" w:hAnsi="宋体" w:cs="宋体" w:eastAsia="宋体" w:hint="default"/>
                <w:sz w:val="18"/>
                <w:szCs w:val="18"/>
              </w:rPr>
              <w:t>表利润总额的</w:t>
            </w:r>
            <w:r>
              <w:rPr>
                <w:rFonts w:ascii="宋体" w:hAnsi="宋体" w:cs="宋体" w:eastAsia="宋体" w:hint="default"/>
                <w:sz w:val="18"/>
                <w:szCs w:val="18"/>
              </w:rPr>
              <w:t>6%</w:t>
            </w:r>
          </w:p>
        </w:tc>
      </w:tr>
      <w:tr>
        <w:trPr>
          <w:trHeight w:val="736" w:hRule="exact"/>
        </w:trPr>
        <w:tc>
          <w:tcPr>
            <w:tcW w:w="1538" w:type="dxa"/>
            <w:tcBorders>
              <w:top w:val="single" w:sz="8" w:space="0" w:color="000000"/>
              <w:left w:val="single" w:sz="6" w:space="0" w:color="000000"/>
              <w:bottom w:val="single" w:sz="8" w:space="0" w:color="000000"/>
              <w:right w:val="single" w:sz="8" w:space="0" w:color="000000"/>
            </w:tcBorders>
          </w:tcPr>
          <w:p>
            <w:pPr>
              <w:pStyle w:val="TableParagraph"/>
              <w:spacing w:line="211" w:lineRule="exact"/>
              <w:ind w:left="2" w:right="0"/>
              <w:jc w:val="left"/>
              <w:rPr>
                <w:rFonts w:ascii="宋体" w:hAnsi="宋体" w:cs="宋体" w:eastAsia="宋体" w:hint="default"/>
                <w:sz w:val="18"/>
                <w:szCs w:val="18"/>
              </w:rPr>
            </w:pPr>
            <w:r>
              <w:rPr>
                <w:rFonts w:ascii="宋体" w:hAnsi="宋体" w:cs="宋体" w:eastAsia="宋体" w:hint="default"/>
                <w:sz w:val="18"/>
                <w:szCs w:val="18"/>
              </w:rPr>
              <w:t>资产错报</w:t>
            </w:r>
          </w:p>
        </w:tc>
        <w:tc>
          <w:tcPr>
            <w:tcW w:w="2736"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ind w:left="-1" w:right="-1"/>
              <w:jc w:val="left"/>
              <w:rPr>
                <w:rFonts w:ascii="宋体" w:hAnsi="宋体" w:cs="宋体" w:eastAsia="宋体" w:hint="default"/>
                <w:sz w:val="18"/>
                <w:szCs w:val="18"/>
              </w:rPr>
            </w:pPr>
            <w:r>
              <w:rPr>
                <w:rFonts w:ascii="宋体" w:hAnsi="宋体" w:cs="宋体" w:eastAsia="宋体" w:hint="default"/>
                <w:sz w:val="18"/>
                <w:szCs w:val="18"/>
              </w:rPr>
              <w:t>资产总额错报金额＞合并会计报表</w:t>
            </w:r>
          </w:p>
          <w:p>
            <w:pPr>
              <w:pStyle w:val="TableParagraph"/>
              <w:spacing w:line="234" w:lineRule="exact"/>
              <w:ind w:left="-1" w:right="0"/>
              <w:jc w:val="left"/>
              <w:rPr>
                <w:rFonts w:ascii="宋体" w:hAnsi="宋体" w:cs="宋体" w:eastAsia="宋体" w:hint="default"/>
                <w:sz w:val="18"/>
                <w:szCs w:val="18"/>
              </w:rPr>
            </w:pPr>
            <w:r>
              <w:rPr>
                <w:rFonts w:ascii="宋体" w:hAnsi="宋体" w:cs="宋体" w:eastAsia="宋体" w:hint="default"/>
                <w:sz w:val="18"/>
                <w:szCs w:val="18"/>
              </w:rPr>
              <w:t>资产总额的</w:t>
            </w:r>
            <w:r>
              <w:rPr>
                <w:rFonts w:ascii="宋体" w:hAnsi="宋体" w:cs="宋体" w:eastAsia="宋体" w:hint="default"/>
                <w:sz w:val="18"/>
                <w:szCs w:val="18"/>
              </w:rPr>
              <w:t>3%</w:t>
            </w:r>
          </w:p>
        </w:tc>
        <w:tc>
          <w:tcPr>
            <w:tcW w:w="2750"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ind w:left="1" w:right="-3"/>
              <w:jc w:val="left"/>
              <w:rPr>
                <w:rFonts w:ascii="宋体" w:hAnsi="宋体" w:cs="宋体" w:eastAsia="宋体" w:hint="default"/>
                <w:sz w:val="18"/>
                <w:szCs w:val="18"/>
              </w:rPr>
            </w:pPr>
            <w:r>
              <w:rPr>
                <w:rFonts w:ascii="宋体" w:hAnsi="宋体" w:cs="宋体" w:eastAsia="宋体" w:hint="default"/>
                <w:sz w:val="18"/>
                <w:szCs w:val="18"/>
              </w:rPr>
              <w:t>合并会计报表资产总额的</w:t>
            </w:r>
            <w:r>
              <w:rPr>
                <w:rFonts w:ascii="宋体" w:hAnsi="宋体" w:cs="宋体" w:eastAsia="宋体" w:hint="default"/>
                <w:sz w:val="18"/>
                <w:szCs w:val="18"/>
              </w:rPr>
              <w:t>2%</w:t>
            </w:r>
            <w:r>
              <w:rPr>
                <w:rFonts w:ascii="宋体" w:hAnsi="宋体" w:cs="宋体" w:eastAsia="宋体" w:hint="default"/>
                <w:sz w:val="18"/>
                <w:szCs w:val="18"/>
              </w:rPr>
              <w:t>≤资产</w:t>
            </w:r>
          </w:p>
          <w:p>
            <w:pPr>
              <w:pStyle w:val="TableParagraph"/>
              <w:spacing w:line="240" w:lineRule="auto"/>
              <w:ind w:left="1" w:right="1"/>
              <w:jc w:val="left"/>
              <w:rPr>
                <w:rFonts w:ascii="宋体" w:hAnsi="宋体" w:cs="宋体" w:eastAsia="宋体" w:hint="default"/>
                <w:sz w:val="18"/>
                <w:szCs w:val="18"/>
              </w:rPr>
            </w:pPr>
            <w:r>
              <w:rPr>
                <w:rFonts w:ascii="宋体" w:hAnsi="宋体" w:cs="宋体" w:eastAsia="宋体" w:hint="default"/>
                <w:sz w:val="18"/>
                <w:szCs w:val="18"/>
              </w:rPr>
              <w:t>总额错报金额≤合并会计报表资产</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总额的</w:t>
            </w:r>
            <w:r>
              <w:rPr>
                <w:rFonts w:ascii="宋体" w:hAnsi="宋体" w:cs="宋体" w:eastAsia="宋体" w:hint="default"/>
                <w:sz w:val="18"/>
                <w:szCs w:val="18"/>
              </w:rPr>
              <w:t>3%</w:t>
            </w:r>
          </w:p>
        </w:tc>
        <w:tc>
          <w:tcPr>
            <w:tcW w:w="2635"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ind w:left="-1" w:right="0"/>
              <w:jc w:val="left"/>
              <w:rPr>
                <w:rFonts w:ascii="宋体" w:hAnsi="宋体" w:cs="宋体" w:eastAsia="宋体" w:hint="default"/>
                <w:sz w:val="18"/>
                <w:szCs w:val="18"/>
              </w:rPr>
            </w:pPr>
            <w:r>
              <w:rPr>
                <w:rFonts w:ascii="宋体" w:hAnsi="宋体" w:cs="宋体" w:eastAsia="宋体" w:hint="default"/>
                <w:spacing w:val="6"/>
                <w:sz w:val="18"/>
                <w:szCs w:val="18"/>
              </w:rPr>
              <w:t>资产总额错报金额＜合并会计报</w:t>
            </w:r>
          </w:p>
          <w:p>
            <w:pPr>
              <w:pStyle w:val="TableParagraph"/>
              <w:spacing w:line="234" w:lineRule="exact"/>
              <w:ind w:left="-1" w:right="0"/>
              <w:jc w:val="left"/>
              <w:rPr>
                <w:rFonts w:ascii="宋体" w:hAnsi="宋体" w:cs="宋体" w:eastAsia="宋体" w:hint="default"/>
                <w:sz w:val="18"/>
                <w:szCs w:val="18"/>
              </w:rPr>
            </w:pPr>
            <w:r>
              <w:rPr>
                <w:rFonts w:ascii="宋体" w:hAnsi="宋体" w:cs="宋体" w:eastAsia="宋体" w:hint="default"/>
                <w:sz w:val="18"/>
                <w:szCs w:val="18"/>
              </w:rPr>
              <w:t>表资产总额的</w:t>
            </w:r>
            <w:r>
              <w:rPr>
                <w:rFonts w:ascii="宋体" w:hAnsi="宋体" w:cs="宋体" w:eastAsia="宋体" w:hint="default"/>
                <w:sz w:val="18"/>
                <w:szCs w:val="18"/>
              </w:rPr>
              <w:t>2%</w:t>
            </w:r>
          </w:p>
        </w:tc>
      </w:tr>
      <w:tr>
        <w:trPr>
          <w:trHeight w:val="734" w:hRule="exact"/>
        </w:trPr>
        <w:tc>
          <w:tcPr>
            <w:tcW w:w="1538" w:type="dxa"/>
            <w:tcBorders>
              <w:top w:val="single" w:sz="8" w:space="0" w:color="000000"/>
              <w:left w:val="single" w:sz="6" w:space="0" w:color="000000"/>
              <w:bottom w:val="single" w:sz="8" w:space="0" w:color="000000"/>
              <w:right w:val="single" w:sz="8" w:space="0" w:color="000000"/>
            </w:tcBorders>
          </w:tcPr>
          <w:p>
            <w:pPr>
              <w:pStyle w:val="TableParagraph"/>
              <w:spacing w:line="211" w:lineRule="exact"/>
              <w:ind w:left="2" w:right="0"/>
              <w:jc w:val="left"/>
              <w:rPr>
                <w:rFonts w:ascii="宋体" w:hAnsi="宋体" w:cs="宋体" w:eastAsia="宋体" w:hint="default"/>
                <w:sz w:val="18"/>
                <w:szCs w:val="18"/>
              </w:rPr>
            </w:pPr>
            <w:r>
              <w:rPr>
                <w:rFonts w:ascii="宋体" w:hAnsi="宋体" w:cs="宋体" w:eastAsia="宋体" w:hint="default"/>
                <w:sz w:val="18"/>
                <w:szCs w:val="18"/>
              </w:rPr>
              <w:t>负债错报</w:t>
            </w:r>
          </w:p>
        </w:tc>
        <w:tc>
          <w:tcPr>
            <w:tcW w:w="2736"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ind w:left="-1" w:right="-1"/>
              <w:jc w:val="left"/>
              <w:rPr>
                <w:rFonts w:ascii="宋体" w:hAnsi="宋体" w:cs="宋体" w:eastAsia="宋体" w:hint="default"/>
                <w:sz w:val="18"/>
                <w:szCs w:val="18"/>
              </w:rPr>
            </w:pPr>
            <w:r>
              <w:rPr>
                <w:rFonts w:ascii="宋体" w:hAnsi="宋体" w:cs="宋体" w:eastAsia="宋体" w:hint="default"/>
                <w:sz w:val="18"/>
                <w:szCs w:val="18"/>
              </w:rPr>
              <w:t>负债总额错报金额＞合并会计报表</w:t>
            </w:r>
          </w:p>
          <w:p>
            <w:pPr>
              <w:pStyle w:val="TableParagraph"/>
              <w:spacing w:line="234" w:lineRule="exact"/>
              <w:ind w:left="-1" w:right="0"/>
              <w:jc w:val="left"/>
              <w:rPr>
                <w:rFonts w:ascii="宋体" w:hAnsi="宋体" w:cs="宋体" w:eastAsia="宋体" w:hint="default"/>
                <w:sz w:val="18"/>
                <w:szCs w:val="18"/>
              </w:rPr>
            </w:pPr>
            <w:r>
              <w:rPr>
                <w:rFonts w:ascii="宋体" w:hAnsi="宋体" w:cs="宋体" w:eastAsia="宋体" w:hint="default"/>
                <w:sz w:val="18"/>
                <w:szCs w:val="18"/>
              </w:rPr>
              <w:t>负债总额的</w:t>
            </w:r>
            <w:r>
              <w:rPr>
                <w:rFonts w:ascii="宋体" w:hAnsi="宋体" w:cs="宋体" w:eastAsia="宋体" w:hint="default"/>
                <w:sz w:val="18"/>
                <w:szCs w:val="18"/>
              </w:rPr>
              <w:t>3%</w:t>
            </w:r>
          </w:p>
        </w:tc>
        <w:tc>
          <w:tcPr>
            <w:tcW w:w="2750"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ind w:left="1" w:right="-3"/>
              <w:jc w:val="left"/>
              <w:rPr>
                <w:rFonts w:ascii="宋体" w:hAnsi="宋体" w:cs="宋体" w:eastAsia="宋体" w:hint="default"/>
                <w:sz w:val="18"/>
                <w:szCs w:val="18"/>
              </w:rPr>
            </w:pPr>
            <w:r>
              <w:rPr>
                <w:rFonts w:ascii="宋体" w:hAnsi="宋体" w:cs="宋体" w:eastAsia="宋体" w:hint="default"/>
                <w:sz w:val="18"/>
                <w:szCs w:val="18"/>
              </w:rPr>
              <w:t>合并会计报表负债总额的</w:t>
            </w:r>
            <w:r>
              <w:rPr>
                <w:rFonts w:ascii="宋体" w:hAnsi="宋体" w:cs="宋体" w:eastAsia="宋体" w:hint="default"/>
                <w:sz w:val="18"/>
                <w:szCs w:val="18"/>
              </w:rPr>
              <w:t>2%</w:t>
            </w:r>
            <w:r>
              <w:rPr>
                <w:rFonts w:ascii="宋体" w:hAnsi="宋体" w:cs="宋体" w:eastAsia="宋体" w:hint="default"/>
                <w:sz w:val="18"/>
                <w:szCs w:val="18"/>
              </w:rPr>
              <w:t>≤负债</w:t>
            </w:r>
          </w:p>
          <w:p>
            <w:pPr>
              <w:pStyle w:val="TableParagraph"/>
              <w:spacing w:line="240" w:lineRule="auto"/>
              <w:ind w:left="1" w:right="1"/>
              <w:jc w:val="left"/>
              <w:rPr>
                <w:rFonts w:ascii="宋体" w:hAnsi="宋体" w:cs="宋体" w:eastAsia="宋体" w:hint="default"/>
                <w:sz w:val="18"/>
                <w:szCs w:val="18"/>
              </w:rPr>
            </w:pPr>
            <w:r>
              <w:rPr>
                <w:rFonts w:ascii="宋体" w:hAnsi="宋体" w:cs="宋体" w:eastAsia="宋体" w:hint="default"/>
                <w:sz w:val="18"/>
                <w:szCs w:val="18"/>
              </w:rPr>
              <w:t>总额错报金额≤合并会计报表负债</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总额的</w:t>
            </w:r>
            <w:r>
              <w:rPr>
                <w:rFonts w:ascii="宋体" w:hAnsi="宋体" w:cs="宋体" w:eastAsia="宋体" w:hint="default"/>
                <w:sz w:val="18"/>
                <w:szCs w:val="18"/>
              </w:rPr>
              <w:t>3%</w:t>
            </w:r>
          </w:p>
        </w:tc>
        <w:tc>
          <w:tcPr>
            <w:tcW w:w="2635"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ind w:left="-1" w:right="0"/>
              <w:jc w:val="left"/>
              <w:rPr>
                <w:rFonts w:ascii="宋体" w:hAnsi="宋体" w:cs="宋体" w:eastAsia="宋体" w:hint="default"/>
                <w:sz w:val="18"/>
                <w:szCs w:val="18"/>
              </w:rPr>
            </w:pPr>
            <w:r>
              <w:rPr>
                <w:rFonts w:ascii="宋体" w:hAnsi="宋体" w:cs="宋体" w:eastAsia="宋体" w:hint="default"/>
                <w:spacing w:val="6"/>
                <w:sz w:val="18"/>
                <w:szCs w:val="18"/>
              </w:rPr>
              <w:t>负债总额错报金额＜合并会计报</w:t>
            </w:r>
          </w:p>
          <w:p>
            <w:pPr>
              <w:pStyle w:val="TableParagraph"/>
              <w:spacing w:line="234" w:lineRule="exact"/>
              <w:ind w:left="-1" w:right="0"/>
              <w:jc w:val="left"/>
              <w:rPr>
                <w:rFonts w:ascii="宋体" w:hAnsi="宋体" w:cs="宋体" w:eastAsia="宋体" w:hint="default"/>
                <w:sz w:val="18"/>
                <w:szCs w:val="18"/>
              </w:rPr>
            </w:pPr>
            <w:r>
              <w:rPr>
                <w:rFonts w:ascii="宋体" w:hAnsi="宋体" w:cs="宋体" w:eastAsia="宋体" w:hint="default"/>
                <w:sz w:val="18"/>
                <w:szCs w:val="18"/>
              </w:rPr>
              <w:t>表负债总额的</w:t>
            </w:r>
            <w:r>
              <w:rPr>
                <w:rFonts w:ascii="宋体" w:hAnsi="宋体" w:cs="宋体" w:eastAsia="宋体" w:hint="default"/>
                <w:sz w:val="18"/>
                <w:szCs w:val="18"/>
              </w:rPr>
              <w:t>2%</w:t>
            </w:r>
          </w:p>
        </w:tc>
      </w:tr>
      <w:tr>
        <w:trPr>
          <w:trHeight w:val="737" w:hRule="exact"/>
        </w:trPr>
        <w:tc>
          <w:tcPr>
            <w:tcW w:w="1538" w:type="dxa"/>
            <w:tcBorders>
              <w:top w:val="single" w:sz="8" w:space="0" w:color="000000"/>
              <w:left w:val="single" w:sz="6" w:space="0" w:color="000000"/>
              <w:bottom w:val="single" w:sz="8" w:space="0" w:color="000000"/>
              <w:right w:val="single" w:sz="8" w:space="0" w:color="000000"/>
            </w:tcBorders>
          </w:tcPr>
          <w:p>
            <w:pPr>
              <w:pStyle w:val="TableParagraph"/>
              <w:spacing w:line="211" w:lineRule="exact"/>
              <w:ind w:left="2" w:right="0"/>
              <w:jc w:val="left"/>
              <w:rPr>
                <w:rFonts w:ascii="宋体" w:hAnsi="宋体" w:cs="宋体" w:eastAsia="宋体" w:hint="default"/>
                <w:sz w:val="18"/>
                <w:szCs w:val="18"/>
              </w:rPr>
            </w:pPr>
            <w:r>
              <w:rPr>
                <w:rFonts w:ascii="宋体" w:hAnsi="宋体" w:cs="宋体" w:eastAsia="宋体" w:hint="default"/>
                <w:sz w:val="18"/>
                <w:szCs w:val="18"/>
              </w:rPr>
              <w:t>所有者权益错报</w:t>
            </w:r>
          </w:p>
        </w:tc>
        <w:tc>
          <w:tcPr>
            <w:tcW w:w="2736" w:type="dxa"/>
            <w:tcBorders>
              <w:top w:val="single" w:sz="8" w:space="0" w:color="000000"/>
              <w:left w:val="single" w:sz="8" w:space="0" w:color="000000"/>
              <w:bottom w:val="single" w:sz="8" w:space="0" w:color="000000"/>
              <w:right w:val="single" w:sz="8" w:space="0" w:color="000000"/>
            </w:tcBorders>
          </w:tcPr>
          <w:p>
            <w:pPr>
              <w:pStyle w:val="TableParagraph"/>
              <w:spacing w:line="211" w:lineRule="exact"/>
              <w:ind w:left="-1" w:right="-1"/>
              <w:jc w:val="left"/>
              <w:rPr>
                <w:rFonts w:ascii="宋体" w:hAnsi="宋体" w:cs="宋体" w:eastAsia="宋体" w:hint="default"/>
                <w:sz w:val="18"/>
                <w:szCs w:val="18"/>
              </w:rPr>
            </w:pPr>
            <w:r>
              <w:rPr>
                <w:rFonts w:ascii="宋体" w:hAnsi="宋体" w:cs="宋体" w:eastAsia="宋体" w:hint="default"/>
                <w:sz w:val="18"/>
                <w:szCs w:val="18"/>
              </w:rPr>
              <w:t>所有者权益总额错报金额＞合并会</w:t>
            </w:r>
          </w:p>
          <w:p>
            <w:pPr>
              <w:pStyle w:val="TableParagraph"/>
              <w:spacing w:line="235" w:lineRule="exact"/>
              <w:ind w:left="-1" w:right="0"/>
              <w:jc w:val="left"/>
              <w:rPr>
                <w:rFonts w:ascii="宋体" w:hAnsi="宋体" w:cs="宋体" w:eastAsia="宋体" w:hint="default"/>
                <w:sz w:val="18"/>
                <w:szCs w:val="18"/>
              </w:rPr>
            </w:pPr>
            <w:r>
              <w:rPr>
                <w:rFonts w:ascii="宋体" w:hAnsi="宋体" w:cs="宋体" w:eastAsia="宋体" w:hint="default"/>
                <w:sz w:val="18"/>
                <w:szCs w:val="18"/>
              </w:rPr>
              <w:t>计报表所有者权益总额的</w:t>
            </w:r>
            <w:r>
              <w:rPr>
                <w:rFonts w:ascii="宋体" w:hAnsi="宋体" w:cs="宋体" w:eastAsia="宋体" w:hint="default"/>
                <w:sz w:val="18"/>
                <w:szCs w:val="18"/>
              </w:rPr>
              <w:t>2%</w:t>
            </w:r>
          </w:p>
        </w:tc>
        <w:tc>
          <w:tcPr>
            <w:tcW w:w="2750" w:type="dxa"/>
            <w:tcBorders>
              <w:top w:val="single" w:sz="8" w:space="0" w:color="000000"/>
              <w:left w:val="single" w:sz="8" w:space="0" w:color="000000"/>
              <w:bottom w:val="single" w:sz="8" w:space="0" w:color="000000"/>
              <w:right w:val="single" w:sz="8" w:space="0" w:color="000000"/>
            </w:tcBorders>
          </w:tcPr>
          <w:p>
            <w:pPr>
              <w:pStyle w:val="TableParagraph"/>
              <w:spacing w:line="211" w:lineRule="exact"/>
              <w:ind w:left="1" w:right="0"/>
              <w:jc w:val="left"/>
              <w:rPr>
                <w:rFonts w:ascii="宋体" w:hAnsi="宋体" w:cs="宋体" w:eastAsia="宋体" w:hint="default"/>
                <w:sz w:val="18"/>
                <w:szCs w:val="18"/>
              </w:rPr>
            </w:pPr>
            <w:r>
              <w:rPr>
                <w:rFonts w:ascii="宋体" w:hAnsi="宋体" w:cs="宋体" w:eastAsia="宋体" w:hint="default"/>
                <w:sz w:val="18"/>
                <w:szCs w:val="18"/>
              </w:rPr>
              <w:t>合并会计报表所有者权益总额的</w:t>
            </w:r>
            <w:r>
              <w:rPr>
                <w:rFonts w:ascii="宋体" w:hAnsi="宋体" w:cs="宋体" w:eastAsia="宋体" w:hint="default"/>
                <w:sz w:val="18"/>
                <w:szCs w:val="18"/>
              </w:rPr>
              <w:t>1%</w:t>
            </w:r>
          </w:p>
          <w:p>
            <w:pPr>
              <w:pStyle w:val="TableParagraph"/>
              <w:spacing w:line="232" w:lineRule="exact" w:before="24"/>
              <w:ind w:left="1" w:right="1"/>
              <w:jc w:val="left"/>
              <w:rPr>
                <w:rFonts w:ascii="宋体" w:hAnsi="宋体" w:cs="宋体" w:eastAsia="宋体" w:hint="default"/>
                <w:sz w:val="18"/>
                <w:szCs w:val="18"/>
              </w:rPr>
            </w:pPr>
            <w:r>
              <w:rPr>
                <w:rFonts w:ascii="宋体" w:hAnsi="宋体" w:cs="宋体" w:eastAsia="宋体" w:hint="default"/>
                <w:sz w:val="18"/>
                <w:szCs w:val="18"/>
              </w:rPr>
              <w:t>≤所有者权益总额错报金额≤合并</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会计报表所有者权益总额的</w:t>
            </w:r>
            <w:r>
              <w:rPr>
                <w:rFonts w:ascii="宋体" w:hAnsi="宋体" w:cs="宋体" w:eastAsia="宋体" w:hint="default"/>
                <w:sz w:val="18"/>
                <w:szCs w:val="18"/>
              </w:rPr>
              <w:t>2%</w:t>
            </w:r>
          </w:p>
        </w:tc>
        <w:tc>
          <w:tcPr>
            <w:tcW w:w="2635" w:type="dxa"/>
            <w:tcBorders>
              <w:top w:val="single" w:sz="8" w:space="0" w:color="000000"/>
              <w:left w:val="single" w:sz="8" w:space="0" w:color="000000"/>
              <w:bottom w:val="single" w:sz="8" w:space="0" w:color="000000"/>
              <w:right w:val="single" w:sz="8" w:space="0" w:color="000000"/>
            </w:tcBorders>
          </w:tcPr>
          <w:p>
            <w:pPr>
              <w:pStyle w:val="TableParagraph"/>
              <w:spacing w:line="211" w:lineRule="exact"/>
              <w:ind w:left="-1" w:right="0"/>
              <w:jc w:val="left"/>
              <w:rPr>
                <w:rFonts w:ascii="宋体" w:hAnsi="宋体" w:cs="宋体" w:eastAsia="宋体" w:hint="default"/>
                <w:sz w:val="18"/>
                <w:szCs w:val="18"/>
              </w:rPr>
            </w:pPr>
            <w:r>
              <w:rPr>
                <w:rFonts w:ascii="宋体" w:hAnsi="宋体" w:cs="宋体" w:eastAsia="宋体" w:hint="default"/>
                <w:spacing w:val="6"/>
                <w:sz w:val="18"/>
                <w:szCs w:val="18"/>
              </w:rPr>
              <w:t>所有者权益总额错报金额＜合并</w:t>
            </w:r>
          </w:p>
          <w:p>
            <w:pPr>
              <w:pStyle w:val="TableParagraph"/>
              <w:spacing w:line="235" w:lineRule="exact"/>
              <w:ind w:left="-1" w:right="0"/>
              <w:jc w:val="left"/>
              <w:rPr>
                <w:rFonts w:ascii="宋体" w:hAnsi="宋体" w:cs="宋体" w:eastAsia="宋体" w:hint="default"/>
                <w:sz w:val="18"/>
                <w:szCs w:val="18"/>
              </w:rPr>
            </w:pPr>
            <w:r>
              <w:rPr>
                <w:rFonts w:ascii="宋体" w:hAnsi="宋体" w:cs="宋体" w:eastAsia="宋体" w:hint="default"/>
                <w:sz w:val="18"/>
                <w:szCs w:val="18"/>
              </w:rPr>
              <w:t>会计报表所有者权益总额的</w:t>
            </w:r>
            <w:r>
              <w:rPr>
                <w:rFonts w:ascii="宋体" w:hAnsi="宋体" w:cs="宋体" w:eastAsia="宋体" w:hint="default"/>
                <w:sz w:val="18"/>
                <w:szCs w:val="18"/>
              </w:rPr>
              <w:t>1%</w:t>
            </w:r>
          </w:p>
        </w:tc>
      </w:tr>
    </w:tbl>
    <w:p>
      <w:pPr>
        <w:spacing w:line="240" w:lineRule="auto" w:before="6"/>
        <w:rPr>
          <w:rFonts w:ascii="宋体" w:hAnsi="宋体" w:cs="宋体" w:eastAsia="宋体" w:hint="default"/>
          <w:b/>
          <w:bCs/>
          <w:sz w:val="15"/>
          <w:szCs w:val="15"/>
        </w:rPr>
      </w:pPr>
    </w:p>
    <w:p>
      <w:pPr>
        <w:pStyle w:val="Heading3"/>
        <w:spacing w:line="240" w:lineRule="auto" w:before="35"/>
        <w:ind w:right="0"/>
        <w:jc w:val="left"/>
        <w:rPr>
          <w:b w:val="0"/>
          <w:bCs w:val="0"/>
        </w:rPr>
      </w:pPr>
      <w:r>
        <w:rPr/>
        <w:t>（</w:t>
      </w:r>
      <w:r>
        <w:rPr>
          <w:rFonts w:ascii="宋体" w:hAnsi="宋体" w:cs="宋体" w:eastAsia="宋体" w:hint="default"/>
        </w:rPr>
        <w:t>2</w:t>
      </w:r>
      <w:r>
        <w:rPr/>
        <w:t>）非财务报告内部控制缺陷认定标准</w:t>
      </w:r>
      <w:r>
        <w:rPr>
          <w:b w:val="0"/>
          <w:bCs w:val="0"/>
        </w:rPr>
      </w:r>
    </w:p>
    <w:p>
      <w:pPr>
        <w:spacing w:line="240" w:lineRule="auto" w:before="7"/>
        <w:rPr>
          <w:rFonts w:ascii="宋体" w:hAnsi="宋体" w:cs="宋体" w:eastAsia="宋体" w:hint="default"/>
          <w:b/>
          <w:bCs/>
          <w:sz w:val="2"/>
          <w:szCs w:val="2"/>
        </w:rPr>
      </w:pPr>
    </w:p>
    <w:tbl>
      <w:tblPr>
        <w:tblW w:w="0" w:type="auto"/>
        <w:jc w:val="left"/>
        <w:tblInd w:w="137" w:type="dxa"/>
        <w:tblLayout w:type="fixed"/>
        <w:tblCellMar>
          <w:top w:w="0" w:type="dxa"/>
          <w:left w:w="0" w:type="dxa"/>
          <w:bottom w:w="0" w:type="dxa"/>
          <w:right w:w="0" w:type="dxa"/>
        </w:tblCellMar>
        <w:tblLook w:val="01E0"/>
      </w:tblPr>
      <w:tblGrid>
        <w:gridCol w:w="2768"/>
        <w:gridCol w:w="2118"/>
        <w:gridCol w:w="2924"/>
        <w:gridCol w:w="1849"/>
      </w:tblGrid>
      <w:tr>
        <w:trPr>
          <w:trHeight w:val="270" w:hRule="exact"/>
        </w:trPr>
        <w:tc>
          <w:tcPr>
            <w:tcW w:w="2768" w:type="dxa"/>
            <w:tcBorders>
              <w:top w:val="single" w:sz="6" w:space="0" w:color="000000"/>
              <w:left w:val="single" w:sz="6" w:space="0" w:color="000000"/>
              <w:bottom w:val="single" w:sz="8" w:space="0" w:color="000000"/>
              <w:right w:val="single" w:sz="8" w:space="0" w:color="000000"/>
            </w:tcBorders>
            <w:shd w:val="clear" w:color="auto" w:fill="D9D9D9"/>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指标名称</w:t>
            </w:r>
          </w:p>
        </w:tc>
        <w:tc>
          <w:tcPr>
            <w:tcW w:w="2118" w:type="dxa"/>
            <w:tcBorders>
              <w:top w:val="single" w:sz="6" w:space="0" w:color="000000"/>
              <w:left w:val="single" w:sz="8" w:space="0" w:color="000000"/>
              <w:bottom w:val="single" w:sz="8" w:space="0" w:color="000000"/>
              <w:right w:val="single" w:sz="8" w:space="0" w:color="000000"/>
            </w:tcBorders>
            <w:shd w:val="clear" w:color="auto" w:fill="D9D9D9"/>
          </w:tcPr>
          <w:p>
            <w:pPr>
              <w:pStyle w:val="TableParagraph"/>
              <w:spacing w:line="216" w:lineRule="exact"/>
              <w:ind w:left="-1" w:right="0"/>
              <w:jc w:val="left"/>
              <w:rPr>
                <w:rFonts w:ascii="宋体" w:hAnsi="宋体" w:cs="宋体" w:eastAsia="宋体" w:hint="default"/>
                <w:sz w:val="18"/>
                <w:szCs w:val="18"/>
              </w:rPr>
            </w:pPr>
            <w:r>
              <w:rPr>
                <w:rFonts w:ascii="宋体" w:hAnsi="宋体" w:cs="宋体" w:eastAsia="宋体" w:hint="default"/>
                <w:sz w:val="18"/>
                <w:szCs w:val="18"/>
              </w:rPr>
              <w:t>重大缺陷定量标准</w:t>
            </w:r>
          </w:p>
        </w:tc>
        <w:tc>
          <w:tcPr>
            <w:tcW w:w="2924" w:type="dxa"/>
            <w:tcBorders>
              <w:top w:val="single" w:sz="6" w:space="0" w:color="000000"/>
              <w:left w:val="single" w:sz="8" w:space="0" w:color="000000"/>
              <w:bottom w:val="single" w:sz="8" w:space="0" w:color="000000"/>
              <w:right w:val="single" w:sz="8" w:space="0" w:color="000000"/>
            </w:tcBorders>
            <w:shd w:val="clear" w:color="auto" w:fill="D9D9D9"/>
          </w:tcPr>
          <w:p>
            <w:pPr>
              <w:pStyle w:val="TableParagraph"/>
              <w:spacing w:line="216" w:lineRule="exact"/>
              <w:ind w:left="1" w:right="0"/>
              <w:jc w:val="left"/>
              <w:rPr>
                <w:rFonts w:ascii="宋体" w:hAnsi="宋体" w:cs="宋体" w:eastAsia="宋体" w:hint="default"/>
                <w:sz w:val="18"/>
                <w:szCs w:val="18"/>
              </w:rPr>
            </w:pPr>
            <w:r>
              <w:rPr>
                <w:rFonts w:ascii="宋体" w:hAnsi="宋体" w:cs="宋体" w:eastAsia="宋体" w:hint="default"/>
                <w:sz w:val="18"/>
                <w:szCs w:val="18"/>
              </w:rPr>
              <w:t>重要缺陷定量标准</w:t>
            </w:r>
          </w:p>
        </w:tc>
        <w:tc>
          <w:tcPr>
            <w:tcW w:w="1849" w:type="dxa"/>
            <w:tcBorders>
              <w:top w:val="single" w:sz="6" w:space="0" w:color="000000"/>
              <w:left w:val="single" w:sz="8" w:space="0" w:color="000000"/>
              <w:bottom w:val="single" w:sz="8" w:space="0" w:color="000000"/>
              <w:right w:val="single" w:sz="8" w:space="0" w:color="000000"/>
            </w:tcBorders>
            <w:shd w:val="clear" w:color="auto" w:fill="D9D9D9"/>
          </w:tcPr>
          <w:p>
            <w:pPr>
              <w:pStyle w:val="TableParagraph"/>
              <w:spacing w:line="216" w:lineRule="exact"/>
              <w:ind w:right="0"/>
              <w:jc w:val="left"/>
              <w:rPr>
                <w:rFonts w:ascii="宋体" w:hAnsi="宋体" w:cs="宋体" w:eastAsia="宋体" w:hint="default"/>
                <w:sz w:val="18"/>
                <w:szCs w:val="18"/>
              </w:rPr>
            </w:pPr>
            <w:r>
              <w:rPr>
                <w:rFonts w:ascii="宋体" w:hAnsi="宋体" w:cs="宋体" w:eastAsia="宋体" w:hint="default"/>
                <w:sz w:val="18"/>
                <w:szCs w:val="18"/>
              </w:rPr>
              <w:t>一般缺陷定量标准</w:t>
            </w:r>
          </w:p>
        </w:tc>
      </w:tr>
      <w:tr>
        <w:trPr>
          <w:trHeight w:val="737" w:hRule="exact"/>
        </w:trPr>
        <w:tc>
          <w:tcPr>
            <w:tcW w:w="2768" w:type="dxa"/>
            <w:tcBorders>
              <w:top w:val="single" w:sz="8" w:space="0" w:color="000000"/>
              <w:left w:val="single" w:sz="6" w:space="0" w:color="000000"/>
              <w:bottom w:val="single" w:sz="8" w:space="0" w:color="000000"/>
              <w:right w:val="single" w:sz="8" w:space="0" w:color="000000"/>
            </w:tcBorders>
          </w:tcPr>
          <w:p>
            <w:pPr>
              <w:pStyle w:val="TableParagraph"/>
              <w:spacing w:line="211" w:lineRule="exact"/>
              <w:ind w:left="2" w:right="0"/>
              <w:jc w:val="left"/>
              <w:rPr>
                <w:rFonts w:ascii="宋体" w:hAnsi="宋体" w:cs="宋体" w:eastAsia="宋体" w:hint="default"/>
                <w:sz w:val="18"/>
                <w:szCs w:val="18"/>
              </w:rPr>
            </w:pPr>
            <w:r>
              <w:rPr>
                <w:rFonts w:ascii="宋体" w:hAnsi="宋体" w:cs="宋体" w:eastAsia="宋体" w:hint="default"/>
                <w:spacing w:val="2"/>
                <w:sz w:val="18"/>
                <w:szCs w:val="18"/>
              </w:rPr>
              <w:t>因存货损失、固定资产损失、坏账</w:t>
            </w:r>
          </w:p>
          <w:p>
            <w:pPr>
              <w:pStyle w:val="TableParagraph"/>
              <w:spacing w:line="232" w:lineRule="exact" w:before="24"/>
              <w:ind w:left="2" w:right="1"/>
              <w:jc w:val="left"/>
              <w:rPr>
                <w:rFonts w:ascii="宋体" w:hAnsi="宋体" w:cs="宋体" w:eastAsia="宋体" w:hint="default"/>
                <w:sz w:val="18"/>
                <w:szCs w:val="18"/>
              </w:rPr>
            </w:pPr>
            <w:r>
              <w:rPr>
                <w:rFonts w:ascii="宋体" w:hAnsi="宋体" w:cs="宋体" w:eastAsia="宋体" w:hint="default"/>
                <w:spacing w:val="2"/>
                <w:sz w:val="18"/>
                <w:szCs w:val="18"/>
              </w:rPr>
              <w:t>损失或资产处置价值过低等造成的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资产损失金额</w:t>
            </w:r>
          </w:p>
        </w:tc>
        <w:tc>
          <w:tcPr>
            <w:tcW w:w="2118" w:type="dxa"/>
            <w:tcBorders>
              <w:top w:val="single" w:sz="8" w:space="0" w:color="000000"/>
              <w:left w:val="single" w:sz="8" w:space="0" w:color="000000"/>
              <w:bottom w:val="single" w:sz="8" w:space="0" w:color="000000"/>
              <w:right w:val="single" w:sz="8" w:space="0" w:color="000000"/>
            </w:tcBorders>
          </w:tcPr>
          <w:p>
            <w:pPr>
              <w:pStyle w:val="TableParagraph"/>
              <w:spacing w:line="211" w:lineRule="exact"/>
              <w:ind w:left="-1" w:right="0"/>
              <w:jc w:val="left"/>
              <w:rPr>
                <w:rFonts w:ascii="宋体" w:hAnsi="宋体" w:cs="宋体" w:eastAsia="宋体" w:hint="default"/>
                <w:sz w:val="18"/>
                <w:szCs w:val="18"/>
              </w:rPr>
            </w:pPr>
            <w:r>
              <w:rPr>
                <w:rFonts w:ascii="宋体" w:hAnsi="宋体" w:cs="宋体" w:eastAsia="宋体" w:hint="default"/>
                <w:spacing w:val="9"/>
                <w:sz w:val="18"/>
                <w:szCs w:val="18"/>
              </w:rPr>
              <w:t>资产损失金额＞合并会计</w:t>
            </w:r>
          </w:p>
          <w:p>
            <w:pPr>
              <w:pStyle w:val="TableParagraph"/>
              <w:spacing w:line="235" w:lineRule="exact"/>
              <w:ind w:left="-1" w:right="0"/>
              <w:jc w:val="left"/>
              <w:rPr>
                <w:rFonts w:ascii="宋体" w:hAnsi="宋体" w:cs="宋体" w:eastAsia="宋体" w:hint="default"/>
                <w:sz w:val="18"/>
                <w:szCs w:val="18"/>
              </w:rPr>
            </w:pPr>
            <w:r>
              <w:rPr>
                <w:rFonts w:ascii="宋体" w:hAnsi="宋体" w:cs="宋体" w:eastAsia="宋体" w:hint="default"/>
                <w:sz w:val="18"/>
                <w:szCs w:val="18"/>
              </w:rPr>
              <w:t>报表所有者权益总额的</w:t>
            </w:r>
            <w:r>
              <w:rPr>
                <w:rFonts w:ascii="宋体" w:hAnsi="宋体" w:cs="宋体" w:eastAsia="宋体" w:hint="default"/>
                <w:sz w:val="18"/>
                <w:szCs w:val="18"/>
              </w:rPr>
              <w:t>10%</w:t>
            </w:r>
          </w:p>
        </w:tc>
        <w:tc>
          <w:tcPr>
            <w:tcW w:w="2924" w:type="dxa"/>
            <w:tcBorders>
              <w:top w:val="single" w:sz="8" w:space="0" w:color="000000"/>
              <w:left w:val="single" w:sz="8" w:space="0" w:color="000000"/>
              <w:bottom w:val="single" w:sz="8" w:space="0" w:color="000000"/>
              <w:right w:val="single" w:sz="8" w:space="0" w:color="000000"/>
            </w:tcBorders>
          </w:tcPr>
          <w:p>
            <w:pPr>
              <w:pStyle w:val="TableParagraph"/>
              <w:spacing w:line="211" w:lineRule="exact"/>
              <w:ind w:left="1" w:right="-1"/>
              <w:jc w:val="left"/>
              <w:rPr>
                <w:rFonts w:ascii="宋体" w:hAnsi="宋体" w:cs="宋体" w:eastAsia="宋体" w:hint="default"/>
                <w:sz w:val="18"/>
                <w:szCs w:val="18"/>
              </w:rPr>
            </w:pPr>
            <w:r>
              <w:rPr>
                <w:rFonts w:ascii="宋体" w:hAnsi="宋体" w:cs="宋体" w:eastAsia="宋体" w:hint="default"/>
                <w:sz w:val="18"/>
                <w:szCs w:val="18"/>
              </w:rPr>
              <w:t>合并会计报表所有者权益总额的</w:t>
            </w:r>
            <w:r>
              <w:rPr>
                <w:rFonts w:ascii="宋体" w:hAnsi="宋体" w:cs="宋体" w:eastAsia="宋体" w:hint="default"/>
                <w:sz w:val="18"/>
                <w:szCs w:val="18"/>
              </w:rPr>
              <w:t>5%</w:t>
            </w:r>
            <w:r>
              <w:rPr>
                <w:rFonts w:ascii="宋体" w:hAnsi="宋体" w:cs="宋体" w:eastAsia="宋体" w:hint="default"/>
                <w:sz w:val="18"/>
                <w:szCs w:val="18"/>
              </w:rPr>
              <w:t>≤</w:t>
            </w:r>
          </w:p>
          <w:p>
            <w:pPr>
              <w:pStyle w:val="TableParagraph"/>
              <w:spacing w:line="232" w:lineRule="exact" w:before="24"/>
              <w:ind w:left="1" w:right="0"/>
              <w:jc w:val="left"/>
              <w:rPr>
                <w:rFonts w:ascii="宋体" w:hAnsi="宋体" w:cs="宋体" w:eastAsia="宋体" w:hint="default"/>
                <w:sz w:val="18"/>
                <w:szCs w:val="18"/>
              </w:rPr>
            </w:pPr>
            <w:r>
              <w:rPr>
                <w:rFonts w:ascii="宋体" w:hAnsi="宋体" w:cs="宋体" w:eastAsia="宋体" w:hint="default"/>
                <w:sz w:val="18"/>
                <w:szCs w:val="18"/>
              </w:rPr>
              <w:t>资产损失金额≤合并会计报表所有者</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权益总额的</w:t>
            </w:r>
            <w:r>
              <w:rPr>
                <w:rFonts w:ascii="宋体" w:hAnsi="宋体" w:cs="宋体" w:eastAsia="宋体" w:hint="default"/>
                <w:sz w:val="18"/>
                <w:szCs w:val="18"/>
              </w:rPr>
              <w:t>10%</w:t>
            </w:r>
          </w:p>
        </w:tc>
        <w:tc>
          <w:tcPr>
            <w:tcW w:w="1849" w:type="dxa"/>
            <w:tcBorders>
              <w:top w:val="single" w:sz="8" w:space="0" w:color="000000"/>
              <w:left w:val="single" w:sz="8" w:space="0" w:color="000000"/>
              <w:bottom w:val="single" w:sz="8" w:space="0" w:color="000000"/>
              <w:right w:val="single" w:sz="8" w:space="0" w:color="000000"/>
            </w:tcBorders>
          </w:tcPr>
          <w:p>
            <w:pPr>
              <w:pStyle w:val="TableParagraph"/>
              <w:spacing w:line="211" w:lineRule="exact"/>
              <w:ind w:right="0"/>
              <w:jc w:val="left"/>
              <w:rPr>
                <w:rFonts w:ascii="宋体" w:hAnsi="宋体" w:cs="宋体" w:eastAsia="宋体" w:hint="default"/>
                <w:sz w:val="18"/>
                <w:szCs w:val="18"/>
              </w:rPr>
            </w:pPr>
            <w:r>
              <w:rPr>
                <w:rFonts w:ascii="宋体" w:hAnsi="宋体" w:cs="宋体" w:eastAsia="宋体" w:hint="default"/>
                <w:spacing w:val="2"/>
                <w:sz w:val="18"/>
                <w:szCs w:val="18"/>
              </w:rPr>
              <w:t>资产损失金额＜合并会</w:t>
            </w:r>
          </w:p>
          <w:p>
            <w:pPr>
              <w:pStyle w:val="TableParagraph"/>
              <w:spacing w:line="232" w:lineRule="exact" w:before="24"/>
              <w:ind w:right="1"/>
              <w:jc w:val="left"/>
              <w:rPr>
                <w:rFonts w:ascii="宋体" w:hAnsi="宋体" w:cs="宋体" w:eastAsia="宋体" w:hint="default"/>
                <w:sz w:val="18"/>
                <w:szCs w:val="18"/>
              </w:rPr>
            </w:pPr>
            <w:r>
              <w:rPr>
                <w:rFonts w:ascii="宋体" w:hAnsi="宋体" w:cs="宋体" w:eastAsia="宋体" w:hint="default"/>
                <w:spacing w:val="2"/>
                <w:sz w:val="18"/>
                <w:szCs w:val="18"/>
              </w:rPr>
              <w:t>计报表所有者权益总额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w:t>
            </w:r>
            <w:r>
              <w:rPr>
                <w:rFonts w:ascii="宋体" w:hAnsi="宋体" w:cs="宋体" w:eastAsia="宋体" w:hint="default"/>
                <w:sz w:val="18"/>
                <w:szCs w:val="18"/>
              </w:rPr>
              <w:t>5%</w:t>
            </w:r>
          </w:p>
        </w:tc>
      </w:tr>
    </w:tbl>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pStyle w:val="Heading2"/>
        <w:spacing w:line="240" w:lineRule="auto" w:before="26"/>
        <w:ind w:right="0"/>
        <w:jc w:val="left"/>
        <w:rPr>
          <w:b w:val="0"/>
          <w:bCs w:val="0"/>
        </w:rPr>
      </w:pPr>
      <w:bookmarkStart w:name="十、内部控制审计报告" w:id="151"/>
      <w:bookmarkEnd w:id="151"/>
      <w:r>
        <w:rPr>
          <w:b w:val="0"/>
          <w:bCs w:val="0"/>
        </w:rPr>
      </w:r>
      <w:r>
        <w:rPr/>
        <w:t>十、内部控制审计报告</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2"/>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324"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1076"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3" w:firstLine="360"/>
              <w:jc w:val="left"/>
              <w:rPr>
                <w:rFonts w:ascii="宋体" w:hAnsi="宋体" w:cs="宋体" w:eastAsia="宋体" w:hint="default"/>
                <w:sz w:val="18"/>
                <w:szCs w:val="18"/>
              </w:rPr>
            </w:pPr>
            <w:r>
              <w:rPr>
                <w:rFonts w:ascii="宋体" w:hAnsi="宋体" w:cs="宋体" w:eastAsia="宋体" w:hint="default"/>
                <w:spacing w:val="-4"/>
                <w:sz w:val="18"/>
                <w:szCs w:val="18"/>
              </w:rPr>
              <w:t>根据《企业内部控制审计指引》及中国注册会计师执业准则的相关要求，信永中和会计师事务所（特殊普通合伙）（以</w:t>
            </w:r>
            <w:r>
              <w:rPr>
                <w:rFonts w:ascii="宋体" w:hAnsi="宋体" w:cs="宋体" w:eastAsia="宋体" w:hint="default"/>
                <w:sz w:val="18"/>
                <w:szCs w:val="18"/>
              </w:rPr>
              <w:t> </w:t>
            </w:r>
            <w:r>
              <w:rPr>
                <w:rFonts w:ascii="宋体" w:hAnsi="宋体" w:cs="宋体" w:eastAsia="宋体" w:hint="default"/>
                <w:spacing w:val="6"/>
                <w:sz w:val="18"/>
                <w:szCs w:val="18"/>
              </w:rPr>
              <w:t>下简称：</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信永中和</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）对公司截止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Times New Roman" w:hAnsi="Times New Roman" w:cs="Times New Roman" w:eastAsia="Times New Roman" w:hint="default"/>
                <w:spacing w:val="3"/>
                <w:sz w:val="18"/>
                <w:szCs w:val="18"/>
              </w:rPr>
              <w:t> </w:t>
            </w:r>
            <w:r>
              <w:rPr>
                <w:rFonts w:ascii="宋体" w:hAnsi="宋体" w:cs="宋体" w:eastAsia="宋体" w:hint="default"/>
                <w:spacing w:val="7"/>
                <w:sz w:val="18"/>
                <w:szCs w:val="18"/>
              </w:rPr>
              <w:t>日的财务报告内部控制的有效性进行了审计，出具了信永中和</w:t>
            </w:r>
          </w:p>
          <w:p>
            <w:pPr>
              <w:pStyle w:val="TableParagraph"/>
              <w:spacing w:line="272"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w w:val="99"/>
                <w:sz w:val="22"/>
                <w:szCs w:val="22"/>
              </w:rPr>
              <w:t>XYZH/20</w:t>
            </w:r>
            <w:r>
              <w:rPr>
                <w:rFonts w:ascii="宋体" w:hAnsi="宋体" w:cs="宋体" w:eastAsia="宋体" w:hint="default"/>
                <w:spacing w:val="1"/>
                <w:w w:val="99"/>
                <w:sz w:val="22"/>
                <w:szCs w:val="22"/>
              </w:rPr>
              <w:t>1</w:t>
            </w:r>
            <w:r>
              <w:rPr>
                <w:rFonts w:ascii="宋体" w:hAnsi="宋体" w:cs="宋体" w:eastAsia="宋体" w:hint="default"/>
                <w:spacing w:val="-1"/>
                <w:w w:val="99"/>
                <w:sz w:val="22"/>
                <w:szCs w:val="22"/>
              </w:rPr>
              <w:t>9</w:t>
            </w:r>
            <w:r>
              <w:rPr>
                <w:rFonts w:ascii="宋体" w:hAnsi="宋体" w:cs="宋体" w:eastAsia="宋体" w:hint="default"/>
                <w:w w:val="99"/>
                <w:sz w:val="22"/>
                <w:szCs w:val="22"/>
              </w:rPr>
              <w:t>BJA10859</w:t>
            </w:r>
            <w:r>
              <w:rPr>
                <w:rFonts w:ascii="宋体" w:hAnsi="宋体" w:cs="宋体" w:eastAsia="宋体" w:hint="default"/>
                <w:spacing w:val="-47"/>
                <w:sz w:val="18"/>
                <w:szCs w:val="18"/>
              </w:rPr>
              <w:t>】</w:t>
            </w:r>
            <w:r>
              <w:rPr>
                <w:rFonts w:ascii="宋体" w:hAnsi="宋体" w:cs="宋体" w:eastAsia="宋体" w:hint="default"/>
                <w:spacing w:val="-49"/>
                <w:sz w:val="18"/>
                <w:szCs w:val="18"/>
              </w:rPr>
              <w:t>号</w:t>
            </w:r>
            <w:r>
              <w:rPr>
                <w:rFonts w:ascii="宋体" w:hAnsi="宋体" w:cs="宋体" w:eastAsia="宋体" w:hint="default"/>
                <w:sz w:val="18"/>
                <w:szCs w:val="18"/>
              </w:rPr>
              <w:t>《内部控制审计报告</w:t>
            </w:r>
            <w:r>
              <w:rPr>
                <w:rFonts w:ascii="宋体" w:hAnsi="宋体" w:cs="宋体" w:eastAsia="宋体" w:hint="default"/>
                <w:spacing w:val="-90"/>
                <w:sz w:val="18"/>
                <w:szCs w:val="18"/>
              </w:rPr>
              <w:t>》</w:t>
            </w:r>
            <w:r>
              <w:rPr>
                <w:rFonts w:ascii="宋体" w:hAnsi="宋体" w:cs="宋体" w:eastAsia="宋体" w:hint="default"/>
                <w:spacing w:val="-47"/>
                <w:sz w:val="18"/>
                <w:szCs w:val="18"/>
              </w:rPr>
              <w:t>，</w:t>
            </w:r>
            <w:r>
              <w:rPr>
                <w:rFonts w:ascii="宋体" w:hAnsi="宋体" w:cs="宋体" w:eastAsia="宋体" w:hint="default"/>
                <w:sz w:val="18"/>
                <w:szCs w:val="18"/>
              </w:rPr>
              <w:t>并发表如下意见</w:t>
            </w:r>
            <w:r>
              <w:rPr>
                <w:rFonts w:ascii="宋体" w:hAnsi="宋体" w:cs="宋体" w:eastAsia="宋体" w:hint="default"/>
                <w:spacing w:val="-47"/>
                <w:sz w:val="18"/>
                <w:szCs w:val="18"/>
              </w:rPr>
              <w:t>：</w:t>
            </w:r>
            <w:r>
              <w:rPr>
                <w:rFonts w:ascii="宋体" w:hAnsi="宋体" w:cs="宋体" w:eastAsia="宋体" w:hint="default"/>
                <w:sz w:val="18"/>
                <w:szCs w:val="18"/>
              </w:rPr>
              <w:t>信永中和认为</w:t>
            </w:r>
            <w:r>
              <w:rPr>
                <w:rFonts w:ascii="宋体" w:hAnsi="宋体" w:cs="宋体" w:eastAsia="宋体" w:hint="default"/>
                <w:spacing w:val="-47"/>
                <w:sz w:val="18"/>
                <w:szCs w:val="18"/>
              </w:rPr>
              <w:t>，</w:t>
            </w:r>
            <w:r>
              <w:rPr>
                <w:rFonts w:ascii="宋体" w:hAnsi="宋体" w:cs="宋体" w:eastAsia="宋体" w:hint="default"/>
                <w:sz w:val="18"/>
                <w:szCs w:val="18"/>
              </w:rPr>
              <w:t>神州数码集团股份有限公司于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p>
          <w:p>
            <w:pPr>
              <w:pStyle w:val="TableParagraph"/>
              <w:spacing w:line="247"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日按照《企业内部控制基本规范》和相关规定在所有重大方面保持了有效的财务报告内部控制。</w:t>
            </w:r>
          </w:p>
        </w:tc>
      </w:tr>
      <w:tr>
        <w:trPr>
          <w:trHeight w:val="32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32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巨潮资讯网《内部控制审计报告》</w:t>
            </w:r>
          </w:p>
        </w:tc>
      </w:tr>
      <w:tr>
        <w:trPr>
          <w:trHeight w:val="32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32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10"/>
        <w:ind w:right="0"/>
        <w:jc w:val="left"/>
      </w:pPr>
      <w:r>
        <w:rPr/>
        <w:t>会计师事务所是否出具非标准意见的内部控制审计报告</w:t>
      </w:r>
    </w:p>
    <w:p>
      <w:pPr>
        <w:pStyle w:val="BodyText"/>
        <w:spacing w:line="264" w:lineRule="auto" w:before="37"/>
        <w:ind w:right="46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会计师事务所出具的内部控制审计报告与董事会的自我评价报告意见是否一致</w:t>
      </w:r>
    </w:p>
    <w:p>
      <w:pPr>
        <w:pStyle w:val="BodyText"/>
        <w:spacing w:line="240" w:lineRule="auto" w:before="2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126" w:right="0"/>
        <w:jc w:val="left"/>
        <w:rPr>
          <w:b w:val="0"/>
          <w:bCs w:val="0"/>
        </w:rPr>
      </w:pPr>
      <w:bookmarkStart w:name="第十节 公司债券相关情况" w:id="152"/>
      <w:bookmarkEnd w:id="152"/>
      <w:r>
        <w:rPr>
          <w:b w:val="0"/>
          <w:bCs w:val="0"/>
        </w:rPr>
      </w:r>
      <w:bookmarkStart w:name="_bookmark8" w:id="153"/>
      <w:bookmarkEnd w:id="153"/>
      <w:r>
        <w:rPr>
          <w:b w:val="0"/>
          <w:bCs w:val="0"/>
        </w:rPr>
      </w:r>
      <w:r>
        <w:rPr/>
        <w:t>第十节</w:t>
      </w:r>
      <w:r>
        <w:rPr>
          <w:spacing w:val="-9"/>
        </w:rPr>
        <w:t> </w:t>
      </w:r>
      <w:r>
        <w:rPr/>
        <w:t>公司债券相关情况</w:t>
      </w:r>
      <w:r>
        <w:rPr>
          <w:b w:val="0"/>
          <w:bCs w:val="0"/>
        </w:rPr>
      </w:r>
    </w:p>
    <w:p>
      <w:pPr>
        <w:spacing w:line="240" w:lineRule="auto" w:before="0"/>
        <w:rPr>
          <w:rFonts w:ascii="宋体" w:hAnsi="宋体" w:cs="宋体" w:eastAsia="宋体" w:hint="default"/>
          <w:b/>
          <w:bCs/>
          <w:sz w:val="32"/>
          <w:szCs w:val="32"/>
        </w:rPr>
      </w:pPr>
    </w:p>
    <w:p>
      <w:pPr>
        <w:spacing w:line="240" w:lineRule="auto" w:before="5"/>
        <w:rPr>
          <w:rFonts w:ascii="宋体" w:hAnsi="宋体" w:cs="宋体" w:eastAsia="宋体" w:hint="default"/>
          <w:b/>
          <w:bCs/>
          <w:sz w:val="39"/>
          <w:szCs w:val="39"/>
        </w:rPr>
      </w:pPr>
    </w:p>
    <w:p>
      <w:pPr>
        <w:pStyle w:val="BodyText"/>
        <w:spacing w:line="278" w:lineRule="auto"/>
        <w:ind w:right="2112"/>
        <w:jc w:val="left"/>
      </w:pPr>
      <w:r>
        <w:rPr/>
        <w:t>公司是否存在公开发行并在证券交易所上市，且在年度报告批准报出日未到期或到期未能全额兑付的公司债券 否</w:t>
      </w:r>
    </w:p>
    <w:p>
      <w:pPr>
        <w:spacing w:after="0" w:line="278"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608" w:right="0"/>
        <w:jc w:val="left"/>
        <w:rPr>
          <w:b w:val="0"/>
          <w:bCs w:val="0"/>
        </w:rPr>
      </w:pPr>
      <w:bookmarkStart w:name="第十一节 财务报告" w:id="154"/>
      <w:bookmarkEnd w:id="154"/>
      <w:r>
        <w:rPr>
          <w:b w:val="0"/>
          <w:bCs w:val="0"/>
        </w:rPr>
      </w:r>
      <w:bookmarkStart w:name="_bookmark9" w:id="155"/>
      <w:bookmarkEnd w:id="155"/>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8"/>
          <w:szCs w:val="28"/>
        </w:rPr>
      </w:pPr>
    </w:p>
    <w:p>
      <w:pPr>
        <w:pStyle w:val="Heading2"/>
        <w:spacing w:line="240" w:lineRule="auto" w:before="26"/>
        <w:ind w:right="0"/>
        <w:jc w:val="left"/>
        <w:rPr>
          <w:b w:val="0"/>
          <w:bCs w:val="0"/>
        </w:rPr>
      </w:pPr>
      <w:bookmarkStart w:name="一、审计报告" w:id="156"/>
      <w:bookmarkEnd w:id="156"/>
      <w:r>
        <w:rPr>
          <w:b w:val="0"/>
          <w:bCs w:val="0"/>
        </w:rPr>
      </w: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32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32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32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32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XYZH/2019BJA10856</w:t>
            </w:r>
          </w:p>
        </w:tc>
      </w:tr>
      <w:tr>
        <w:trPr>
          <w:trHeight w:val="32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唐炫、唐静</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b/>
          <w:bCs/>
          <w:sz w:val="21"/>
          <w:szCs w:val="21"/>
        </w:rPr>
      </w:pPr>
    </w:p>
    <w:p>
      <w:pPr>
        <w:pStyle w:val="Heading4"/>
        <w:spacing w:line="240" w:lineRule="auto"/>
        <w:ind w:right="0"/>
        <w:jc w:val="left"/>
        <w:rPr>
          <w:b w:val="0"/>
          <w:bCs w:val="0"/>
        </w:rPr>
      </w:pPr>
      <w:r>
        <w:rPr>
          <w:w w:val="95"/>
        </w:rPr>
        <w:t>神州数码集团股份有限公司全体股东：</w:t>
      </w:r>
      <w:r>
        <w:rPr>
          <w:b w:val="0"/>
          <w:bCs w:val="0"/>
        </w:rPr>
      </w:r>
    </w:p>
    <w:p>
      <w:pPr>
        <w:pStyle w:val="BodyText"/>
        <w:spacing w:line="240" w:lineRule="auto" w:before="10"/>
        <w:ind w:left="153" w:right="0"/>
        <w:jc w:val="left"/>
      </w:pPr>
      <w:r>
        <w:rPr/>
        <w:br w:type="column"/>
      </w:r>
      <w:r>
        <w:rPr/>
        <w:t>审计报告正文</w:t>
      </w:r>
    </w:p>
    <w:p>
      <w:pPr>
        <w:spacing w:after="0" w:line="240" w:lineRule="auto"/>
        <w:jc w:val="left"/>
        <w:sectPr>
          <w:type w:val="continuous"/>
          <w:pgSz w:w="11910" w:h="16840"/>
          <w:pgMar w:top="1580" w:bottom="700" w:left="980" w:right="0"/>
          <w:cols w:num="2" w:equalWidth="0">
            <w:col w:w="3567" w:space="713"/>
            <w:col w:w="6650"/>
          </w:cols>
        </w:sectPr>
      </w:pPr>
    </w:p>
    <w:p>
      <w:pPr>
        <w:spacing w:line="240" w:lineRule="auto" w:before="4"/>
        <w:rPr>
          <w:rFonts w:ascii="宋体" w:hAnsi="宋体" w:cs="宋体" w:eastAsia="宋体" w:hint="default"/>
          <w:sz w:val="15"/>
          <w:szCs w:val="15"/>
        </w:rPr>
      </w:pPr>
    </w:p>
    <w:p>
      <w:pPr>
        <w:pStyle w:val="Heading4"/>
        <w:spacing w:line="261" w:lineRule="exact" w:before="38"/>
        <w:ind w:right="0"/>
        <w:jc w:val="left"/>
        <w:rPr>
          <w:b w:val="0"/>
          <w:bCs w:val="0"/>
        </w:rPr>
      </w:pPr>
      <w:r>
        <w:rPr/>
        <w:t>一、</w:t>
      </w:r>
      <w:r>
        <w:rPr>
          <w:spacing w:val="-17"/>
        </w:rPr>
        <w:t> </w:t>
      </w:r>
      <w:r>
        <w:rPr/>
        <w:t>审计意见</w:t>
      </w:r>
      <w:r>
        <w:rPr>
          <w:b w:val="0"/>
          <w:bCs w:val="0"/>
        </w:rPr>
      </w:r>
    </w:p>
    <w:p>
      <w:pPr>
        <w:pStyle w:val="BodyText"/>
        <w:spacing w:line="259" w:lineRule="auto"/>
        <w:ind w:right="1132" w:firstLine="360"/>
        <w:jc w:val="both"/>
      </w:pPr>
      <w:r>
        <w:rPr>
          <w:spacing w:val="-2"/>
        </w:rPr>
        <w:t>我们审计了神州数码集团股份有限公司（以下简称神州数码）财务报表，包括</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日的合并及母公司资产负债</w:t>
      </w:r>
      <w:r>
        <w:rPr/>
        <w:t> 表，</w:t>
      </w:r>
      <w:r>
        <w:rPr>
          <w:rFonts w:ascii="Times New Roman" w:hAnsi="Times New Roman" w:cs="Times New Roman" w:eastAsia="Times New Roman" w:hint="default"/>
        </w:rPr>
        <w:t>2018</w:t>
      </w:r>
      <w:r>
        <w:rPr/>
        <w:t>年度的合并及母公司利润表、合并及母公司现金流量表、合并及母公司股东权益变动表以及相关财务报表附注。</w:t>
      </w:r>
    </w:p>
    <w:p>
      <w:pPr>
        <w:pStyle w:val="BodyText"/>
        <w:spacing w:line="259" w:lineRule="auto" w:before="2"/>
        <w:ind w:right="1130" w:firstLine="360"/>
        <w:jc w:val="both"/>
      </w:pPr>
      <w:r>
        <w:rPr>
          <w:spacing w:val="-2"/>
        </w:rPr>
        <w:t>我们认为，后附的财务报表在所有重大方面按照企业会计准则的规定编制，公允反映了神州数码</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w:t>
      </w:r>
      <w:r>
        <w:rPr/>
        <w:t> 及母公司财务状况以及</w:t>
      </w:r>
      <w:r>
        <w:rPr>
          <w:rFonts w:ascii="Times New Roman" w:hAnsi="Times New Roman" w:cs="Times New Roman" w:eastAsia="Times New Roman" w:hint="default"/>
        </w:rPr>
        <w:t>2018</w:t>
      </w:r>
      <w:r>
        <w:rPr/>
        <w:t>年度的合并及母公司经营成果和现金流量。</w:t>
      </w:r>
    </w:p>
    <w:p>
      <w:pPr>
        <w:pStyle w:val="Heading4"/>
        <w:spacing w:line="240" w:lineRule="auto" w:before="2"/>
        <w:ind w:right="0"/>
        <w:jc w:val="left"/>
        <w:rPr>
          <w:b w:val="0"/>
          <w:bCs w:val="0"/>
        </w:rPr>
      </w:pPr>
      <w:r>
        <w:rPr/>
        <w:t>二、</w:t>
      </w:r>
      <w:r>
        <w:rPr>
          <w:spacing w:val="-17"/>
        </w:rPr>
        <w:t> </w:t>
      </w:r>
      <w:r>
        <w:rPr/>
        <w:t>形成审计意见的基础</w:t>
      </w:r>
      <w:r>
        <w:rPr>
          <w:b w:val="0"/>
          <w:bCs w:val="0"/>
        </w:rPr>
      </w:r>
    </w:p>
    <w:p>
      <w:pPr>
        <w:pStyle w:val="BodyText"/>
        <w:spacing w:line="266" w:lineRule="auto" w:before="37"/>
        <w:ind w:right="1130" w:firstLine="360"/>
        <w:jc w:val="both"/>
      </w:pP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r>
        <w:rPr/>
        <w:t> </w:t>
      </w:r>
      <w:r>
        <w:rPr>
          <w:spacing w:val="-2"/>
        </w:rPr>
        <w:t>阐述了我们在这些准则下的责任。按照中国注册会计师职业道德守则，我们独立于神州数码，并履行了职业道德方面的其他</w:t>
      </w:r>
      <w:r>
        <w:rPr>
          <w:spacing w:val="-66"/>
        </w:rPr>
        <w:t> </w:t>
      </w:r>
      <w:r>
        <w:rPr>
          <w:spacing w:val="-66"/>
        </w:rPr>
      </w:r>
      <w:r>
        <w:rPr/>
        <w:t>责任。我们相信，我们获取的审计证据是充分、适当的，为发表审计意见提供了基础。</w:t>
      </w:r>
    </w:p>
    <w:p>
      <w:pPr>
        <w:pStyle w:val="Heading4"/>
        <w:spacing w:line="240" w:lineRule="auto" w:before="11"/>
        <w:ind w:right="0"/>
        <w:jc w:val="left"/>
        <w:rPr>
          <w:b w:val="0"/>
          <w:bCs w:val="0"/>
        </w:rPr>
      </w:pPr>
      <w:r>
        <w:rPr/>
        <w:t>三、</w:t>
      </w:r>
      <w:r>
        <w:rPr>
          <w:spacing w:val="-17"/>
        </w:rPr>
        <w:t> </w:t>
      </w:r>
      <w:r>
        <w:rPr/>
        <w:t>关键审计事项</w:t>
      </w:r>
      <w:r>
        <w:rPr>
          <w:b w:val="0"/>
          <w:bCs w:val="0"/>
        </w:rPr>
      </w:r>
    </w:p>
    <w:p>
      <w:pPr>
        <w:pStyle w:val="BodyText"/>
        <w:spacing w:line="273" w:lineRule="auto" w:before="37"/>
        <w:ind w:right="1132" w:firstLine="360"/>
        <w:jc w:val="both"/>
      </w:pPr>
      <w:r>
        <w:rPr>
          <w:spacing w:val="-2"/>
        </w:rPr>
        <w:t>关键审计事项是我们根据职业判断，认为对本期财务报表审计最为重要的事项。这些事项的应对以对财务报表整体进行</w:t>
      </w:r>
      <w:r>
        <w:rPr/>
        <w:t> 审计并形成审计意见为背景，我们不对这些事项单独发表意见。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spacing w:line="240" w:lineRule="auto" w:before="44"/>
        <w:ind w:left="0" w:right="1042"/>
        <w:jc w:val="right"/>
      </w:pPr>
      <w:r>
        <w:rPr/>
        <w:pict>
          <v:shape style="position:absolute;margin-left:55.860001pt;margin-top:-239.728256pt;width:484.05pt;height:279.75pt;mso-position-horizontal-relative:page;mso-position-vertical-relative:paragraph;z-index:23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78"/>
                    <w:gridCol w:w="4680"/>
                  </w:tblGrid>
                  <w:tr>
                    <w:trPr>
                      <w:trHeight w:val="269" w:hRule="exact"/>
                    </w:trPr>
                    <w:tc>
                      <w:tcPr>
                        <w:tcW w:w="9659" w:type="dxa"/>
                        <w:gridSpan w:val="2"/>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29"/>
                            <w:sz w:val="18"/>
                            <w:szCs w:val="18"/>
                          </w:rPr>
                          <w:t> </w:t>
                        </w:r>
                        <w:r>
                          <w:rPr>
                            <w:rFonts w:ascii="宋体" w:hAnsi="宋体" w:cs="宋体" w:eastAsia="宋体" w:hint="default"/>
                            <w:b/>
                            <w:bCs/>
                            <w:sz w:val="18"/>
                            <w:szCs w:val="18"/>
                          </w:rPr>
                          <w:t>应收账款坏账准备事项</w:t>
                        </w:r>
                        <w:r>
                          <w:rPr>
                            <w:rFonts w:ascii="宋体" w:hAnsi="宋体" w:cs="宋体" w:eastAsia="宋体" w:hint="default"/>
                            <w:sz w:val="18"/>
                            <w:szCs w:val="18"/>
                          </w:rPr>
                        </w:r>
                      </w:p>
                    </w:tc>
                  </w:tr>
                  <w:tr>
                    <w:trPr>
                      <w:trHeight w:val="268" w:hRule="exact"/>
                    </w:trPr>
                    <w:tc>
                      <w:tcPr>
                        <w:tcW w:w="4978"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680"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b/>
                            <w:bCs/>
                            <w:sz w:val="18"/>
                            <w:szCs w:val="18"/>
                          </w:rPr>
                          <w:t>审计中的应对</w:t>
                        </w:r>
                        <w:r>
                          <w:rPr>
                            <w:rFonts w:ascii="宋体" w:hAnsi="宋体" w:cs="宋体" w:eastAsia="宋体" w:hint="default"/>
                            <w:sz w:val="18"/>
                            <w:szCs w:val="18"/>
                          </w:rPr>
                        </w:r>
                      </w:p>
                    </w:tc>
                  </w:tr>
                  <w:tr>
                    <w:trPr>
                      <w:trHeight w:val="3770" w:hRule="exact"/>
                    </w:trPr>
                    <w:tc>
                      <w:tcPr>
                        <w:tcW w:w="4978" w:type="dxa"/>
                        <w:tcBorders>
                          <w:top w:val="single" w:sz="6" w:space="0" w:color="000000"/>
                          <w:left w:val="single" w:sz="6" w:space="0" w:color="000000"/>
                          <w:bottom w:val="single" w:sz="6" w:space="0" w:color="000000"/>
                          <w:right w:val="single" w:sz="6" w:space="0" w:color="000000"/>
                        </w:tcBorders>
                      </w:tcPr>
                      <w:p>
                        <w:pPr>
                          <w:pStyle w:val="TableParagraph"/>
                          <w:spacing w:line="225" w:lineRule="auto"/>
                          <w:ind w:left="2" w:right="0" w:firstLine="308"/>
                          <w:jc w:val="left"/>
                          <w:rPr>
                            <w:rFonts w:ascii="宋体" w:hAnsi="宋体" w:cs="宋体" w:eastAsia="宋体" w:hint="default"/>
                            <w:sz w:val="18"/>
                            <w:szCs w:val="18"/>
                          </w:rPr>
                        </w:pPr>
                        <w:r>
                          <w:rPr>
                            <w:rFonts w:ascii="宋体" w:hAnsi="宋体" w:cs="宋体" w:eastAsia="宋体" w:hint="default"/>
                            <w:sz w:val="18"/>
                            <w:szCs w:val="18"/>
                          </w:rPr>
                          <w:t>如附注七、</w:t>
                        </w:r>
                        <w:r>
                          <w:rPr>
                            <w:rFonts w:ascii="Times New Roman" w:hAnsi="Times New Roman" w:cs="Times New Roman" w:eastAsia="Times New Roman" w:hint="default"/>
                            <w:sz w:val="18"/>
                            <w:szCs w:val="18"/>
                          </w:rPr>
                          <w:t>3</w:t>
                        </w:r>
                        <w:r>
                          <w:rPr>
                            <w:rFonts w:ascii="宋体" w:hAnsi="宋体" w:cs="宋体" w:eastAsia="宋体" w:hint="default"/>
                            <w:sz w:val="18"/>
                            <w:szCs w:val="18"/>
                          </w:rPr>
                          <w:t>所述，应收账款于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日的账面价值 为人民币</w:t>
                        </w:r>
                        <w:r>
                          <w:rPr>
                            <w:rFonts w:ascii="Times New Roman" w:hAnsi="Times New Roman" w:cs="Times New Roman" w:eastAsia="Times New Roman" w:hint="default"/>
                            <w:sz w:val="18"/>
                            <w:szCs w:val="18"/>
                          </w:rPr>
                          <w:t>8,604,664,663.56</w:t>
                        </w:r>
                        <w:r>
                          <w:rPr>
                            <w:rFonts w:ascii="宋体" w:hAnsi="宋体" w:cs="宋体" w:eastAsia="宋体" w:hint="default"/>
                            <w:sz w:val="18"/>
                            <w:szCs w:val="18"/>
                          </w:rPr>
                          <w:t>元，占合并财务报表资产总额</w:t>
                        </w:r>
                        <w:r>
                          <w:rPr>
                            <w:rFonts w:ascii="Times New Roman" w:hAnsi="Times New Roman" w:cs="Times New Roman" w:eastAsia="Times New Roman" w:hint="default"/>
                            <w:sz w:val="18"/>
                            <w:szCs w:val="18"/>
                          </w:rPr>
                          <w:t>33.11% </w:t>
                        </w:r>
                        <w:r>
                          <w:rPr>
                            <w:rFonts w:ascii="宋体" w:hAnsi="宋体" w:cs="宋体" w:eastAsia="宋体" w:hint="default"/>
                            <w:spacing w:val="-3"/>
                            <w:sz w:val="18"/>
                            <w:szCs w:val="18"/>
                          </w:rPr>
                          <w:t>对单项金额重大的应收账款单独进行减值测试，当有客观证据表</w:t>
                        </w:r>
                      </w:p>
                      <w:p>
                        <w:pPr>
                          <w:pStyle w:val="TableParagraph"/>
                          <w:spacing w:line="237" w:lineRule="auto" w:before="2"/>
                          <w:ind w:left="2" w:right="-17"/>
                          <w:jc w:val="both"/>
                          <w:rPr>
                            <w:rFonts w:ascii="宋体" w:hAnsi="宋体" w:cs="宋体" w:eastAsia="宋体" w:hint="default"/>
                            <w:sz w:val="18"/>
                            <w:szCs w:val="18"/>
                          </w:rPr>
                        </w:pPr>
                        <w:r>
                          <w:rPr>
                            <w:rFonts w:ascii="宋体" w:hAnsi="宋体" w:cs="宋体" w:eastAsia="宋体" w:hint="default"/>
                            <w:spacing w:val="-3"/>
                            <w:sz w:val="18"/>
                            <w:szCs w:val="18"/>
                          </w:rPr>
                          <w:t>明应收账款发生减值的，计提坏账准备。对于此类应收款项的减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值计提取决于管理层对这些客观证据的判断和估计。对于单项金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额不重大及在单项减值测试中没有客观证据证明需要计提单项</w:t>
                        </w:r>
                        <w:r>
                          <w:rPr>
                            <w:rFonts w:ascii="宋体" w:hAnsi="宋体" w:cs="宋体" w:eastAsia="宋体" w:hint="default"/>
                            <w:sz w:val="18"/>
                            <w:szCs w:val="18"/>
                          </w:rPr>
                          <w:t> </w:t>
                        </w:r>
                        <w:r>
                          <w:rPr>
                            <w:rFonts w:ascii="宋体" w:hAnsi="宋体" w:cs="宋体" w:eastAsia="宋体" w:hint="default"/>
                            <w:spacing w:val="-3"/>
                            <w:sz w:val="18"/>
                            <w:szCs w:val="18"/>
                          </w:rPr>
                          <w:t>坏账准备的应收账款，根据账期及与交易对象关系等信用风险特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征划分为不同的资产组，对这些资产组进行减值损失总体评价。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管理层以账期及客户现在的信誉及过往的收款记录为基础，确定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除计提单项坏账准备以外的应收款项资产组的坏账准备。管理层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对资产组的预计损失比例取决于管理层的综合判断。因此，我们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将应收账款坏账准备事项作为关键审计事项。</w:t>
                        </w:r>
                      </w:p>
                    </w:tc>
                    <w:tc>
                      <w:tcPr>
                        <w:tcW w:w="4680"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）了解计提坏账准备的流程并评价其内部控制；</w:t>
                        </w:r>
                      </w:p>
                      <w:p>
                        <w:pPr>
                          <w:pStyle w:val="TableParagraph"/>
                          <w:spacing w:line="230" w:lineRule="auto" w:before="1"/>
                          <w:ind w:left="2" w:right="1" w:hanging="111"/>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29"/>
                            <w:sz w:val="18"/>
                            <w:szCs w:val="18"/>
                          </w:rPr>
                          <w:t> </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）了解管理层评估应收账款坏账准备时的判断及考</w:t>
                        </w:r>
                        <w:r>
                          <w:rPr>
                            <w:rFonts w:ascii="宋体" w:hAnsi="宋体" w:cs="宋体" w:eastAsia="宋体" w:hint="default"/>
                            <w:sz w:val="18"/>
                            <w:szCs w:val="18"/>
                          </w:rPr>
                          <w:t> </w:t>
                        </w:r>
                        <w:r>
                          <w:rPr>
                            <w:rFonts w:ascii="宋体" w:hAnsi="宋体" w:cs="宋体" w:eastAsia="宋体" w:hint="default"/>
                            <w:spacing w:val="-1"/>
                            <w:sz w:val="18"/>
                            <w:szCs w:val="18"/>
                          </w:rPr>
                          <w:t>虑因素，并考虑是否存在对应收账款可回收性产生任何影响</w:t>
                        </w:r>
                        <w:r>
                          <w:rPr>
                            <w:rFonts w:ascii="宋体" w:hAnsi="宋体" w:cs="宋体" w:eastAsia="宋体" w:hint="default"/>
                            <w:sz w:val="18"/>
                            <w:szCs w:val="18"/>
                          </w:rPr>
                          <w:t> 的情况；</w:t>
                        </w:r>
                      </w:p>
                      <w:p>
                        <w:pPr>
                          <w:pStyle w:val="TableParagraph"/>
                          <w:spacing w:line="232" w:lineRule="auto" w:before="4"/>
                          <w:ind w:left="2" w:right="1" w:firstLine="36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）针对单项金额重大的应收账款，我们执行的审计</w:t>
                        </w:r>
                        <w:r>
                          <w:rPr>
                            <w:rFonts w:ascii="宋体" w:hAnsi="宋体" w:cs="宋体" w:eastAsia="宋体" w:hint="default"/>
                            <w:sz w:val="18"/>
                            <w:szCs w:val="18"/>
                          </w:rPr>
                          <w:t> </w:t>
                        </w:r>
                        <w:r>
                          <w:rPr>
                            <w:rFonts w:ascii="宋体" w:hAnsi="宋体" w:cs="宋体" w:eastAsia="宋体" w:hint="default"/>
                            <w:spacing w:val="-1"/>
                            <w:sz w:val="18"/>
                            <w:szCs w:val="18"/>
                          </w:rPr>
                          <w:t>程序主要包括：了解并检查表明应收款项发生减值的相关客</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观证据；查看与应收账款坏账准备计提及核销相关的审批文</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件；</w:t>
                        </w:r>
                      </w:p>
                      <w:p>
                        <w:pPr>
                          <w:pStyle w:val="TableParagraph"/>
                          <w:spacing w:line="235" w:lineRule="auto" w:before="3"/>
                          <w:ind w:left="2" w:right="0" w:firstLine="36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）了解并检查是否存在客观证据表明应收款项价值</w:t>
                        </w:r>
                        <w:r>
                          <w:rPr>
                            <w:rFonts w:ascii="宋体" w:hAnsi="宋体" w:cs="宋体" w:eastAsia="宋体" w:hint="default"/>
                            <w:sz w:val="18"/>
                            <w:szCs w:val="18"/>
                          </w:rPr>
                          <w:t> </w:t>
                        </w:r>
                        <w:r>
                          <w:rPr>
                            <w:rFonts w:ascii="宋体" w:hAnsi="宋体" w:cs="宋体" w:eastAsia="宋体" w:hint="default"/>
                            <w:spacing w:val="-1"/>
                            <w:sz w:val="18"/>
                            <w:szCs w:val="18"/>
                          </w:rPr>
                          <w:t>已恢复的情况；检查报告期后是否收回款项。针对单项金额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不重大及在单项减值测试中没有客观证据表明需要单独计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
                            <w:sz w:val="18"/>
                            <w:szCs w:val="18"/>
                          </w:rPr>
                          <w:t>提坏账准备的应收账款，我们执行的审计程序包括：通过检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查销售合同、客户明细账及验收证据测试应收账款账期划分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的准确性；检查长账龄应收账款的回款情况；测试资产负债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表日后收到的回款；选择样本发送应收账款函证；以及分析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无法收回而需要核销的应收账款金额。</w:t>
                        </w:r>
                      </w:p>
                    </w:tc>
                  </w:tr>
                  <w:tr>
                    <w:trPr>
                      <w:trHeight w:val="269" w:hRule="exact"/>
                    </w:trPr>
                    <w:tc>
                      <w:tcPr>
                        <w:tcW w:w="9659" w:type="dxa"/>
                        <w:gridSpan w:val="2"/>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b/>
                            <w:bCs/>
                            <w:spacing w:val="30"/>
                            <w:sz w:val="18"/>
                            <w:szCs w:val="18"/>
                          </w:rPr>
                          <w:t> </w:t>
                        </w:r>
                        <w:r>
                          <w:rPr>
                            <w:rFonts w:ascii="宋体" w:hAnsi="宋体" w:cs="宋体" w:eastAsia="宋体" w:hint="default"/>
                            <w:b/>
                            <w:bCs/>
                            <w:sz w:val="18"/>
                            <w:szCs w:val="18"/>
                          </w:rPr>
                          <w:t>存货跌价准备事项</w:t>
                        </w:r>
                        <w:r>
                          <w:rPr>
                            <w:rFonts w:ascii="宋体" w:hAnsi="宋体" w:cs="宋体" w:eastAsia="宋体" w:hint="default"/>
                            <w:sz w:val="18"/>
                            <w:szCs w:val="18"/>
                          </w:rPr>
                        </w:r>
                      </w:p>
                    </w:tc>
                  </w:tr>
                  <w:tr>
                    <w:trPr>
                      <w:trHeight w:val="269" w:hRule="exact"/>
                    </w:trPr>
                    <w:tc>
                      <w:tcPr>
                        <w:tcW w:w="4978"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680"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b/>
                            <w:bCs/>
                            <w:sz w:val="18"/>
                            <w:szCs w:val="18"/>
                          </w:rPr>
                          <w:t>审计中的应对</w:t>
                        </w:r>
                        <w:r>
                          <w:rPr>
                            <w:rFonts w:ascii="宋体" w:hAnsi="宋体" w:cs="宋体" w:eastAsia="宋体" w:hint="default"/>
                            <w:sz w:val="18"/>
                            <w:szCs w:val="18"/>
                          </w:rPr>
                        </w:r>
                      </w:p>
                    </w:tc>
                  </w:tr>
                  <w:tr>
                    <w:trPr>
                      <w:trHeight w:val="736" w:hRule="exact"/>
                    </w:trPr>
                    <w:tc>
                      <w:tcPr>
                        <w:tcW w:w="4978" w:type="dxa"/>
                        <w:tcBorders>
                          <w:top w:val="single" w:sz="6" w:space="0" w:color="000000"/>
                          <w:left w:val="single" w:sz="6" w:space="0" w:color="000000"/>
                          <w:bottom w:val="single" w:sz="6" w:space="0" w:color="000000"/>
                          <w:right w:val="single" w:sz="6" w:space="0" w:color="000000"/>
                        </w:tcBorders>
                      </w:tcPr>
                      <w:p>
                        <w:pPr>
                          <w:pStyle w:val="TableParagraph"/>
                          <w:spacing w:line="225" w:lineRule="auto"/>
                          <w:ind w:left="2" w:right="0" w:firstLine="217"/>
                          <w:jc w:val="both"/>
                          <w:rPr>
                            <w:rFonts w:ascii="宋体" w:hAnsi="宋体" w:cs="宋体" w:eastAsia="宋体" w:hint="default"/>
                            <w:sz w:val="18"/>
                            <w:szCs w:val="18"/>
                          </w:rPr>
                        </w:pPr>
                        <w:r>
                          <w:rPr>
                            <w:rFonts w:ascii="宋体" w:hAnsi="宋体" w:cs="宋体" w:eastAsia="宋体" w:hint="default"/>
                            <w:spacing w:val="-2"/>
                            <w:sz w:val="18"/>
                            <w:szCs w:val="18"/>
                          </w:rPr>
                          <w:t>如附注七、</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所示，</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日，存货账面价值为人民币</w:t>
                        </w:r>
                        <w:r>
                          <w:rPr>
                            <w:rFonts w:ascii="宋体" w:hAnsi="宋体" w:cs="宋体" w:eastAsia="宋体" w:hint="default"/>
                            <w:sz w:val="18"/>
                            <w:szCs w:val="18"/>
                          </w:rPr>
                          <w:t> </w:t>
                        </w:r>
                        <w:r>
                          <w:rPr>
                            <w:rFonts w:ascii="Times New Roman" w:hAnsi="Times New Roman" w:cs="Times New Roman" w:eastAsia="Times New Roman" w:hint="default"/>
                            <w:sz w:val="18"/>
                            <w:szCs w:val="18"/>
                          </w:rPr>
                          <w:t>6,507,068,213.06</w:t>
                        </w:r>
                        <w:r>
                          <w:rPr>
                            <w:rFonts w:ascii="宋体" w:hAnsi="宋体" w:cs="宋体" w:eastAsia="宋体" w:hint="default"/>
                            <w:sz w:val="18"/>
                            <w:szCs w:val="18"/>
                          </w:rPr>
                          <w:t>元，占合并财务报表资产总额</w:t>
                        </w:r>
                        <w:r>
                          <w:rPr>
                            <w:rFonts w:ascii="Times New Roman" w:hAnsi="Times New Roman" w:cs="Times New Roman" w:eastAsia="Times New Roman" w:hint="default"/>
                            <w:sz w:val="18"/>
                            <w:szCs w:val="18"/>
                          </w:rPr>
                          <w:t>25.04%</w:t>
                        </w:r>
                        <w:r>
                          <w:rPr>
                            <w:rFonts w:ascii="宋体" w:hAnsi="宋体" w:cs="宋体" w:eastAsia="宋体" w:hint="default"/>
                            <w:sz w:val="18"/>
                            <w:szCs w:val="18"/>
                          </w:rPr>
                          <w:t>。存货跌</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价准备的提取，取决于对存货可变现净值的估计。存货的可变现</w:t>
                        </w:r>
                      </w:p>
                    </w:tc>
                    <w:tc>
                      <w:tcPr>
                        <w:tcW w:w="4680"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3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）了解计提存货跌价准备的流程并评价其内部控制</w:t>
                        </w:r>
                      </w:p>
                      <w:p>
                        <w:pPr>
                          <w:pStyle w:val="TableParagraph"/>
                          <w:spacing w:line="232" w:lineRule="exact" w:before="17"/>
                          <w:ind w:left="2" w:right="5" w:firstLine="36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）对存货盘点进行监盘并关注残次冷背的存货是否</w:t>
                        </w:r>
                        <w:r>
                          <w:rPr>
                            <w:rFonts w:ascii="宋体" w:hAnsi="宋体" w:cs="宋体" w:eastAsia="宋体" w:hint="default"/>
                            <w:sz w:val="18"/>
                            <w:szCs w:val="18"/>
                          </w:rPr>
                          <w:t> 被识别；</w:t>
                        </w:r>
                      </w:p>
                    </w:tc>
                  </w:tr>
                </w:tbl>
                <w:p>
                  <w:pPr/>
                </w:p>
              </w:txbxContent>
            </v:textbox>
            <w10:wrap type="none"/>
          </v:shape>
        </w:pict>
      </w:r>
      <w:r>
        <w:rPr/>
        <w:t>；</w:t>
      </w:r>
    </w:p>
    <w:p>
      <w:pPr>
        <w:spacing w:after="0" w:line="240" w:lineRule="auto"/>
        <w:jc w:val="right"/>
        <w:sectPr>
          <w:type w:val="continuous"/>
          <w:pgSz w:w="11910" w:h="16840"/>
          <w:pgMar w:top="1580" w:bottom="700" w:left="980" w:right="0"/>
        </w:sectPr>
      </w:pPr>
    </w:p>
    <w:p>
      <w:pPr>
        <w:spacing w:line="240" w:lineRule="auto" w:before="9"/>
        <w:rPr>
          <w:rFonts w:ascii="宋体" w:hAnsi="宋体" w:cs="宋体" w:eastAsia="宋体" w:hint="default"/>
          <w:sz w:val="20"/>
          <w:szCs w:val="20"/>
        </w:rPr>
      </w:pPr>
    </w:p>
    <w:p>
      <w:pPr>
        <w:pStyle w:val="BodyText"/>
        <w:spacing w:line="240" w:lineRule="auto" w:before="44"/>
        <w:ind w:left="0" w:right="1042"/>
        <w:jc w:val="right"/>
      </w:pPr>
      <w:r>
        <w:rPr/>
        <w:pict>
          <v:shape style="position:absolute;margin-left:55.860001pt;margin-top:2.451692pt;width:484.05pt;height:49.2pt;mso-position-horizontal-relative:page;mso-position-vertical-relative:paragraph;z-index:24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78"/>
                    <w:gridCol w:w="4680"/>
                  </w:tblGrid>
                  <w:tr>
                    <w:trPr>
                      <w:trHeight w:val="970" w:hRule="exact"/>
                    </w:trPr>
                    <w:tc>
                      <w:tcPr>
                        <w:tcW w:w="497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5"/>
                          <w:ind w:left="2" w:right="1"/>
                          <w:jc w:val="left"/>
                          <w:rPr>
                            <w:rFonts w:ascii="宋体" w:hAnsi="宋体" w:cs="宋体" w:eastAsia="宋体" w:hint="default"/>
                            <w:sz w:val="18"/>
                            <w:szCs w:val="18"/>
                          </w:rPr>
                        </w:pPr>
                        <w:r>
                          <w:rPr>
                            <w:rFonts w:ascii="宋体" w:hAnsi="宋体" w:cs="宋体" w:eastAsia="宋体" w:hint="default"/>
                            <w:spacing w:val="-3"/>
                            <w:sz w:val="18"/>
                            <w:szCs w:val="18"/>
                          </w:rPr>
                          <w:t>净值的确定，要求管理层对存货的售价，至销售时将要发生的销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售费用以及相关税费的金额进行估计。因此，我们将存货跌价准</w:t>
                        </w:r>
                      </w:p>
                      <w:p>
                        <w:pPr>
                          <w:pStyle w:val="TableParagraph"/>
                          <w:spacing w:line="213" w:lineRule="exact"/>
                          <w:ind w:left="2" w:right="0"/>
                          <w:jc w:val="left"/>
                          <w:rPr>
                            <w:rFonts w:ascii="宋体" w:hAnsi="宋体" w:cs="宋体" w:eastAsia="宋体" w:hint="default"/>
                            <w:sz w:val="18"/>
                            <w:szCs w:val="18"/>
                          </w:rPr>
                        </w:pPr>
                        <w:r>
                          <w:rPr>
                            <w:rFonts w:ascii="宋体" w:hAnsi="宋体" w:cs="宋体" w:eastAsia="宋体" w:hint="default"/>
                            <w:sz w:val="18"/>
                            <w:szCs w:val="18"/>
                          </w:rPr>
                          <w:t>备事项作为关键审计事项。</w:t>
                        </w:r>
                      </w:p>
                    </w:tc>
                    <w:tc>
                      <w:tcPr>
                        <w:tcW w:w="4680"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）通过检查原始凭证对于存货库龄的划分进行测试</w:t>
                        </w:r>
                      </w:p>
                      <w:p>
                        <w:pPr>
                          <w:pStyle w:val="TableParagraph"/>
                          <w:spacing w:line="230" w:lineRule="auto"/>
                          <w:ind w:left="2" w:right="1" w:firstLine="36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）对管理层计算的可变现净值所涉及的重要假设进</w:t>
                        </w:r>
                        <w:r>
                          <w:rPr>
                            <w:rFonts w:ascii="宋体" w:hAnsi="宋体" w:cs="宋体" w:eastAsia="宋体" w:hint="default"/>
                            <w:sz w:val="18"/>
                            <w:szCs w:val="18"/>
                          </w:rPr>
                          <w:t> </w:t>
                        </w:r>
                        <w:r>
                          <w:rPr>
                            <w:rFonts w:ascii="宋体" w:hAnsi="宋体" w:cs="宋体" w:eastAsia="宋体" w:hint="default"/>
                            <w:spacing w:val="-1"/>
                            <w:sz w:val="18"/>
                            <w:szCs w:val="18"/>
                          </w:rPr>
                          <w:t>行评价，例如检查销售价格和至销售时发生的销售费用以及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相关税金。</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4"/>
        <w:spacing w:line="262" w:lineRule="exact"/>
        <w:ind w:left="294" w:right="0"/>
        <w:jc w:val="left"/>
        <w:rPr>
          <w:b w:val="0"/>
          <w:bCs w:val="0"/>
        </w:rPr>
      </w:pPr>
      <w:r>
        <w:rPr/>
        <w:t>四、</w:t>
      </w:r>
      <w:r>
        <w:rPr>
          <w:spacing w:val="-17"/>
        </w:rPr>
        <w:t> </w:t>
      </w:r>
      <w:r>
        <w:rPr/>
        <w:t>其他信息</w:t>
      </w:r>
      <w:r>
        <w:rPr>
          <w:b w:val="0"/>
          <w:bCs w:val="0"/>
        </w:rPr>
      </w:r>
    </w:p>
    <w:p>
      <w:pPr>
        <w:pStyle w:val="BodyText"/>
        <w:spacing w:line="232" w:lineRule="exact" w:before="24"/>
        <w:ind w:left="294" w:right="1131" w:firstLine="360"/>
        <w:jc w:val="both"/>
      </w:pPr>
      <w:r>
        <w:rPr>
          <w:spacing w:val="-2"/>
        </w:rPr>
        <w:t>神州数码管理层（以下简称管理层）对其他信息负责。其他信息包括神州数码</w:t>
      </w:r>
      <w:r>
        <w:rPr>
          <w:rFonts w:ascii="Times New Roman" w:hAnsi="Times New Roman" w:cs="Times New Roman" w:eastAsia="Times New Roman" w:hint="default"/>
          <w:spacing w:val="-2"/>
        </w:rPr>
        <w:t>2018</w:t>
      </w:r>
      <w:r>
        <w:rPr>
          <w:spacing w:val="-2"/>
        </w:rPr>
        <w:t>年年度报告中涵盖的信息，但不包括</w:t>
      </w:r>
      <w:r>
        <w:rPr/>
        <w:t> 财务报表和我们的审计报告。</w:t>
      </w:r>
    </w:p>
    <w:p>
      <w:pPr>
        <w:pStyle w:val="BodyText"/>
        <w:spacing w:line="234" w:lineRule="exact"/>
        <w:ind w:left="654" w:right="0"/>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211" w:lineRule="exact"/>
        <w:ind w:left="294" w:right="0"/>
        <w:jc w:val="left"/>
      </w:pPr>
      <w:r>
        <w:rPr/>
        <w:t>程中了解到的情况存在重大不一致或者似乎存在重大错报。</w:t>
      </w:r>
    </w:p>
    <w:p>
      <w:pPr>
        <w:pStyle w:val="BodyText"/>
        <w:spacing w:line="232" w:lineRule="exact" w:before="24"/>
        <w:ind w:left="294" w:right="1131" w:firstLine="360"/>
        <w:jc w:val="both"/>
      </w:pPr>
      <w:r>
        <w:rPr>
          <w:spacing w:val="-2"/>
        </w:rPr>
        <w:t>基于我们已执行的工作，如果我们确定其他信息存在重大错报，我们应当报告该事实。在这方面，我们无任何事项需要</w:t>
      </w:r>
      <w:r>
        <w:rPr/>
        <w:t> 报告。</w:t>
      </w:r>
    </w:p>
    <w:p>
      <w:pPr>
        <w:pStyle w:val="Heading4"/>
        <w:spacing w:line="237" w:lineRule="exact"/>
        <w:ind w:left="294" w:right="0"/>
        <w:jc w:val="left"/>
        <w:rPr>
          <w:b w:val="0"/>
          <w:bCs w:val="0"/>
        </w:rPr>
      </w:pPr>
      <w:r>
        <w:rPr/>
        <w:t>五、</w:t>
      </w:r>
      <w:r>
        <w:rPr>
          <w:spacing w:val="-17"/>
        </w:rPr>
        <w:t> </w:t>
      </w:r>
      <w:r>
        <w:rPr/>
        <w:t>管理层和治理层对财务报表的责任</w:t>
      </w:r>
      <w:r>
        <w:rPr>
          <w:b w:val="0"/>
          <w:bCs w:val="0"/>
        </w:rPr>
      </w:r>
    </w:p>
    <w:p>
      <w:pPr>
        <w:pStyle w:val="BodyText"/>
        <w:spacing w:line="232" w:lineRule="exact" w:before="24"/>
        <w:ind w:left="294" w:right="1131" w:firstLine="360"/>
        <w:jc w:val="both"/>
      </w:pPr>
      <w:r>
        <w:rPr>
          <w:spacing w:val="-2"/>
        </w:rPr>
        <w:t>管理层负责按照企业会计准则的规定编制财务报表，使其实现公允反映，并设计、执行和维护必要的内部控制，以使财</w:t>
      </w:r>
      <w:r>
        <w:rPr/>
        <w:t> 务报表不存在由于舞弊或错误导致的重大错报。</w:t>
      </w:r>
    </w:p>
    <w:p>
      <w:pPr>
        <w:pStyle w:val="BodyText"/>
        <w:spacing w:line="232" w:lineRule="exact" w:before="2"/>
        <w:ind w:left="294" w:right="1133" w:firstLine="360"/>
        <w:jc w:val="both"/>
      </w:pPr>
      <w:r>
        <w:rPr>
          <w:spacing w:val="-2"/>
        </w:rPr>
        <w:t>在编制财务报表时，管理层负责评估神州数码的持续经营能力，披露与持续经营相关的事项（如适用），并运用持续经</w:t>
      </w:r>
      <w:r>
        <w:rPr/>
        <w:t> 营假设，除非管理层计划清算神州数码、终止运营或别无其他现实的选择。</w:t>
      </w:r>
    </w:p>
    <w:p>
      <w:pPr>
        <w:pStyle w:val="BodyText"/>
        <w:spacing w:line="211" w:lineRule="exact"/>
        <w:ind w:left="654" w:right="0"/>
        <w:jc w:val="left"/>
      </w:pPr>
      <w:r>
        <w:rPr/>
        <w:t>治理层负责监督神州数码的财务报告过程。</w:t>
      </w:r>
    </w:p>
    <w:p>
      <w:pPr>
        <w:pStyle w:val="Heading4"/>
        <w:spacing w:line="259" w:lineRule="exact"/>
        <w:ind w:left="294" w:right="0"/>
        <w:jc w:val="left"/>
        <w:rPr>
          <w:b w:val="0"/>
          <w:bCs w:val="0"/>
        </w:rPr>
      </w:pPr>
      <w:r>
        <w:rPr/>
        <w:t>六、</w:t>
      </w:r>
      <w:r>
        <w:rPr>
          <w:spacing w:val="-17"/>
        </w:rPr>
        <w:t> </w:t>
      </w:r>
      <w:r>
        <w:rPr/>
        <w:t>注册会计师对财务报表审计的责任</w:t>
      </w:r>
      <w:r>
        <w:rPr>
          <w:b w:val="0"/>
          <w:bCs w:val="0"/>
        </w:rPr>
      </w:r>
    </w:p>
    <w:p>
      <w:pPr>
        <w:pStyle w:val="BodyText"/>
        <w:spacing w:line="237" w:lineRule="auto" w:before="2"/>
        <w:ind w:left="294" w:right="1131" w:firstLine="360"/>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6"/>
        </w:rPr>
        <w:t> </w:t>
      </w:r>
      <w:r>
        <w:rPr>
          <w:spacing w:val="-66"/>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33" w:lineRule="exact"/>
        <w:ind w:left="654" w:right="0"/>
        <w:jc w:val="left"/>
      </w:pPr>
      <w:r>
        <w:rPr/>
        <w:t>在按照审计准则执行审计工作的过程中，我们运用职业判断，并保持职业怀疑。同时，我们也执行以下工作：</w:t>
      </w:r>
    </w:p>
    <w:p>
      <w:pPr>
        <w:pStyle w:val="BodyText"/>
        <w:spacing w:line="230" w:lineRule="auto" w:before="7"/>
        <w:ind w:left="294" w:right="1043" w:firstLine="426"/>
        <w:jc w:val="both"/>
      </w:pPr>
      <w:r>
        <w:rPr>
          <w:rFonts w:ascii="Times New Roman" w:hAnsi="Times New Roman" w:cs="Times New Roman" w:eastAsia="Times New Roman" w:hint="default"/>
        </w:rPr>
        <w:t>1</w:t>
      </w:r>
      <w:r>
        <w:rPr/>
        <w:t>、</w:t>
      </w:r>
      <w:r>
        <w:rPr>
          <w:spacing w:val="16"/>
        </w:rPr>
        <w:t> </w:t>
      </w:r>
      <w:r>
        <w:rPr/>
        <w:t>识别和评估由于舞弊或错误导致的财务报表重大错报风险，设计和实施审计程序以应对这些风险，并获取充分、</w:t>
      </w:r>
      <w:r>
        <w:rPr/>
        <w:t> 适当的审计证据，作为发表审计意见的基础。由于舞弊可能涉及串通、伪造、故意遗漏、虚假陈述或凌驾于内部控制之上，</w:t>
      </w:r>
      <w:r>
        <w:rPr>
          <w:spacing w:val="-85"/>
        </w:rPr>
        <w:t> </w:t>
      </w:r>
      <w:r>
        <w:rPr>
          <w:spacing w:val="-85"/>
        </w:rPr>
      </w:r>
      <w:r>
        <w:rPr/>
        <w:t>未能发现由于舞弊导致的重大错报的风险高于未能发现由于错误导致的重大错报的风险。</w:t>
      </w:r>
    </w:p>
    <w:p>
      <w:pPr>
        <w:pStyle w:val="BodyText"/>
        <w:spacing w:line="234" w:lineRule="exact"/>
        <w:ind w:left="720" w:right="0"/>
        <w:jc w:val="left"/>
      </w:pPr>
      <w:r>
        <w:rPr>
          <w:rFonts w:ascii="宋体" w:hAnsi="宋体" w:cs="宋体" w:eastAsia="宋体" w:hint="default"/>
        </w:rPr>
        <w:t>2</w:t>
      </w:r>
      <w:r>
        <w:rPr/>
        <w:t>、</w:t>
      </w:r>
      <w:r>
        <w:rPr>
          <w:spacing w:val="54"/>
        </w:rPr>
        <w:t> </w:t>
      </w:r>
      <w:r>
        <w:rPr/>
        <w:t>了解与审计相关的内部控制，以设计恰当的审计程序。</w:t>
      </w:r>
    </w:p>
    <w:p>
      <w:pPr>
        <w:pStyle w:val="BodyText"/>
        <w:spacing w:line="234" w:lineRule="exact"/>
        <w:ind w:left="720" w:right="0"/>
        <w:jc w:val="left"/>
      </w:pPr>
      <w:r>
        <w:rPr>
          <w:rFonts w:ascii="宋体" w:hAnsi="宋体" w:cs="宋体" w:eastAsia="宋体" w:hint="default"/>
        </w:rPr>
        <w:t>3</w:t>
      </w:r>
      <w:r>
        <w:rPr/>
        <w:t>、</w:t>
      </w:r>
      <w:r>
        <w:rPr>
          <w:spacing w:val="54"/>
        </w:rPr>
        <w:t> </w:t>
      </w:r>
      <w:r>
        <w:rPr/>
        <w:t>评价管理层选用会计政策的恰当性和作出会计估计及相关披露的合理性。</w:t>
      </w:r>
    </w:p>
    <w:p>
      <w:pPr>
        <w:pStyle w:val="BodyText"/>
        <w:spacing w:line="237" w:lineRule="auto" w:before="1"/>
        <w:ind w:left="294" w:right="1131" w:firstLine="426"/>
        <w:jc w:val="both"/>
      </w:pPr>
      <w:r>
        <w:rPr>
          <w:rFonts w:ascii="宋体" w:hAnsi="宋体" w:cs="宋体" w:eastAsia="宋体" w:hint="default"/>
        </w:rPr>
        <w:t>4</w:t>
      </w:r>
      <w:r>
        <w:rPr/>
        <w:t>、</w:t>
      </w:r>
      <w:r>
        <w:rPr>
          <w:spacing w:val="31"/>
        </w:rPr>
        <w:t> </w:t>
      </w:r>
      <w:r>
        <w:rPr/>
        <w:t>对管理层使用持续经营假设的恰当性得出结论。同时，根据获取的审计证据，就可能导致对神州数码持续经营能</w:t>
      </w:r>
      <w:r>
        <w:rPr/>
        <w:t> </w:t>
      </w:r>
      <w:r>
        <w:rPr>
          <w:spacing w:val="-2"/>
        </w:rPr>
        <w:t>力产生重大疑虑的事项或情况是否存在重大不确定性得出结论。如果我们得出结论认为存在重大不确定性，审计准则要求我</w:t>
      </w:r>
      <w:r>
        <w:rPr>
          <w:spacing w:val="-64"/>
        </w:rPr>
        <w:t> </w:t>
      </w:r>
      <w:r>
        <w:rPr>
          <w:spacing w:val="-64"/>
        </w:rPr>
      </w:r>
      <w:r>
        <w:rPr>
          <w:spacing w:val="-2"/>
        </w:rPr>
        <w:t>们在审计报告中提请报表使用者注意财务报表中的相关披露；如果披露不充分，我们应当发表非无保留意见。我们的结论基</w:t>
      </w:r>
      <w:r>
        <w:rPr>
          <w:spacing w:val="-66"/>
        </w:rPr>
        <w:t> </w:t>
      </w:r>
      <w:r>
        <w:rPr>
          <w:spacing w:val="-66"/>
        </w:rPr>
      </w:r>
      <w:r>
        <w:rPr/>
        <w:t>于截至审计报告日可获得的信息。然而，未来的事项或情况可能导致神州数码不能持续经营。</w:t>
      </w:r>
    </w:p>
    <w:p>
      <w:pPr>
        <w:pStyle w:val="BodyText"/>
        <w:spacing w:line="232" w:lineRule="exact"/>
        <w:ind w:left="720" w:right="0"/>
        <w:jc w:val="left"/>
      </w:pPr>
      <w:r>
        <w:rPr>
          <w:rFonts w:ascii="宋体" w:hAnsi="宋体" w:cs="宋体" w:eastAsia="宋体" w:hint="default"/>
        </w:rPr>
        <w:t>5</w:t>
      </w:r>
      <w:r>
        <w:rPr/>
        <w:t>、</w:t>
      </w:r>
      <w:r>
        <w:rPr>
          <w:spacing w:val="54"/>
        </w:rPr>
        <w:t> </w:t>
      </w:r>
      <w:r>
        <w:rPr/>
        <w:t>评价财务报表的总体列报、结构和内容（包括披露），并评价财务报表是否公允反映相关交易和事项。</w:t>
      </w:r>
    </w:p>
    <w:p>
      <w:pPr>
        <w:pStyle w:val="BodyText"/>
        <w:spacing w:line="232" w:lineRule="exact" w:before="24"/>
        <w:ind w:left="294" w:right="1131" w:firstLine="426"/>
        <w:jc w:val="both"/>
      </w:pPr>
      <w:r>
        <w:rPr>
          <w:rFonts w:ascii="Times New Roman" w:hAnsi="Times New Roman" w:cs="Times New Roman" w:eastAsia="Times New Roman" w:hint="default"/>
        </w:rPr>
        <w:t>6</w:t>
      </w:r>
      <w:r>
        <w:rPr/>
        <w:t>、</w:t>
      </w:r>
      <w:r>
        <w:rPr>
          <w:spacing w:val="31"/>
        </w:rPr>
        <w:t> </w:t>
      </w:r>
      <w:r>
        <w:rPr/>
        <w:t>就神州数码中实体或业务活动的财务信息获取充分、适当的审计证据，以对财务报表发表审计意见。我们负责指</w:t>
      </w:r>
      <w:r>
        <w:rPr/>
        <w:t> 导、监督和执行集团审计，并对审计意见承担全部责任。</w:t>
      </w:r>
    </w:p>
    <w:p>
      <w:pPr>
        <w:pStyle w:val="BodyText"/>
        <w:spacing w:line="232" w:lineRule="exact" w:before="2"/>
        <w:ind w:left="294" w:right="1132" w:firstLine="360"/>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232" w:lineRule="exact" w:before="2"/>
        <w:ind w:left="294" w:right="1131" w:firstLine="360"/>
        <w:jc w:val="both"/>
      </w:pPr>
      <w:r>
        <w:rPr>
          <w:spacing w:val="-2"/>
        </w:rPr>
        <w:t>我们还就已遵守与独立性相关的职业道德要求向治理层提供声明，并与治理层沟通可能被合理认为影响我们独立性的所</w:t>
      </w:r>
      <w:r>
        <w:rPr/>
        <w:t> 有关系和其他事项，以及相关的防范措施（如适用）。</w:t>
      </w:r>
    </w:p>
    <w:p>
      <w:pPr>
        <w:pStyle w:val="BodyText"/>
        <w:spacing w:line="232" w:lineRule="exact" w:before="2"/>
        <w:ind w:left="294" w:right="1133"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p>
    <w:p>
      <w:pPr>
        <w:pStyle w:val="BodyText"/>
        <w:spacing w:line="213" w:lineRule="exact"/>
        <w:ind w:left="294" w:right="0"/>
        <w:jc w:val="left"/>
      </w:pPr>
      <w:r>
        <w:rPr/>
        <w:t>的负面后果超过在公众利益方面产生的益处，我们确定不应在审计报告中沟通该事项。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tbl>
      <w:tblPr>
        <w:tblW w:w="0" w:type="auto"/>
        <w:jc w:val="left"/>
        <w:tblInd w:w="103" w:type="dxa"/>
        <w:tblLayout w:type="fixed"/>
        <w:tblCellMar>
          <w:top w:w="0" w:type="dxa"/>
          <w:left w:w="0" w:type="dxa"/>
          <w:bottom w:w="0" w:type="dxa"/>
          <w:right w:w="0" w:type="dxa"/>
        </w:tblCellMar>
        <w:tblLook w:val="01E0"/>
      </w:tblPr>
      <w:tblGrid>
        <w:gridCol w:w="3942"/>
        <w:gridCol w:w="2730"/>
      </w:tblGrid>
      <w:tr>
        <w:trPr>
          <w:trHeight w:val="222" w:hRule="exact"/>
        </w:trPr>
        <w:tc>
          <w:tcPr>
            <w:tcW w:w="3942" w:type="dxa"/>
            <w:tcBorders>
              <w:top w:val="nil" w:sz="6" w:space="0" w:color="auto"/>
              <w:left w:val="nil" w:sz="6" w:space="0" w:color="auto"/>
              <w:bottom w:val="nil" w:sz="6" w:space="0" w:color="auto"/>
              <w:right w:val="nil" w:sz="6" w:space="0" w:color="auto"/>
            </w:tcBorders>
          </w:tcPr>
          <w:p>
            <w:pPr>
              <w:pStyle w:val="TableParagraph"/>
              <w:spacing w:line="194" w:lineRule="exact"/>
              <w:ind w:left="2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信永中和会计师事务所（特殊普通合伙</w:t>
            </w:r>
            <w:r>
              <w:rPr>
                <w:rFonts w:ascii="Times New Roman" w:hAnsi="Times New Roman" w:cs="Times New Roman" w:eastAsia="Times New Roman" w:hint="default"/>
                <w:sz w:val="18"/>
                <w:szCs w:val="18"/>
              </w:rPr>
              <w:t>)</w:t>
            </w:r>
          </w:p>
        </w:tc>
        <w:tc>
          <w:tcPr>
            <w:tcW w:w="2730" w:type="dxa"/>
            <w:tcBorders>
              <w:top w:val="nil" w:sz="6" w:space="0" w:color="auto"/>
              <w:left w:val="nil" w:sz="6" w:space="0" w:color="auto"/>
              <w:bottom w:val="nil" w:sz="6" w:space="0" w:color="auto"/>
              <w:right w:val="nil" w:sz="6" w:space="0" w:color="auto"/>
            </w:tcBorders>
          </w:tcPr>
          <w:p>
            <w:pPr>
              <w:pStyle w:val="TableParagraph"/>
              <w:spacing w:line="180" w:lineRule="exact"/>
              <w:ind w:left="621" w:right="0"/>
              <w:jc w:val="left"/>
              <w:rPr>
                <w:rFonts w:ascii="宋体" w:hAnsi="宋体" w:cs="宋体" w:eastAsia="宋体" w:hint="default"/>
                <w:sz w:val="18"/>
                <w:szCs w:val="18"/>
              </w:rPr>
            </w:pPr>
            <w:r>
              <w:rPr>
                <w:rFonts w:ascii="宋体" w:hAnsi="宋体" w:cs="宋体" w:eastAsia="宋体" w:hint="default"/>
                <w:sz w:val="18"/>
                <w:szCs w:val="18"/>
              </w:rPr>
              <w:t>中国注册会计师：</w:t>
            </w:r>
          </w:p>
        </w:tc>
      </w:tr>
      <w:tr>
        <w:trPr>
          <w:trHeight w:val="357" w:hRule="exact"/>
        </w:trPr>
        <w:tc>
          <w:tcPr>
            <w:tcW w:w="3942" w:type="dxa"/>
            <w:tcBorders>
              <w:top w:val="nil" w:sz="6" w:space="0" w:color="auto"/>
              <w:left w:val="nil" w:sz="6" w:space="0" w:color="auto"/>
              <w:bottom w:val="nil" w:sz="6" w:space="0" w:color="auto"/>
              <w:right w:val="nil" w:sz="6" w:space="0" w:color="auto"/>
            </w:tcBorders>
          </w:tcPr>
          <w:p>
            <w:pPr/>
          </w:p>
        </w:tc>
        <w:tc>
          <w:tcPr>
            <w:tcW w:w="2730" w:type="dxa"/>
            <w:tcBorders>
              <w:top w:val="nil" w:sz="6" w:space="0" w:color="auto"/>
              <w:left w:val="nil" w:sz="6" w:space="0" w:color="auto"/>
              <w:bottom w:val="nil" w:sz="6" w:space="0" w:color="auto"/>
              <w:right w:val="nil" w:sz="6" w:space="0" w:color="auto"/>
            </w:tcBorders>
          </w:tcPr>
          <w:p>
            <w:pPr>
              <w:pStyle w:val="TableParagraph"/>
              <w:spacing w:line="225" w:lineRule="exact"/>
              <w:ind w:left="105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项目合伙人</w:t>
            </w:r>
            <w:r>
              <w:rPr>
                <w:rFonts w:ascii="Times New Roman" w:hAnsi="Times New Roman" w:cs="Times New Roman" w:eastAsia="Times New Roman" w:hint="default"/>
                <w:sz w:val="18"/>
                <w:szCs w:val="18"/>
              </w:rPr>
              <w:t>)</w:t>
            </w:r>
          </w:p>
        </w:tc>
      </w:tr>
      <w:tr>
        <w:trPr>
          <w:trHeight w:val="465" w:hRule="exact"/>
        </w:trPr>
        <w:tc>
          <w:tcPr>
            <w:tcW w:w="3942" w:type="dxa"/>
            <w:tcBorders>
              <w:top w:val="nil" w:sz="6" w:space="0" w:color="auto"/>
              <w:left w:val="nil" w:sz="6" w:space="0" w:color="auto"/>
              <w:bottom w:val="nil" w:sz="6" w:space="0" w:color="auto"/>
              <w:right w:val="nil" w:sz="6" w:space="0" w:color="auto"/>
            </w:tcBorders>
          </w:tcPr>
          <w:p>
            <w:pPr/>
          </w:p>
        </w:tc>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before="80"/>
              <w:ind w:left="621" w:right="0"/>
              <w:jc w:val="left"/>
              <w:rPr>
                <w:rFonts w:ascii="宋体" w:hAnsi="宋体" w:cs="宋体" w:eastAsia="宋体" w:hint="default"/>
                <w:sz w:val="18"/>
                <w:szCs w:val="18"/>
              </w:rPr>
            </w:pPr>
            <w:r>
              <w:rPr>
                <w:rFonts w:ascii="宋体" w:hAnsi="宋体" w:cs="宋体" w:eastAsia="宋体" w:hint="default"/>
                <w:sz w:val="18"/>
                <w:szCs w:val="18"/>
              </w:rPr>
              <w:t>中国注册会计师：</w:t>
            </w:r>
          </w:p>
        </w:tc>
      </w:tr>
      <w:tr>
        <w:trPr>
          <w:trHeight w:val="340" w:hRule="exact"/>
        </w:trPr>
        <w:tc>
          <w:tcPr>
            <w:tcW w:w="3942" w:type="dxa"/>
            <w:tcBorders>
              <w:top w:val="nil" w:sz="6" w:space="0" w:color="auto"/>
              <w:left w:val="nil" w:sz="6" w:space="0" w:color="auto"/>
              <w:bottom w:val="nil" w:sz="6" w:space="0" w:color="auto"/>
              <w:right w:val="nil" w:sz="6" w:space="0" w:color="auto"/>
            </w:tcBorders>
          </w:tcPr>
          <w:p>
            <w:pPr>
              <w:pStyle w:val="TableParagraph"/>
              <w:tabs>
                <w:tab w:pos="1040" w:val="left" w:leader="none"/>
              </w:tabs>
              <w:spacing w:line="240" w:lineRule="auto" w:before="94"/>
              <w:ind w:left="200" w:right="0"/>
              <w:jc w:val="left"/>
              <w:rPr>
                <w:rFonts w:ascii="宋体" w:hAnsi="宋体" w:cs="宋体" w:eastAsia="宋体" w:hint="default"/>
                <w:sz w:val="18"/>
                <w:szCs w:val="18"/>
              </w:rPr>
            </w:pPr>
            <w:r>
              <w:rPr>
                <w:rFonts w:ascii="宋体" w:hAnsi="宋体" w:cs="宋体" w:eastAsia="宋体" w:hint="default"/>
                <w:sz w:val="18"/>
                <w:szCs w:val="18"/>
              </w:rPr>
              <w:t>中国</w:t>
              <w:tab/>
              <w:t>北京</w:t>
            </w:r>
          </w:p>
        </w:tc>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621" w:right="0"/>
              <w:jc w:val="left"/>
              <w:rPr>
                <w:rFonts w:ascii="宋体" w:hAnsi="宋体" w:cs="宋体" w:eastAsia="宋体" w:hint="default"/>
                <w:sz w:val="18"/>
                <w:szCs w:val="18"/>
              </w:rPr>
            </w:pP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宋体" w:hAnsi="宋体" w:cs="宋体" w:eastAsia="宋体" w:hint="default"/>
                <w:sz w:val="18"/>
                <w:szCs w:val="18"/>
              </w:rPr>
              <w:t>一九年三月二十六日</w:t>
            </w:r>
          </w:p>
        </w:tc>
      </w:tr>
    </w:tbl>
    <w:p>
      <w:pPr>
        <w:spacing w:after="0" w:line="240" w:lineRule="auto"/>
        <w:jc w:val="left"/>
        <w:rPr>
          <w:rFonts w:ascii="宋体" w:hAnsi="宋体" w:cs="宋体" w:eastAsia="宋体" w:hint="default"/>
          <w:sz w:val="18"/>
          <w:szCs w:val="18"/>
        </w:rPr>
        <w:sectPr>
          <w:pgSz w:w="11910" w:h="16840"/>
          <w:pgMar w:header="877" w:footer="979" w:top="1100" w:bottom="1160" w:left="840" w:right="0"/>
        </w:sectPr>
      </w:pPr>
    </w:p>
    <w:p>
      <w:pPr>
        <w:spacing w:line="240" w:lineRule="auto" w:before="7"/>
        <w:rPr>
          <w:rFonts w:ascii="宋体" w:hAnsi="宋体" w:cs="宋体" w:eastAsia="宋体" w:hint="default"/>
          <w:sz w:val="19"/>
          <w:szCs w:val="19"/>
        </w:rPr>
      </w:pPr>
    </w:p>
    <w:p>
      <w:pPr>
        <w:pStyle w:val="Heading2"/>
        <w:spacing w:line="240" w:lineRule="auto" w:before="26"/>
        <w:ind w:right="0"/>
        <w:jc w:val="left"/>
        <w:rPr>
          <w:b w:val="0"/>
          <w:bCs w:val="0"/>
        </w:rPr>
      </w:pPr>
      <w:bookmarkStart w:name="二、财务报表" w:id="157"/>
      <w:bookmarkEnd w:id="157"/>
      <w:r>
        <w:rPr>
          <w:b w:val="0"/>
          <w:bCs w:val="0"/>
        </w:rPr>
      </w:r>
      <w:r>
        <w:rPr/>
        <w:t>二、财务报表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right="0"/>
        <w:jc w:val="left"/>
      </w:pPr>
      <w:r>
        <w:rPr/>
        <w:t>财务附注中报表的单位为：人民币元</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bookmarkStart w:name="1、合并资产负债表" w:id="158"/>
      <w:bookmarkEnd w:id="158"/>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8"/>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1910" w:h="16840"/>
          <w:pgMar w:header="877" w:footer="979" w:top="1100" w:bottom="1160" w:left="980" w:right="0"/>
        </w:sectPr>
      </w:pPr>
    </w:p>
    <w:p>
      <w:pPr>
        <w:pStyle w:val="BodyText"/>
        <w:spacing w:line="240" w:lineRule="auto" w:before="44"/>
        <w:ind w:right="-20"/>
        <w:jc w:val="left"/>
      </w:pPr>
      <w:r>
        <w:rPr/>
        <w:t>编制单位：神州数码集团股份有限公司</w:t>
      </w:r>
    </w:p>
    <w:p>
      <w:pPr>
        <w:spacing w:line="240" w:lineRule="auto" w:before="4"/>
        <w:rPr>
          <w:rFonts w:ascii="宋体" w:hAnsi="宋体" w:cs="宋体" w:eastAsia="宋体" w:hint="default"/>
          <w:sz w:val="24"/>
          <w:szCs w:val="24"/>
        </w:rPr>
      </w:pPr>
      <w:r>
        <w:rPr/>
        <w:br w:type="column"/>
      </w:r>
      <w:r>
        <w:rPr>
          <w:rFonts w:ascii="宋体"/>
          <w:sz w:val="24"/>
        </w:rPr>
      </w:r>
    </w:p>
    <w:p>
      <w:pPr>
        <w:pStyle w:val="BodyText"/>
        <w:spacing w:line="240" w:lineRule="auto"/>
        <w:ind w:left="153" w:right="-16"/>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pStyle w:val="BodyText"/>
        <w:spacing w:line="240" w:lineRule="auto" w:before="120"/>
        <w:ind w:left="153" w:right="0"/>
        <w:jc w:val="left"/>
      </w:pPr>
      <w:r>
        <w:rPr/>
        <w:t>单位：元</w:t>
      </w:r>
    </w:p>
    <w:p>
      <w:pPr>
        <w:spacing w:after="0" w:line="240" w:lineRule="auto"/>
        <w:jc w:val="left"/>
        <w:sectPr>
          <w:type w:val="continuous"/>
          <w:pgSz w:w="11910" w:h="16840"/>
          <w:pgMar w:top="1580" w:bottom="700" w:left="980" w:right="0"/>
          <w:cols w:num="3" w:equalWidth="0">
            <w:col w:w="3215" w:space="863"/>
            <w:col w:w="1639" w:space="3203"/>
            <w:col w:w="2010"/>
          </w:cols>
        </w:sectPr>
      </w:pPr>
    </w:p>
    <w:p>
      <w:pPr>
        <w:spacing w:line="240" w:lineRule="auto" w:before="2"/>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331"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11"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18" w:type="dxa"/>
            <w:tcBorders>
              <w:top w:val="single" w:sz="5" w:space="0" w:color="D2D2D2"/>
              <w:left w:val="single" w:sz="13" w:space="0" w:color="D2D2D2"/>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1,618,156,211.49</w:t>
            </w:r>
          </w:p>
        </w:tc>
        <w:tc>
          <w:tcPr>
            <w:tcW w:w="2968" w:type="dxa"/>
            <w:tcBorders>
              <w:top w:val="single" w:sz="5" w:space="0" w:color="D2D2D2"/>
              <w:left w:val="single" w:sz="4" w:space="0" w:color="000000"/>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1,674,071,123.53</w:t>
            </w: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397,002.56</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9,808,599,645.57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8,370,246,168.01</w:t>
            </w: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1,203,934,982.01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931,617,440.61</w:t>
            </w: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8,604,664,663.56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7,438,628,727.40</w:t>
            </w: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1,732,054,977.57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1,818,633,182.78</w:t>
            </w: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219,791,926.88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228,007,686.95</w:t>
            </w: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21,884,774.39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15,370,933.11</w:t>
            </w: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0.00</w:t>
            </w: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6,507,068,213.06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6,755,992,516.21</w:t>
            </w: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1,532,681.81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1,628,445.38</w:t>
            </w: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413,690,918.38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218,521,247.01</w:t>
            </w:r>
          </w:p>
        </w:tc>
      </w:tr>
      <w:tr>
        <w:trPr>
          <w:trHeight w:val="330"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8" w:type="dxa"/>
            <w:tcBorders>
              <w:top w:val="single" w:sz="4" w:space="0" w:color="000000"/>
              <w:left w:val="single" w:sz="13" w:space="0" w:color="D2D2D2"/>
              <w:bottom w:val="single" w:sz="10" w:space="0" w:color="D2D2D2"/>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20,301,291,577.32</w:t>
            </w:r>
          </w:p>
        </w:tc>
        <w:tc>
          <w:tcPr>
            <w:tcW w:w="2968"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19,067,100,369.87</w:t>
            </w:r>
          </w:p>
        </w:tc>
      </w:tr>
      <w:tr>
        <w:trPr>
          <w:trHeight w:val="310"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18" w:type="dxa"/>
            <w:tcBorders>
              <w:top w:val="single" w:sz="5" w:space="0" w:color="D2D2D2"/>
              <w:left w:val="single" w:sz="13" w:space="0" w:color="D2D2D2"/>
              <w:bottom w:val="single" w:sz="4" w:space="0" w:color="000000"/>
              <w:right w:val="single" w:sz="4" w:space="0" w:color="000000"/>
            </w:tcBorders>
          </w:tcPr>
          <w:p>
            <w:pPr/>
          </w:p>
        </w:tc>
        <w:tc>
          <w:tcPr>
            <w:tcW w:w="2968" w:type="dxa"/>
            <w:tcBorders>
              <w:top w:val="single" w:sz="5" w:space="0" w:color="D2D2D2"/>
              <w:left w:val="single" w:sz="4" w:space="0" w:color="000000"/>
              <w:bottom w:val="single" w:sz="4" w:space="0" w:color="000000"/>
              <w:right w:val="single" w:sz="4" w:space="0" w:color="000000"/>
            </w:tcBorders>
          </w:tcPr>
          <w:p>
            <w:pP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85,545,074.50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101,872,109.05</w:t>
            </w: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3,574,146.34</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1,054,524,805.32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842,784,725.90</w:t>
            </w: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177,623,847.23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178,862,488.08</w:t>
            </w: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170,344,840.12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189,472,328.14</w:t>
            </w: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314,493,973.34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51,946,662.31</w:t>
            </w: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70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2,546,113,647.63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2,565,307,035.72</w:t>
            </w: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931,286,825.05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931,286,825.05</w:t>
            </w: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14,868,225.61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18,167,885.39</w:t>
            </w: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284,548,528.97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214,008,062.20</w:t>
            </w: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101,236,458.63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112,381,896.14</w:t>
            </w: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5,684,160,372.74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5,206,090,017.98</w:t>
            </w:r>
          </w:p>
        </w:tc>
      </w:tr>
      <w:tr>
        <w:trPr>
          <w:trHeight w:val="331"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8" w:type="dxa"/>
            <w:tcBorders>
              <w:top w:val="single" w:sz="4" w:space="0" w:color="000000"/>
              <w:left w:val="single" w:sz="13" w:space="0" w:color="D2D2D2"/>
              <w:bottom w:val="single" w:sz="9" w:space="0" w:color="D2D2D2"/>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25,985,451,950.06</w:t>
            </w:r>
          </w:p>
        </w:tc>
        <w:tc>
          <w:tcPr>
            <w:tcW w:w="2968"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24,273,190,387.85</w:t>
            </w:r>
          </w:p>
        </w:tc>
      </w:tr>
      <w:tr>
        <w:trPr>
          <w:trHeight w:val="310"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8" w:type="dxa"/>
            <w:tcBorders>
              <w:top w:val="single" w:sz="9" w:space="0" w:color="D2D2D2"/>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8,806,297,361.62</w:t>
            </w:r>
          </w:p>
        </w:tc>
        <w:tc>
          <w:tcPr>
            <w:tcW w:w="2968"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8,045,914,097.85</w:t>
            </w: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21,091,940.85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23,695,894.11</w:t>
            </w: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8,618,714,469.17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7,419,100,754.98</w:t>
            </w: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1,136,098,409.12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1,008,925,229.00</w:t>
            </w: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350,588,626.06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345,267,702.03</w:t>
            </w: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295,979,343.05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380,454,596.30</w:t>
            </w: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619,533,656.42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2,047,415,091.31</w:t>
            </w: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29,646,939.68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24,320,542.71</w:t>
            </w: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0.00</w:t>
            </w: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2"/>
                <w:sz w:val="18"/>
              </w:rPr>
              <w:t>461,111,943.16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311,207,535.78</w:t>
            </w: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15,876,120.61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20,380,294.41</w:t>
            </w:r>
          </w:p>
        </w:tc>
      </w:tr>
      <w:tr>
        <w:trPr>
          <w:trHeight w:val="329"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8" w:type="dxa"/>
            <w:tcBorders>
              <w:top w:val="single" w:sz="4" w:space="0" w:color="000000"/>
              <w:left w:val="single" w:sz="13" w:space="0" w:color="D2D2D2"/>
              <w:bottom w:val="single" w:sz="9" w:space="0" w:color="D2D2D2"/>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20,325,291,870.06</w:t>
            </w:r>
          </w:p>
        </w:tc>
        <w:tc>
          <w:tcPr>
            <w:tcW w:w="2968"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19,602,361,195.77</w:t>
            </w:r>
          </w:p>
        </w:tc>
      </w:tr>
      <w:tr>
        <w:trPr>
          <w:trHeight w:val="311"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8" w:type="dxa"/>
            <w:tcBorders>
              <w:top w:val="single" w:sz="5" w:space="0" w:color="D2D2D2"/>
              <w:left w:val="single" w:sz="13" w:space="0" w:color="D2D2D2"/>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1,710,000,000.00</w:t>
            </w:r>
          </w:p>
        </w:tc>
        <w:tc>
          <w:tcPr>
            <w:tcW w:w="2968" w:type="dxa"/>
            <w:tcBorders>
              <w:top w:val="single" w:sz="5" w:space="0" w:color="D2D2D2"/>
              <w:left w:val="single" w:sz="4" w:space="0" w:color="000000"/>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1,160,000,000.00</w:t>
            </w: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13,817,213.09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26,090,250.70</w:t>
            </w: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20,477,180.46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39,918,530.81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69,375,436.71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86,987,769.47</w:t>
            </w: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1,813,669,830.26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1,312,996,550.98</w:t>
            </w:r>
          </w:p>
        </w:tc>
      </w:tr>
      <w:tr>
        <w:trPr>
          <w:trHeight w:val="331"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8" w:type="dxa"/>
            <w:tcBorders>
              <w:top w:val="single" w:sz="4" w:space="0" w:color="000000"/>
              <w:left w:val="single" w:sz="13" w:space="0" w:color="D2D2D2"/>
              <w:bottom w:val="single" w:sz="9" w:space="0" w:color="D2D2D2"/>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22,138,961,700.32</w:t>
            </w:r>
          </w:p>
        </w:tc>
        <w:tc>
          <w:tcPr>
            <w:tcW w:w="2968"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20,915,357,746.75</w:t>
            </w:r>
          </w:p>
        </w:tc>
      </w:tr>
      <w:tr>
        <w:trPr>
          <w:trHeight w:val="310"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8" w:type="dxa"/>
            <w:tcBorders>
              <w:top w:val="single" w:sz="9" w:space="0" w:color="D2D2D2"/>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654,070,434.00</w:t>
            </w:r>
          </w:p>
        </w:tc>
        <w:tc>
          <w:tcPr>
            <w:tcW w:w="2968"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654,070,434.00</w:t>
            </w: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2,380,341,533.95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2,380,627,616.35</w:t>
            </w: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6,267,874.72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2,147,977.11</w:t>
            </w: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84,202,949.86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65,738,593.50</w:t>
            </w: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716,563,287.65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247,474,296.03</w:t>
            </w: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3,841,446,080.18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3,350,058,916.99</w:t>
            </w: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5,044,169.56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7,773,724.11</w:t>
            </w: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3,846,490,249.74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3,357,832,641.10</w:t>
            </w: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25,985,451,950.06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24,273,190,387.85</w:t>
            </w:r>
          </w:p>
        </w:tc>
      </w:tr>
    </w:tbl>
    <w:p>
      <w:pPr>
        <w:spacing w:line="240" w:lineRule="auto" w:before="7"/>
        <w:rPr>
          <w:rFonts w:ascii="Times New Roman" w:hAnsi="Times New Roman" w:cs="Times New Roman" w:eastAsia="Times New Roman" w:hint="default"/>
          <w:sz w:val="19"/>
          <w:szCs w:val="19"/>
        </w:rPr>
      </w:pPr>
    </w:p>
    <w:p>
      <w:pPr>
        <w:pStyle w:val="BodyText"/>
        <w:tabs>
          <w:tab w:pos="3420" w:val="left" w:leader="none"/>
          <w:tab w:pos="7561" w:val="left" w:leader="none"/>
        </w:tabs>
        <w:spacing w:line="240" w:lineRule="auto" w:before="44"/>
        <w:ind w:left="0" w:right="1229"/>
        <w:jc w:val="right"/>
      </w:pPr>
      <w:r>
        <w:rPr/>
        <w:t>法定代表人：郭为</w:t>
        <w:tab/>
        <w:t>主管会计工作负责人：辛昕</w:t>
        <w:tab/>
        <w:t>会计机构负责人：陈振坤</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bookmarkStart w:name="2、母公司资产负债表" w:id="159"/>
      <w:bookmarkEnd w:id="159"/>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0" w:right="1130"/>
        <w:jc w:val="right"/>
      </w:pPr>
      <w:r>
        <w:rPr/>
        <w:t>单位：元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330"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10"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5" w:space="0" w:color="D2D2D2"/>
              <w:left w:val="single" w:sz="10" w:space="0" w:color="D2D2D2"/>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1,732,955.04</w:t>
            </w:r>
          </w:p>
        </w:tc>
        <w:tc>
          <w:tcPr>
            <w:tcW w:w="2966" w:type="dxa"/>
            <w:tcBorders>
              <w:top w:val="single" w:sz="5" w:space="0" w:color="D2D2D2"/>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4,321,494.35</w:t>
            </w:r>
          </w:p>
        </w:tc>
      </w:tr>
      <w:tr>
        <w:trPr>
          <w:trHeight w:val="557"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364"/>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57,652.48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6,208,395.45</w:t>
            </w:r>
          </w:p>
        </w:tc>
      </w:tr>
      <w:tr>
        <w:trPr>
          <w:trHeight w:val="32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0.00</w:t>
            </w:r>
          </w:p>
        </w:tc>
      </w:tr>
      <w:tr>
        <w:trPr>
          <w:trHeight w:val="32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36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0.00</w:t>
            </w:r>
          </w:p>
        </w:tc>
      </w:tr>
      <w:tr>
        <w:trPr>
          <w:trHeight w:val="32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2"/>
                <w:sz w:val="18"/>
              </w:rPr>
              <w:t>1,111,278,251.43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982,973,621.03</w:t>
            </w:r>
          </w:p>
        </w:tc>
      </w:tr>
      <w:tr>
        <w:trPr>
          <w:trHeight w:val="32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9,859,772.87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1,845,205.82</w:t>
            </w:r>
          </w:p>
        </w:tc>
      </w:tr>
    </w:tbl>
    <w:p>
      <w:pPr>
        <w:spacing w:after="0" w:line="240" w:lineRule="auto"/>
        <w:jc w:val="right"/>
        <w:rPr>
          <w:rFonts w:ascii="Times New Roman" w:hAnsi="Times New Roman" w:cs="Times New Roman" w:eastAsia="Times New Roman" w:hint="default"/>
          <w:sz w:val="18"/>
          <w:szCs w:val="18"/>
        </w:rPr>
        <w:sectPr>
          <w:footerReference w:type="default" r:id="rId28"/>
          <w:pgSz w:w="11910" w:h="16840"/>
          <w:pgMar w:footer="979" w:header="877"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273"/>
        <w:gridCol w:w="3318"/>
        <w:gridCol w:w="2966"/>
      </w:tblGrid>
      <w:tr>
        <w:trPr>
          <w:trHeight w:val="32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9"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8" w:type="dxa"/>
            <w:tcBorders>
              <w:top w:val="single" w:sz="4" w:space="0" w:color="000000"/>
              <w:left w:val="single" w:sz="10" w:space="0" w:color="D2D2D2"/>
              <w:bottom w:val="single" w:sz="9" w:space="0" w:color="D2D2D2"/>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1,122,928,631.82</w:t>
            </w:r>
          </w:p>
        </w:tc>
        <w:tc>
          <w:tcPr>
            <w:tcW w:w="2966"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995,348,716.65</w:t>
            </w:r>
          </w:p>
        </w:tc>
      </w:tr>
      <w:tr>
        <w:trPr>
          <w:trHeight w:val="31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8" w:type="dxa"/>
            <w:tcBorders>
              <w:top w:val="single" w:sz="9" w:space="0" w:color="D2D2D2"/>
              <w:left w:val="single" w:sz="10"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23,795,074.50</w:t>
            </w:r>
          </w:p>
        </w:tc>
        <w:tc>
          <w:tcPr>
            <w:tcW w:w="2966"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33,572,076.75</w:t>
            </w:r>
          </w:p>
        </w:tc>
      </w:tr>
      <w:tr>
        <w:trPr>
          <w:trHeight w:val="32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5,691,270,383.44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4,375,471,500.00</w:t>
            </w:r>
          </w:p>
        </w:tc>
      </w:tr>
      <w:tr>
        <w:trPr>
          <w:trHeight w:val="32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605,001.88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686,382.08</w:t>
            </w:r>
          </w:p>
        </w:tc>
      </w:tr>
      <w:tr>
        <w:trPr>
          <w:trHeight w:val="32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304,062,813.53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15,894,029.40</w:t>
            </w:r>
          </w:p>
        </w:tc>
      </w:tr>
      <w:tr>
        <w:trPr>
          <w:trHeight w:val="32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2,486,199,638.07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2,495,778,830.08</w:t>
            </w:r>
          </w:p>
        </w:tc>
      </w:tr>
      <w:tr>
        <w:trPr>
          <w:trHeight w:val="32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98,890,909.09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107,800,000.00</w:t>
            </w:r>
          </w:p>
        </w:tc>
      </w:tr>
      <w:tr>
        <w:trPr>
          <w:trHeight w:val="32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8,604,823,820.51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7,029,202,818.31</w:t>
            </w:r>
          </w:p>
        </w:tc>
      </w:tr>
      <w:tr>
        <w:trPr>
          <w:trHeight w:val="33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8" w:type="dxa"/>
            <w:tcBorders>
              <w:top w:val="single" w:sz="4" w:space="0" w:color="000000"/>
              <w:left w:val="single" w:sz="10" w:space="0" w:color="D2D2D2"/>
              <w:bottom w:val="single" w:sz="5" w:space="0" w:color="D2D2D2"/>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9,727,752,452.33</w:t>
            </w:r>
          </w:p>
        </w:tc>
        <w:tc>
          <w:tcPr>
            <w:tcW w:w="2966"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8,024,551,534.96</w:t>
            </w:r>
          </w:p>
        </w:tc>
      </w:tr>
      <w:tr>
        <w:trPr>
          <w:trHeight w:val="310"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8" w:type="dxa"/>
            <w:tcBorders>
              <w:top w:val="single" w:sz="9" w:space="0" w:color="D2D2D2"/>
              <w:left w:val="single" w:sz="10"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2,459,000,000.00</w:t>
            </w:r>
          </w:p>
        </w:tc>
        <w:tc>
          <w:tcPr>
            <w:tcW w:w="2966" w:type="dxa"/>
            <w:tcBorders>
              <w:top w:val="single" w:sz="9" w:space="0" w:color="D2D2D2"/>
              <w:left w:val="single" w:sz="4" w:space="0" w:color="000000"/>
              <w:bottom w:val="single" w:sz="4" w:space="0" w:color="000000"/>
              <w:right w:val="single" w:sz="4" w:space="0" w:color="000000"/>
            </w:tcBorders>
          </w:tcPr>
          <w:p>
            <w:pPr/>
          </w:p>
        </w:tc>
      </w:tr>
      <w:tr>
        <w:trPr>
          <w:trHeight w:val="55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1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6,845,506.40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5,634,340.54</w:t>
            </w:r>
          </w:p>
        </w:tc>
      </w:tr>
      <w:tr>
        <w:trPr>
          <w:trHeight w:val="32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456,172.69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165,683.09</w:t>
            </w:r>
          </w:p>
        </w:tc>
      </w:tr>
      <w:tr>
        <w:trPr>
          <w:trHeight w:val="32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401,215,220.82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1,825,133,998.05</w:t>
            </w:r>
          </w:p>
        </w:tc>
      </w:tr>
      <w:tr>
        <w:trPr>
          <w:trHeight w:val="32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91,566,183.27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1,984,097.22</w:t>
            </w:r>
          </w:p>
        </w:tc>
      </w:tr>
      <w:tr>
        <w:trPr>
          <w:trHeight w:val="32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35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0.00</w:t>
            </w:r>
          </w:p>
        </w:tc>
      </w:tr>
      <w:tr>
        <w:trPr>
          <w:trHeight w:val="32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350,000,000.00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300,000,000.00</w:t>
            </w:r>
          </w:p>
        </w:tc>
      </w:tr>
      <w:tr>
        <w:trPr>
          <w:trHeight w:val="32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8" w:type="dxa"/>
            <w:tcBorders>
              <w:top w:val="single" w:sz="4" w:space="0" w:color="000000"/>
              <w:left w:val="single" w:sz="10" w:space="0" w:color="D2D2D2"/>
              <w:bottom w:val="single" w:sz="9" w:space="0" w:color="D2D2D2"/>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3,217,516,899.91</w:t>
            </w:r>
          </w:p>
        </w:tc>
        <w:tc>
          <w:tcPr>
            <w:tcW w:w="2966"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2,130,934,021.68</w:t>
            </w:r>
          </w:p>
        </w:tc>
      </w:tr>
      <w:tr>
        <w:trPr>
          <w:trHeight w:val="31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8" w:type="dxa"/>
            <w:tcBorders>
              <w:top w:val="single" w:sz="9" w:space="0" w:color="D2D2D2"/>
              <w:left w:val="single" w:sz="10"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3,127,000,000.00</w:t>
            </w:r>
          </w:p>
        </w:tc>
        <w:tc>
          <w:tcPr>
            <w:tcW w:w="2966"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3,580,000,000.00</w:t>
            </w:r>
          </w:p>
        </w:tc>
      </w:tr>
      <w:tr>
        <w:trPr>
          <w:trHeight w:val="32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53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9"/>
          <w:pgSz w:w="11910" w:h="16840"/>
          <w:pgMar w:footer="979" w:header="877" w:top="1100" w:bottom="1160" w:left="980" w:right="0"/>
          <w:pgNumType w:start="101"/>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32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3,127,000,000.00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3,580,000,000.00</w:t>
            </w:r>
          </w:p>
        </w:tc>
      </w:tr>
      <w:tr>
        <w:trPr>
          <w:trHeight w:val="33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9" w:space="0" w:color="D2D2D2"/>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6,344,516,899.91</w:t>
            </w:r>
          </w:p>
        </w:tc>
        <w:tc>
          <w:tcPr>
            <w:tcW w:w="2966"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5,710,934,021.68</w:t>
            </w:r>
          </w:p>
        </w:tc>
      </w:tr>
      <w:tr>
        <w:trPr>
          <w:trHeight w:val="310"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4" w:type="dxa"/>
            <w:tcBorders>
              <w:top w:val="single" w:sz="5" w:space="0" w:color="D2D2D2"/>
              <w:left w:val="single" w:sz="10" w:space="0" w:color="D2D2D2"/>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654,070,434.00</w:t>
            </w:r>
          </w:p>
        </w:tc>
        <w:tc>
          <w:tcPr>
            <w:tcW w:w="2966" w:type="dxa"/>
            <w:tcBorders>
              <w:top w:val="single" w:sz="5" w:space="0" w:color="D2D2D2"/>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654,070,434.00</w:t>
            </w:r>
          </w:p>
        </w:tc>
      </w:tr>
      <w:tr>
        <w:trPr>
          <w:trHeight w:val="32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2,489,627,616.35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2,489,627,616.35</w:t>
            </w:r>
          </w:p>
        </w:tc>
      </w:tr>
      <w:tr>
        <w:trPr>
          <w:trHeight w:val="32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-10,844,655.07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-1,067,652.82</w:t>
            </w:r>
          </w:p>
        </w:tc>
      </w:tr>
      <w:tr>
        <w:trPr>
          <w:trHeight w:val="32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84,202,949.86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65,738,593.50</w:t>
            </w:r>
          </w:p>
        </w:tc>
      </w:tr>
      <w:tr>
        <w:trPr>
          <w:trHeight w:val="32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166,179,207.28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-894,751,477.75</w:t>
            </w:r>
          </w:p>
        </w:tc>
      </w:tr>
      <w:tr>
        <w:trPr>
          <w:trHeight w:val="32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3,383,235,552.42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2,313,617,513.28</w:t>
            </w:r>
          </w:p>
        </w:tc>
      </w:tr>
      <w:tr>
        <w:trPr>
          <w:trHeight w:val="32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9,727,752,452.33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8,024,551,534.96</w:t>
            </w:r>
          </w:p>
        </w:tc>
      </w:tr>
    </w:tbl>
    <w:p>
      <w:pPr>
        <w:spacing w:line="240" w:lineRule="auto" w:before="11"/>
        <w:rPr>
          <w:rFonts w:ascii="Times New Roman" w:hAnsi="Times New Roman" w:cs="Times New Roman" w:eastAsia="Times New Roman" w:hint="default"/>
          <w:sz w:val="19"/>
          <w:szCs w:val="19"/>
        </w:rPr>
      </w:pPr>
    </w:p>
    <w:p>
      <w:pPr>
        <w:pStyle w:val="Heading3"/>
        <w:spacing w:line="240" w:lineRule="auto" w:before="35"/>
        <w:ind w:right="0"/>
        <w:jc w:val="left"/>
        <w:rPr>
          <w:b w:val="0"/>
          <w:bCs w:val="0"/>
        </w:rPr>
      </w:pPr>
      <w:bookmarkStart w:name="3、合并利润表" w:id="160"/>
      <w:bookmarkEnd w:id="160"/>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81,858,054,493.23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62,215,950,458.56</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81,858,054,493.23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62,215,950,458.56</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81,324,595,275.36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61,583,705,719.33</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78,561,585,904.99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59,290,822,747.85</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81,953,570.68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90,175,311.14</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1,633,915,868.48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1,612,968,660.32</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259,433,119.44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279,227,717.59</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96,764,852.25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88,729,229.48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674,283,209.44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243,584,256.74</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9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508,751,268.58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450,480,333.41</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63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26,090,244.95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30,550,814.24</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16,658,750.08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-21,802,203.79</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45,044,709.71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46,580,429.15</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10"/>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27" w:lineRule="exact"/>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59,165,681.72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-158,793,035.07</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76,936,699.85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39,656,230.74</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10"/>
              <w:ind w:left="731"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8"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3,000,955.82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-29,023,035.90</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10"/>
              <w:ind w:left="731"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28" w:lineRule="exact"/>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10"/>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28" w:lineRule="exact"/>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694,540.29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-65,535.59</w:t>
            </w:r>
            <w:r>
              <w:rPr>
                <w:rFonts w:ascii="Times New Roman"/>
                <w:sz w:val="18"/>
              </w:rPr>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641,365,105.41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490,943,561.82</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28,420,841.95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367,920,331.26</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8,278,416.43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6,287,206.72</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11" w:right="6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661,507,530.93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852,576,686.36</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145,481,028.38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129,388,059.02</w:t>
            </w:r>
          </w:p>
        </w:tc>
      </w:tr>
      <w:tr>
        <w:trPr>
          <w:trHeight w:val="32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1"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18"/>
                <w:szCs w:val="18"/>
              </w:rPr>
            </w:pPr>
            <w:r>
              <w:rPr>
                <w:rFonts w:ascii="Times New Roman"/>
                <w:spacing w:val="-1"/>
                <w:sz w:val="18"/>
              </w:rPr>
              <w:t>516,026,502.55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723,188,627.34</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516,026,502.55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723,188,627.34</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512,408,008.06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722,924,713.03</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3,618,494.49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263,914.31</w:t>
            </w:r>
          </w:p>
        </w:tc>
      </w:tr>
      <w:tr>
        <w:trPr>
          <w:trHeight w:val="32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7"/>
              <w:ind w:right="21"/>
              <w:jc w:val="right"/>
              <w:rPr>
                <w:rFonts w:ascii="Times New Roman" w:hAnsi="Times New Roman" w:cs="Times New Roman" w:eastAsia="Times New Roman" w:hint="default"/>
                <w:sz w:val="18"/>
                <w:szCs w:val="18"/>
              </w:rPr>
            </w:pPr>
            <w:r>
              <w:rPr>
                <w:rFonts w:ascii="Times New Roman"/>
                <w:spacing w:val="-1"/>
                <w:sz w:val="18"/>
              </w:rPr>
              <w:t>4,119,897.61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-21,029,201.63</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1"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18"/>
                <w:szCs w:val="18"/>
              </w:rPr>
            </w:pPr>
            <w:r>
              <w:rPr>
                <w:rFonts w:ascii="Times New Roman"/>
                <w:spacing w:val="-1"/>
                <w:sz w:val="18"/>
              </w:rPr>
              <w:t>4,119,897.61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-21,029,201.63</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9"/>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28" w:lineRule="exact"/>
              <w:ind w:left="1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4,119,897.61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-21,029,201.63</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9"/>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28" w:lineRule="exact"/>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310,351.41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309,860.55</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-9,777,002.25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-2,950,756.65</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8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13,586,548.45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-18,388,305.53</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1"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18"/>
                <w:szCs w:val="18"/>
              </w:rPr>
            </w:pPr>
            <w:r>
              <w:rPr>
                <w:rFonts w:ascii="Times New Roman"/>
                <w:spacing w:val="-1"/>
                <w:sz w:val="18"/>
              </w:rPr>
              <w:t>520,146,400.16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702,159,425.71</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1" w:right="4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516,527,905.67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701,895,511.40</w:t>
            </w:r>
          </w:p>
        </w:tc>
      </w:tr>
      <w:tr>
        <w:trPr>
          <w:trHeight w:val="33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41"/>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2" w:type="dxa"/>
            <w:tcBorders>
              <w:top w:val="single" w:sz="4" w:space="0" w:color="000000"/>
              <w:left w:val="single" w:sz="13" w:space="0" w:color="D2D2D2"/>
              <w:bottom w:val="single" w:sz="9" w:space="0" w:color="D2D2D2"/>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3,618,494.49</w:t>
            </w:r>
          </w:p>
        </w:tc>
        <w:tc>
          <w:tcPr>
            <w:tcW w:w="3300"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263,914.31</w:t>
            </w:r>
          </w:p>
        </w:tc>
      </w:tr>
      <w:tr>
        <w:trPr>
          <w:trHeight w:val="31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5" w:space="0" w:color="D2D2D2"/>
              <w:left w:val="single" w:sz="13" w:space="0" w:color="D2D2D2"/>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18"/>
                <w:szCs w:val="18"/>
              </w:rPr>
            </w:pPr>
            <w:r>
              <w:rPr>
                <w:rFonts w:ascii="Times New Roman"/>
                <w:sz w:val="18"/>
              </w:rPr>
              <w:t>0.7834</w:t>
            </w:r>
          </w:p>
        </w:tc>
        <w:tc>
          <w:tcPr>
            <w:tcW w:w="3300" w:type="dxa"/>
            <w:tcBorders>
              <w:top w:val="single" w:sz="5" w:space="0" w:color="D2D2D2"/>
              <w:left w:val="single" w:sz="4" w:space="0" w:color="000000"/>
              <w:bottom w:val="single" w:sz="4" w:space="0" w:color="000000"/>
              <w:right w:val="single" w:sz="4" w:space="0" w:color="000000"/>
            </w:tcBorders>
          </w:tcPr>
          <w:p>
            <w:pPr>
              <w:pStyle w:val="TableParagraph"/>
              <w:spacing w:line="240" w:lineRule="auto" w:before="55"/>
              <w:ind w:right="19"/>
              <w:jc w:val="right"/>
              <w:rPr>
                <w:rFonts w:ascii="Times New Roman" w:hAnsi="Times New Roman" w:cs="Times New Roman" w:eastAsia="Times New Roman" w:hint="default"/>
                <w:sz w:val="18"/>
                <w:szCs w:val="18"/>
              </w:rPr>
            </w:pPr>
            <w:r>
              <w:rPr>
                <w:rFonts w:ascii="Times New Roman"/>
                <w:sz w:val="18"/>
              </w:rPr>
              <w:t>1.1053</w:t>
            </w:r>
          </w:p>
        </w:tc>
      </w:tr>
      <w:tr>
        <w:trPr>
          <w:trHeight w:val="32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18"/>
                <w:szCs w:val="18"/>
              </w:rPr>
            </w:pPr>
            <w:r>
              <w:rPr>
                <w:rFonts w:ascii="Times New Roman"/>
                <w:sz w:val="18"/>
              </w:rPr>
              <w:t>0.7834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1.1053</w:t>
            </w:r>
          </w:p>
        </w:tc>
      </w:tr>
    </w:tbl>
    <w:p>
      <w:pPr>
        <w:pStyle w:val="BodyText"/>
        <w:tabs>
          <w:tab w:pos="3574" w:val="left" w:leader="none"/>
          <w:tab w:pos="7715" w:val="left" w:leader="none"/>
        </w:tabs>
        <w:spacing w:line="525" w:lineRule="auto" w:before="10"/>
        <w:ind w:right="1229"/>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法定代表人：郭为</w:t>
        <w:tab/>
        <w:t>主管会计工作负责人：辛昕</w:t>
        <w:tab/>
        <w:t>会计机构负责人：陈振坤 </w:t>
      </w:r>
      <w:bookmarkStart w:name="4、母公司利润表" w:id="161"/>
      <w:bookmarkEnd w:id="161"/>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11"/>
        <w:ind w:left="0" w:right="1130"/>
        <w:jc w:val="right"/>
      </w:pPr>
      <w:r>
        <w:rPr/>
        <w:t>单位：元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0.00</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0.00</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1,974,278.20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1,948,035.51</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24,636,370.55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68,449,844.44</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113,062,531.99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124,947,232.67</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2"/>
                <w:sz w:val="18"/>
              </w:rPr>
              <w:t>111,163,811.80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118,703,354.17</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45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707,685.74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478,013.99</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72,286.64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84,291.09</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9"/>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28" w:lineRule="exact"/>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1,234,104,256.40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203,803,013.70</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4,104,256.40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731"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8"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9"/>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28" w:lineRule="exact"/>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1,094,503,362.30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8,542,192.17</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9,746,922.25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10,005,141.12</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583.08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0.03</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11"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1,104,249,701.47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18,547,333.26</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1,104,249,701.47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18,547,333.26</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0"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1,104,249,701.47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18,547,333.26</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0"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-9,777,002.25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-2,950,756.65</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0"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9"/>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28" w:lineRule="exact"/>
              <w:ind w:left="1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-9,777,002.25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-2,950,756.65</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9"/>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28" w:lineRule="exact"/>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-9,777,002.25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-2,950,756.65</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9"/>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28" w:lineRule="exact"/>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4" w:type="dxa"/>
            <w:tcBorders>
              <w:top w:val="single" w:sz="4" w:space="0" w:color="000000"/>
              <w:left w:val="single" w:sz="13" w:space="0" w:color="D2D2D2"/>
              <w:bottom w:val="single" w:sz="5" w:space="0" w:color="D2D2D2"/>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1,094,472,699.22</w:t>
            </w:r>
          </w:p>
        </w:tc>
        <w:tc>
          <w:tcPr>
            <w:tcW w:w="3300"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15,596,576.61</w:t>
            </w:r>
          </w:p>
        </w:tc>
      </w:tr>
      <w:tr>
        <w:trPr>
          <w:trHeight w:val="31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9" w:space="0" w:color="D2D2D2"/>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1.6883</w:t>
            </w:r>
          </w:p>
        </w:tc>
        <w:tc>
          <w:tcPr>
            <w:tcW w:w="3300"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0.0284</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1.6883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0.0284</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5、合并现金流量表" w:id="162"/>
      <w:bookmarkEnd w:id="162"/>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2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1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9" w:space="0" w:color="D2D2D2"/>
              <w:left w:val="single" w:sz="13" w:space="0" w:color="D2D2D2"/>
              <w:bottom w:val="single" w:sz="4" w:space="0" w:color="000000"/>
              <w:right w:val="single" w:sz="4" w:space="0" w:color="000000"/>
            </w:tcBorders>
          </w:tcPr>
          <w:p>
            <w:pPr>
              <w:pStyle w:val="TableParagraph"/>
              <w:spacing w:line="240" w:lineRule="auto" w:before="49"/>
              <w:ind w:left="1917" w:right="0"/>
              <w:jc w:val="left"/>
              <w:rPr>
                <w:rFonts w:ascii="Times New Roman" w:hAnsi="Times New Roman" w:cs="Times New Roman" w:eastAsia="Times New Roman" w:hint="default"/>
                <w:sz w:val="18"/>
                <w:szCs w:val="18"/>
              </w:rPr>
            </w:pPr>
            <w:r>
              <w:rPr>
                <w:rFonts w:ascii="Times New Roman"/>
                <w:sz w:val="18"/>
              </w:rPr>
              <w:t>91,461,552,741.92</w:t>
            </w:r>
          </w:p>
        </w:tc>
        <w:tc>
          <w:tcPr>
            <w:tcW w:w="3300"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9"/>
              <w:ind w:left="1918" w:right="0"/>
              <w:jc w:val="left"/>
              <w:rPr>
                <w:rFonts w:ascii="Times New Roman" w:hAnsi="Times New Roman" w:cs="Times New Roman" w:eastAsia="Times New Roman" w:hint="default"/>
                <w:sz w:val="18"/>
                <w:szCs w:val="18"/>
              </w:rPr>
            </w:pPr>
            <w:r>
              <w:rPr>
                <w:rFonts w:ascii="Times New Roman"/>
                <w:sz w:val="18"/>
              </w:rPr>
              <w:t>69,376,823,417.14</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39"/>
        <w:gridCol w:w="3318"/>
        <w:gridCol w:w="3300"/>
      </w:tblGrid>
      <w:tr>
        <w:trPr>
          <w:trHeight w:val="32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10,987,400.41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8,970,653.84</w:t>
            </w:r>
          </w:p>
        </w:tc>
      </w:tr>
      <w:tr>
        <w:trPr>
          <w:trHeight w:val="32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3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71,152,505.39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92,042,054.42</w:t>
            </w:r>
          </w:p>
        </w:tc>
      </w:tr>
      <w:tr>
        <w:trPr>
          <w:trHeight w:val="32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91,543,692,647.72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69,477,836,125.40</w:t>
            </w:r>
          </w:p>
        </w:tc>
      </w:tr>
      <w:tr>
        <w:trPr>
          <w:trHeight w:val="32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88,136,002,573.55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66,972,573,565.03</w:t>
            </w:r>
          </w:p>
        </w:tc>
      </w:tr>
      <w:tr>
        <w:trPr>
          <w:trHeight w:val="32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10"/>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34" w:lineRule="exact"/>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35"/>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35"/>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953,843,346.10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901,392,185.09</w:t>
            </w:r>
          </w:p>
        </w:tc>
      </w:tr>
      <w:tr>
        <w:trPr>
          <w:trHeight w:val="32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800,969,725.80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612,375,548.81</w:t>
            </w:r>
          </w:p>
        </w:tc>
      </w:tr>
      <w:tr>
        <w:trPr>
          <w:trHeight w:val="32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1,292,337,384.73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1,283,295,117.52</w:t>
            </w:r>
          </w:p>
        </w:tc>
      </w:tr>
      <w:tr>
        <w:trPr>
          <w:trHeight w:val="32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91,183,153,030.18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69,769,636,416.45</w:t>
            </w:r>
          </w:p>
        </w:tc>
      </w:tr>
      <w:tr>
        <w:trPr>
          <w:trHeight w:val="329"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8" w:type="dxa"/>
            <w:tcBorders>
              <w:top w:val="single" w:sz="4" w:space="0" w:color="000000"/>
              <w:left w:val="single" w:sz="13" w:space="0" w:color="D2D2D2"/>
              <w:bottom w:val="single" w:sz="5" w:space="0" w:color="D2D2D2"/>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360,539,617.54</w:t>
            </w:r>
          </w:p>
        </w:tc>
        <w:tc>
          <w:tcPr>
            <w:tcW w:w="3300"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-291,800,291.05</w:t>
            </w:r>
          </w:p>
        </w:tc>
      </w:tr>
      <w:tr>
        <w:trPr>
          <w:trHeight w:val="31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8" w:type="dxa"/>
            <w:tcBorders>
              <w:top w:val="single" w:sz="5" w:space="0" w:color="D2D2D2"/>
              <w:left w:val="single" w:sz="13" w:space="0" w:color="D2D2D2"/>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110,632,096.58</w:t>
            </w:r>
          </w:p>
        </w:tc>
        <w:tc>
          <w:tcPr>
            <w:tcW w:w="3300" w:type="dxa"/>
            <w:tcBorders>
              <w:top w:val="single" w:sz="5" w:space="0" w:color="D2D2D2"/>
              <w:left w:val="single" w:sz="4" w:space="0" w:color="000000"/>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1,160,063,646.84</w:t>
            </w:r>
          </w:p>
        </w:tc>
      </w:tr>
      <w:tr>
        <w:trPr>
          <w:trHeight w:val="32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20,794,490.97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72,037,430.17</w:t>
            </w:r>
          </w:p>
        </w:tc>
      </w:tr>
      <w:tr>
        <w:trPr>
          <w:trHeight w:val="557"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5,505,411.40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275,549.87</w:t>
            </w:r>
          </w:p>
        </w:tc>
      </w:tr>
      <w:tr>
        <w:trPr>
          <w:trHeight w:val="557"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136,931,998.95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1,232,376,626.88</w:t>
            </w:r>
          </w:p>
        </w:tc>
      </w:tr>
      <w:tr>
        <w:trPr>
          <w:trHeight w:val="557"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1,430,792,211.31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1,349,162,918.28</w:t>
            </w:r>
          </w:p>
        </w:tc>
      </w:tr>
      <w:tr>
        <w:trPr>
          <w:trHeight w:val="32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213,700,712.10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1,902,664,981.46</w:t>
            </w:r>
          </w:p>
        </w:tc>
      </w:tr>
      <w:tr>
        <w:trPr>
          <w:trHeight w:val="32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3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201,122.25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355,200,907.83</w:t>
            </w:r>
          </w:p>
        </w:tc>
      </w:tr>
      <w:tr>
        <w:trPr>
          <w:trHeight w:val="32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3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1,644,694,045.66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3,607,028,807.57</w:t>
            </w:r>
          </w:p>
        </w:tc>
      </w:tr>
      <w:tr>
        <w:trPr>
          <w:trHeight w:val="33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8" w:type="dxa"/>
            <w:tcBorders>
              <w:top w:val="single" w:sz="4" w:space="0" w:color="000000"/>
              <w:left w:val="single" w:sz="13" w:space="0" w:color="D2D2D2"/>
              <w:bottom w:val="single" w:sz="5" w:space="0" w:color="D2D2D2"/>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-1,507,762,046.71</w:t>
            </w:r>
          </w:p>
        </w:tc>
        <w:tc>
          <w:tcPr>
            <w:tcW w:w="3300"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-2,374,652,180.69</w:t>
            </w:r>
          </w:p>
        </w:tc>
      </w:tr>
      <w:tr>
        <w:trPr>
          <w:trHeight w:val="310"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8" w:type="dxa"/>
            <w:tcBorders>
              <w:top w:val="single" w:sz="9" w:space="0" w:color="D2D2D2"/>
              <w:left w:val="single" w:sz="13" w:space="0" w:color="D2D2D2"/>
              <w:bottom w:val="single" w:sz="4" w:space="0" w:color="000000"/>
              <w:right w:val="single" w:sz="4" w:space="0" w:color="000000"/>
            </w:tcBorders>
          </w:tcPr>
          <w:p>
            <w:pPr/>
          </w:p>
        </w:tc>
        <w:tc>
          <w:tcPr>
            <w:tcW w:w="3300"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557"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35"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32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17,040,458,676.91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14,045,813,054.59</w:t>
            </w:r>
          </w:p>
        </w:tc>
      </w:tr>
      <w:tr>
        <w:trPr>
          <w:trHeight w:val="32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35"/>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17,040,458,676.91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14,050,813,054.59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15,653,265,713.43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10,532,221,945.44</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703,729,511.06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439,438,756.60</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21,358,777.95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8,795,890.08</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16,378,354,002.44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10,980,456,592.12</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662,104,674.47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3,070,356,462.47</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-7,005,504.32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-6,074,153.01</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-492,123,259.02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397,829,837.72</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1,470,744,696.88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1,072,914,859.16</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978,621,437.86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1,470,744,696.88</w:t>
            </w:r>
          </w:p>
        </w:tc>
      </w:tr>
    </w:tbl>
    <w:p>
      <w:pPr>
        <w:spacing w:line="240" w:lineRule="auto" w:before="11"/>
        <w:rPr>
          <w:rFonts w:ascii="Times New Roman" w:hAnsi="Times New Roman" w:cs="Times New Roman" w:eastAsia="Times New Roman" w:hint="default"/>
          <w:sz w:val="19"/>
          <w:szCs w:val="19"/>
        </w:rPr>
      </w:pPr>
    </w:p>
    <w:p>
      <w:pPr>
        <w:pStyle w:val="Heading3"/>
        <w:spacing w:line="240" w:lineRule="auto" w:before="35"/>
        <w:ind w:right="0"/>
        <w:jc w:val="left"/>
        <w:rPr>
          <w:b w:val="0"/>
          <w:bCs w:val="0"/>
        </w:rPr>
      </w:pPr>
      <w:bookmarkStart w:name="6、母公司现金流量表" w:id="163"/>
      <w:bookmarkEnd w:id="163"/>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2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1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5" w:space="0" w:color="D2D2D2"/>
              <w:left w:val="single" w:sz="13" w:space="0" w:color="D2D2D2"/>
              <w:bottom w:val="single" w:sz="4" w:space="0" w:color="000000"/>
              <w:right w:val="single" w:sz="4" w:space="0" w:color="000000"/>
            </w:tcBorders>
          </w:tcPr>
          <w:p>
            <w:pPr/>
          </w:p>
        </w:tc>
        <w:tc>
          <w:tcPr>
            <w:tcW w:w="3300" w:type="dxa"/>
            <w:tcBorders>
              <w:top w:val="single" w:sz="5" w:space="0" w:color="D2D2D2"/>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16,526,592.19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4,070,486.64</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16,526,592.19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4,070,486.64</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609,013,042.64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550,159,166.82</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10"/>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34" w:lineRule="exact"/>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12,001,988.21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15,766,214.08</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2,710,290.70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5,646,415.85</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16,077,608.18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26,088,248.78</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639,802,929.73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597,660,045.53</w:t>
            </w:r>
          </w:p>
        </w:tc>
      </w:tr>
      <w:tr>
        <w:trPr>
          <w:trHeight w:val="33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10" w:space="0" w:color="D2D2D2"/>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-623,276,337.54</w:t>
            </w:r>
          </w:p>
        </w:tc>
        <w:tc>
          <w:tcPr>
            <w:tcW w:w="3300"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-593,589,558.89</w:t>
            </w:r>
          </w:p>
        </w:tc>
      </w:tr>
      <w:tr>
        <w:trPr>
          <w:trHeight w:val="31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9" w:space="0" w:color="D2D2D2"/>
              <w:left w:val="single" w:sz="13" w:space="0" w:color="D2D2D2"/>
              <w:bottom w:val="single" w:sz="4" w:space="0" w:color="000000"/>
              <w:right w:val="single" w:sz="4" w:space="0" w:color="000000"/>
            </w:tcBorders>
          </w:tcPr>
          <w:p>
            <w:pPr/>
          </w:p>
        </w:tc>
        <w:tc>
          <w:tcPr>
            <w:tcW w:w="3300"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75,000,000.00</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206,457,722.04</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281,457,722.04</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3"/>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1,402,372,186.75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1,276,064,635.38</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106,694,627.04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5,019,600.00</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1,509,066,813.79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1,641,084,235.38</w:t>
            </w:r>
          </w:p>
        </w:tc>
      </w:tr>
      <w:tr>
        <w:trPr>
          <w:trHeight w:val="32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9" w:space="0" w:color="D2D2D2"/>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-1,484,066,813.79</w:t>
            </w:r>
          </w:p>
        </w:tc>
        <w:tc>
          <w:tcPr>
            <w:tcW w:w="3300"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-1,359,626,513.34</w:t>
            </w:r>
          </w:p>
        </w:tc>
      </w:tr>
      <w:tr>
        <w:trPr>
          <w:trHeight w:val="31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9" w:space="0" w:color="D2D2D2"/>
              <w:left w:val="single" w:sz="13" w:space="0" w:color="D2D2D2"/>
              <w:bottom w:val="single" w:sz="4" w:space="0" w:color="000000"/>
              <w:right w:val="single" w:sz="4" w:space="0" w:color="000000"/>
            </w:tcBorders>
          </w:tcPr>
          <w:p>
            <w:pPr/>
          </w:p>
        </w:tc>
        <w:tc>
          <w:tcPr>
            <w:tcW w:w="3300" w:type="dxa"/>
            <w:tcBorders>
              <w:top w:val="single" w:sz="9" w:space="0" w:color="D2D2D2"/>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3,156,000,000.00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2,420,000,000.00</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3,156,000,000.00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2,420,000,000.00</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850,000,000.00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350,000,000.00</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201,245,398.96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119,107,451.39</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1,051,245,398.96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469,107,451.39</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2,104,754,601.04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1,950,892,548.61</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-16.92</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-2,588,539.31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-2,323,540.54</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4,321,494.35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6,645,034.89</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1,732,955.04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4,321,494.35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pStyle w:val="Heading3"/>
        <w:spacing w:line="240" w:lineRule="auto" w:before="31"/>
        <w:ind w:left="280" w:right="0"/>
        <w:jc w:val="left"/>
        <w:rPr>
          <w:b w:val="0"/>
          <w:bCs w:val="0"/>
        </w:rPr>
      </w:pPr>
      <w:r>
        <w:rPr/>
        <w:pict>
          <v:group style="position:absolute;margin-left:70.5pt;margin-top:2.233667pt;width:701pt;height:.1pt;mso-position-horizontal-relative:page;mso-position-vertical-relative:paragraph;z-index:-1465048" coordorigin="1410,45" coordsize="14020,2">
            <v:shape style="position:absolute;left:1410;top:45;width:14020;height:2" coordorigin="1410,45" coordsize="14020,0" path="m1410,45l15430,45e" filled="false" stroked="true" strokeweight=".72pt" strokecolor="#000000">
              <v:path arrowok="t"/>
            </v:shape>
            <w10:wrap type="none"/>
          </v:group>
        </w:pict>
      </w:r>
      <w:bookmarkStart w:name="7、合并所有者权益变动表" w:id="164"/>
      <w:bookmarkEnd w:id="164"/>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280" w:right="0"/>
        <w:jc w:val="left"/>
      </w:pPr>
      <w:r>
        <w:rPr/>
        <w:t>本期金额</w:t>
      </w:r>
    </w:p>
    <w:p>
      <w:pPr>
        <w:pStyle w:val="BodyText"/>
        <w:spacing w:line="240" w:lineRule="auto" w:before="38"/>
        <w:ind w:left="0" w:right="376"/>
        <w:jc w:val="right"/>
      </w:pPr>
      <w:r>
        <w:rPr/>
        <w:t>单位：元</w:t>
      </w:r>
    </w:p>
    <w:p>
      <w:pPr>
        <w:spacing w:line="240" w:lineRule="auto" w:before="6"/>
        <w:rPr>
          <w:rFonts w:ascii="宋体" w:hAnsi="宋体" w:cs="宋体" w:eastAsia="宋体" w:hint="default"/>
          <w:sz w:val="4"/>
          <w:szCs w:val="4"/>
        </w:rPr>
      </w:pPr>
    </w:p>
    <w:tbl>
      <w:tblPr>
        <w:tblW w:w="0" w:type="auto"/>
        <w:jc w:val="left"/>
        <w:tblInd w:w="111" w:type="dxa"/>
        <w:tblLayout w:type="fixed"/>
        <w:tblCellMar>
          <w:top w:w="0" w:type="dxa"/>
          <w:left w:w="0" w:type="dxa"/>
          <w:bottom w:w="0" w:type="dxa"/>
          <w:right w:w="0" w:type="dxa"/>
        </w:tblCellMar>
        <w:tblLook w:val="01E0"/>
      </w:tblPr>
      <w:tblGrid>
        <w:gridCol w:w="1973"/>
        <w:gridCol w:w="1295"/>
        <w:gridCol w:w="506"/>
        <w:gridCol w:w="492"/>
        <w:gridCol w:w="643"/>
        <w:gridCol w:w="1346"/>
        <w:gridCol w:w="650"/>
        <w:gridCol w:w="1059"/>
        <w:gridCol w:w="797"/>
        <w:gridCol w:w="1139"/>
        <w:gridCol w:w="714"/>
        <w:gridCol w:w="1200"/>
        <w:gridCol w:w="1136"/>
        <w:gridCol w:w="1424"/>
      </w:tblGrid>
      <w:tr>
        <w:trPr>
          <w:trHeight w:val="323" w:hRule="exact"/>
        </w:trPr>
        <w:tc>
          <w:tcPr>
            <w:tcW w:w="1973" w:type="dxa"/>
            <w:vMerge w:val="restart"/>
            <w:tcBorders>
              <w:top w:val="single" w:sz="4" w:space="0" w:color="000000"/>
              <w:left w:val="single" w:sz="4" w:space="0" w:color="000000"/>
              <w:right w:val="single" w:sz="4" w:space="0" w:color="000000"/>
            </w:tcBorders>
            <w:shd w:val="clear" w:color="auto" w:fill="D2D2D2"/>
          </w:tcPr>
          <w:p>
            <w:pPr/>
          </w:p>
        </w:tc>
        <w:tc>
          <w:tcPr>
            <w:tcW w:w="1240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19" w:hRule="exact"/>
        </w:trPr>
        <w:tc>
          <w:tcPr>
            <w:tcW w:w="1973" w:type="dxa"/>
            <w:vMerge/>
            <w:tcBorders>
              <w:left w:val="single" w:sz="4" w:space="0" w:color="000000"/>
              <w:bottom w:val="nil" w:sz="6" w:space="0" w:color="auto"/>
              <w:right w:val="single" w:sz="4" w:space="0" w:color="000000"/>
            </w:tcBorders>
            <w:shd w:val="clear" w:color="auto" w:fill="D2D2D2"/>
          </w:tcPr>
          <w:p>
            <w:pPr/>
          </w:p>
        </w:tc>
        <w:tc>
          <w:tcPr>
            <w:tcW w:w="984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36" w:type="dxa"/>
            <w:vMerge w:val="restart"/>
            <w:tcBorders>
              <w:top w:val="single" w:sz="4" w:space="0" w:color="000000"/>
              <w:left w:val="single" w:sz="4" w:space="0" w:color="000000"/>
              <w:right w:val="single" w:sz="4" w:space="0" w:color="000000"/>
            </w:tcBorders>
            <w:shd w:val="clear" w:color="auto" w:fill="D2D2D2"/>
          </w:tcPr>
          <w:p>
            <w:pPr/>
          </w:p>
        </w:tc>
        <w:tc>
          <w:tcPr>
            <w:tcW w:w="1424" w:type="dxa"/>
            <w:vMerge w:val="restart"/>
            <w:tcBorders>
              <w:top w:val="single" w:sz="4" w:space="0" w:color="000000"/>
              <w:left w:val="single" w:sz="4" w:space="0" w:color="000000"/>
              <w:right w:val="single" w:sz="4" w:space="0" w:color="000000"/>
            </w:tcBorders>
            <w:shd w:val="clear" w:color="auto" w:fill="D2D2D2"/>
          </w:tcPr>
          <w:p>
            <w:pPr/>
          </w:p>
        </w:tc>
      </w:tr>
      <w:tr>
        <w:trPr>
          <w:trHeight w:val="149" w:hRule="exact"/>
        </w:trPr>
        <w:tc>
          <w:tcPr>
            <w:tcW w:w="1973" w:type="dxa"/>
            <w:vMerge w:val="restart"/>
            <w:tcBorders>
              <w:top w:val="nil" w:sz="6" w:space="0" w:color="auto"/>
              <w:left w:val="single" w:sz="4" w:space="0" w:color="000000"/>
              <w:right w:val="single" w:sz="4" w:space="0" w:color="000000"/>
            </w:tcBorders>
            <w:shd w:val="clear" w:color="auto" w:fill="D2D2D2"/>
          </w:tcPr>
          <w:p>
            <w:pPr>
              <w:pStyle w:val="TableParagraph"/>
              <w:spacing w:line="221"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95" w:type="dxa"/>
            <w:vMerge w:val="restart"/>
            <w:tcBorders>
              <w:top w:val="single" w:sz="4" w:space="0" w:color="000000"/>
              <w:left w:val="single" w:sz="4" w:space="0" w:color="000000"/>
              <w:right w:val="single" w:sz="4" w:space="0" w:color="000000"/>
            </w:tcBorders>
            <w:shd w:val="clear" w:color="auto" w:fill="D2D2D2"/>
          </w:tcPr>
          <w:p>
            <w:pPr/>
          </w:p>
        </w:tc>
        <w:tc>
          <w:tcPr>
            <w:tcW w:w="164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left="27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46" w:type="dxa"/>
            <w:vMerge w:val="restart"/>
            <w:tcBorders>
              <w:top w:val="single" w:sz="4" w:space="0" w:color="000000"/>
              <w:left w:val="single" w:sz="4" w:space="0" w:color="000000"/>
              <w:right w:val="single" w:sz="4" w:space="0" w:color="000000"/>
            </w:tcBorders>
            <w:shd w:val="clear" w:color="auto" w:fill="D2D2D2"/>
          </w:tcPr>
          <w:p>
            <w:pPr/>
          </w:p>
        </w:tc>
        <w:tc>
          <w:tcPr>
            <w:tcW w:w="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1139" w:type="dxa"/>
            <w:vMerge w:val="restart"/>
            <w:tcBorders>
              <w:top w:val="single" w:sz="4" w:space="0" w:color="000000"/>
              <w:left w:val="single" w:sz="4" w:space="0" w:color="000000"/>
              <w:right w:val="single" w:sz="4" w:space="0" w:color="000000"/>
            </w:tcBorders>
            <w:shd w:val="clear" w:color="auto" w:fill="D2D2D2"/>
          </w:tcPr>
          <w:p>
            <w:pPr/>
          </w:p>
        </w:tc>
        <w:tc>
          <w:tcPr>
            <w:tcW w:w="7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0" w:type="dxa"/>
            <w:vMerge w:val="restart"/>
            <w:tcBorders>
              <w:top w:val="single" w:sz="4" w:space="0" w:color="000000"/>
              <w:left w:val="single" w:sz="4" w:space="0" w:color="000000"/>
              <w:right w:val="single" w:sz="4" w:space="0" w:color="000000"/>
            </w:tcBorders>
            <w:shd w:val="clear" w:color="auto" w:fill="D2D2D2"/>
          </w:tcPr>
          <w:p>
            <w:pPr/>
          </w:p>
        </w:tc>
        <w:tc>
          <w:tcPr>
            <w:tcW w:w="1136" w:type="dxa"/>
            <w:vMerge/>
            <w:tcBorders>
              <w:left w:val="single" w:sz="4" w:space="0" w:color="000000"/>
              <w:bottom w:val="nil" w:sz="6" w:space="0" w:color="auto"/>
              <w:right w:val="single" w:sz="4" w:space="0" w:color="000000"/>
            </w:tcBorders>
            <w:shd w:val="clear" w:color="auto" w:fill="D2D2D2"/>
          </w:tcPr>
          <w:p>
            <w:pPr/>
          </w:p>
        </w:tc>
        <w:tc>
          <w:tcPr>
            <w:tcW w:w="1424" w:type="dxa"/>
            <w:vMerge/>
            <w:tcBorders>
              <w:left w:val="single" w:sz="4" w:space="0" w:color="000000"/>
              <w:bottom w:val="nil" w:sz="6" w:space="0" w:color="auto"/>
              <w:right w:val="single" w:sz="4" w:space="0" w:color="000000"/>
            </w:tcBorders>
            <w:shd w:val="clear" w:color="auto" w:fill="D2D2D2"/>
          </w:tcPr>
          <w:p>
            <w:pPr/>
          </w:p>
        </w:tc>
      </w:tr>
      <w:tr>
        <w:trPr>
          <w:trHeight w:val="125" w:hRule="exact"/>
        </w:trPr>
        <w:tc>
          <w:tcPr>
            <w:tcW w:w="1973" w:type="dxa"/>
            <w:vMerge/>
            <w:tcBorders>
              <w:left w:val="single" w:sz="4" w:space="0" w:color="000000"/>
              <w:bottom w:val="nil" w:sz="6" w:space="0" w:color="auto"/>
              <w:right w:val="single" w:sz="4" w:space="0" w:color="000000"/>
            </w:tcBorders>
            <w:shd w:val="clear" w:color="auto" w:fill="D2D2D2"/>
          </w:tcPr>
          <w:p>
            <w:pPr/>
          </w:p>
        </w:tc>
        <w:tc>
          <w:tcPr>
            <w:tcW w:w="1295" w:type="dxa"/>
            <w:vMerge/>
            <w:tcBorders>
              <w:left w:val="single" w:sz="4" w:space="0" w:color="000000"/>
              <w:bottom w:val="nil" w:sz="6" w:space="0" w:color="auto"/>
              <w:right w:val="single" w:sz="4" w:space="0" w:color="000000"/>
            </w:tcBorders>
            <w:shd w:val="clear" w:color="auto" w:fill="D2D2D2"/>
          </w:tcPr>
          <w:p>
            <w:pPr/>
          </w:p>
        </w:tc>
        <w:tc>
          <w:tcPr>
            <w:tcW w:w="1642" w:type="dxa"/>
            <w:gridSpan w:val="3"/>
            <w:vMerge/>
            <w:tcBorders>
              <w:left w:val="single" w:sz="4" w:space="0" w:color="000000"/>
              <w:bottom w:val="single" w:sz="4" w:space="0" w:color="000000"/>
              <w:right w:val="single" w:sz="4" w:space="0" w:color="000000"/>
            </w:tcBorders>
            <w:shd w:val="clear" w:color="auto" w:fill="D2D2D2"/>
          </w:tcPr>
          <w:p>
            <w:pPr/>
          </w:p>
        </w:tc>
        <w:tc>
          <w:tcPr>
            <w:tcW w:w="1346" w:type="dxa"/>
            <w:vMerge/>
            <w:tcBorders>
              <w:left w:val="single" w:sz="4" w:space="0" w:color="000000"/>
              <w:bottom w:val="nil" w:sz="6" w:space="0" w:color="auto"/>
              <w:right w:val="single" w:sz="4" w:space="0" w:color="000000"/>
            </w:tcBorders>
            <w:shd w:val="clear" w:color="auto" w:fill="D2D2D2"/>
          </w:tcPr>
          <w:p>
            <w:pPr/>
          </w:p>
        </w:tc>
        <w:tc>
          <w:tcPr>
            <w:tcW w:w="6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left="139" w:right="49"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105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left="434" w:right="72" w:hanging="361"/>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797" w:type="dxa"/>
            <w:vMerge/>
            <w:tcBorders>
              <w:left w:val="single" w:sz="4" w:space="0" w:color="000000"/>
              <w:bottom w:val="nil" w:sz="6" w:space="0" w:color="auto"/>
              <w:right w:val="single" w:sz="4" w:space="0" w:color="000000"/>
            </w:tcBorders>
            <w:shd w:val="clear" w:color="auto" w:fill="D2D2D2"/>
          </w:tcPr>
          <w:p>
            <w:pPr/>
          </w:p>
        </w:tc>
        <w:tc>
          <w:tcPr>
            <w:tcW w:w="1139" w:type="dxa"/>
            <w:vMerge/>
            <w:tcBorders>
              <w:left w:val="single" w:sz="4" w:space="0" w:color="000000"/>
              <w:bottom w:val="nil" w:sz="6" w:space="0" w:color="auto"/>
              <w:right w:val="single" w:sz="4" w:space="0" w:color="000000"/>
            </w:tcBorders>
            <w:shd w:val="clear" w:color="auto" w:fill="D2D2D2"/>
          </w:tcPr>
          <w:p>
            <w:pPr/>
          </w:p>
        </w:tc>
        <w:tc>
          <w:tcPr>
            <w:tcW w:w="7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left="82" w:right="79"/>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200" w:type="dxa"/>
            <w:vMerge/>
            <w:tcBorders>
              <w:left w:val="single" w:sz="4" w:space="0" w:color="000000"/>
              <w:bottom w:val="nil" w:sz="6" w:space="0" w:color="auto"/>
              <w:right w:val="single" w:sz="4" w:space="0" w:color="000000"/>
            </w:tcBorders>
            <w:shd w:val="clear" w:color="auto" w:fill="D2D2D2"/>
          </w:tcPr>
          <w:p>
            <w:pPr/>
          </w:p>
        </w:tc>
        <w:tc>
          <w:tcPr>
            <w:tcW w:w="1136" w:type="dxa"/>
            <w:vMerge w:val="restart"/>
            <w:tcBorders>
              <w:top w:val="nil" w:sz="6" w:space="0" w:color="auto"/>
              <w:left w:val="single" w:sz="23" w:space="0" w:color="D2D2D2"/>
              <w:right w:val="single" w:sz="9" w:space="0" w:color="D2D2D2"/>
            </w:tcBorders>
          </w:tcPr>
          <w:p>
            <w:pPr>
              <w:pStyle w:val="TableParagraph"/>
              <w:spacing w:line="233" w:lineRule="exact"/>
              <w:ind w:left="-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少数股东权益</w:t>
            </w:r>
            <w:r>
              <w:rPr>
                <w:rFonts w:ascii="宋体" w:hAnsi="宋体" w:cs="宋体" w:eastAsia="宋体" w:hint="default"/>
                <w:sz w:val="18"/>
                <w:szCs w:val="18"/>
              </w:rPr>
            </w:r>
          </w:p>
        </w:tc>
        <w:tc>
          <w:tcPr>
            <w:tcW w:w="1424" w:type="dxa"/>
            <w:vMerge w:val="restart"/>
            <w:tcBorders>
              <w:top w:val="nil" w:sz="6" w:space="0" w:color="auto"/>
              <w:left w:val="single" w:sz="9" w:space="0" w:color="D2D2D2"/>
              <w:right w:val="single" w:sz="10" w:space="0" w:color="D2D2D2"/>
            </w:tcBorders>
          </w:tcPr>
          <w:p>
            <w:pPr>
              <w:pStyle w:val="TableParagraph"/>
              <w:spacing w:line="233" w:lineRule="exact"/>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9"/>
                <w:sz w:val="18"/>
                <w:szCs w:val="18"/>
                <w:shd w:fill="D2D2D2" w:color="auto" w:val="clear"/>
              </w:rPr>
              <w:t> </w:t>
            </w:r>
            <w:r>
              <w:rPr>
                <w:rFonts w:ascii="宋体" w:hAnsi="宋体" w:cs="宋体" w:eastAsia="宋体" w:hint="default"/>
                <w:sz w:val="18"/>
                <w:szCs w:val="18"/>
                <w:shd w:fill="D2D2D2" w:color="auto" w:val="clear"/>
              </w:rPr>
              <w:t>所有者权益合计</w:t>
            </w:r>
            <w:r>
              <w:rPr>
                <w:rFonts w:ascii="宋体" w:hAnsi="宋体" w:cs="宋体" w:eastAsia="宋体" w:hint="default"/>
                <w:sz w:val="18"/>
                <w:szCs w:val="18"/>
              </w:rPr>
            </w:r>
          </w:p>
        </w:tc>
      </w:tr>
      <w:tr>
        <w:trPr>
          <w:trHeight w:val="158" w:hRule="exact"/>
        </w:trPr>
        <w:tc>
          <w:tcPr>
            <w:tcW w:w="1973" w:type="dxa"/>
            <w:vMerge w:val="restart"/>
            <w:tcBorders>
              <w:top w:val="nil" w:sz="6" w:space="0" w:color="auto"/>
              <w:left w:val="single" w:sz="4" w:space="0" w:color="000000"/>
              <w:right w:val="single" w:sz="4" w:space="0" w:color="000000"/>
            </w:tcBorders>
            <w:shd w:val="clear" w:color="auto" w:fill="D2D2D2"/>
          </w:tcPr>
          <w:p>
            <w:pPr/>
          </w:p>
        </w:tc>
        <w:tc>
          <w:tcPr>
            <w:tcW w:w="12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2"/>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06"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86"/>
              <w:ind w:left="157" w:right="67"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92"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86"/>
              <w:ind w:left="150" w:right="60"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643" w:type="dxa"/>
            <w:tcBorders>
              <w:top w:val="single" w:sz="4" w:space="0" w:color="000000"/>
              <w:left w:val="single" w:sz="4" w:space="0" w:color="000000"/>
              <w:bottom w:val="nil" w:sz="6" w:space="0" w:color="auto"/>
              <w:right w:val="single" w:sz="4" w:space="0" w:color="000000"/>
            </w:tcBorders>
            <w:shd w:val="clear" w:color="auto" w:fill="D2D2D2"/>
          </w:tcPr>
          <w:p>
            <w:pPr/>
          </w:p>
        </w:tc>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2"/>
              <w:ind w:left="30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650" w:type="dxa"/>
            <w:vMerge/>
            <w:tcBorders>
              <w:left w:val="single" w:sz="4" w:space="0" w:color="000000"/>
              <w:right w:val="single" w:sz="4" w:space="0" w:color="000000"/>
            </w:tcBorders>
            <w:shd w:val="clear" w:color="auto" w:fill="D2D2D2"/>
          </w:tcPr>
          <w:p>
            <w:pPr/>
          </w:p>
        </w:tc>
        <w:tc>
          <w:tcPr>
            <w:tcW w:w="1059"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3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left="20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14" w:type="dxa"/>
            <w:vMerge/>
            <w:tcBorders>
              <w:left w:val="single" w:sz="4" w:space="0" w:color="000000"/>
              <w:right w:val="single" w:sz="4" w:space="0" w:color="000000"/>
            </w:tcBorders>
            <w:shd w:val="clear" w:color="auto" w:fill="D2D2D2"/>
          </w:tcPr>
          <w:p>
            <w:pPr/>
          </w:p>
        </w:tc>
        <w:tc>
          <w:tcPr>
            <w:tcW w:w="12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left="14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36" w:type="dxa"/>
            <w:vMerge/>
            <w:tcBorders>
              <w:left w:val="single" w:sz="23" w:space="0" w:color="D2D2D2"/>
              <w:bottom w:val="nil" w:sz="6" w:space="0" w:color="auto"/>
              <w:right w:val="single" w:sz="9" w:space="0" w:color="D2D2D2"/>
            </w:tcBorders>
          </w:tcPr>
          <w:p>
            <w:pPr/>
          </w:p>
        </w:tc>
        <w:tc>
          <w:tcPr>
            <w:tcW w:w="1424" w:type="dxa"/>
            <w:vMerge/>
            <w:tcBorders>
              <w:left w:val="single" w:sz="9" w:space="0" w:color="D2D2D2"/>
              <w:bottom w:val="nil" w:sz="6" w:space="0" w:color="auto"/>
              <w:right w:val="single" w:sz="10" w:space="0" w:color="D2D2D2"/>
            </w:tcBorders>
          </w:tcPr>
          <w:p>
            <w:pPr/>
          </w:p>
        </w:tc>
      </w:tr>
      <w:tr>
        <w:trPr>
          <w:trHeight w:val="157" w:hRule="exact"/>
        </w:trPr>
        <w:tc>
          <w:tcPr>
            <w:tcW w:w="1973" w:type="dxa"/>
            <w:vMerge/>
            <w:tcBorders>
              <w:left w:val="single" w:sz="4" w:space="0" w:color="000000"/>
              <w:right w:val="single" w:sz="4" w:space="0" w:color="000000"/>
            </w:tcBorders>
            <w:shd w:val="clear" w:color="auto" w:fill="D2D2D2"/>
          </w:tcPr>
          <w:p>
            <w:pPr/>
          </w:p>
        </w:tc>
        <w:tc>
          <w:tcPr>
            <w:tcW w:w="1295" w:type="dxa"/>
            <w:vMerge/>
            <w:tcBorders>
              <w:left w:val="single" w:sz="4" w:space="0" w:color="000000"/>
              <w:bottom w:val="nil" w:sz="6" w:space="0" w:color="auto"/>
              <w:right w:val="single" w:sz="4" w:space="0" w:color="000000"/>
            </w:tcBorders>
            <w:shd w:val="clear" w:color="auto" w:fill="D2D2D2"/>
          </w:tcPr>
          <w:p>
            <w:pPr/>
          </w:p>
        </w:tc>
        <w:tc>
          <w:tcPr>
            <w:tcW w:w="506" w:type="dxa"/>
            <w:vMerge/>
            <w:tcBorders>
              <w:left w:val="single" w:sz="4" w:space="0" w:color="000000"/>
              <w:right w:val="single" w:sz="4" w:space="0" w:color="000000"/>
            </w:tcBorders>
            <w:shd w:val="clear" w:color="auto" w:fill="D2D2D2"/>
          </w:tcPr>
          <w:p>
            <w:pPr/>
          </w:p>
        </w:tc>
        <w:tc>
          <w:tcPr>
            <w:tcW w:w="492" w:type="dxa"/>
            <w:vMerge/>
            <w:tcBorders>
              <w:left w:val="single" w:sz="4" w:space="0" w:color="000000"/>
              <w:right w:val="single" w:sz="4" w:space="0" w:color="000000"/>
            </w:tcBorders>
            <w:shd w:val="clear" w:color="auto" w:fill="D2D2D2"/>
          </w:tcPr>
          <w:p>
            <w:pPr/>
          </w:p>
        </w:tc>
        <w:tc>
          <w:tcPr>
            <w:tcW w:w="6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5"/>
              <w:ind w:left="1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46" w:type="dxa"/>
            <w:vMerge/>
            <w:tcBorders>
              <w:left w:val="single" w:sz="4" w:space="0" w:color="000000"/>
              <w:bottom w:val="nil" w:sz="6" w:space="0" w:color="auto"/>
              <w:right w:val="single" w:sz="4" w:space="0" w:color="000000"/>
            </w:tcBorders>
            <w:shd w:val="clear" w:color="auto" w:fill="D2D2D2"/>
          </w:tcPr>
          <w:p>
            <w:pPr/>
          </w:p>
        </w:tc>
        <w:tc>
          <w:tcPr>
            <w:tcW w:w="650" w:type="dxa"/>
            <w:vMerge/>
            <w:tcBorders>
              <w:left w:val="single" w:sz="4" w:space="0" w:color="000000"/>
              <w:right w:val="single" w:sz="4" w:space="0" w:color="000000"/>
            </w:tcBorders>
            <w:shd w:val="clear" w:color="auto" w:fill="D2D2D2"/>
          </w:tcPr>
          <w:p>
            <w:pPr/>
          </w:p>
        </w:tc>
        <w:tc>
          <w:tcPr>
            <w:tcW w:w="105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1139" w:type="dxa"/>
            <w:vMerge/>
            <w:tcBorders>
              <w:left w:val="single" w:sz="4" w:space="0" w:color="000000"/>
              <w:bottom w:val="nil" w:sz="6" w:space="0" w:color="auto"/>
              <w:right w:val="single" w:sz="4" w:space="0" w:color="000000"/>
            </w:tcBorders>
            <w:shd w:val="clear" w:color="auto" w:fill="D2D2D2"/>
          </w:tcPr>
          <w:p>
            <w:pPr/>
          </w:p>
        </w:tc>
        <w:tc>
          <w:tcPr>
            <w:tcW w:w="714" w:type="dxa"/>
            <w:vMerge/>
            <w:tcBorders>
              <w:left w:val="single" w:sz="4" w:space="0" w:color="000000"/>
              <w:right w:val="single" w:sz="4" w:space="0" w:color="000000"/>
            </w:tcBorders>
            <w:shd w:val="clear" w:color="auto" w:fill="D2D2D2"/>
          </w:tcPr>
          <w:p>
            <w:pPr/>
          </w:p>
        </w:tc>
        <w:tc>
          <w:tcPr>
            <w:tcW w:w="1200" w:type="dxa"/>
            <w:vMerge/>
            <w:tcBorders>
              <w:left w:val="single" w:sz="4" w:space="0" w:color="000000"/>
              <w:bottom w:val="nil" w:sz="6" w:space="0" w:color="auto"/>
              <w:right w:val="single" w:sz="4" w:space="0" w:color="000000"/>
            </w:tcBorders>
            <w:shd w:val="clear" w:color="auto" w:fill="D2D2D2"/>
          </w:tcPr>
          <w:p>
            <w:pPr/>
          </w:p>
        </w:tc>
        <w:tc>
          <w:tcPr>
            <w:tcW w:w="1136" w:type="dxa"/>
            <w:vMerge w:val="restart"/>
            <w:tcBorders>
              <w:top w:val="nil" w:sz="6" w:space="0" w:color="auto"/>
              <w:left w:val="single" w:sz="4" w:space="0" w:color="000000"/>
              <w:right w:val="single" w:sz="4" w:space="0" w:color="000000"/>
            </w:tcBorders>
            <w:shd w:val="clear" w:color="auto" w:fill="D2D2D2"/>
          </w:tcPr>
          <w:p>
            <w:pPr/>
          </w:p>
        </w:tc>
        <w:tc>
          <w:tcPr>
            <w:tcW w:w="1424" w:type="dxa"/>
            <w:vMerge w:val="restart"/>
            <w:tcBorders>
              <w:top w:val="nil" w:sz="6" w:space="0" w:color="auto"/>
              <w:left w:val="single" w:sz="4" w:space="0" w:color="000000"/>
              <w:right w:val="single" w:sz="4" w:space="0" w:color="000000"/>
            </w:tcBorders>
            <w:shd w:val="clear" w:color="auto" w:fill="D2D2D2"/>
          </w:tcPr>
          <w:p>
            <w:pPr/>
          </w:p>
        </w:tc>
      </w:tr>
      <w:tr>
        <w:trPr>
          <w:trHeight w:val="140" w:hRule="exact"/>
        </w:trPr>
        <w:tc>
          <w:tcPr>
            <w:tcW w:w="1973" w:type="dxa"/>
            <w:vMerge/>
            <w:tcBorders>
              <w:left w:val="single" w:sz="4" w:space="0" w:color="000000"/>
              <w:right w:val="single" w:sz="4" w:space="0" w:color="000000"/>
            </w:tcBorders>
            <w:shd w:val="clear" w:color="auto" w:fill="D2D2D2"/>
          </w:tcPr>
          <w:p>
            <w:pPr/>
          </w:p>
        </w:tc>
        <w:tc>
          <w:tcPr>
            <w:tcW w:w="1295" w:type="dxa"/>
            <w:vMerge w:val="restart"/>
            <w:tcBorders>
              <w:top w:val="nil" w:sz="6" w:space="0" w:color="auto"/>
              <w:left w:val="single" w:sz="4" w:space="0" w:color="000000"/>
              <w:right w:val="single" w:sz="4" w:space="0" w:color="000000"/>
            </w:tcBorders>
            <w:shd w:val="clear" w:color="auto" w:fill="D2D2D2"/>
          </w:tcPr>
          <w:p>
            <w:pPr/>
          </w:p>
        </w:tc>
        <w:tc>
          <w:tcPr>
            <w:tcW w:w="506" w:type="dxa"/>
            <w:vMerge/>
            <w:tcBorders>
              <w:left w:val="single" w:sz="4" w:space="0" w:color="000000"/>
              <w:right w:val="single" w:sz="4" w:space="0" w:color="000000"/>
            </w:tcBorders>
            <w:shd w:val="clear" w:color="auto" w:fill="D2D2D2"/>
          </w:tcPr>
          <w:p>
            <w:pPr/>
          </w:p>
        </w:tc>
        <w:tc>
          <w:tcPr>
            <w:tcW w:w="492" w:type="dxa"/>
            <w:vMerge/>
            <w:tcBorders>
              <w:left w:val="single" w:sz="4" w:space="0" w:color="000000"/>
              <w:right w:val="single" w:sz="4" w:space="0" w:color="000000"/>
            </w:tcBorders>
            <w:shd w:val="clear" w:color="auto" w:fill="D2D2D2"/>
          </w:tcPr>
          <w:p>
            <w:pPr/>
          </w:p>
        </w:tc>
        <w:tc>
          <w:tcPr>
            <w:tcW w:w="643" w:type="dxa"/>
            <w:vMerge/>
            <w:tcBorders>
              <w:left w:val="single" w:sz="4" w:space="0" w:color="000000"/>
              <w:bottom w:val="nil" w:sz="6" w:space="0" w:color="auto"/>
              <w:right w:val="single" w:sz="4" w:space="0" w:color="000000"/>
            </w:tcBorders>
            <w:shd w:val="clear" w:color="auto" w:fill="D2D2D2"/>
          </w:tcPr>
          <w:p>
            <w:pPr/>
          </w:p>
        </w:tc>
        <w:tc>
          <w:tcPr>
            <w:tcW w:w="1346" w:type="dxa"/>
            <w:vMerge w:val="restart"/>
            <w:tcBorders>
              <w:top w:val="nil" w:sz="6" w:space="0" w:color="auto"/>
              <w:left w:val="single" w:sz="4" w:space="0" w:color="000000"/>
              <w:right w:val="single" w:sz="4" w:space="0" w:color="000000"/>
            </w:tcBorders>
            <w:shd w:val="clear" w:color="auto" w:fill="D2D2D2"/>
          </w:tcPr>
          <w:p>
            <w:pPr/>
          </w:p>
        </w:tc>
        <w:tc>
          <w:tcPr>
            <w:tcW w:w="650" w:type="dxa"/>
            <w:vMerge/>
            <w:tcBorders>
              <w:left w:val="single" w:sz="4" w:space="0" w:color="000000"/>
              <w:bottom w:val="nil" w:sz="6" w:space="0" w:color="auto"/>
              <w:right w:val="single" w:sz="4" w:space="0" w:color="000000"/>
            </w:tcBorders>
            <w:shd w:val="clear" w:color="auto" w:fill="D2D2D2"/>
          </w:tcPr>
          <w:p>
            <w:pPr/>
          </w:p>
        </w:tc>
        <w:tc>
          <w:tcPr>
            <w:tcW w:w="1059"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1139" w:type="dxa"/>
            <w:vMerge w:val="restart"/>
            <w:tcBorders>
              <w:top w:val="nil" w:sz="6" w:space="0" w:color="auto"/>
              <w:left w:val="single" w:sz="4" w:space="0" w:color="000000"/>
              <w:right w:val="single" w:sz="4" w:space="0" w:color="000000"/>
            </w:tcBorders>
            <w:shd w:val="clear" w:color="auto" w:fill="D2D2D2"/>
          </w:tcPr>
          <w:p>
            <w:pPr/>
          </w:p>
        </w:tc>
        <w:tc>
          <w:tcPr>
            <w:tcW w:w="714" w:type="dxa"/>
            <w:vMerge/>
            <w:tcBorders>
              <w:left w:val="single" w:sz="4" w:space="0" w:color="000000"/>
              <w:bottom w:val="nil" w:sz="6" w:space="0" w:color="auto"/>
              <w:right w:val="single" w:sz="4" w:space="0" w:color="000000"/>
            </w:tcBorders>
            <w:shd w:val="clear" w:color="auto" w:fill="D2D2D2"/>
          </w:tcPr>
          <w:p>
            <w:pPr/>
          </w:p>
        </w:tc>
        <w:tc>
          <w:tcPr>
            <w:tcW w:w="1200" w:type="dxa"/>
            <w:vMerge w:val="restart"/>
            <w:tcBorders>
              <w:top w:val="nil" w:sz="6" w:space="0" w:color="auto"/>
              <w:left w:val="single" w:sz="4" w:space="0" w:color="000000"/>
              <w:right w:val="single" w:sz="4" w:space="0" w:color="000000"/>
            </w:tcBorders>
            <w:shd w:val="clear" w:color="auto" w:fill="D2D2D2"/>
          </w:tcPr>
          <w:p>
            <w:pPr/>
          </w:p>
        </w:tc>
        <w:tc>
          <w:tcPr>
            <w:tcW w:w="1136" w:type="dxa"/>
            <w:vMerge/>
            <w:tcBorders>
              <w:left w:val="single" w:sz="4" w:space="0" w:color="000000"/>
              <w:right w:val="single" w:sz="4" w:space="0" w:color="000000"/>
            </w:tcBorders>
            <w:shd w:val="clear" w:color="auto" w:fill="D2D2D2"/>
          </w:tcPr>
          <w:p>
            <w:pPr/>
          </w:p>
        </w:tc>
        <w:tc>
          <w:tcPr>
            <w:tcW w:w="1424" w:type="dxa"/>
            <w:vMerge/>
            <w:tcBorders>
              <w:left w:val="single" w:sz="4" w:space="0" w:color="000000"/>
              <w:right w:val="single" w:sz="4" w:space="0" w:color="000000"/>
            </w:tcBorders>
            <w:shd w:val="clear" w:color="auto" w:fill="D2D2D2"/>
          </w:tcPr>
          <w:p>
            <w:pPr/>
          </w:p>
        </w:tc>
      </w:tr>
      <w:tr>
        <w:trPr>
          <w:trHeight w:val="154" w:hRule="exact"/>
        </w:trPr>
        <w:tc>
          <w:tcPr>
            <w:tcW w:w="1973" w:type="dxa"/>
            <w:vMerge/>
            <w:tcBorders>
              <w:left w:val="single" w:sz="4" w:space="0" w:color="000000"/>
              <w:bottom w:val="single" w:sz="4" w:space="0" w:color="000000"/>
              <w:right w:val="single" w:sz="4" w:space="0" w:color="000000"/>
            </w:tcBorders>
            <w:shd w:val="clear" w:color="auto" w:fill="D2D2D2"/>
          </w:tcPr>
          <w:p>
            <w:pPr/>
          </w:p>
        </w:tc>
        <w:tc>
          <w:tcPr>
            <w:tcW w:w="1295" w:type="dxa"/>
            <w:vMerge/>
            <w:tcBorders>
              <w:left w:val="single" w:sz="4" w:space="0" w:color="000000"/>
              <w:bottom w:val="single" w:sz="4" w:space="0" w:color="000000"/>
              <w:right w:val="single" w:sz="4" w:space="0" w:color="000000"/>
            </w:tcBorders>
            <w:shd w:val="clear" w:color="auto" w:fill="D2D2D2"/>
          </w:tcPr>
          <w:p>
            <w:pPr/>
          </w:p>
        </w:tc>
        <w:tc>
          <w:tcPr>
            <w:tcW w:w="506" w:type="dxa"/>
            <w:vMerge/>
            <w:tcBorders>
              <w:left w:val="single" w:sz="4" w:space="0" w:color="000000"/>
              <w:bottom w:val="single" w:sz="4" w:space="0" w:color="000000"/>
              <w:right w:val="single" w:sz="4" w:space="0" w:color="000000"/>
            </w:tcBorders>
            <w:shd w:val="clear" w:color="auto" w:fill="D2D2D2"/>
          </w:tcPr>
          <w:p>
            <w:pPr/>
          </w:p>
        </w:tc>
        <w:tc>
          <w:tcPr>
            <w:tcW w:w="492" w:type="dxa"/>
            <w:vMerge/>
            <w:tcBorders>
              <w:left w:val="single" w:sz="4" w:space="0" w:color="000000"/>
              <w:bottom w:val="single" w:sz="4" w:space="0" w:color="000000"/>
              <w:right w:val="single" w:sz="4" w:space="0" w:color="000000"/>
            </w:tcBorders>
            <w:shd w:val="clear" w:color="auto" w:fill="D2D2D2"/>
          </w:tcPr>
          <w:p>
            <w:pPr/>
          </w:p>
        </w:tc>
        <w:tc>
          <w:tcPr>
            <w:tcW w:w="643"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6" w:type="dxa"/>
            <w:vMerge/>
            <w:tcBorders>
              <w:left w:val="single" w:sz="4" w:space="0" w:color="000000"/>
              <w:bottom w:val="single" w:sz="4" w:space="0" w:color="000000"/>
              <w:right w:val="single" w:sz="4" w:space="0" w:color="000000"/>
            </w:tcBorders>
            <w:shd w:val="clear" w:color="auto" w:fill="D2D2D2"/>
          </w:tcPr>
          <w:p>
            <w:pPr/>
          </w:p>
        </w:tc>
        <w:tc>
          <w:tcPr>
            <w:tcW w:w="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1139" w:type="dxa"/>
            <w:vMerge/>
            <w:tcBorders>
              <w:left w:val="single" w:sz="4" w:space="0" w:color="000000"/>
              <w:bottom w:val="single" w:sz="4" w:space="0" w:color="000000"/>
              <w:right w:val="single" w:sz="4" w:space="0" w:color="000000"/>
            </w:tcBorders>
            <w:shd w:val="clear" w:color="auto" w:fill="D2D2D2"/>
          </w:tcPr>
          <w:p>
            <w:pPr/>
          </w:p>
        </w:tc>
        <w:tc>
          <w:tcPr>
            <w:tcW w:w="7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0" w:type="dxa"/>
            <w:vMerge/>
            <w:tcBorders>
              <w:left w:val="single" w:sz="4" w:space="0" w:color="000000"/>
              <w:bottom w:val="single" w:sz="4" w:space="0" w:color="000000"/>
              <w:right w:val="single" w:sz="4" w:space="0" w:color="000000"/>
            </w:tcBorders>
            <w:shd w:val="clear" w:color="auto" w:fill="D2D2D2"/>
          </w:tcPr>
          <w:p>
            <w:pPr/>
          </w:p>
        </w:tc>
        <w:tc>
          <w:tcPr>
            <w:tcW w:w="1136" w:type="dxa"/>
            <w:vMerge/>
            <w:tcBorders>
              <w:left w:val="single" w:sz="4" w:space="0" w:color="000000"/>
              <w:bottom w:val="single" w:sz="4" w:space="0" w:color="000000"/>
              <w:right w:val="single" w:sz="4" w:space="0" w:color="000000"/>
            </w:tcBorders>
            <w:shd w:val="clear" w:color="auto" w:fill="D2D2D2"/>
          </w:tcPr>
          <w:p>
            <w:pPr/>
          </w:p>
        </w:tc>
        <w:tc>
          <w:tcPr>
            <w:tcW w:w="1424"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0"/>
              <w:ind w:left="103" w:right="0"/>
              <w:jc w:val="center"/>
              <w:rPr>
                <w:rFonts w:ascii="Times New Roman" w:hAnsi="Times New Roman" w:cs="Times New Roman" w:eastAsia="Times New Roman" w:hint="default"/>
                <w:sz w:val="18"/>
                <w:szCs w:val="18"/>
              </w:rPr>
            </w:pPr>
            <w:r>
              <w:rPr>
                <w:rFonts w:ascii="Times New Roman"/>
                <w:sz w:val="18"/>
              </w:rPr>
              <w:t>654,070,434.00</w:t>
            </w:r>
          </w:p>
        </w:tc>
        <w:tc>
          <w:tcPr>
            <w:tcW w:w="506"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50" w:space="0" w:color="D2D2D2"/>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3"/>
              <w:jc w:val="right"/>
              <w:rPr>
                <w:rFonts w:ascii="Times New Roman" w:hAnsi="Times New Roman" w:cs="Times New Roman" w:eastAsia="Times New Roman" w:hint="default"/>
                <w:sz w:val="18"/>
                <w:szCs w:val="18"/>
              </w:rPr>
            </w:pPr>
            <w:r>
              <w:rPr>
                <w:rFonts w:ascii="Times New Roman"/>
                <w:spacing w:val="-1"/>
                <w:sz w:val="18"/>
              </w:rPr>
              <w:t>2,380,627,616.35</w:t>
            </w:r>
          </w:p>
        </w:tc>
        <w:tc>
          <w:tcPr>
            <w:tcW w:w="650"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3" w:right="0"/>
              <w:jc w:val="center"/>
              <w:rPr>
                <w:rFonts w:ascii="Times New Roman" w:hAnsi="Times New Roman" w:cs="Times New Roman" w:eastAsia="Times New Roman" w:hint="default"/>
                <w:sz w:val="18"/>
                <w:szCs w:val="18"/>
              </w:rPr>
            </w:pPr>
            <w:r>
              <w:rPr>
                <w:rFonts w:ascii="Times New Roman"/>
                <w:sz w:val="18"/>
              </w:rPr>
              <w:t>2,147,977.11</w:t>
            </w:r>
          </w:p>
        </w:tc>
        <w:tc>
          <w:tcPr>
            <w:tcW w:w="797"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9" w:right="0"/>
              <w:jc w:val="center"/>
              <w:rPr>
                <w:rFonts w:ascii="Times New Roman" w:hAnsi="Times New Roman" w:cs="Times New Roman" w:eastAsia="Times New Roman" w:hint="default"/>
                <w:sz w:val="18"/>
                <w:szCs w:val="18"/>
              </w:rPr>
            </w:pPr>
            <w:r>
              <w:rPr>
                <w:rFonts w:ascii="Times New Roman"/>
                <w:sz w:val="18"/>
              </w:rPr>
              <w:t>65,738,593.50</w:t>
            </w:r>
          </w:p>
        </w:tc>
        <w:tc>
          <w:tcPr>
            <w:tcW w:w="71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1" w:right="0"/>
              <w:jc w:val="left"/>
              <w:rPr>
                <w:rFonts w:ascii="Times New Roman" w:hAnsi="Times New Roman" w:cs="Times New Roman" w:eastAsia="Times New Roman" w:hint="default"/>
                <w:sz w:val="18"/>
                <w:szCs w:val="18"/>
              </w:rPr>
            </w:pPr>
            <w:r>
              <w:rPr>
                <w:rFonts w:ascii="Times New Roman"/>
                <w:sz w:val="18"/>
              </w:rPr>
              <w:t>247,474,296.03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40" w:right="0"/>
              <w:jc w:val="center"/>
              <w:rPr>
                <w:rFonts w:ascii="Times New Roman" w:hAnsi="Times New Roman" w:cs="Times New Roman" w:eastAsia="Times New Roman" w:hint="default"/>
                <w:sz w:val="18"/>
                <w:szCs w:val="18"/>
              </w:rPr>
            </w:pPr>
            <w:r>
              <w:rPr>
                <w:rFonts w:ascii="Times New Roman"/>
                <w:sz w:val="18"/>
              </w:rPr>
              <w:t>7,773,724.11</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3"/>
              <w:jc w:val="right"/>
              <w:rPr>
                <w:rFonts w:ascii="Times New Roman" w:hAnsi="Times New Roman" w:cs="Times New Roman" w:eastAsia="Times New Roman" w:hint="default"/>
                <w:sz w:val="18"/>
                <w:szCs w:val="18"/>
              </w:rPr>
            </w:pPr>
            <w:r>
              <w:rPr>
                <w:rFonts w:ascii="Times New Roman"/>
                <w:spacing w:val="-1"/>
                <w:sz w:val="18"/>
              </w:rPr>
              <w:t>3,357,832,641.10</w:t>
            </w:r>
          </w:p>
        </w:tc>
      </w:tr>
      <w:tr>
        <w:trPr>
          <w:trHeight w:val="323"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95" w:type="dxa"/>
            <w:tcBorders>
              <w:top w:val="single" w:sz="4" w:space="0" w:color="000000"/>
              <w:left w:val="single" w:sz="13" w:space="0" w:color="D2D2D2"/>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95" w:type="dxa"/>
            <w:tcBorders>
              <w:top w:val="single" w:sz="4" w:space="0" w:color="000000"/>
              <w:left w:val="single" w:sz="13" w:space="0" w:color="D2D2D2"/>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19"/>
              <w:ind w:left="731" w:right="0"/>
              <w:jc w:val="left"/>
              <w:rPr>
                <w:rFonts w:ascii="宋体" w:hAnsi="宋体" w:cs="宋体" w:eastAsia="宋体" w:hint="default"/>
                <w:sz w:val="18"/>
                <w:szCs w:val="18"/>
              </w:rPr>
            </w:pPr>
            <w:r>
              <w:rPr>
                <w:rFonts w:ascii="宋体" w:hAnsi="宋体" w:cs="宋体" w:eastAsia="宋体" w:hint="default"/>
                <w:sz w:val="18"/>
                <w:szCs w:val="18"/>
              </w:rPr>
              <w:t>同一控制下企</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业合并</w:t>
            </w:r>
          </w:p>
        </w:tc>
        <w:tc>
          <w:tcPr>
            <w:tcW w:w="1295" w:type="dxa"/>
            <w:tcBorders>
              <w:top w:val="single" w:sz="4" w:space="0" w:color="000000"/>
              <w:left w:val="single" w:sz="13" w:space="0" w:color="D2D2D2"/>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38"/>
              <w:jc w:val="center"/>
              <w:rPr>
                <w:rFonts w:ascii="宋体" w:hAnsi="宋体" w:cs="宋体" w:eastAsia="宋体" w:hint="default"/>
                <w:sz w:val="18"/>
                <w:szCs w:val="18"/>
              </w:rPr>
            </w:pPr>
            <w:r>
              <w:rPr>
                <w:rFonts w:ascii="宋体" w:hAnsi="宋体" w:cs="宋体" w:eastAsia="宋体" w:hint="default"/>
                <w:sz w:val="18"/>
                <w:szCs w:val="18"/>
              </w:rPr>
              <w:t>其他</w:t>
            </w:r>
          </w:p>
        </w:tc>
        <w:tc>
          <w:tcPr>
            <w:tcW w:w="1295" w:type="dxa"/>
            <w:tcBorders>
              <w:top w:val="single" w:sz="4" w:space="0" w:color="000000"/>
              <w:left w:val="single" w:sz="13" w:space="0" w:color="D2D2D2"/>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0"/>
              <w:ind w:left="103" w:right="0"/>
              <w:jc w:val="center"/>
              <w:rPr>
                <w:rFonts w:ascii="Times New Roman" w:hAnsi="Times New Roman" w:cs="Times New Roman" w:eastAsia="Times New Roman" w:hint="default"/>
                <w:sz w:val="18"/>
                <w:szCs w:val="18"/>
              </w:rPr>
            </w:pPr>
            <w:r>
              <w:rPr>
                <w:rFonts w:ascii="Times New Roman"/>
                <w:sz w:val="18"/>
              </w:rPr>
              <w:t>654,070,434.00</w:t>
            </w:r>
          </w:p>
        </w:tc>
        <w:tc>
          <w:tcPr>
            <w:tcW w:w="506"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3"/>
              <w:jc w:val="right"/>
              <w:rPr>
                <w:rFonts w:ascii="Times New Roman" w:hAnsi="Times New Roman" w:cs="Times New Roman" w:eastAsia="Times New Roman" w:hint="default"/>
                <w:sz w:val="18"/>
                <w:szCs w:val="18"/>
              </w:rPr>
            </w:pPr>
            <w:r>
              <w:rPr>
                <w:rFonts w:ascii="Times New Roman"/>
                <w:spacing w:val="-1"/>
                <w:sz w:val="18"/>
              </w:rPr>
              <w:t>2,380,627,616.35</w:t>
            </w:r>
          </w:p>
        </w:tc>
        <w:tc>
          <w:tcPr>
            <w:tcW w:w="650"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3" w:right="0"/>
              <w:jc w:val="center"/>
              <w:rPr>
                <w:rFonts w:ascii="Times New Roman" w:hAnsi="Times New Roman" w:cs="Times New Roman" w:eastAsia="Times New Roman" w:hint="default"/>
                <w:sz w:val="18"/>
                <w:szCs w:val="18"/>
              </w:rPr>
            </w:pPr>
            <w:r>
              <w:rPr>
                <w:rFonts w:ascii="Times New Roman"/>
                <w:sz w:val="18"/>
              </w:rPr>
              <w:t>2,147,977.11</w:t>
            </w:r>
          </w:p>
        </w:tc>
        <w:tc>
          <w:tcPr>
            <w:tcW w:w="797"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9" w:right="0"/>
              <w:jc w:val="center"/>
              <w:rPr>
                <w:rFonts w:ascii="Times New Roman" w:hAnsi="Times New Roman" w:cs="Times New Roman" w:eastAsia="Times New Roman" w:hint="default"/>
                <w:sz w:val="18"/>
                <w:szCs w:val="18"/>
              </w:rPr>
            </w:pPr>
            <w:r>
              <w:rPr>
                <w:rFonts w:ascii="Times New Roman"/>
                <w:sz w:val="18"/>
              </w:rPr>
              <w:t>65,738,593.50</w:t>
            </w:r>
          </w:p>
        </w:tc>
        <w:tc>
          <w:tcPr>
            <w:tcW w:w="71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1" w:right="0"/>
              <w:jc w:val="left"/>
              <w:rPr>
                <w:rFonts w:ascii="Times New Roman" w:hAnsi="Times New Roman" w:cs="Times New Roman" w:eastAsia="Times New Roman" w:hint="default"/>
                <w:sz w:val="18"/>
                <w:szCs w:val="18"/>
              </w:rPr>
            </w:pPr>
            <w:r>
              <w:rPr>
                <w:rFonts w:ascii="Times New Roman"/>
                <w:sz w:val="18"/>
              </w:rPr>
              <w:t>247,474,296.03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40" w:right="0"/>
              <w:jc w:val="center"/>
              <w:rPr>
                <w:rFonts w:ascii="Times New Roman" w:hAnsi="Times New Roman" w:cs="Times New Roman" w:eastAsia="Times New Roman" w:hint="default"/>
                <w:sz w:val="18"/>
                <w:szCs w:val="18"/>
              </w:rPr>
            </w:pPr>
            <w:r>
              <w:rPr>
                <w:rFonts w:ascii="Times New Roman"/>
                <w:sz w:val="18"/>
              </w:rPr>
              <w:t>7,773,724.11</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3"/>
              <w:jc w:val="right"/>
              <w:rPr>
                <w:rFonts w:ascii="Times New Roman" w:hAnsi="Times New Roman" w:cs="Times New Roman" w:eastAsia="Times New Roman" w:hint="default"/>
                <w:sz w:val="18"/>
                <w:szCs w:val="18"/>
              </w:rPr>
            </w:pPr>
            <w:r>
              <w:rPr>
                <w:rFonts w:ascii="Times New Roman"/>
                <w:spacing w:val="-1"/>
                <w:sz w:val="18"/>
              </w:rPr>
              <w:t>3,357,832,641.10</w:t>
            </w:r>
          </w:p>
        </w:tc>
      </w:tr>
      <w:tr>
        <w:trPr>
          <w:trHeight w:val="557"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19"/>
              <w:ind w:left="11"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8" w:lineRule="exact"/>
              <w:ind w:left="11"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95" w:type="dxa"/>
            <w:tcBorders>
              <w:top w:val="single" w:sz="4" w:space="0" w:color="000000"/>
              <w:left w:val="single" w:sz="13" w:space="0" w:color="D2D2D2"/>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-286,082.40</w:t>
            </w:r>
            <w:r>
              <w:rPr>
                <w:rFonts w:ascii="Times New Roman"/>
                <w:sz w:val="18"/>
              </w:rPr>
            </w:r>
          </w:p>
        </w:tc>
        <w:tc>
          <w:tcPr>
            <w:tcW w:w="650"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4,119,897.61</w:t>
            </w:r>
          </w:p>
        </w:tc>
        <w:tc>
          <w:tcPr>
            <w:tcW w:w="797"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18,464,356.36</w:t>
            </w:r>
          </w:p>
        </w:tc>
        <w:tc>
          <w:tcPr>
            <w:tcW w:w="71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1" w:right="0"/>
              <w:jc w:val="left"/>
              <w:rPr>
                <w:rFonts w:ascii="Times New Roman" w:hAnsi="Times New Roman" w:cs="Times New Roman" w:eastAsia="Times New Roman" w:hint="default"/>
                <w:sz w:val="18"/>
                <w:szCs w:val="18"/>
              </w:rPr>
            </w:pPr>
            <w:r>
              <w:rPr>
                <w:rFonts w:ascii="Times New Roman"/>
                <w:sz w:val="18"/>
              </w:rPr>
              <w:t>469,088,991.62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-2,729,554.55</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488,657,608.64</w:t>
            </w:r>
          </w:p>
        </w:tc>
      </w:tr>
      <w:tr>
        <w:trPr>
          <w:trHeight w:val="324"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95" w:type="dxa"/>
            <w:tcBorders>
              <w:top w:val="single" w:sz="4" w:space="0" w:color="000000"/>
              <w:left w:val="single" w:sz="13" w:space="0" w:color="D2D2D2"/>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4" w:right="0"/>
              <w:jc w:val="center"/>
              <w:rPr>
                <w:rFonts w:ascii="Times New Roman" w:hAnsi="Times New Roman" w:cs="Times New Roman" w:eastAsia="Times New Roman" w:hint="default"/>
                <w:sz w:val="18"/>
                <w:szCs w:val="18"/>
              </w:rPr>
            </w:pPr>
            <w:r>
              <w:rPr>
                <w:rFonts w:ascii="Times New Roman"/>
                <w:sz w:val="18"/>
              </w:rPr>
              <w:t>4,119,897.61</w:t>
            </w:r>
          </w:p>
        </w:tc>
        <w:tc>
          <w:tcPr>
            <w:tcW w:w="797"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1" w:right="0"/>
              <w:jc w:val="left"/>
              <w:rPr>
                <w:rFonts w:ascii="Times New Roman" w:hAnsi="Times New Roman" w:cs="Times New Roman" w:eastAsia="Times New Roman" w:hint="default"/>
                <w:sz w:val="18"/>
                <w:szCs w:val="18"/>
              </w:rPr>
            </w:pPr>
            <w:r>
              <w:rPr>
                <w:rFonts w:ascii="Times New Roman"/>
                <w:sz w:val="18"/>
              </w:rPr>
              <w:t>512,408,008.06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35" w:right="0"/>
              <w:jc w:val="center"/>
              <w:rPr>
                <w:rFonts w:ascii="Times New Roman" w:hAnsi="Times New Roman" w:cs="Times New Roman" w:eastAsia="Times New Roman" w:hint="default"/>
                <w:sz w:val="18"/>
                <w:szCs w:val="18"/>
              </w:rPr>
            </w:pPr>
            <w:r>
              <w:rPr>
                <w:rFonts w:ascii="Times New Roman"/>
                <w:sz w:val="18"/>
              </w:rPr>
              <w:t>3,618,494.49</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1"/>
              <w:jc w:val="right"/>
              <w:rPr>
                <w:rFonts w:ascii="Times New Roman" w:hAnsi="Times New Roman" w:cs="Times New Roman" w:eastAsia="Times New Roman" w:hint="default"/>
                <w:sz w:val="18"/>
                <w:szCs w:val="18"/>
              </w:rPr>
            </w:pPr>
            <w:r>
              <w:rPr>
                <w:rFonts w:ascii="Times New Roman"/>
                <w:spacing w:val="-1"/>
                <w:sz w:val="18"/>
              </w:rPr>
              <w:t>520,146,400.16</w:t>
            </w:r>
          </w:p>
        </w:tc>
      </w:tr>
      <w:tr>
        <w:trPr>
          <w:trHeight w:val="557"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
              <w:ind w:left="11" w:right="10"/>
              <w:jc w:val="left"/>
              <w:rPr>
                <w:rFonts w:ascii="宋体" w:hAnsi="宋体" w:cs="宋体" w:eastAsia="宋体" w:hint="default"/>
                <w:sz w:val="18"/>
                <w:szCs w:val="18"/>
              </w:rPr>
            </w:pPr>
            <w:r>
              <w:rPr>
                <w:rFonts w:ascii="宋体" w:hAnsi="宋体" w:cs="宋体" w:eastAsia="宋体" w:hint="default"/>
                <w:spacing w:val="-4"/>
                <w:sz w:val="18"/>
                <w:szCs w:val="18"/>
              </w:rPr>
              <w:t>（二）所有者投入和减少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资本</w:t>
            </w:r>
          </w:p>
        </w:tc>
        <w:tc>
          <w:tcPr>
            <w:tcW w:w="1295" w:type="dxa"/>
            <w:tcBorders>
              <w:top w:val="single" w:sz="4" w:space="0" w:color="000000"/>
              <w:left w:val="single" w:sz="13" w:space="0" w:color="D2D2D2"/>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-346,578.00</w:t>
            </w:r>
            <w:r>
              <w:rPr>
                <w:rFonts w:ascii="Times New Roman"/>
                <w:sz w:val="18"/>
              </w:rPr>
            </w:r>
          </w:p>
        </w:tc>
        <w:tc>
          <w:tcPr>
            <w:tcW w:w="650"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-6,348,049.04</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-6,694,627.04</w:t>
            </w:r>
          </w:p>
        </w:tc>
      </w:tr>
      <w:tr>
        <w:trPr>
          <w:trHeight w:val="323"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295" w:type="dxa"/>
            <w:tcBorders>
              <w:top w:val="single" w:sz="4" w:space="0" w:color="000000"/>
              <w:left w:val="single" w:sz="13" w:space="0" w:color="D2D2D2"/>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43"/>
              <w:ind w:left="11"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 投入资本</w:t>
            </w:r>
          </w:p>
        </w:tc>
        <w:tc>
          <w:tcPr>
            <w:tcW w:w="1295" w:type="dxa"/>
            <w:tcBorders>
              <w:top w:val="single" w:sz="4" w:space="0" w:color="000000"/>
              <w:left w:val="single" w:sz="13" w:space="0" w:color="D2D2D2"/>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44"/>
              <w:ind w:left="11"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 权益的金额</w:t>
            </w:r>
          </w:p>
        </w:tc>
        <w:tc>
          <w:tcPr>
            <w:tcW w:w="1295" w:type="dxa"/>
            <w:tcBorders>
              <w:top w:val="single" w:sz="4" w:space="0" w:color="000000"/>
              <w:left w:val="single" w:sz="13" w:space="0" w:color="D2D2D2"/>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95" w:type="dxa"/>
            <w:tcBorders>
              <w:top w:val="single" w:sz="4" w:space="0" w:color="000000"/>
              <w:left w:val="single" w:sz="13" w:space="0" w:color="D2D2D2"/>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18"/>
                <w:szCs w:val="18"/>
              </w:rPr>
            </w:pPr>
            <w:r>
              <w:rPr>
                <w:rFonts w:ascii="Times New Roman"/>
                <w:w w:val="95"/>
                <w:sz w:val="18"/>
              </w:rPr>
              <w:t>-346,578.00</w:t>
            </w:r>
            <w:r>
              <w:rPr>
                <w:rFonts w:ascii="Times New Roman"/>
                <w:sz w:val="18"/>
              </w:rPr>
            </w:r>
          </w:p>
        </w:tc>
        <w:tc>
          <w:tcPr>
            <w:tcW w:w="650"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5" w:right="0"/>
              <w:jc w:val="center"/>
              <w:rPr>
                <w:rFonts w:ascii="Times New Roman" w:hAnsi="Times New Roman" w:cs="Times New Roman" w:eastAsia="Times New Roman" w:hint="default"/>
                <w:sz w:val="18"/>
                <w:szCs w:val="18"/>
              </w:rPr>
            </w:pPr>
            <w:r>
              <w:rPr>
                <w:rFonts w:ascii="Times New Roman"/>
                <w:sz w:val="18"/>
              </w:rPr>
              <w:t>-6,348,049.04</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18"/>
                <w:szCs w:val="18"/>
              </w:rPr>
            </w:pPr>
            <w:r>
              <w:rPr>
                <w:rFonts w:ascii="Times New Roman"/>
                <w:spacing w:val="-1"/>
                <w:sz w:val="18"/>
              </w:rPr>
              <w:t>-6,694,627.04</w:t>
            </w:r>
          </w:p>
        </w:tc>
      </w:tr>
      <w:tr>
        <w:trPr>
          <w:trHeight w:val="323"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95" w:type="dxa"/>
            <w:tcBorders>
              <w:top w:val="single" w:sz="4" w:space="0" w:color="000000"/>
              <w:left w:val="single" w:sz="13" w:space="0" w:color="D2D2D2"/>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9" w:right="0"/>
              <w:jc w:val="center"/>
              <w:rPr>
                <w:rFonts w:ascii="Times New Roman" w:hAnsi="Times New Roman" w:cs="Times New Roman" w:eastAsia="Times New Roman" w:hint="default"/>
                <w:sz w:val="18"/>
                <w:szCs w:val="18"/>
              </w:rPr>
            </w:pPr>
            <w:r>
              <w:rPr>
                <w:rFonts w:ascii="Times New Roman"/>
                <w:sz w:val="18"/>
              </w:rPr>
              <w:t>18,464,356.36</w:t>
            </w:r>
          </w:p>
        </w:tc>
        <w:tc>
          <w:tcPr>
            <w:tcW w:w="71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1" w:right="0"/>
              <w:jc w:val="left"/>
              <w:rPr>
                <w:rFonts w:ascii="Times New Roman" w:hAnsi="Times New Roman" w:cs="Times New Roman" w:eastAsia="Times New Roman" w:hint="default"/>
                <w:sz w:val="18"/>
                <w:szCs w:val="18"/>
              </w:rPr>
            </w:pPr>
            <w:r>
              <w:rPr>
                <w:rFonts w:ascii="Times New Roman"/>
                <w:sz w:val="18"/>
              </w:rPr>
              <w:t>-43,319,016.44</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18"/>
                <w:szCs w:val="18"/>
              </w:rPr>
            </w:pPr>
            <w:r>
              <w:rPr>
                <w:rFonts w:ascii="Times New Roman"/>
                <w:spacing w:val="-1"/>
                <w:sz w:val="18"/>
              </w:rPr>
              <w:t>-24,854,660.08</w:t>
            </w:r>
          </w:p>
        </w:tc>
      </w:tr>
      <w:tr>
        <w:trPr>
          <w:trHeight w:val="324"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95" w:type="dxa"/>
            <w:tcBorders>
              <w:top w:val="single" w:sz="4" w:space="0" w:color="000000"/>
              <w:left w:val="single" w:sz="13" w:space="0" w:color="D2D2D2"/>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9" w:right="0"/>
              <w:jc w:val="center"/>
              <w:rPr>
                <w:rFonts w:ascii="Times New Roman" w:hAnsi="Times New Roman" w:cs="Times New Roman" w:eastAsia="Times New Roman" w:hint="default"/>
                <w:sz w:val="18"/>
                <w:szCs w:val="18"/>
              </w:rPr>
            </w:pPr>
            <w:r>
              <w:rPr>
                <w:rFonts w:ascii="Times New Roman"/>
                <w:sz w:val="18"/>
              </w:rPr>
              <w:t>18,464,356.36</w:t>
            </w:r>
          </w:p>
        </w:tc>
        <w:tc>
          <w:tcPr>
            <w:tcW w:w="71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1" w:right="0"/>
              <w:jc w:val="left"/>
              <w:rPr>
                <w:rFonts w:ascii="Times New Roman" w:hAnsi="Times New Roman" w:cs="Times New Roman" w:eastAsia="Times New Roman" w:hint="default"/>
                <w:sz w:val="18"/>
                <w:szCs w:val="18"/>
              </w:rPr>
            </w:pPr>
            <w:r>
              <w:rPr>
                <w:rFonts w:ascii="Times New Roman"/>
                <w:sz w:val="18"/>
              </w:rPr>
              <w:t>-18,464,356.36</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295" w:type="dxa"/>
            <w:tcBorders>
              <w:top w:val="single" w:sz="4" w:space="0" w:color="000000"/>
              <w:left w:val="single" w:sz="13" w:space="0" w:color="D2D2D2"/>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43"/>
              <w:ind w:left="11"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1295" w:type="dxa"/>
            <w:tcBorders>
              <w:top w:val="single" w:sz="4" w:space="0" w:color="000000"/>
              <w:left w:val="single" w:sz="13" w:space="0" w:color="D2D2D2"/>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-24,854,660.08</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-24,854,660.08</w:t>
            </w:r>
          </w:p>
        </w:tc>
      </w:tr>
    </w:tbl>
    <w:p>
      <w:pPr>
        <w:spacing w:after="0" w:line="240" w:lineRule="auto"/>
        <w:jc w:val="right"/>
        <w:rPr>
          <w:rFonts w:ascii="Times New Roman" w:hAnsi="Times New Roman" w:cs="Times New Roman" w:eastAsia="Times New Roman" w:hint="default"/>
          <w:sz w:val="18"/>
          <w:szCs w:val="18"/>
        </w:rPr>
        <w:sectPr>
          <w:headerReference w:type="default" r:id="rId30"/>
          <w:footerReference w:type="default" r:id="rId31"/>
          <w:pgSz w:w="16840" w:h="11910" w:orient="landscape"/>
          <w:pgMar w:header="867" w:footer="979" w:top="1060" w:bottom="1220" w:left="1160" w:right="1060"/>
          <w:pgNumType w:start="109"/>
        </w:sectPr>
      </w:pPr>
    </w:p>
    <w:p>
      <w:pPr>
        <w:spacing w:line="240" w:lineRule="auto" w:before="12"/>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985"/>
        <w:gridCol w:w="1283"/>
        <w:gridCol w:w="506"/>
        <w:gridCol w:w="492"/>
        <w:gridCol w:w="643"/>
        <w:gridCol w:w="1346"/>
        <w:gridCol w:w="650"/>
        <w:gridCol w:w="1059"/>
        <w:gridCol w:w="797"/>
        <w:gridCol w:w="1139"/>
        <w:gridCol w:w="714"/>
        <w:gridCol w:w="1200"/>
        <w:gridCol w:w="1136"/>
        <w:gridCol w:w="1424"/>
      </w:tblGrid>
      <w:tr>
        <w:trPr>
          <w:trHeight w:val="338" w:hRule="exact"/>
        </w:trPr>
        <w:tc>
          <w:tcPr>
            <w:tcW w:w="198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83" w:type="dxa"/>
            <w:tcBorders>
              <w:top w:val="single" w:sz="15" w:space="0" w:color="000000"/>
              <w:left w:val="single" w:sz="4" w:space="0" w:color="000000"/>
              <w:bottom w:val="single" w:sz="4" w:space="0" w:color="000000"/>
              <w:right w:val="single" w:sz="4" w:space="0" w:color="000000"/>
            </w:tcBorders>
          </w:tcPr>
          <w:p>
            <w:pPr/>
          </w:p>
        </w:tc>
        <w:tc>
          <w:tcPr>
            <w:tcW w:w="506" w:type="dxa"/>
            <w:tcBorders>
              <w:top w:val="single" w:sz="15" w:space="0" w:color="000000"/>
              <w:left w:val="single" w:sz="4" w:space="0" w:color="000000"/>
              <w:bottom w:val="single" w:sz="4" w:space="0" w:color="000000"/>
              <w:right w:val="single" w:sz="4" w:space="0" w:color="000000"/>
            </w:tcBorders>
          </w:tcPr>
          <w:p>
            <w:pPr/>
          </w:p>
        </w:tc>
        <w:tc>
          <w:tcPr>
            <w:tcW w:w="492" w:type="dxa"/>
            <w:tcBorders>
              <w:top w:val="single" w:sz="15" w:space="0" w:color="000000"/>
              <w:left w:val="single" w:sz="4" w:space="0" w:color="000000"/>
              <w:bottom w:val="single" w:sz="4" w:space="0" w:color="000000"/>
              <w:right w:val="single" w:sz="4" w:space="0" w:color="000000"/>
            </w:tcBorders>
          </w:tcPr>
          <w:p>
            <w:pPr/>
          </w:p>
        </w:tc>
        <w:tc>
          <w:tcPr>
            <w:tcW w:w="643" w:type="dxa"/>
            <w:tcBorders>
              <w:top w:val="single" w:sz="15" w:space="0" w:color="000000"/>
              <w:left w:val="single" w:sz="4" w:space="0" w:color="000000"/>
              <w:bottom w:val="single" w:sz="4" w:space="0" w:color="000000"/>
              <w:right w:val="single" w:sz="4" w:space="0" w:color="000000"/>
            </w:tcBorders>
          </w:tcPr>
          <w:p>
            <w:pPr/>
          </w:p>
        </w:tc>
        <w:tc>
          <w:tcPr>
            <w:tcW w:w="1346" w:type="dxa"/>
            <w:tcBorders>
              <w:top w:val="single" w:sz="15" w:space="0" w:color="000000"/>
              <w:left w:val="single" w:sz="4" w:space="0" w:color="000000"/>
              <w:bottom w:val="single" w:sz="4" w:space="0" w:color="000000"/>
              <w:right w:val="single" w:sz="4" w:space="0" w:color="000000"/>
            </w:tcBorders>
          </w:tcPr>
          <w:p>
            <w:pPr/>
          </w:p>
        </w:tc>
        <w:tc>
          <w:tcPr>
            <w:tcW w:w="650" w:type="dxa"/>
            <w:tcBorders>
              <w:top w:val="single" w:sz="15" w:space="0" w:color="000000"/>
              <w:left w:val="single" w:sz="4" w:space="0" w:color="000000"/>
              <w:bottom w:val="single" w:sz="4" w:space="0" w:color="000000"/>
              <w:right w:val="single" w:sz="4" w:space="0" w:color="000000"/>
            </w:tcBorders>
          </w:tcPr>
          <w:p>
            <w:pPr/>
          </w:p>
        </w:tc>
        <w:tc>
          <w:tcPr>
            <w:tcW w:w="1059" w:type="dxa"/>
            <w:tcBorders>
              <w:top w:val="single" w:sz="15" w:space="0" w:color="000000"/>
              <w:left w:val="single" w:sz="4" w:space="0" w:color="000000"/>
              <w:bottom w:val="single" w:sz="4" w:space="0" w:color="000000"/>
              <w:right w:val="single" w:sz="4" w:space="0" w:color="000000"/>
            </w:tcBorders>
          </w:tcPr>
          <w:p>
            <w:pPr/>
          </w:p>
        </w:tc>
        <w:tc>
          <w:tcPr>
            <w:tcW w:w="797" w:type="dxa"/>
            <w:tcBorders>
              <w:top w:val="single" w:sz="15" w:space="0" w:color="000000"/>
              <w:left w:val="single" w:sz="4" w:space="0" w:color="000000"/>
              <w:bottom w:val="single" w:sz="4" w:space="0" w:color="000000"/>
              <w:right w:val="single" w:sz="4" w:space="0" w:color="000000"/>
            </w:tcBorders>
          </w:tcPr>
          <w:p>
            <w:pPr/>
          </w:p>
        </w:tc>
        <w:tc>
          <w:tcPr>
            <w:tcW w:w="1139" w:type="dxa"/>
            <w:tcBorders>
              <w:top w:val="single" w:sz="15" w:space="0" w:color="000000"/>
              <w:left w:val="single" w:sz="4" w:space="0" w:color="000000"/>
              <w:bottom w:val="single" w:sz="4" w:space="0" w:color="000000"/>
              <w:right w:val="single" w:sz="4" w:space="0" w:color="000000"/>
            </w:tcBorders>
          </w:tcPr>
          <w:p>
            <w:pPr/>
          </w:p>
        </w:tc>
        <w:tc>
          <w:tcPr>
            <w:tcW w:w="714" w:type="dxa"/>
            <w:tcBorders>
              <w:top w:val="single" w:sz="15" w:space="0" w:color="000000"/>
              <w:left w:val="single" w:sz="4" w:space="0" w:color="000000"/>
              <w:bottom w:val="single" w:sz="4" w:space="0" w:color="000000"/>
              <w:right w:val="single" w:sz="4" w:space="0" w:color="000000"/>
            </w:tcBorders>
          </w:tcPr>
          <w:p>
            <w:pPr/>
          </w:p>
        </w:tc>
        <w:tc>
          <w:tcPr>
            <w:tcW w:w="1200" w:type="dxa"/>
            <w:tcBorders>
              <w:top w:val="single" w:sz="15" w:space="0" w:color="000000"/>
              <w:left w:val="single" w:sz="4" w:space="0" w:color="000000"/>
              <w:bottom w:val="single" w:sz="4" w:space="0" w:color="000000"/>
              <w:right w:val="single" w:sz="4" w:space="0" w:color="000000"/>
            </w:tcBorders>
          </w:tcPr>
          <w:p>
            <w:pPr/>
          </w:p>
        </w:tc>
        <w:tc>
          <w:tcPr>
            <w:tcW w:w="1136" w:type="dxa"/>
            <w:tcBorders>
              <w:top w:val="single" w:sz="15" w:space="0" w:color="000000"/>
              <w:left w:val="single" w:sz="4" w:space="0" w:color="000000"/>
              <w:bottom w:val="single" w:sz="4" w:space="0" w:color="000000"/>
              <w:right w:val="single" w:sz="4" w:space="0" w:color="000000"/>
            </w:tcBorders>
          </w:tcPr>
          <w:p>
            <w:pPr/>
          </w:p>
        </w:tc>
        <w:tc>
          <w:tcPr>
            <w:tcW w:w="1424" w:type="dxa"/>
            <w:tcBorders>
              <w:top w:val="single" w:sz="15" w:space="0" w:color="000000"/>
              <w:left w:val="single" w:sz="4" w:space="0" w:color="000000"/>
              <w:bottom w:val="single" w:sz="4" w:space="0" w:color="000000"/>
              <w:right w:val="single" w:sz="4" w:space="0" w:color="000000"/>
            </w:tcBorders>
          </w:tcPr>
          <w:p>
            <w:pPr/>
          </w:p>
        </w:tc>
      </w:tr>
      <w:tr>
        <w:trPr>
          <w:trHeight w:val="557"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22"/>
              <w:jc w:val="left"/>
              <w:rPr>
                <w:rFonts w:ascii="宋体" w:hAnsi="宋体" w:cs="宋体" w:eastAsia="宋体" w:hint="default"/>
                <w:sz w:val="18"/>
                <w:szCs w:val="18"/>
              </w:rPr>
            </w:pPr>
            <w:r>
              <w:rPr>
                <w:rFonts w:ascii="宋体" w:hAnsi="宋体" w:cs="宋体" w:eastAsia="宋体" w:hint="default"/>
                <w:spacing w:val="-4"/>
                <w:sz w:val="18"/>
                <w:szCs w:val="18"/>
              </w:rPr>
              <w:t>（四）所有者权益内部结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转</w:t>
            </w:r>
          </w:p>
        </w:tc>
        <w:tc>
          <w:tcPr>
            <w:tcW w:w="1283"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11" w:right="23"/>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．资本公积转增资本（或</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股本）</w:t>
            </w:r>
          </w:p>
        </w:tc>
        <w:tc>
          <w:tcPr>
            <w:tcW w:w="1283"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11" w:right="23"/>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．盈余公积转增资本（或</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股本）</w:t>
            </w:r>
          </w:p>
        </w:tc>
        <w:tc>
          <w:tcPr>
            <w:tcW w:w="1283"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83"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1"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 结转留存收益</w:t>
            </w:r>
          </w:p>
        </w:tc>
        <w:tc>
          <w:tcPr>
            <w:tcW w:w="1283"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283"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83"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83"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83"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83"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60,495.60</w:t>
            </w:r>
          </w:p>
        </w:tc>
        <w:tc>
          <w:tcPr>
            <w:tcW w:w="650"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60,495.60</w:t>
            </w:r>
          </w:p>
        </w:tc>
      </w:tr>
      <w:tr>
        <w:trPr>
          <w:trHeight w:val="32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5" w:right="0"/>
              <w:jc w:val="left"/>
              <w:rPr>
                <w:rFonts w:ascii="Times New Roman" w:hAnsi="Times New Roman" w:cs="Times New Roman" w:eastAsia="Times New Roman" w:hint="default"/>
                <w:sz w:val="18"/>
                <w:szCs w:val="18"/>
              </w:rPr>
            </w:pPr>
            <w:r>
              <w:rPr>
                <w:rFonts w:ascii="Times New Roman"/>
                <w:sz w:val="18"/>
              </w:rPr>
              <w:t>654,070,434.00</w:t>
            </w:r>
          </w:p>
        </w:tc>
        <w:tc>
          <w:tcPr>
            <w:tcW w:w="506"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2,380,341,533.95</w:t>
            </w:r>
          </w:p>
        </w:tc>
        <w:tc>
          <w:tcPr>
            <w:tcW w:w="650"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1" w:right="0"/>
              <w:jc w:val="left"/>
              <w:rPr>
                <w:rFonts w:ascii="Times New Roman" w:hAnsi="Times New Roman" w:cs="Times New Roman" w:eastAsia="Times New Roman" w:hint="default"/>
                <w:sz w:val="18"/>
                <w:szCs w:val="18"/>
              </w:rPr>
            </w:pPr>
            <w:r>
              <w:rPr>
                <w:rFonts w:ascii="Times New Roman"/>
                <w:sz w:val="18"/>
              </w:rPr>
              <w:t>6,267,874.72</w:t>
            </w:r>
          </w:p>
        </w:tc>
        <w:tc>
          <w:tcPr>
            <w:tcW w:w="797"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 w:right="0"/>
              <w:jc w:val="left"/>
              <w:rPr>
                <w:rFonts w:ascii="Times New Roman" w:hAnsi="Times New Roman" w:cs="Times New Roman" w:eastAsia="Times New Roman" w:hint="default"/>
                <w:sz w:val="18"/>
                <w:szCs w:val="18"/>
              </w:rPr>
            </w:pPr>
            <w:r>
              <w:rPr>
                <w:rFonts w:ascii="Times New Roman"/>
                <w:sz w:val="18"/>
              </w:rPr>
              <w:t>84,202,949.86</w:t>
            </w:r>
          </w:p>
        </w:tc>
        <w:tc>
          <w:tcPr>
            <w:tcW w:w="71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 w:right="0"/>
              <w:jc w:val="left"/>
              <w:rPr>
                <w:rFonts w:ascii="Times New Roman" w:hAnsi="Times New Roman" w:cs="Times New Roman" w:eastAsia="Times New Roman" w:hint="default"/>
                <w:sz w:val="18"/>
                <w:szCs w:val="18"/>
              </w:rPr>
            </w:pPr>
            <w:r>
              <w:rPr>
                <w:rFonts w:ascii="Times New Roman"/>
                <w:sz w:val="18"/>
              </w:rPr>
              <w:t>716,563,287.65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8" w:right="0"/>
              <w:jc w:val="left"/>
              <w:rPr>
                <w:rFonts w:ascii="Times New Roman" w:hAnsi="Times New Roman" w:cs="Times New Roman" w:eastAsia="Times New Roman" w:hint="default"/>
                <w:sz w:val="18"/>
                <w:szCs w:val="18"/>
              </w:rPr>
            </w:pPr>
            <w:r>
              <w:rPr>
                <w:rFonts w:ascii="Times New Roman"/>
                <w:sz w:val="18"/>
              </w:rPr>
              <w:t>5,044,169.56</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3,846,490,249.74</w:t>
            </w:r>
          </w:p>
        </w:tc>
      </w:tr>
    </w:tbl>
    <w:p>
      <w:pPr>
        <w:spacing w:line="240" w:lineRule="auto" w:before="3"/>
        <w:rPr>
          <w:rFonts w:ascii="宋体" w:hAnsi="宋体" w:cs="宋体" w:eastAsia="宋体" w:hint="default"/>
          <w:sz w:val="16"/>
          <w:szCs w:val="16"/>
        </w:rPr>
      </w:pPr>
    </w:p>
    <w:p>
      <w:pPr>
        <w:pStyle w:val="BodyText"/>
        <w:spacing w:line="240" w:lineRule="auto" w:before="44"/>
        <w:ind w:left="280" w:right="0"/>
        <w:jc w:val="left"/>
      </w:pPr>
      <w:r>
        <w:rPr/>
        <w:t>上期金额</w:t>
      </w:r>
    </w:p>
    <w:p>
      <w:pPr>
        <w:pStyle w:val="BodyText"/>
        <w:spacing w:line="240" w:lineRule="auto" w:before="38"/>
        <w:ind w:left="0" w:right="376"/>
        <w:jc w:val="right"/>
      </w:pPr>
      <w:r>
        <w:rPr/>
        <w:t>单位：元</w:t>
      </w:r>
    </w:p>
    <w:p>
      <w:pPr>
        <w:spacing w:line="240" w:lineRule="auto" w:before="3"/>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1699"/>
        <w:gridCol w:w="1187"/>
        <w:gridCol w:w="522"/>
        <w:gridCol w:w="427"/>
        <w:gridCol w:w="428"/>
        <w:gridCol w:w="1424"/>
        <w:gridCol w:w="712"/>
        <w:gridCol w:w="1281"/>
        <w:gridCol w:w="569"/>
        <w:gridCol w:w="1141"/>
        <w:gridCol w:w="712"/>
        <w:gridCol w:w="1283"/>
        <w:gridCol w:w="1139"/>
        <w:gridCol w:w="1630"/>
      </w:tblGrid>
      <w:tr>
        <w:trPr>
          <w:trHeight w:val="323" w:hRule="exact"/>
        </w:trPr>
        <w:tc>
          <w:tcPr>
            <w:tcW w:w="1699" w:type="dxa"/>
            <w:vMerge w:val="restart"/>
            <w:tcBorders>
              <w:top w:val="single" w:sz="4" w:space="0" w:color="000000"/>
              <w:left w:val="single" w:sz="4" w:space="0" w:color="000000"/>
              <w:right w:val="single" w:sz="4" w:space="0" w:color="000000"/>
            </w:tcBorders>
            <w:shd w:val="clear" w:color="auto" w:fill="D2D2D2"/>
          </w:tcPr>
          <w:p>
            <w:pPr/>
          </w:p>
        </w:tc>
        <w:tc>
          <w:tcPr>
            <w:tcW w:w="1245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3" w:hRule="exact"/>
        </w:trPr>
        <w:tc>
          <w:tcPr>
            <w:tcW w:w="1699" w:type="dxa"/>
            <w:vMerge/>
            <w:tcBorders>
              <w:left w:val="single" w:sz="4" w:space="0" w:color="000000"/>
              <w:bottom w:val="nil" w:sz="6" w:space="0" w:color="auto"/>
              <w:right w:val="single" w:sz="4" w:space="0" w:color="000000"/>
            </w:tcBorders>
            <w:shd w:val="clear" w:color="auto" w:fill="D2D2D2"/>
          </w:tcPr>
          <w:p>
            <w:pPr/>
          </w:p>
        </w:tc>
        <w:tc>
          <w:tcPr>
            <w:tcW w:w="968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39" w:type="dxa"/>
            <w:vMerge w:val="restart"/>
            <w:tcBorders>
              <w:top w:val="single" w:sz="4" w:space="0" w:color="000000"/>
              <w:left w:val="single" w:sz="4" w:space="0" w:color="000000"/>
              <w:right w:val="single" w:sz="4" w:space="0" w:color="000000"/>
            </w:tcBorders>
            <w:shd w:val="clear" w:color="auto" w:fill="D2D2D2"/>
          </w:tcPr>
          <w:p>
            <w:pPr/>
          </w:p>
        </w:tc>
        <w:tc>
          <w:tcPr>
            <w:tcW w:w="1630" w:type="dxa"/>
            <w:vMerge w:val="restart"/>
            <w:tcBorders>
              <w:top w:val="single" w:sz="4" w:space="0" w:color="000000"/>
              <w:left w:val="single" w:sz="4" w:space="0" w:color="000000"/>
              <w:right w:val="single" w:sz="4" w:space="0" w:color="000000"/>
            </w:tcBorders>
            <w:shd w:val="clear" w:color="auto" w:fill="D2D2D2"/>
          </w:tcPr>
          <w:p>
            <w:pPr/>
          </w:p>
        </w:tc>
      </w:tr>
      <w:tr>
        <w:trPr>
          <w:trHeight w:val="167" w:hRule="exact"/>
        </w:trPr>
        <w:tc>
          <w:tcPr>
            <w:tcW w:w="1699" w:type="dxa"/>
            <w:vMerge w:val="restart"/>
            <w:tcBorders>
              <w:top w:val="nil" w:sz="6" w:space="0" w:color="auto"/>
              <w:left w:val="single" w:sz="4" w:space="0" w:color="000000"/>
              <w:right w:val="single" w:sz="4" w:space="0" w:color="000000"/>
            </w:tcBorders>
            <w:shd w:val="clear" w:color="auto" w:fill="D2D2D2"/>
          </w:tcPr>
          <w:p>
            <w:pPr>
              <w:pStyle w:val="TableParagraph"/>
              <w:spacing w:line="207" w:lineRule="exact"/>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1187" w:type="dxa"/>
            <w:vMerge w:val="restart"/>
            <w:tcBorders>
              <w:top w:val="single" w:sz="4" w:space="0" w:color="000000"/>
              <w:left w:val="single" w:sz="4" w:space="0" w:color="000000"/>
              <w:right w:val="single" w:sz="4" w:space="0" w:color="000000"/>
            </w:tcBorders>
            <w:shd w:val="clear" w:color="auto" w:fill="D2D2D2"/>
          </w:tcPr>
          <w:p>
            <w:pPr/>
          </w:p>
        </w:tc>
        <w:tc>
          <w:tcPr>
            <w:tcW w:w="137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14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24" w:type="dxa"/>
            <w:vMerge w:val="restart"/>
            <w:tcBorders>
              <w:top w:val="single" w:sz="4" w:space="0" w:color="000000"/>
              <w:left w:val="single" w:sz="4" w:space="0" w:color="000000"/>
              <w:right w:val="single" w:sz="4" w:space="0" w:color="000000"/>
            </w:tcBorders>
            <w:shd w:val="clear" w:color="auto" w:fill="D2D2D2"/>
          </w:tcPr>
          <w:p>
            <w:pPr/>
          </w:p>
        </w:tc>
        <w:tc>
          <w:tcPr>
            <w:tcW w:w="7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1" w:type="dxa"/>
            <w:vMerge w:val="restart"/>
            <w:tcBorders>
              <w:top w:val="single" w:sz="4" w:space="0" w:color="000000"/>
              <w:left w:val="single" w:sz="4" w:space="0" w:color="000000"/>
              <w:right w:val="single" w:sz="4" w:space="0" w:color="000000"/>
            </w:tcBorders>
            <w:shd w:val="clear" w:color="auto" w:fill="D2D2D2"/>
          </w:tcPr>
          <w:p>
            <w:pPr/>
          </w:p>
        </w:tc>
        <w:tc>
          <w:tcPr>
            <w:tcW w:w="56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1" w:type="dxa"/>
            <w:vMerge w:val="restart"/>
            <w:tcBorders>
              <w:top w:val="single" w:sz="4" w:space="0" w:color="000000"/>
              <w:left w:val="single" w:sz="4" w:space="0" w:color="000000"/>
              <w:right w:val="single" w:sz="4" w:space="0" w:color="000000"/>
            </w:tcBorders>
            <w:shd w:val="clear" w:color="auto" w:fill="D2D2D2"/>
          </w:tcPr>
          <w:p>
            <w:pPr/>
          </w:p>
        </w:tc>
        <w:tc>
          <w:tcPr>
            <w:tcW w:w="7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3" w:type="dxa"/>
            <w:vMerge w:val="restart"/>
            <w:tcBorders>
              <w:top w:val="single" w:sz="4" w:space="0" w:color="000000"/>
              <w:left w:val="single" w:sz="4" w:space="0" w:color="000000"/>
              <w:right w:val="single" w:sz="4" w:space="0" w:color="000000"/>
            </w:tcBorders>
            <w:shd w:val="clear" w:color="auto" w:fill="D2D2D2"/>
          </w:tcPr>
          <w:p>
            <w:pPr/>
          </w:p>
        </w:tc>
        <w:tc>
          <w:tcPr>
            <w:tcW w:w="1139" w:type="dxa"/>
            <w:vMerge/>
            <w:tcBorders>
              <w:left w:val="single" w:sz="4" w:space="0" w:color="000000"/>
              <w:bottom w:val="nil" w:sz="6" w:space="0" w:color="auto"/>
              <w:right w:val="single" w:sz="4" w:space="0" w:color="000000"/>
            </w:tcBorders>
            <w:shd w:val="clear" w:color="auto" w:fill="D2D2D2"/>
          </w:tcPr>
          <w:p>
            <w:pPr/>
          </w:p>
        </w:tc>
        <w:tc>
          <w:tcPr>
            <w:tcW w:w="1630" w:type="dxa"/>
            <w:vMerge/>
            <w:tcBorders>
              <w:left w:val="single" w:sz="4" w:space="0" w:color="000000"/>
              <w:bottom w:val="nil" w:sz="6" w:space="0" w:color="auto"/>
              <w:right w:val="single" w:sz="4" w:space="0" w:color="000000"/>
            </w:tcBorders>
            <w:shd w:val="clear" w:color="auto" w:fill="D2D2D2"/>
          </w:tcPr>
          <w:p>
            <w:pPr/>
          </w:p>
        </w:tc>
      </w:tr>
      <w:tr>
        <w:trPr>
          <w:trHeight w:val="137" w:hRule="exact"/>
        </w:trPr>
        <w:tc>
          <w:tcPr>
            <w:tcW w:w="1699" w:type="dxa"/>
            <w:vMerge/>
            <w:tcBorders>
              <w:left w:val="single" w:sz="4" w:space="0" w:color="000000"/>
              <w:bottom w:val="nil" w:sz="6" w:space="0" w:color="auto"/>
              <w:right w:val="single" w:sz="4" w:space="0" w:color="000000"/>
            </w:tcBorders>
            <w:shd w:val="clear" w:color="auto" w:fill="D2D2D2"/>
          </w:tcPr>
          <w:p>
            <w:pPr/>
          </w:p>
        </w:tc>
        <w:tc>
          <w:tcPr>
            <w:tcW w:w="1187" w:type="dxa"/>
            <w:vMerge/>
            <w:tcBorders>
              <w:left w:val="single" w:sz="4" w:space="0" w:color="000000"/>
              <w:bottom w:val="nil" w:sz="6" w:space="0" w:color="auto"/>
              <w:right w:val="single" w:sz="4" w:space="0" w:color="000000"/>
            </w:tcBorders>
            <w:shd w:val="clear" w:color="auto" w:fill="D2D2D2"/>
          </w:tcPr>
          <w:p>
            <w:pPr/>
          </w:p>
        </w:tc>
        <w:tc>
          <w:tcPr>
            <w:tcW w:w="1378" w:type="dxa"/>
            <w:gridSpan w:val="3"/>
            <w:vMerge/>
            <w:tcBorders>
              <w:left w:val="single" w:sz="4" w:space="0" w:color="000000"/>
              <w:bottom w:val="single" w:sz="4" w:space="0" w:color="000000"/>
              <w:right w:val="single" w:sz="4" w:space="0" w:color="000000"/>
            </w:tcBorders>
            <w:shd w:val="clear" w:color="auto" w:fill="D2D2D2"/>
          </w:tcPr>
          <w:p>
            <w:pPr/>
          </w:p>
        </w:tc>
        <w:tc>
          <w:tcPr>
            <w:tcW w:w="1424" w:type="dxa"/>
            <w:vMerge/>
            <w:tcBorders>
              <w:left w:val="single" w:sz="4" w:space="0" w:color="000000"/>
              <w:bottom w:val="nil" w:sz="6" w:space="0" w:color="auto"/>
              <w:right w:val="single" w:sz="4" w:space="0" w:color="000000"/>
            </w:tcBorders>
            <w:shd w:val="clear" w:color="auto" w:fill="D2D2D2"/>
          </w:tcPr>
          <w:p>
            <w:pPr/>
          </w:p>
        </w:tc>
        <w:tc>
          <w:tcPr>
            <w:tcW w:w="7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61" w:right="20" w:hanging="238"/>
              <w:jc w:val="left"/>
              <w:rPr>
                <w:rFonts w:ascii="宋体" w:hAnsi="宋体" w:cs="宋体" w:eastAsia="宋体" w:hint="default"/>
                <w:sz w:val="18"/>
                <w:szCs w:val="18"/>
              </w:rPr>
            </w:pPr>
            <w:r>
              <w:rPr>
                <w:rFonts w:ascii="宋体" w:hAnsi="宋体" w:cs="宋体" w:eastAsia="宋体" w:hint="default"/>
                <w:spacing w:val="-17"/>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1281" w:type="dxa"/>
            <w:vMerge/>
            <w:tcBorders>
              <w:left w:val="single" w:sz="4" w:space="0" w:color="000000"/>
              <w:bottom w:val="nil" w:sz="6" w:space="0" w:color="auto"/>
              <w:right w:val="single" w:sz="4" w:space="0" w:color="000000"/>
            </w:tcBorders>
            <w:shd w:val="clear" w:color="auto" w:fill="D2D2D2"/>
          </w:tcPr>
          <w:p>
            <w:pPr/>
          </w:p>
        </w:tc>
        <w:tc>
          <w:tcPr>
            <w:tcW w:w="5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98" w:right="98"/>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41" w:type="dxa"/>
            <w:vMerge/>
            <w:tcBorders>
              <w:left w:val="single" w:sz="4" w:space="0" w:color="000000"/>
              <w:bottom w:val="nil" w:sz="6" w:space="0" w:color="auto"/>
              <w:right w:val="single" w:sz="4" w:space="0" w:color="000000"/>
            </w:tcBorders>
            <w:shd w:val="clear" w:color="auto" w:fill="D2D2D2"/>
          </w:tcPr>
          <w:p>
            <w:pPr/>
          </w:p>
        </w:tc>
        <w:tc>
          <w:tcPr>
            <w:tcW w:w="7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left="81" w:right="7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283" w:type="dxa"/>
            <w:vMerge/>
            <w:tcBorders>
              <w:left w:val="single" w:sz="4" w:space="0" w:color="000000"/>
              <w:bottom w:val="nil" w:sz="6" w:space="0" w:color="auto"/>
              <w:right w:val="single" w:sz="4" w:space="0" w:color="000000"/>
            </w:tcBorders>
            <w:shd w:val="clear" w:color="auto" w:fill="D2D2D2"/>
          </w:tcPr>
          <w:p>
            <w:pPr/>
          </w:p>
        </w:tc>
        <w:tc>
          <w:tcPr>
            <w:tcW w:w="1139" w:type="dxa"/>
            <w:vMerge w:val="restart"/>
            <w:tcBorders>
              <w:top w:val="nil" w:sz="6" w:space="0" w:color="auto"/>
              <w:left w:val="single" w:sz="4" w:space="0" w:color="000000"/>
              <w:right w:val="single" w:sz="4" w:space="0" w:color="000000"/>
            </w:tcBorders>
            <w:shd w:val="clear" w:color="auto" w:fill="D2D2D2"/>
          </w:tcPr>
          <w:p>
            <w:pPr>
              <w:pStyle w:val="TableParagraph"/>
              <w:spacing w:line="223" w:lineRule="exact"/>
              <w:ind w:left="2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630" w:type="dxa"/>
            <w:vMerge w:val="restart"/>
            <w:tcBorders>
              <w:top w:val="nil" w:sz="6" w:space="0" w:color="auto"/>
              <w:left w:val="single" w:sz="4" w:space="0" w:color="000000"/>
              <w:right w:val="single" w:sz="4" w:space="0" w:color="000000"/>
            </w:tcBorders>
            <w:shd w:val="clear" w:color="auto" w:fill="D2D2D2"/>
          </w:tcPr>
          <w:p>
            <w:pPr>
              <w:pStyle w:val="TableParagraph"/>
              <w:spacing w:line="223" w:lineRule="exact"/>
              <w:ind w:left="178"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53" w:hRule="exact"/>
        </w:trPr>
        <w:tc>
          <w:tcPr>
            <w:tcW w:w="1699" w:type="dxa"/>
            <w:vMerge w:val="restart"/>
            <w:tcBorders>
              <w:top w:val="nil" w:sz="6" w:space="0" w:color="auto"/>
              <w:left w:val="single" w:sz="4" w:space="0" w:color="000000"/>
              <w:right w:val="single" w:sz="4" w:space="0" w:color="000000"/>
            </w:tcBorders>
            <w:shd w:val="clear" w:color="auto" w:fill="D2D2D2"/>
          </w:tcPr>
          <w:p>
            <w:pPr/>
          </w:p>
        </w:tc>
        <w:tc>
          <w:tcPr>
            <w:tcW w:w="11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5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66" w:right="73"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8" w:right="26"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428" w:type="dxa"/>
            <w:vMerge w:val="restart"/>
            <w:tcBorders>
              <w:top w:val="single" w:sz="51" w:space="0" w:color="D2D2D2"/>
              <w:left w:val="single" w:sz="13" w:space="0" w:color="D2D2D2"/>
              <w:right w:val="single" w:sz="9" w:space="0" w:color="D2D2D2"/>
            </w:tcBorders>
          </w:tcPr>
          <w:p>
            <w:pPr>
              <w:pStyle w:val="TableParagraph"/>
              <w:spacing w:line="240" w:lineRule="auto" w:before="111"/>
              <w:ind w:left="1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其他</w:t>
            </w:r>
            <w:r>
              <w:rPr>
                <w:rFonts w:ascii="宋体" w:hAnsi="宋体" w:cs="宋体" w:eastAsia="宋体" w:hint="default"/>
                <w:sz w:val="18"/>
                <w:szCs w:val="18"/>
              </w:rPr>
            </w:r>
          </w:p>
        </w:tc>
        <w:tc>
          <w:tcPr>
            <w:tcW w:w="14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left="34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12" w:type="dxa"/>
            <w:vMerge/>
            <w:tcBorders>
              <w:left w:val="single" w:sz="4" w:space="0" w:color="000000"/>
              <w:right w:val="single" w:sz="4" w:space="0" w:color="000000"/>
            </w:tcBorders>
            <w:shd w:val="clear" w:color="auto" w:fill="D2D2D2"/>
          </w:tcPr>
          <w:p>
            <w:pPr/>
          </w:p>
        </w:tc>
        <w:tc>
          <w:tcPr>
            <w:tcW w:w="12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569" w:type="dxa"/>
            <w:vMerge/>
            <w:tcBorders>
              <w:left w:val="single" w:sz="4" w:space="0" w:color="000000"/>
              <w:right w:val="single" w:sz="4" w:space="0" w:color="000000"/>
            </w:tcBorders>
            <w:shd w:val="clear" w:color="auto" w:fill="D2D2D2"/>
          </w:tcPr>
          <w:p>
            <w:pPr/>
          </w:p>
        </w:tc>
        <w:tc>
          <w:tcPr>
            <w:tcW w:w="11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0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12" w:type="dxa"/>
            <w:vMerge/>
            <w:tcBorders>
              <w:left w:val="single" w:sz="4" w:space="0" w:color="000000"/>
              <w:right w:val="single" w:sz="4" w:space="0" w:color="000000"/>
            </w:tcBorders>
            <w:shd w:val="clear" w:color="auto" w:fill="D2D2D2"/>
          </w:tcPr>
          <w:p>
            <w:pPr/>
          </w:p>
        </w:tc>
        <w:tc>
          <w:tcPr>
            <w:tcW w:w="12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8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39" w:type="dxa"/>
            <w:vMerge/>
            <w:tcBorders>
              <w:left w:val="single" w:sz="4" w:space="0" w:color="000000"/>
              <w:bottom w:val="nil" w:sz="6" w:space="0" w:color="auto"/>
              <w:right w:val="single" w:sz="4" w:space="0" w:color="000000"/>
            </w:tcBorders>
            <w:shd w:val="clear" w:color="auto" w:fill="D2D2D2"/>
          </w:tcPr>
          <w:p>
            <w:pPr/>
          </w:p>
        </w:tc>
        <w:tc>
          <w:tcPr>
            <w:tcW w:w="163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699" w:type="dxa"/>
            <w:vMerge/>
            <w:tcBorders>
              <w:left w:val="single" w:sz="4" w:space="0" w:color="000000"/>
              <w:right w:val="single" w:sz="4" w:space="0" w:color="000000"/>
            </w:tcBorders>
            <w:shd w:val="clear" w:color="auto" w:fill="D2D2D2"/>
          </w:tcPr>
          <w:p>
            <w:pPr/>
          </w:p>
        </w:tc>
        <w:tc>
          <w:tcPr>
            <w:tcW w:w="1187" w:type="dxa"/>
            <w:vMerge/>
            <w:tcBorders>
              <w:left w:val="single" w:sz="4" w:space="0" w:color="000000"/>
              <w:bottom w:val="nil" w:sz="6" w:space="0" w:color="auto"/>
              <w:right w:val="single" w:sz="4" w:space="0" w:color="000000"/>
            </w:tcBorders>
            <w:shd w:val="clear" w:color="auto" w:fill="D2D2D2"/>
          </w:tcPr>
          <w:p>
            <w:pPr/>
          </w:p>
        </w:tc>
        <w:tc>
          <w:tcPr>
            <w:tcW w:w="522" w:type="dxa"/>
            <w:vMerge/>
            <w:tcBorders>
              <w:left w:val="single" w:sz="4" w:space="0" w:color="000000"/>
              <w:right w:val="single" w:sz="4" w:space="0" w:color="000000"/>
            </w:tcBorders>
            <w:shd w:val="clear" w:color="auto" w:fill="D2D2D2"/>
          </w:tcPr>
          <w:p>
            <w:pPr/>
          </w:p>
        </w:tc>
        <w:tc>
          <w:tcPr>
            <w:tcW w:w="427" w:type="dxa"/>
            <w:vMerge/>
            <w:tcBorders>
              <w:left w:val="single" w:sz="4" w:space="0" w:color="000000"/>
              <w:right w:val="single" w:sz="4" w:space="0" w:color="000000"/>
            </w:tcBorders>
            <w:shd w:val="clear" w:color="auto" w:fill="D2D2D2"/>
          </w:tcPr>
          <w:p>
            <w:pPr/>
          </w:p>
        </w:tc>
        <w:tc>
          <w:tcPr>
            <w:tcW w:w="428" w:type="dxa"/>
            <w:vMerge/>
            <w:tcBorders>
              <w:left w:val="single" w:sz="13" w:space="0" w:color="D2D2D2"/>
              <w:right w:val="single" w:sz="9" w:space="0" w:color="D2D2D2"/>
            </w:tcBorders>
          </w:tcPr>
          <w:p>
            <w:pPr/>
          </w:p>
        </w:tc>
        <w:tc>
          <w:tcPr>
            <w:tcW w:w="1424" w:type="dxa"/>
            <w:vMerge/>
            <w:tcBorders>
              <w:left w:val="single" w:sz="4" w:space="0" w:color="000000"/>
              <w:bottom w:val="nil" w:sz="6" w:space="0" w:color="auto"/>
              <w:right w:val="single" w:sz="4" w:space="0" w:color="000000"/>
            </w:tcBorders>
            <w:shd w:val="clear" w:color="auto" w:fill="D2D2D2"/>
          </w:tcPr>
          <w:p>
            <w:pPr/>
          </w:p>
        </w:tc>
        <w:tc>
          <w:tcPr>
            <w:tcW w:w="712" w:type="dxa"/>
            <w:vMerge/>
            <w:tcBorders>
              <w:left w:val="single" w:sz="4" w:space="0" w:color="000000"/>
              <w:right w:val="single" w:sz="4" w:space="0" w:color="000000"/>
            </w:tcBorders>
            <w:shd w:val="clear" w:color="auto" w:fill="D2D2D2"/>
          </w:tcPr>
          <w:p>
            <w:pPr/>
          </w:p>
        </w:tc>
        <w:tc>
          <w:tcPr>
            <w:tcW w:w="1281"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1141" w:type="dxa"/>
            <w:vMerge/>
            <w:tcBorders>
              <w:left w:val="single" w:sz="4" w:space="0" w:color="000000"/>
              <w:bottom w:val="nil" w:sz="6" w:space="0" w:color="auto"/>
              <w:right w:val="single" w:sz="4" w:space="0" w:color="000000"/>
            </w:tcBorders>
            <w:shd w:val="clear" w:color="auto" w:fill="D2D2D2"/>
          </w:tcPr>
          <w:p>
            <w:pPr/>
          </w:p>
        </w:tc>
        <w:tc>
          <w:tcPr>
            <w:tcW w:w="712" w:type="dxa"/>
            <w:vMerge/>
            <w:tcBorders>
              <w:left w:val="single" w:sz="4" w:space="0" w:color="000000"/>
              <w:right w:val="single" w:sz="4" w:space="0" w:color="000000"/>
            </w:tcBorders>
            <w:shd w:val="clear" w:color="auto" w:fill="D2D2D2"/>
          </w:tcPr>
          <w:p>
            <w:pPr/>
          </w:p>
        </w:tc>
        <w:tc>
          <w:tcPr>
            <w:tcW w:w="1283" w:type="dxa"/>
            <w:vMerge/>
            <w:tcBorders>
              <w:left w:val="single" w:sz="4" w:space="0" w:color="000000"/>
              <w:bottom w:val="nil" w:sz="6" w:space="0" w:color="auto"/>
              <w:right w:val="single" w:sz="4" w:space="0" w:color="000000"/>
            </w:tcBorders>
            <w:shd w:val="clear" w:color="auto" w:fill="D2D2D2"/>
          </w:tcPr>
          <w:p>
            <w:pPr/>
          </w:p>
        </w:tc>
        <w:tc>
          <w:tcPr>
            <w:tcW w:w="1139" w:type="dxa"/>
            <w:vMerge w:val="restart"/>
            <w:tcBorders>
              <w:top w:val="nil" w:sz="6" w:space="0" w:color="auto"/>
              <w:left w:val="single" w:sz="4" w:space="0" w:color="000000"/>
              <w:right w:val="single" w:sz="4" w:space="0" w:color="000000"/>
            </w:tcBorders>
            <w:shd w:val="clear" w:color="auto" w:fill="D2D2D2"/>
          </w:tcPr>
          <w:p>
            <w:pPr/>
          </w:p>
        </w:tc>
        <w:tc>
          <w:tcPr>
            <w:tcW w:w="1630" w:type="dxa"/>
            <w:vMerge w:val="restart"/>
            <w:tcBorders>
              <w:top w:val="nil" w:sz="6" w:space="0" w:color="auto"/>
              <w:left w:val="single" w:sz="4" w:space="0" w:color="000000"/>
              <w:right w:val="single" w:sz="4" w:space="0" w:color="000000"/>
            </w:tcBorders>
            <w:shd w:val="clear" w:color="auto" w:fill="D2D2D2"/>
          </w:tcPr>
          <w:p>
            <w:pPr/>
          </w:p>
        </w:tc>
      </w:tr>
      <w:tr>
        <w:trPr>
          <w:trHeight w:val="118" w:hRule="exact"/>
        </w:trPr>
        <w:tc>
          <w:tcPr>
            <w:tcW w:w="1699" w:type="dxa"/>
            <w:vMerge/>
            <w:tcBorders>
              <w:left w:val="single" w:sz="4" w:space="0" w:color="000000"/>
              <w:right w:val="single" w:sz="4" w:space="0" w:color="000000"/>
            </w:tcBorders>
            <w:shd w:val="clear" w:color="auto" w:fill="D2D2D2"/>
          </w:tcPr>
          <w:p>
            <w:pPr/>
          </w:p>
        </w:tc>
        <w:tc>
          <w:tcPr>
            <w:tcW w:w="1187" w:type="dxa"/>
            <w:vMerge w:val="restart"/>
            <w:tcBorders>
              <w:top w:val="nil" w:sz="6" w:space="0" w:color="auto"/>
              <w:left w:val="single" w:sz="4" w:space="0" w:color="000000"/>
              <w:right w:val="single" w:sz="4" w:space="0" w:color="000000"/>
            </w:tcBorders>
            <w:shd w:val="clear" w:color="auto" w:fill="D2D2D2"/>
          </w:tcPr>
          <w:p>
            <w:pPr/>
          </w:p>
        </w:tc>
        <w:tc>
          <w:tcPr>
            <w:tcW w:w="522" w:type="dxa"/>
            <w:vMerge/>
            <w:tcBorders>
              <w:left w:val="single" w:sz="4" w:space="0" w:color="000000"/>
              <w:right w:val="single" w:sz="4" w:space="0" w:color="000000"/>
            </w:tcBorders>
            <w:shd w:val="clear" w:color="auto" w:fill="D2D2D2"/>
          </w:tcPr>
          <w:p>
            <w:pPr/>
          </w:p>
        </w:tc>
        <w:tc>
          <w:tcPr>
            <w:tcW w:w="427" w:type="dxa"/>
            <w:vMerge/>
            <w:tcBorders>
              <w:left w:val="single" w:sz="4" w:space="0" w:color="000000"/>
              <w:right w:val="single" w:sz="4" w:space="0" w:color="000000"/>
            </w:tcBorders>
            <w:shd w:val="clear" w:color="auto" w:fill="D2D2D2"/>
          </w:tcPr>
          <w:p>
            <w:pPr/>
          </w:p>
        </w:tc>
        <w:tc>
          <w:tcPr>
            <w:tcW w:w="428" w:type="dxa"/>
            <w:vMerge/>
            <w:tcBorders>
              <w:left w:val="single" w:sz="13" w:space="0" w:color="D2D2D2"/>
              <w:right w:val="single" w:sz="9" w:space="0" w:color="D2D2D2"/>
            </w:tcBorders>
          </w:tcPr>
          <w:p>
            <w:pPr/>
          </w:p>
        </w:tc>
        <w:tc>
          <w:tcPr>
            <w:tcW w:w="1424" w:type="dxa"/>
            <w:vMerge w:val="restart"/>
            <w:tcBorders>
              <w:top w:val="nil" w:sz="6" w:space="0" w:color="auto"/>
              <w:left w:val="single" w:sz="4" w:space="0" w:color="000000"/>
              <w:right w:val="single" w:sz="4" w:space="0" w:color="000000"/>
            </w:tcBorders>
            <w:shd w:val="clear" w:color="auto" w:fill="D2D2D2"/>
          </w:tcPr>
          <w:p>
            <w:pPr/>
          </w:p>
        </w:tc>
        <w:tc>
          <w:tcPr>
            <w:tcW w:w="712" w:type="dxa"/>
            <w:vMerge/>
            <w:tcBorders>
              <w:left w:val="single" w:sz="4" w:space="0" w:color="000000"/>
              <w:bottom w:val="nil" w:sz="6" w:space="0" w:color="auto"/>
              <w:right w:val="single" w:sz="4" w:space="0" w:color="000000"/>
            </w:tcBorders>
            <w:shd w:val="clear" w:color="auto" w:fill="D2D2D2"/>
          </w:tcPr>
          <w:p>
            <w:pPr/>
          </w:p>
        </w:tc>
        <w:tc>
          <w:tcPr>
            <w:tcW w:w="1281" w:type="dxa"/>
            <w:vMerge w:val="restart"/>
            <w:tcBorders>
              <w:top w:val="nil" w:sz="6" w:space="0" w:color="auto"/>
              <w:left w:val="single" w:sz="4" w:space="0" w:color="000000"/>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1141" w:type="dxa"/>
            <w:vMerge w:val="restart"/>
            <w:tcBorders>
              <w:top w:val="nil" w:sz="6" w:space="0" w:color="auto"/>
              <w:left w:val="single" w:sz="4" w:space="0" w:color="000000"/>
              <w:right w:val="single" w:sz="4" w:space="0" w:color="000000"/>
            </w:tcBorders>
            <w:shd w:val="clear" w:color="auto" w:fill="D2D2D2"/>
          </w:tcPr>
          <w:p>
            <w:pPr/>
          </w:p>
        </w:tc>
        <w:tc>
          <w:tcPr>
            <w:tcW w:w="712" w:type="dxa"/>
            <w:vMerge/>
            <w:tcBorders>
              <w:left w:val="single" w:sz="4" w:space="0" w:color="000000"/>
              <w:bottom w:val="nil" w:sz="6" w:space="0" w:color="auto"/>
              <w:right w:val="single" w:sz="4" w:space="0" w:color="000000"/>
            </w:tcBorders>
            <w:shd w:val="clear" w:color="auto" w:fill="D2D2D2"/>
          </w:tcPr>
          <w:p>
            <w:pPr/>
          </w:p>
        </w:tc>
        <w:tc>
          <w:tcPr>
            <w:tcW w:w="1283" w:type="dxa"/>
            <w:vMerge w:val="restart"/>
            <w:tcBorders>
              <w:top w:val="nil" w:sz="6" w:space="0" w:color="auto"/>
              <w:left w:val="single" w:sz="4" w:space="0" w:color="000000"/>
              <w:right w:val="single" w:sz="4" w:space="0" w:color="000000"/>
            </w:tcBorders>
            <w:shd w:val="clear" w:color="auto" w:fill="D2D2D2"/>
          </w:tcPr>
          <w:p>
            <w:pPr/>
          </w:p>
        </w:tc>
        <w:tc>
          <w:tcPr>
            <w:tcW w:w="1139" w:type="dxa"/>
            <w:vMerge/>
            <w:tcBorders>
              <w:left w:val="single" w:sz="4" w:space="0" w:color="000000"/>
              <w:right w:val="single" w:sz="4" w:space="0" w:color="000000"/>
            </w:tcBorders>
            <w:shd w:val="clear" w:color="auto" w:fill="D2D2D2"/>
          </w:tcPr>
          <w:p>
            <w:pPr/>
          </w:p>
        </w:tc>
        <w:tc>
          <w:tcPr>
            <w:tcW w:w="1630" w:type="dxa"/>
            <w:vMerge/>
            <w:tcBorders>
              <w:left w:val="single" w:sz="4" w:space="0" w:color="000000"/>
              <w:right w:val="single" w:sz="4" w:space="0" w:color="000000"/>
            </w:tcBorders>
            <w:shd w:val="clear" w:color="auto" w:fill="D2D2D2"/>
          </w:tcPr>
          <w:p>
            <w:pPr/>
          </w:p>
        </w:tc>
      </w:tr>
      <w:tr>
        <w:trPr>
          <w:trHeight w:val="166" w:hRule="exact"/>
        </w:trPr>
        <w:tc>
          <w:tcPr>
            <w:tcW w:w="1699" w:type="dxa"/>
            <w:vMerge/>
            <w:tcBorders>
              <w:left w:val="single" w:sz="4" w:space="0" w:color="000000"/>
              <w:bottom w:val="single" w:sz="4" w:space="0" w:color="000000"/>
              <w:right w:val="single" w:sz="4" w:space="0" w:color="000000"/>
            </w:tcBorders>
            <w:shd w:val="clear" w:color="auto" w:fill="D2D2D2"/>
          </w:tcPr>
          <w:p>
            <w:pPr/>
          </w:p>
        </w:tc>
        <w:tc>
          <w:tcPr>
            <w:tcW w:w="1187" w:type="dxa"/>
            <w:vMerge/>
            <w:tcBorders>
              <w:left w:val="single" w:sz="4" w:space="0" w:color="000000"/>
              <w:bottom w:val="single" w:sz="4" w:space="0" w:color="000000"/>
              <w:right w:val="single" w:sz="4" w:space="0" w:color="000000"/>
            </w:tcBorders>
            <w:shd w:val="clear" w:color="auto" w:fill="D2D2D2"/>
          </w:tcPr>
          <w:p>
            <w:pPr/>
          </w:p>
        </w:tc>
        <w:tc>
          <w:tcPr>
            <w:tcW w:w="522" w:type="dxa"/>
            <w:vMerge/>
            <w:tcBorders>
              <w:left w:val="single" w:sz="4" w:space="0" w:color="000000"/>
              <w:bottom w:val="single" w:sz="4" w:space="0" w:color="000000"/>
              <w:right w:val="single" w:sz="4" w:space="0" w:color="000000"/>
            </w:tcBorders>
            <w:shd w:val="clear" w:color="auto" w:fill="D2D2D2"/>
          </w:tcPr>
          <w:p>
            <w:pPr/>
          </w:p>
        </w:tc>
        <w:tc>
          <w:tcPr>
            <w:tcW w:w="427" w:type="dxa"/>
            <w:vMerge/>
            <w:tcBorders>
              <w:left w:val="single" w:sz="4" w:space="0" w:color="000000"/>
              <w:bottom w:val="single" w:sz="4" w:space="0" w:color="000000"/>
              <w:right w:val="single" w:sz="4" w:space="0" w:color="000000"/>
            </w:tcBorders>
            <w:shd w:val="clear" w:color="auto" w:fill="D2D2D2"/>
          </w:tcPr>
          <w:p>
            <w:pPr/>
          </w:p>
        </w:tc>
        <w:tc>
          <w:tcPr>
            <w:tcW w:w="428" w:type="dxa"/>
            <w:vMerge/>
            <w:tcBorders>
              <w:left w:val="single" w:sz="13" w:space="0" w:color="D2D2D2"/>
              <w:bottom w:val="single" w:sz="47" w:space="0" w:color="D2D2D2"/>
              <w:right w:val="single" w:sz="9" w:space="0" w:color="D2D2D2"/>
            </w:tcBorders>
          </w:tcPr>
          <w:p>
            <w:pPr/>
          </w:p>
        </w:tc>
        <w:tc>
          <w:tcPr>
            <w:tcW w:w="1424" w:type="dxa"/>
            <w:vMerge/>
            <w:tcBorders>
              <w:left w:val="single" w:sz="4" w:space="0" w:color="000000"/>
              <w:bottom w:val="single" w:sz="4" w:space="0" w:color="000000"/>
              <w:right w:val="single" w:sz="4" w:space="0" w:color="000000"/>
            </w:tcBorders>
            <w:shd w:val="clear" w:color="auto" w:fill="D2D2D2"/>
          </w:tcPr>
          <w:p>
            <w:pPr/>
          </w:p>
        </w:tc>
        <w:tc>
          <w:tcPr>
            <w:tcW w:w="7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1" w:type="dxa"/>
            <w:vMerge/>
            <w:tcBorders>
              <w:left w:val="single" w:sz="4" w:space="0" w:color="000000"/>
              <w:bottom w:val="single" w:sz="4" w:space="0" w:color="000000"/>
              <w:right w:val="single" w:sz="4" w:space="0" w:color="000000"/>
            </w:tcBorders>
            <w:shd w:val="clear" w:color="auto" w:fill="D2D2D2"/>
          </w:tcPr>
          <w:p>
            <w:pPr/>
          </w:p>
        </w:tc>
        <w:tc>
          <w:tcPr>
            <w:tcW w:w="5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1" w:type="dxa"/>
            <w:vMerge/>
            <w:tcBorders>
              <w:left w:val="single" w:sz="4" w:space="0" w:color="000000"/>
              <w:bottom w:val="single" w:sz="4" w:space="0" w:color="000000"/>
              <w:right w:val="single" w:sz="4" w:space="0" w:color="000000"/>
            </w:tcBorders>
            <w:shd w:val="clear" w:color="auto" w:fill="D2D2D2"/>
          </w:tcPr>
          <w:p>
            <w:pPr/>
          </w:p>
        </w:tc>
        <w:tc>
          <w:tcPr>
            <w:tcW w:w="7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3" w:type="dxa"/>
            <w:vMerge/>
            <w:tcBorders>
              <w:left w:val="single" w:sz="4" w:space="0" w:color="000000"/>
              <w:bottom w:val="single" w:sz="4" w:space="0" w:color="000000"/>
              <w:right w:val="single" w:sz="4" w:space="0" w:color="000000"/>
            </w:tcBorders>
            <w:shd w:val="clear" w:color="auto" w:fill="D2D2D2"/>
          </w:tcPr>
          <w:p>
            <w:pPr/>
          </w:p>
        </w:tc>
        <w:tc>
          <w:tcPr>
            <w:tcW w:w="1139" w:type="dxa"/>
            <w:vMerge/>
            <w:tcBorders>
              <w:left w:val="single" w:sz="4" w:space="0" w:color="000000"/>
              <w:bottom w:val="single" w:sz="4" w:space="0" w:color="000000"/>
              <w:right w:val="single" w:sz="4" w:space="0" w:color="000000"/>
            </w:tcBorders>
            <w:shd w:val="clear" w:color="auto" w:fill="D2D2D2"/>
          </w:tcPr>
          <w:p>
            <w:pPr/>
          </w:p>
        </w:tc>
        <w:tc>
          <w:tcPr>
            <w:tcW w:w="1630"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left="18" w:right="0"/>
              <w:jc w:val="left"/>
              <w:rPr>
                <w:rFonts w:ascii="Times New Roman" w:hAnsi="Times New Roman" w:cs="Times New Roman" w:eastAsia="Times New Roman" w:hint="default"/>
                <w:sz w:val="18"/>
                <w:szCs w:val="18"/>
              </w:rPr>
            </w:pPr>
            <w:r>
              <w:rPr>
                <w:rFonts w:ascii="Times New Roman"/>
                <w:sz w:val="18"/>
              </w:rPr>
              <w:t>654,070,434.00</w:t>
            </w:r>
          </w:p>
        </w:tc>
        <w:tc>
          <w:tcPr>
            <w:tcW w:w="52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7" w:space="0" w:color="D2D2D2"/>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1" w:right="0"/>
              <w:jc w:val="left"/>
              <w:rPr>
                <w:rFonts w:ascii="Times New Roman" w:hAnsi="Times New Roman" w:cs="Times New Roman" w:eastAsia="Times New Roman" w:hint="default"/>
                <w:sz w:val="18"/>
                <w:szCs w:val="18"/>
              </w:rPr>
            </w:pPr>
            <w:r>
              <w:rPr>
                <w:rFonts w:ascii="Times New Roman"/>
                <w:sz w:val="18"/>
              </w:rPr>
              <w:t>2,380,627,616.35</w:t>
            </w:r>
          </w:p>
        </w:tc>
        <w:tc>
          <w:tcPr>
            <w:tcW w:w="712" w:type="dxa"/>
            <w:tcBorders>
              <w:top w:val="single" w:sz="4" w:space="0" w:color="000000"/>
              <w:left w:val="single" w:sz="4" w:space="0" w:color="000000"/>
              <w:bottom w:val="single" w:sz="4" w:space="0" w:color="000000"/>
              <w:right w:val="single" w:sz="4" w:space="0" w:color="000000"/>
            </w:tcBorders>
          </w:tcPr>
          <w:p>
            <w:pP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2" w:right="0"/>
              <w:jc w:val="left"/>
              <w:rPr>
                <w:rFonts w:ascii="Times New Roman" w:hAnsi="Times New Roman" w:cs="Times New Roman" w:eastAsia="Times New Roman" w:hint="default"/>
                <w:sz w:val="18"/>
                <w:szCs w:val="18"/>
              </w:rPr>
            </w:pPr>
            <w:r>
              <w:rPr>
                <w:rFonts w:ascii="Times New Roman"/>
                <w:sz w:val="18"/>
              </w:rPr>
              <w:t>23,177,178.74</w:t>
            </w:r>
          </w:p>
        </w:tc>
        <w:tc>
          <w:tcPr>
            <w:tcW w:w="56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4" w:right="0"/>
              <w:jc w:val="left"/>
              <w:rPr>
                <w:rFonts w:ascii="Times New Roman" w:hAnsi="Times New Roman" w:cs="Times New Roman" w:eastAsia="Times New Roman" w:hint="default"/>
                <w:sz w:val="18"/>
                <w:szCs w:val="18"/>
              </w:rPr>
            </w:pPr>
            <w:r>
              <w:rPr>
                <w:rFonts w:ascii="Times New Roman"/>
                <w:sz w:val="18"/>
              </w:rPr>
              <w:t>65,738,593.50</w:t>
            </w:r>
          </w:p>
        </w:tc>
        <w:tc>
          <w:tcPr>
            <w:tcW w:w="712"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5" w:right="0"/>
              <w:jc w:val="left"/>
              <w:rPr>
                <w:rFonts w:ascii="Times New Roman" w:hAnsi="Times New Roman" w:cs="Times New Roman" w:eastAsia="Times New Roman" w:hint="default"/>
                <w:sz w:val="18"/>
                <w:szCs w:val="18"/>
              </w:rPr>
            </w:pPr>
            <w:r>
              <w:rPr>
                <w:rFonts w:ascii="Times New Roman"/>
                <w:sz w:val="18"/>
              </w:rPr>
              <w:t>-475,450,417.00</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60" w:right="0"/>
              <w:jc w:val="left"/>
              <w:rPr>
                <w:rFonts w:ascii="Times New Roman" w:hAnsi="Times New Roman" w:cs="Times New Roman" w:eastAsia="Times New Roman" w:hint="default"/>
                <w:sz w:val="18"/>
                <w:szCs w:val="18"/>
              </w:rPr>
            </w:pPr>
            <w:r>
              <w:rPr>
                <w:rFonts w:ascii="Times New Roman"/>
                <w:sz w:val="18"/>
              </w:rPr>
              <w:t>2,509,809.80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6" w:right="0"/>
              <w:jc w:val="left"/>
              <w:rPr>
                <w:rFonts w:ascii="Times New Roman" w:hAnsi="Times New Roman" w:cs="Times New Roman" w:eastAsia="Times New Roman" w:hint="default"/>
                <w:sz w:val="18"/>
                <w:szCs w:val="18"/>
              </w:rPr>
            </w:pPr>
            <w:r>
              <w:rPr>
                <w:rFonts w:ascii="Times New Roman"/>
                <w:sz w:val="18"/>
              </w:rPr>
              <w:t>2,650,673,215.39</w:t>
            </w:r>
          </w:p>
        </w:tc>
      </w:tr>
      <w:tr>
        <w:trPr>
          <w:trHeight w:val="557" w:hRule="exact"/>
        </w:trPr>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371" w:right="0"/>
              <w:jc w:val="left"/>
              <w:rPr>
                <w:rFonts w:ascii="宋体" w:hAnsi="宋体" w:cs="宋体" w:eastAsia="宋体" w:hint="default"/>
                <w:sz w:val="18"/>
                <w:szCs w:val="18"/>
              </w:rPr>
            </w:pPr>
            <w:r>
              <w:rPr>
                <w:rFonts w:ascii="宋体" w:hAnsi="宋体" w:cs="宋体" w:eastAsia="宋体" w:hint="default"/>
                <w:sz w:val="18"/>
                <w:szCs w:val="18"/>
              </w:rPr>
              <w:t>加：会计政策变</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更</w:t>
            </w:r>
          </w:p>
        </w:tc>
        <w:tc>
          <w:tcPr>
            <w:tcW w:w="1187" w:type="dxa"/>
            <w:tcBorders>
              <w:top w:val="single" w:sz="4" w:space="0" w:color="000000"/>
              <w:left w:val="single" w:sz="13" w:space="0" w:color="D2D2D2"/>
              <w:bottom w:val="single" w:sz="4" w:space="0" w:color="000000"/>
              <w:right w:val="single" w:sz="4" w:space="0" w:color="000000"/>
            </w:tcBorders>
          </w:tcPr>
          <w:p>
            <w:pPr/>
          </w:p>
        </w:tc>
        <w:tc>
          <w:tcPr>
            <w:tcW w:w="52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2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731"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正</w:t>
            </w:r>
          </w:p>
        </w:tc>
        <w:tc>
          <w:tcPr>
            <w:tcW w:w="1187" w:type="dxa"/>
            <w:tcBorders>
              <w:top w:val="single" w:sz="4" w:space="0" w:color="000000"/>
              <w:left w:val="single" w:sz="13" w:space="0" w:color="D2D2D2"/>
              <w:bottom w:val="single" w:sz="4" w:space="0" w:color="000000"/>
              <w:right w:val="single" w:sz="4" w:space="0" w:color="000000"/>
            </w:tcBorders>
          </w:tcPr>
          <w:p>
            <w:pPr/>
          </w:p>
        </w:tc>
        <w:tc>
          <w:tcPr>
            <w:tcW w:w="52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2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57" w:firstLine="720"/>
              <w:jc w:val="left"/>
              <w:rPr>
                <w:rFonts w:ascii="宋体" w:hAnsi="宋体" w:cs="宋体" w:eastAsia="宋体" w:hint="default"/>
                <w:sz w:val="18"/>
                <w:szCs w:val="18"/>
              </w:rPr>
            </w:pPr>
            <w:r>
              <w:rPr>
                <w:rFonts w:ascii="宋体" w:hAnsi="宋体" w:cs="宋体" w:eastAsia="宋体" w:hint="default"/>
                <w:sz w:val="18"/>
                <w:szCs w:val="18"/>
              </w:rPr>
              <w:t>同一控制下 企业合并</w:t>
            </w:r>
          </w:p>
        </w:tc>
        <w:tc>
          <w:tcPr>
            <w:tcW w:w="1187" w:type="dxa"/>
            <w:tcBorders>
              <w:top w:val="single" w:sz="4" w:space="0" w:color="000000"/>
              <w:left w:val="single" w:sz="13" w:space="0" w:color="D2D2D2"/>
              <w:bottom w:val="single" w:sz="4" w:space="0" w:color="000000"/>
              <w:right w:val="single" w:sz="4" w:space="0" w:color="000000"/>
            </w:tcBorders>
          </w:tcPr>
          <w:p>
            <w:pPr/>
          </w:p>
        </w:tc>
        <w:tc>
          <w:tcPr>
            <w:tcW w:w="52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2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33"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7" w:type="dxa"/>
            <w:tcBorders>
              <w:top w:val="single" w:sz="4" w:space="0" w:color="000000"/>
              <w:left w:val="single" w:sz="13" w:space="0" w:color="D2D2D2"/>
              <w:bottom w:val="single" w:sz="4" w:space="0" w:color="000000"/>
              <w:right w:val="single" w:sz="4" w:space="0" w:color="000000"/>
            </w:tcBorders>
          </w:tcPr>
          <w:p>
            <w:pPr/>
          </w:p>
        </w:tc>
        <w:tc>
          <w:tcPr>
            <w:tcW w:w="52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2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160" w:right="1060"/>
        </w:sectPr>
      </w:pPr>
    </w:p>
    <w:p>
      <w:pPr>
        <w:spacing w:line="240" w:lineRule="auto" w:before="4"/>
        <w:rPr>
          <w:rFonts w:ascii="Times New Roman" w:hAnsi="Times New Roman" w:cs="Times New Roman" w:eastAsia="Times New Roman" w:hint="default"/>
          <w:sz w:val="3"/>
          <w:szCs w:val="3"/>
        </w:rPr>
      </w:pPr>
      <w:r>
        <w:rPr/>
        <w:pict>
          <v:group style="position:absolute;margin-left:149pt;margin-top:305.140015pt;width:58.9pt;height:21.45pt;mso-position-horizontal-relative:page;mso-position-vertical-relative:page;z-index:-1465024" coordorigin="2980,6103" coordsize="1178,429">
            <v:group style="position:absolute;left:2980;top:6103;width:1178;height:131" coordorigin="2980,6103" coordsize="1178,131">
              <v:shape style="position:absolute;left:2980;top:6103;width:1178;height:131" coordorigin="2980,6103" coordsize="1178,131" path="m2980,6234l4157,6234,4157,6103,2980,6103,2980,6234xe" filled="true" fillcolor="#ffffff" stroked="false">
                <v:path arrowok="t"/>
                <v:fill type="solid"/>
              </v:shape>
            </v:group>
            <v:group style="position:absolute;left:2991;top:6234;width:2;height:287" coordorigin="2991,6234" coordsize="2,287">
              <v:shape style="position:absolute;left:2991;top:6234;width:2;height:287" coordorigin="2991,6234" coordsize="0,287" path="m2991,6234l2991,6520e" filled="false" stroked="true" strokeweight="1.140pt" strokecolor="#ffffff">
                <v:path arrowok="t"/>
              </v:shape>
            </v:group>
            <v:group style="position:absolute;left:3003;top:6234;width:1132;height:287" coordorigin="3003,6234" coordsize="1132,287">
              <v:shape style="position:absolute;left:3003;top:6234;width:1132;height:287" coordorigin="3003,6234" coordsize="1132,287" path="m3003,6520l4134,6520,4134,6234,3003,6234,3003,6520xe" filled="true" fillcolor="#ffffff" stroked="false">
                <v:path arrowok="t"/>
                <v:fill type="solid"/>
              </v:shape>
            </v:group>
            <w10:wrap type="none"/>
          </v:group>
        </w:pict>
      </w:r>
    </w:p>
    <w:tbl>
      <w:tblPr>
        <w:tblW w:w="0" w:type="auto"/>
        <w:jc w:val="left"/>
        <w:tblInd w:w="111" w:type="dxa"/>
        <w:tblLayout w:type="fixed"/>
        <w:tblCellMar>
          <w:top w:w="0" w:type="dxa"/>
          <w:left w:w="0" w:type="dxa"/>
          <w:bottom w:w="0" w:type="dxa"/>
          <w:right w:w="0" w:type="dxa"/>
        </w:tblCellMar>
        <w:tblLook w:val="01E0"/>
      </w:tblPr>
      <w:tblGrid>
        <w:gridCol w:w="1699"/>
        <w:gridCol w:w="1187"/>
        <w:gridCol w:w="522"/>
        <w:gridCol w:w="427"/>
        <w:gridCol w:w="428"/>
        <w:gridCol w:w="1424"/>
        <w:gridCol w:w="712"/>
        <w:gridCol w:w="1281"/>
        <w:gridCol w:w="569"/>
        <w:gridCol w:w="1141"/>
        <w:gridCol w:w="712"/>
        <w:gridCol w:w="1283"/>
        <w:gridCol w:w="1139"/>
        <w:gridCol w:w="1630"/>
      </w:tblGrid>
      <w:tr>
        <w:trPr>
          <w:trHeight w:val="338" w:hRule="exact"/>
        </w:trPr>
        <w:tc>
          <w:tcPr>
            <w:tcW w:w="1699"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8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9"/>
              <w:ind w:left="30" w:right="0"/>
              <w:jc w:val="left"/>
              <w:rPr>
                <w:rFonts w:ascii="Times New Roman" w:hAnsi="Times New Roman" w:cs="Times New Roman" w:eastAsia="Times New Roman" w:hint="default"/>
                <w:sz w:val="18"/>
                <w:szCs w:val="18"/>
              </w:rPr>
            </w:pPr>
            <w:r>
              <w:rPr>
                <w:rFonts w:ascii="Times New Roman"/>
                <w:sz w:val="18"/>
              </w:rPr>
              <w:t>654,070,434.00</w:t>
            </w:r>
          </w:p>
        </w:tc>
        <w:tc>
          <w:tcPr>
            <w:tcW w:w="522" w:type="dxa"/>
            <w:tcBorders>
              <w:top w:val="single" w:sz="15" w:space="0" w:color="000000"/>
              <w:left w:val="single" w:sz="4" w:space="0" w:color="000000"/>
              <w:bottom w:val="single" w:sz="4" w:space="0" w:color="000000"/>
              <w:right w:val="single" w:sz="4" w:space="0" w:color="000000"/>
            </w:tcBorders>
          </w:tcPr>
          <w:p>
            <w:pPr/>
          </w:p>
        </w:tc>
        <w:tc>
          <w:tcPr>
            <w:tcW w:w="427" w:type="dxa"/>
            <w:tcBorders>
              <w:top w:val="single" w:sz="15" w:space="0" w:color="000000"/>
              <w:left w:val="single" w:sz="4" w:space="0" w:color="000000"/>
              <w:bottom w:val="single" w:sz="4" w:space="0" w:color="000000"/>
              <w:right w:val="single" w:sz="4" w:space="0" w:color="000000"/>
            </w:tcBorders>
          </w:tcPr>
          <w:p>
            <w:pPr/>
          </w:p>
        </w:tc>
        <w:tc>
          <w:tcPr>
            <w:tcW w:w="428" w:type="dxa"/>
            <w:tcBorders>
              <w:top w:val="single" w:sz="15" w:space="0" w:color="000000"/>
              <w:left w:val="single" w:sz="4" w:space="0" w:color="000000"/>
              <w:bottom w:val="single" w:sz="4" w:space="0" w:color="000000"/>
              <w:right w:val="single" w:sz="4" w:space="0" w:color="000000"/>
            </w:tcBorders>
          </w:tcPr>
          <w:p>
            <w:pPr/>
          </w:p>
        </w:tc>
        <w:tc>
          <w:tcPr>
            <w:tcW w:w="142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9"/>
              <w:ind w:left="131" w:right="0"/>
              <w:jc w:val="left"/>
              <w:rPr>
                <w:rFonts w:ascii="Times New Roman" w:hAnsi="Times New Roman" w:cs="Times New Roman" w:eastAsia="Times New Roman" w:hint="default"/>
                <w:sz w:val="18"/>
                <w:szCs w:val="18"/>
              </w:rPr>
            </w:pPr>
            <w:r>
              <w:rPr>
                <w:rFonts w:ascii="Times New Roman"/>
                <w:sz w:val="18"/>
              </w:rPr>
              <w:t>2,380,627,616.35</w:t>
            </w:r>
          </w:p>
        </w:tc>
        <w:tc>
          <w:tcPr>
            <w:tcW w:w="712" w:type="dxa"/>
            <w:tcBorders>
              <w:top w:val="single" w:sz="15" w:space="0" w:color="000000"/>
              <w:left w:val="single" w:sz="4" w:space="0" w:color="000000"/>
              <w:bottom w:val="single" w:sz="4" w:space="0" w:color="000000"/>
              <w:right w:val="single" w:sz="4" w:space="0" w:color="000000"/>
            </w:tcBorders>
          </w:tcPr>
          <w:p>
            <w:pPr/>
          </w:p>
        </w:tc>
        <w:tc>
          <w:tcPr>
            <w:tcW w:w="12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23,177,178.74</w:t>
            </w:r>
          </w:p>
        </w:tc>
        <w:tc>
          <w:tcPr>
            <w:tcW w:w="569" w:type="dxa"/>
            <w:tcBorders>
              <w:top w:val="single" w:sz="15" w:space="0" w:color="000000"/>
              <w:left w:val="single" w:sz="4" w:space="0" w:color="000000"/>
              <w:bottom w:val="single" w:sz="4" w:space="0" w:color="000000"/>
              <w:right w:val="single" w:sz="4" w:space="0" w:color="000000"/>
            </w:tcBorders>
          </w:tcPr>
          <w:p>
            <w:pPr/>
          </w:p>
        </w:tc>
        <w:tc>
          <w:tcPr>
            <w:tcW w:w="114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9"/>
              <w:ind w:left="74" w:right="0"/>
              <w:jc w:val="left"/>
              <w:rPr>
                <w:rFonts w:ascii="Times New Roman" w:hAnsi="Times New Roman" w:cs="Times New Roman" w:eastAsia="Times New Roman" w:hint="default"/>
                <w:sz w:val="18"/>
                <w:szCs w:val="18"/>
              </w:rPr>
            </w:pPr>
            <w:r>
              <w:rPr>
                <w:rFonts w:ascii="Times New Roman"/>
                <w:sz w:val="18"/>
              </w:rPr>
              <w:t>65,738,593.50</w:t>
            </w:r>
          </w:p>
        </w:tc>
        <w:tc>
          <w:tcPr>
            <w:tcW w:w="712" w:type="dxa"/>
            <w:tcBorders>
              <w:top w:val="single" w:sz="15" w:space="0" w:color="000000"/>
              <w:left w:val="single" w:sz="4" w:space="0" w:color="000000"/>
              <w:bottom w:val="single" w:sz="4" w:space="0" w:color="000000"/>
              <w:right w:val="single" w:sz="4" w:space="0" w:color="000000"/>
            </w:tcBorders>
          </w:tcPr>
          <w:p>
            <w:pPr/>
          </w:p>
        </w:tc>
        <w:tc>
          <w:tcPr>
            <w:tcW w:w="128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-475,450,417.00</w:t>
            </w:r>
          </w:p>
        </w:tc>
        <w:tc>
          <w:tcPr>
            <w:tcW w:w="113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2,509,809.80</w:t>
            </w:r>
          </w:p>
        </w:tc>
        <w:tc>
          <w:tcPr>
            <w:tcW w:w="163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2,650,673,215.39</w:t>
            </w:r>
          </w:p>
        </w:tc>
      </w:tr>
      <w:tr>
        <w:trPr>
          <w:trHeight w:val="790" w:hRule="exact"/>
        </w:trPr>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auto" w:before="18"/>
              <w:ind w:left="11" w:right="57"/>
              <w:jc w:val="both"/>
              <w:rPr>
                <w:rFonts w:ascii="宋体" w:hAnsi="宋体" w:cs="宋体" w:eastAsia="宋体" w:hint="default"/>
                <w:sz w:val="18"/>
                <w:szCs w:val="18"/>
              </w:rPr>
            </w:pPr>
            <w:r>
              <w:rPr>
                <w:rFonts w:ascii="宋体" w:hAnsi="宋体" w:cs="宋体" w:eastAsia="宋体" w:hint="default"/>
                <w:sz w:val="18"/>
                <w:szCs w:val="18"/>
              </w:rPr>
              <w:t>三、本期增减变动金 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1187" w:type="dxa"/>
            <w:tcBorders>
              <w:top w:val="single" w:sz="4" w:space="0" w:color="000000"/>
              <w:left w:val="single" w:sz="4" w:space="0" w:color="000000"/>
              <w:bottom w:val="single" w:sz="4" w:space="0" w:color="000000"/>
              <w:right w:val="single" w:sz="4" w:space="0" w:color="000000"/>
            </w:tcBorders>
          </w:tcPr>
          <w:p>
            <w:pPr/>
          </w:p>
        </w:tc>
        <w:tc>
          <w:tcPr>
            <w:tcW w:w="52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-21,029,201.63</w:t>
            </w:r>
          </w:p>
        </w:tc>
        <w:tc>
          <w:tcPr>
            <w:tcW w:w="56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722,924,713.03</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5,263,914.31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707,159,425.71</w:t>
            </w:r>
          </w:p>
        </w:tc>
      </w:tr>
      <w:tr>
        <w:trPr>
          <w:trHeight w:val="324" w:hRule="exact"/>
        </w:trPr>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7" w:type="dxa"/>
            <w:tcBorders>
              <w:top w:val="single" w:sz="4" w:space="0" w:color="000000"/>
              <w:left w:val="single" w:sz="4" w:space="0" w:color="000000"/>
              <w:bottom w:val="single" w:sz="4" w:space="0" w:color="000000"/>
              <w:right w:val="single" w:sz="4" w:space="0" w:color="000000"/>
            </w:tcBorders>
          </w:tcPr>
          <w:p>
            <w:pPr/>
          </w:p>
        </w:tc>
        <w:tc>
          <w:tcPr>
            <w:tcW w:w="52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-21,029,201.63</w:t>
            </w:r>
          </w:p>
        </w:tc>
        <w:tc>
          <w:tcPr>
            <w:tcW w:w="56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722,924,713.03</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263,914.31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702,159,425.71</w:t>
            </w:r>
          </w:p>
        </w:tc>
      </w:tr>
      <w:tr>
        <w:trPr>
          <w:trHeight w:val="557" w:hRule="exact"/>
        </w:trPr>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57"/>
              <w:jc w:val="left"/>
              <w:rPr>
                <w:rFonts w:ascii="宋体" w:hAnsi="宋体" w:cs="宋体" w:eastAsia="宋体" w:hint="default"/>
                <w:sz w:val="18"/>
                <w:szCs w:val="18"/>
              </w:rPr>
            </w:pPr>
            <w:r>
              <w:rPr>
                <w:rFonts w:ascii="宋体" w:hAnsi="宋体" w:cs="宋体" w:eastAsia="宋体" w:hint="default"/>
                <w:sz w:val="18"/>
                <w:szCs w:val="18"/>
              </w:rPr>
              <w:t>（二）所有者投入和 减少资本</w:t>
            </w:r>
          </w:p>
        </w:tc>
        <w:tc>
          <w:tcPr>
            <w:tcW w:w="1187" w:type="dxa"/>
            <w:tcBorders>
              <w:top w:val="single" w:sz="4" w:space="0" w:color="000000"/>
              <w:left w:val="single" w:sz="4" w:space="0" w:color="000000"/>
              <w:bottom w:val="single" w:sz="4" w:space="0" w:color="000000"/>
              <w:right w:val="single" w:sz="4" w:space="0" w:color="000000"/>
            </w:tcBorders>
          </w:tcPr>
          <w:p>
            <w:pPr/>
          </w:p>
        </w:tc>
        <w:tc>
          <w:tcPr>
            <w:tcW w:w="52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2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557" w:hRule="exact"/>
        </w:trPr>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11" w:right="22"/>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．所有者投入的普通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1187" w:type="dxa"/>
            <w:tcBorders>
              <w:top w:val="single" w:sz="4" w:space="0" w:color="000000"/>
              <w:left w:val="single" w:sz="4" w:space="0" w:color="000000"/>
              <w:bottom w:val="single" w:sz="4" w:space="0" w:color="000000"/>
              <w:right w:val="single" w:sz="4" w:space="0" w:color="000000"/>
            </w:tcBorders>
          </w:tcPr>
          <w:p>
            <w:pPr/>
          </w:p>
        </w:tc>
        <w:tc>
          <w:tcPr>
            <w:tcW w:w="52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2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557" w:hRule="exact"/>
        </w:trPr>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11" w:right="22"/>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．其他权益工具持有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者投入资本</w:t>
            </w:r>
          </w:p>
        </w:tc>
        <w:tc>
          <w:tcPr>
            <w:tcW w:w="1187" w:type="dxa"/>
            <w:tcBorders>
              <w:top w:val="single" w:sz="4" w:space="0" w:color="000000"/>
              <w:left w:val="single" w:sz="4" w:space="0" w:color="000000"/>
              <w:bottom w:val="single" w:sz="4" w:space="0" w:color="000000"/>
              <w:right w:val="single" w:sz="4" w:space="0" w:color="000000"/>
            </w:tcBorders>
          </w:tcPr>
          <w:p>
            <w:pPr/>
          </w:p>
        </w:tc>
        <w:tc>
          <w:tcPr>
            <w:tcW w:w="52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2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11" w:right="22"/>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．股份支付计入所有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者权益的金额</w:t>
            </w:r>
          </w:p>
        </w:tc>
        <w:tc>
          <w:tcPr>
            <w:tcW w:w="1187" w:type="dxa"/>
            <w:tcBorders>
              <w:top w:val="single" w:sz="4" w:space="0" w:color="000000"/>
              <w:left w:val="single" w:sz="4" w:space="0" w:color="000000"/>
              <w:bottom w:val="single" w:sz="4" w:space="0" w:color="000000"/>
              <w:right w:val="single" w:sz="4" w:space="0" w:color="000000"/>
            </w:tcBorders>
          </w:tcPr>
          <w:p>
            <w:pPr/>
          </w:p>
        </w:tc>
        <w:tc>
          <w:tcPr>
            <w:tcW w:w="52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2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7" w:type="dxa"/>
            <w:tcBorders>
              <w:top w:val="single" w:sz="4" w:space="0" w:color="000000"/>
              <w:left w:val="single" w:sz="4" w:space="0" w:color="000000"/>
              <w:bottom w:val="single" w:sz="4" w:space="0" w:color="000000"/>
              <w:right w:val="single" w:sz="4" w:space="0" w:color="000000"/>
            </w:tcBorders>
          </w:tcPr>
          <w:p>
            <w:pPr/>
          </w:p>
        </w:tc>
        <w:tc>
          <w:tcPr>
            <w:tcW w:w="52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2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7" w:type="dxa"/>
            <w:tcBorders>
              <w:top w:val="single" w:sz="4" w:space="0" w:color="000000"/>
              <w:left w:val="single" w:sz="4" w:space="0" w:color="000000"/>
              <w:bottom w:val="single" w:sz="4" w:space="0" w:color="000000"/>
              <w:right w:val="single" w:sz="4" w:space="0" w:color="000000"/>
            </w:tcBorders>
          </w:tcPr>
          <w:p>
            <w:pPr/>
          </w:p>
        </w:tc>
        <w:tc>
          <w:tcPr>
            <w:tcW w:w="52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2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7" w:type="dxa"/>
            <w:tcBorders>
              <w:top w:val="single" w:sz="4" w:space="0" w:color="000000"/>
              <w:left w:val="single" w:sz="4" w:space="0" w:color="000000"/>
              <w:bottom w:val="single" w:sz="4" w:space="0" w:color="000000"/>
              <w:right w:val="single" w:sz="4" w:space="0" w:color="000000"/>
            </w:tcBorders>
          </w:tcPr>
          <w:p>
            <w:pPr/>
          </w:p>
        </w:tc>
        <w:tc>
          <w:tcPr>
            <w:tcW w:w="52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2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．提取一般风险准备</w:t>
            </w:r>
          </w:p>
        </w:tc>
        <w:tc>
          <w:tcPr>
            <w:tcW w:w="1187" w:type="dxa"/>
            <w:tcBorders>
              <w:top w:val="single" w:sz="4" w:space="0" w:color="000000"/>
              <w:left w:val="single" w:sz="4" w:space="0" w:color="000000"/>
              <w:bottom w:val="single" w:sz="4" w:space="0" w:color="000000"/>
              <w:right w:val="single" w:sz="4" w:space="0" w:color="000000"/>
            </w:tcBorders>
          </w:tcPr>
          <w:p>
            <w:pPr/>
          </w:p>
        </w:tc>
        <w:tc>
          <w:tcPr>
            <w:tcW w:w="52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2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11" w:right="112"/>
              <w:jc w:val="left"/>
              <w:rPr>
                <w:rFonts w:ascii="宋体" w:hAnsi="宋体" w:cs="宋体" w:eastAsia="宋体" w:hint="default"/>
                <w:sz w:val="18"/>
                <w:szCs w:val="18"/>
              </w:rPr>
            </w:pPr>
            <w:r>
              <w:rPr>
                <w:rFonts w:ascii="Times New Roman" w:hAnsi="Times New Roman" w:cs="Times New Roman" w:eastAsia="Times New Roman" w:hint="default"/>
                <w:spacing w:val="-15"/>
                <w:sz w:val="18"/>
                <w:szCs w:val="18"/>
              </w:rPr>
              <w:t>3</w:t>
            </w:r>
            <w:r>
              <w:rPr>
                <w:rFonts w:ascii="宋体" w:hAnsi="宋体" w:cs="宋体" w:eastAsia="宋体" w:hint="default"/>
                <w:spacing w:val="-15"/>
                <w:sz w:val="18"/>
                <w:szCs w:val="18"/>
              </w:rPr>
              <w:t>．对所有者（或股东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的分配</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52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2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7" w:type="dxa"/>
            <w:tcBorders>
              <w:top w:val="single" w:sz="4" w:space="0" w:color="000000"/>
              <w:left w:val="single" w:sz="4" w:space="0" w:color="000000"/>
              <w:bottom w:val="single" w:sz="4" w:space="0" w:color="000000"/>
              <w:right w:val="single" w:sz="4" w:space="0" w:color="000000"/>
            </w:tcBorders>
          </w:tcPr>
          <w:p>
            <w:pPr/>
          </w:p>
        </w:tc>
        <w:tc>
          <w:tcPr>
            <w:tcW w:w="52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2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57"/>
              <w:jc w:val="left"/>
              <w:rPr>
                <w:rFonts w:ascii="宋体" w:hAnsi="宋体" w:cs="宋体" w:eastAsia="宋体" w:hint="default"/>
                <w:sz w:val="18"/>
                <w:szCs w:val="18"/>
              </w:rPr>
            </w:pPr>
            <w:r>
              <w:rPr>
                <w:rFonts w:ascii="宋体" w:hAnsi="宋体" w:cs="宋体" w:eastAsia="宋体" w:hint="default"/>
                <w:sz w:val="18"/>
                <w:szCs w:val="18"/>
              </w:rPr>
              <w:t>（四）所有者权益内 部结转</w:t>
            </w:r>
          </w:p>
        </w:tc>
        <w:tc>
          <w:tcPr>
            <w:tcW w:w="1187" w:type="dxa"/>
            <w:tcBorders>
              <w:top w:val="single" w:sz="4" w:space="0" w:color="000000"/>
              <w:left w:val="single" w:sz="4" w:space="0" w:color="000000"/>
              <w:bottom w:val="single" w:sz="4" w:space="0" w:color="000000"/>
              <w:right w:val="single" w:sz="4" w:space="0" w:color="000000"/>
            </w:tcBorders>
          </w:tcPr>
          <w:p>
            <w:pPr/>
          </w:p>
        </w:tc>
        <w:tc>
          <w:tcPr>
            <w:tcW w:w="52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2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9"/>
              <w:ind w:left="11"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．资本公积转增资本</w:t>
            </w:r>
          </w:p>
          <w:p>
            <w:pPr>
              <w:pStyle w:val="TableParagraph"/>
              <w:spacing w:line="228" w:lineRule="exact"/>
              <w:ind w:left="11"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87" w:type="dxa"/>
            <w:tcBorders>
              <w:top w:val="single" w:sz="4" w:space="0" w:color="000000"/>
              <w:left w:val="single" w:sz="4" w:space="0" w:color="000000"/>
              <w:bottom w:val="single" w:sz="4" w:space="0" w:color="000000"/>
              <w:right w:val="single" w:sz="4" w:space="0" w:color="000000"/>
            </w:tcBorders>
          </w:tcPr>
          <w:p>
            <w:pPr/>
          </w:p>
        </w:tc>
        <w:tc>
          <w:tcPr>
            <w:tcW w:w="52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2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9"/>
              <w:ind w:left="11"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．盈余公积转增资本</w:t>
            </w:r>
          </w:p>
          <w:p>
            <w:pPr>
              <w:pStyle w:val="TableParagraph"/>
              <w:spacing w:line="228" w:lineRule="exact"/>
              <w:ind w:left="11"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87" w:type="dxa"/>
            <w:tcBorders>
              <w:top w:val="single" w:sz="4" w:space="0" w:color="000000"/>
              <w:left w:val="single" w:sz="4" w:space="0" w:color="000000"/>
              <w:bottom w:val="single" w:sz="4" w:space="0" w:color="000000"/>
              <w:right w:val="single" w:sz="4" w:space="0" w:color="000000"/>
            </w:tcBorders>
          </w:tcPr>
          <w:p>
            <w:pPr/>
          </w:p>
        </w:tc>
        <w:tc>
          <w:tcPr>
            <w:tcW w:w="52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2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．盈余公积弥补亏损</w:t>
            </w:r>
          </w:p>
        </w:tc>
        <w:tc>
          <w:tcPr>
            <w:tcW w:w="1187" w:type="dxa"/>
            <w:tcBorders>
              <w:top w:val="single" w:sz="4" w:space="0" w:color="000000"/>
              <w:left w:val="single" w:sz="4" w:space="0" w:color="000000"/>
              <w:bottom w:val="single" w:sz="4" w:space="0" w:color="000000"/>
              <w:right w:val="single" w:sz="4" w:space="0" w:color="000000"/>
            </w:tcBorders>
          </w:tcPr>
          <w:p>
            <w:pPr/>
          </w:p>
        </w:tc>
        <w:tc>
          <w:tcPr>
            <w:tcW w:w="52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2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3"/>
              <w:ind w:left="11" w:right="22"/>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．设定受益计划变动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额结转留存收益</w:t>
            </w:r>
          </w:p>
        </w:tc>
        <w:tc>
          <w:tcPr>
            <w:tcW w:w="1187" w:type="dxa"/>
            <w:tcBorders>
              <w:top w:val="single" w:sz="4" w:space="0" w:color="000000"/>
              <w:left w:val="single" w:sz="4" w:space="0" w:color="000000"/>
              <w:bottom w:val="single" w:sz="4" w:space="0" w:color="000000"/>
              <w:right w:val="single" w:sz="4" w:space="0" w:color="000000"/>
            </w:tcBorders>
          </w:tcPr>
          <w:p>
            <w:pPr/>
          </w:p>
        </w:tc>
        <w:tc>
          <w:tcPr>
            <w:tcW w:w="52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2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187" w:type="dxa"/>
            <w:tcBorders>
              <w:top w:val="single" w:sz="4" w:space="0" w:color="000000"/>
              <w:left w:val="single" w:sz="4" w:space="0" w:color="000000"/>
              <w:bottom w:val="single" w:sz="4" w:space="0" w:color="000000"/>
              <w:right w:val="single" w:sz="4" w:space="0" w:color="000000"/>
            </w:tcBorders>
          </w:tcPr>
          <w:p>
            <w:pPr/>
          </w:p>
        </w:tc>
        <w:tc>
          <w:tcPr>
            <w:tcW w:w="52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2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7" w:type="dxa"/>
            <w:tcBorders>
              <w:top w:val="single" w:sz="4" w:space="0" w:color="000000"/>
              <w:left w:val="single" w:sz="4" w:space="0" w:color="000000"/>
              <w:bottom w:val="single" w:sz="4" w:space="0" w:color="000000"/>
              <w:right w:val="single" w:sz="4" w:space="0" w:color="000000"/>
            </w:tcBorders>
          </w:tcPr>
          <w:p>
            <w:pPr/>
          </w:p>
        </w:tc>
        <w:tc>
          <w:tcPr>
            <w:tcW w:w="52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2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7" w:type="dxa"/>
            <w:tcBorders>
              <w:top w:val="single" w:sz="4" w:space="0" w:color="000000"/>
              <w:left w:val="single" w:sz="4" w:space="0" w:color="000000"/>
              <w:bottom w:val="single" w:sz="4" w:space="0" w:color="000000"/>
              <w:right w:val="single" w:sz="4" w:space="0" w:color="000000"/>
            </w:tcBorders>
          </w:tcPr>
          <w:p>
            <w:pPr/>
          </w:p>
        </w:tc>
        <w:tc>
          <w:tcPr>
            <w:tcW w:w="52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2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160" w:right="1280"/>
        </w:sectPr>
      </w:pPr>
    </w:p>
    <w:p>
      <w:pPr>
        <w:spacing w:line="240" w:lineRule="auto" w:before="4"/>
        <w:rPr>
          <w:rFonts w:ascii="Times New Roman" w:hAnsi="Times New Roman" w:cs="Times New Roman" w:eastAsia="Times New Roman"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1699"/>
        <w:gridCol w:w="1187"/>
        <w:gridCol w:w="522"/>
        <w:gridCol w:w="427"/>
        <w:gridCol w:w="428"/>
        <w:gridCol w:w="1424"/>
        <w:gridCol w:w="712"/>
        <w:gridCol w:w="1281"/>
        <w:gridCol w:w="569"/>
        <w:gridCol w:w="1141"/>
        <w:gridCol w:w="712"/>
        <w:gridCol w:w="1283"/>
        <w:gridCol w:w="1139"/>
        <w:gridCol w:w="1630"/>
      </w:tblGrid>
      <w:tr>
        <w:trPr>
          <w:trHeight w:val="338" w:hRule="exact"/>
        </w:trPr>
        <w:tc>
          <w:tcPr>
            <w:tcW w:w="1699"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7" w:type="dxa"/>
            <w:tcBorders>
              <w:top w:val="single" w:sz="15" w:space="0" w:color="000000"/>
              <w:left w:val="single" w:sz="4" w:space="0" w:color="000000"/>
              <w:bottom w:val="single" w:sz="4" w:space="0" w:color="000000"/>
              <w:right w:val="single" w:sz="4" w:space="0" w:color="000000"/>
            </w:tcBorders>
          </w:tcPr>
          <w:p>
            <w:pPr/>
          </w:p>
        </w:tc>
        <w:tc>
          <w:tcPr>
            <w:tcW w:w="522" w:type="dxa"/>
            <w:tcBorders>
              <w:top w:val="single" w:sz="15" w:space="0" w:color="000000"/>
              <w:left w:val="single" w:sz="4" w:space="0" w:color="000000"/>
              <w:bottom w:val="single" w:sz="4" w:space="0" w:color="000000"/>
              <w:right w:val="single" w:sz="4" w:space="0" w:color="000000"/>
            </w:tcBorders>
          </w:tcPr>
          <w:p>
            <w:pPr/>
          </w:p>
        </w:tc>
        <w:tc>
          <w:tcPr>
            <w:tcW w:w="427" w:type="dxa"/>
            <w:tcBorders>
              <w:top w:val="single" w:sz="15" w:space="0" w:color="000000"/>
              <w:left w:val="single" w:sz="4" w:space="0" w:color="000000"/>
              <w:bottom w:val="single" w:sz="4" w:space="0" w:color="000000"/>
              <w:right w:val="single" w:sz="4" w:space="0" w:color="000000"/>
            </w:tcBorders>
          </w:tcPr>
          <w:p>
            <w:pPr/>
          </w:p>
        </w:tc>
        <w:tc>
          <w:tcPr>
            <w:tcW w:w="428" w:type="dxa"/>
            <w:tcBorders>
              <w:top w:val="single" w:sz="15" w:space="0" w:color="000000"/>
              <w:left w:val="single" w:sz="4" w:space="0" w:color="000000"/>
              <w:bottom w:val="single" w:sz="4" w:space="0" w:color="000000"/>
              <w:right w:val="single" w:sz="4" w:space="0" w:color="000000"/>
            </w:tcBorders>
          </w:tcPr>
          <w:p>
            <w:pPr/>
          </w:p>
        </w:tc>
        <w:tc>
          <w:tcPr>
            <w:tcW w:w="1424" w:type="dxa"/>
            <w:tcBorders>
              <w:top w:val="single" w:sz="15" w:space="0" w:color="000000"/>
              <w:left w:val="single" w:sz="4" w:space="0" w:color="000000"/>
              <w:bottom w:val="single" w:sz="4" w:space="0" w:color="000000"/>
              <w:right w:val="single" w:sz="4" w:space="0" w:color="000000"/>
            </w:tcBorders>
          </w:tcPr>
          <w:p>
            <w:pPr/>
          </w:p>
        </w:tc>
        <w:tc>
          <w:tcPr>
            <w:tcW w:w="712" w:type="dxa"/>
            <w:tcBorders>
              <w:top w:val="single" w:sz="15" w:space="0" w:color="000000"/>
              <w:left w:val="single" w:sz="4" w:space="0" w:color="000000"/>
              <w:bottom w:val="single" w:sz="4" w:space="0" w:color="000000"/>
              <w:right w:val="single" w:sz="4" w:space="0" w:color="000000"/>
            </w:tcBorders>
          </w:tcPr>
          <w:p>
            <w:pPr/>
          </w:p>
        </w:tc>
        <w:tc>
          <w:tcPr>
            <w:tcW w:w="1281" w:type="dxa"/>
            <w:tcBorders>
              <w:top w:val="single" w:sz="15" w:space="0" w:color="000000"/>
              <w:left w:val="single" w:sz="4" w:space="0" w:color="000000"/>
              <w:bottom w:val="single" w:sz="4" w:space="0" w:color="000000"/>
              <w:right w:val="single" w:sz="4" w:space="0" w:color="000000"/>
            </w:tcBorders>
          </w:tcPr>
          <w:p>
            <w:pPr/>
          </w:p>
        </w:tc>
        <w:tc>
          <w:tcPr>
            <w:tcW w:w="569" w:type="dxa"/>
            <w:tcBorders>
              <w:top w:val="single" w:sz="15" w:space="0" w:color="000000"/>
              <w:left w:val="single" w:sz="4" w:space="0" w:color="000000"/>
              <w:bottom w:val="single" w:sz="4" w:space="0" w:color="000000"/>
              <w:right w:val="single" w:sz="4" w:space="0" w:color="000000"/>
            </w:tcBorders>
          </w:tcPr>
          <w:p>
            <w:pPr/>
          </w:p>
        </w:tc>
        <w:tc>
          <w:tcPr>
            <w:tcW w:w="1141" w:type="dxa"/>
            <w:tcBorders>
              <w:top w:val="single" w:sz="15" w:space="0" w:color="000000"/>
              <w:left w:val="single" w:sz="4" w:space="0" w:color="000000"/>
              <w:bottom w:val="single" w:sz="4" w:space="0" w:color="000000"/>
              <w:right w:val="single" w:sz="4" w:space="0" w:color="000000"/>
            </w:tcBorders>
          </w:tcPr>
          <w:p>
            <w:pPr/>
          </w:p>
        </w:tc>
        <w:tc>
          <w:tcPr>
            <w:tcW w:w="712" w:type="dxa"/>
            <w:tcBorders>
              <w:top w:val="single" w:sz="15" w:space="0" w:color="000000"/>
              <w:left w:val="single" w:sz="4" w:space="0" w:color="000000"/>
              <w:bottom w:val="single" w:sz="4" w:space="0" w:color="000000"/>
              <w:right w:val="single" w:sz="4" w:space="0" w:color="000000"/>
            </w:tcBorders>
          </w:tcPr>
          <w:p>
            <w:pPr/>
          </w:p>
        </w:tc>
        <w:tc>
          <w:tcPr>
            <w:tcW w:w="1283" w:type="dxa"/>
            <w:tcBorders>
              <w:top w:val="single" w:sz="15" w:space="0" w:color="000000"/>
              <w:left w:val="single" w:sz="4" w:space="0" w:color="000000"/>
              <w:bottom w:val="single" w:sz="4" w:space="0" w:color="000000"/>
              <w:right w:val="single" w:sz="4" w:space="0" w:color="000000"/>
            </w:tcBorders>
          </w:tcPr>
          <w:p>
            <w:pPr/>
          </w:p>
        </w:tc>
        <w:tc>
          <w:tcPr>
            <w:tcW w:w="1139" w:type="dxa"/>
            <w:tcBorders>
              <w:top w:val="single" w:sz="15" w:space="0" w:color="000000"/>
              <w:left w:val="single" w:sz="4" w:space="0" w:color="000000"/>
              <w:bottom w:val="single" w:sz="4" w:space="0" w:color="000000"/>
              <w:right w:val="single" w:sz="4" w:space="0" w:color="000000"/>
            </w:tcBorders>
          </w:tcPr>
          <w:p>
            <w:pPr/>
          </w:p>
        </w:tc>
        <w:tc>
          <w:tcPr>
            <w:tcW w:w="1630" w:type="dxa"/>
            <w:tcBorders>
              <w:top w:val="single" w:sz="15" w:space="0" w:color="000000"/>
              <w:left w:val="single" w:sz="4" w:space="0" w:color="000000"/>
              <w:bottom w:val="single" w:sz="4" w:space="0" w:color="000000"/>
              <w:right w:val="single" w:sz="4" w:space="0" w:color="000000"/>
            </w:tcBorders>
          </w:tcPr>
          <w:p>
            <w:pPr/>
          </w:p>
        </w:tc>
      </w:tr>
      <w:tr>
        <w:trPr>
          <w:trHeight w:val="323" w:hRule="exact"/>
        </w:trPr>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7" w:type="dxa"/>
            <w:tcBorders>
              <w:top w:val="single" w:sz="4" w:space="0" w:color="000000"/>
              <w:left w:val="single" w:sz="4" w:space="0" w:color="000000"/>
              <w:bottom w:val="single" w:sz="4" w:space="0" w:color="000000"/>
              <w:right w:val="single" w:sz="4" w:space="0" w:color="000000"/>
            </w:tcBorders>
          </w:tcPr>
          <w:p>
            <w:pPr/>
          </w:p>
        </w:tc>
        <w:tc>
          <w:tcPr>
            <w:tcW w:w="52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2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0" w:right="0"/>
              <w:jc w:val="left"/>
              <w:rPr>
                <w:rFonts w:ascii="Times New Roman" w:hAnsi="Times New Roman" w:cs="Times New Roman" w:eastAsia="Times New Roman" w:hint="default"/>
                <w:sz w:val="18"/>
                <w:szCs w:val="18"/>
              </w:rPr>
            </w:pPr>
            <w:r>
              <w:rPr>
                <w:rFonts w:ascii="Times New Roman"/>
                <w:sz w:val="18"/>
              </w:rPr>
              <w:t>654,070,434.00</w:t>
            </w:r>
          </w:p>
        </w:tc>
        <w:tc>
          <w:tcPr>
            <w:tcW w:w="52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1" w:right="0"/>
              <w:jc w:val="left"/>
              <w:rPr>
                <w:rFonts w:ascii="Times New Roman" w:hAnsi="Times New Roman" w:cs="Times New Roman" w:eastAsia="Times New Roman" w:hint="default"/>
                <w:sz w:val="18"/>
                <w:szCs w:val="18"/>
              </w:rPr>
            </w:pPr>
            <w:r>
              <w:rPr>
                <w:rFonts w:ascii="Times New Roman"/>
                <w:sz w:val="18"/>
              </w:rPr>
              <w:t>2,380,627,616.35</w:t>
            </w:r>
          </w:p>
        </w:tc>
        <w:tc>
          <w:tcPr>
            <w:tcW w:w="712" w:type="dxa"/>
            <w:tcBorders>
              <w:top w:val="single" w:sz="4" w:space="0" w:color="000000"/>
              <w:left w:val="single" w:sz="4" w:space="0" w:color="000000"/>
              <w:bottom w:val="single" w:sz="4" w:space="0" w:color="000000"/>
              <w:right w:val="single" w:sz="4" w:space="0" w:color="000000"/>
            </w:tcBorders>
          </w:tcPr>
          <w:p>
            <w:pP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08" w:right="0"/>
              <w:jc w:val="left"/>
              <w:rPr>
                <w:rFonts w:ascii="Times New Roman" w:hAnsi="Times New Roman" w:cs="Times New Roman" w:eastAsia="Times New Roman" w:hint="default"/>
                <w:sz w:val="18"/>
                <w:szCs w:val="18"/>
              </w:rPr>
            </w:pPr>
            <w:r>
              <w:rPr>
                <w:rFonts w:ascii="Times New Roman"/>
                <w:sz w:val="18"/>
              </w:rPr>
              <w:t>2,147,977.11</w:t>
            </w:r>
          </w:p>
        </w:tc>
        <w:tc>
          <w:tcPr>
            <w:tcW w:w="56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4" w:right="0"/>
              <w:jc w:val="left"/>
              <w:rPr>
                <w:rFonts w:ascii="Times New Roman" w:hAnsi="Times New Roman" w:cs="Times New Roman" w:eastAsia="Times New Roman" w:hint="default"/>
                <w:sz w:val="18"/>
                <w:szCs w:val="18"/>
              </w:rPr>
            </w:pPr>
            <w:r>
              <w:rPr>
                <w:rFonts w:ascii="Times New Roman"/>
                <w:sz w:val="18"/>
              </w:rPr>
              <w:t>65,738,593.50</w:t>
            </w:r>
          </w:p>
        </w:tc>
        <w:tc>
          <w:tcPr>
            <w:tcW w:w="712"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5" w:right="0"/>
              <w:jc w:val="left"/>
              <w:rPr>
                <w:rFonts w:ascii="Times New Roman" w:hAnsi="Times New Roman" w:cs="Times New Roman" w:eastAsia="Times New Roman" w:hint="default"/>
                <w:sz w:val="18"/>
                <w:szCs w:val="18"/>
              </w:rPr>
            </w:pPr>
            <w:r>
              <w:rPr>
                <w:rFonts w:ascii="Times New Roman"/>
                <w:sz w:val="18"/>
              </w:rPr>
              <w:t>247,474,296.03</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6" w:right="0"/>
              <w:jc w:val="left"/>
              <w:rPr>
                <w:rFonts w:ascii="Times New Roman" w:hAnsi="Times New Roman" w:cs="Times New Roman" w:eastAsia="Times New Roman" w:hint="default"/>
                <w:sz w:val="18"/>
                <w:szCs w:val="18"/>
              </w:rPr>
            </w:pPr>
            <w:r>
              <w:rPr>
                <w:rFonts w:ascii="Times New Roman"/>
                <w:sz w:val="18"/>
              </w:rPr>
              <w:t>7,773,724.11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36" w:right="0"/>
              <w:jc w:val="left"/>
              <w:rPr>
                <w:rFonts w:ascii="Times New Roman" w:hAnsi="Times New Roman" w:cs="Times New Roman" w:eastAsia="Times New Roman" w:hint="default"/>
                <w:sz w:val="18"/>
                <w:szCs w:val="18"/>
              </w:rPr>
            </w:pPr>
            <w:r>
              <w:rPr>
                <w:rFonts w:ascii="Times New Roman"/>
                <w:sz w:val="18"/>
              </w:rPr>
              <w:t>3,357,832,641.10</w:t>
            </w:r>
          </w:p>
        </w:tc>
      </w:tr>
    </w:tbl>
    <w:p>
      <w:pPr>
        <w:spacing w:line="240" w:lineRule="auto" w:before="11"/>
        <w:rPr>
          <w:rFonts w:ascii="Times New Roman" w:hAnsi="Times New Roman" w:cs="Times New Roman" w:eastAsia="Times New Roman" w:hint="default"/>
          <w:sz w:val="19"/>
          <w:szCs w:val="19"/>
        </w:rPr>
      </w:pPr>
    </w:p>
    <w:p>
      <w:pPr>
        <w:pStyle w:val="Heading3"/>
        <w:spacing w:line="240" w:lineRule="auto" w:before="35"/>
        <w:ind w:left="280" w:right="0"/>
        <w:jc w:val="left"/>
        <w:rPr>
          <w:b w:val="0"/>
          <w:bCs w:val="0"/>
        </w:rPr>
      </w:pPr>
      <w:bookmarkStart w:name="8、母公司所有者权益变动表" w:id="165"/>
      <w:bookmarkEnd w:id="165"/>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280" w:right="0"/>
        <w:jc w:val="left"/>
      </w:pPr>
      <w:r>
        <w:rPr/>
        <w:t>本期金额</w:t>
      </w:r>
    </w:p>
    <w:p>
      <w:pPr>
        <w:pStyle w:val="BodyText"/>
        <w:spacing w:line="240" w:lineRule="auto" w:before="38"/>
        <w:ind w:left="0" w:right="156"/>
        <w:jc w:val="right"/>
      </w:pPr>
      <w:r>
        <w:rPr/>
        <w:t>单位：元</w:t>
      </w:r>
    </w:p>
    <w:p>
      <w:pPr>
        <w:spacing w:line="240" w:lineRule="auto" w:before="3"/>
        <w:rPr>
          <w:rFonts w:ascii="宋体" w:hAnsi="宋体" w:cs="宋体" w:eastAsia="宋体" w:hint="default"/>
          <w:sz w:val="5"/>
          <w:szCs w:val="5"/>
        </w:rPr>
      </w:pPr>
    </w:p>
    <w:tbl>
      <w:tblPr>
        <w:tblW w:w="0" w:type="auto"/>
        <w:jc w:val="left"/>
        <w:tblInd w:w="258" w:type="dxa"/>
        <w:tblLayout w:type="fixed"/>
        <w:tblCellMar>
          <w:top w:w="0" w:type="dxa"/>
          <w:left w:w="0" w:type="dxa"/>
          <w:bottom w:w="0" w:type="dxa"/>
          <w:right w:w="0" w:type="dxa"/>
        </w:tblCellMar>
        <w:tblLook w:val="01E0"/>
      </w:tblPr>
      <w:tblGrid>
        <w:gridCol w:w="1823"/>
        <w:gridCol w:w="1348"/>
        <w:gridCol w:w="656"/>
        <w:gridCol w:w="715"/>
        <w:gridCol w:w="569"/>
        <w:gridCol w:w="1706"/>
        <w:gridCol w:w="856"/>
        <w:gridCol w:w="1424"/>
        <w:gridCol w:w="854"/>
        <w:gridCol w:w="1141"/>
        <w:gridCol w:w="1424"/>
        <w:gridCol w:w="1485"/>
      </w:tblGrid>
      <w:tr>
        <w:trPr>
          <w:trHeight w:val="318" w:hRule="exact"/>
        </w:trPr>
        <w:tc>
          <w:tcPr>
            <w:tcW w:w="1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8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172" w:hRule="exact"/>
        </w:trPr>
        <w:tc>
          <w:tcPr>
            <w:tcW w:w="1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48" w:type="dxa"/>
            <w:tcBorders>
              <w:top w:val="single" w:sz="4" w:space="0" w:color="000000"/>
              <w:left w:val="single" w:sz="4" w:space="0" w:color="000000"/>
              <w:bottom w:val="nil" w:sz="6" w:space="0" w:color="auto"/>
              <w:right w:val="single" w:sz="4" w:space="0" w:color="000000"/>
            </w:tcBorders>
            <w:shd w:val="clear" w:color="auto" w:fill="D2D2D2"/>
          </w:tcPr>
          <w:p>
            <w:pPr/>
          </w:p>
        </w:tc>
        <w:tc>
          <w:tcPr>
            <w:tcW w:w="194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42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706" w:type="dxa"/>
            <w:tcBorders>
              <w:top w:val="single" w:sz="4" w:space="0" w:color="000000"/>
              <w:left w:val="single" w:sz="4" w:space="0" w:color="000000"/>
              <w:bottom w:val="nil" w:sz="6" w:space="0" w:color="auto"/>
              <w:right w:val="single" w:sz="4" w:space="0" w:color="000000"/>
            </w:tcBorders>
            <w:shd w:val="clear" w:color="auto" w:fill="D2D2D2"/>
          </w:tcPr>
          <w:p>
            <w:pPr/>
          </w:p>
        </w:tc>
        <w:tc>
          <w:tcPr>
            <w:tcW w:w="8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333" w:right="60" w:hanging="271"/>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14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1" w:type="dxa"/>
            <w:tcBorders>
              <w:top w:val="single" w:sz="4" w:space="0" w:color="000000"/>
              <w:left w:val="single" w:sz="4" w:space="0" w:color="000000"/>
              <w:bottom w:val="nil" w:sz="6" w:space="0" w:color="auto"/>
              <w:right w:val="single" w:sz="4" w:space="0" w:color="000000"/>
            </w:tcBorders>
            <w:shd w:val="clear" w:color="auto" w:fill="D2D2D2"/>
          </w:tcPr>
          <w:p>
            <w:pPr/>
          </w:p>
        </w:tc>
        <w:tc>
          <w:tcPr>
            <w:tcW w:w="14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2" w:hRule="exact"/>
        </w:trPr>
        <w:tc>
          <w:tcPr>
            <w:tcW w:w="1823" w:type="dxa"/>
            <w:vMerge/>
            <w:tcBorders>
              <w:left w:val="single" w:sz="4" w:space="0" w:color="000000"/>
              <w:bottom w:val="nil" w:sz="6" w:space="0" w:color="auto"/>
              <w:right w:val="single" w:sz="4" w:space="0" w:color="000000"/>
            </w:tcBorders>
            <w:shd w:val="clear" w:color="auto" w:fill="D2D2D2"/>
          </w:tcPr>
          <w:p>
            <w:pPr/>
          </w:p>
        </w:tc>
        <w:tc>
          <w:tcPr>
            <w:tcW w:w="134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940" w:type="dxa"/>
            <w:gridSpan w:val="3"/>
            <w:vMerge/>
            <w:tcBorders>
              <w:left w:val="single" w:sz="4" w:space="0" w:color="000000"/>
              <w:bottom w:val="single" w:sz="4" w:space="0" w:color="000000"/>
              <w:right w:val="single" w:sz="4" w:space="0" w:color="000000"/>
            </w:tcBorders>
            <w:shd w:val="clear" w:color="auto" w:fill="D2D2D2"/>
          </w:tcPr>
          <w:p>
            <w:pPr/>
          </w:p>
        </w:tc>
        <w:tc>
          <w:tcPr>
            <w:tcW w:w="17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48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56" w:type="dxa"/>
            <w:vMerge/>
            <w:tcBorders>
              <w:left w:val="single" w:sz="4" w:space="0" w:color="000000"/>
              <w:right w:val="single" w:sz="4" w:space="0" w:color="000000"/>
            </w:tcBorders>
            <w:shd w:val="clear" w:color="auto" w:fill="D2D2D2"/>
          </w:tcPr>
          <w:p>
            <w:pPr/>
          </w:p>
        </w:tc>
        <w:tc>
          <w:tcPr>
            <w:tcW w:w="14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66"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8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6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0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5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8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61" w:hRule="exact"/>
        </w:trPr>
        <w:tc>
          <w:tcPr>
            <w:tcW w:w="1823" w:type="dxa"/>
            <w:vMerge w:val="restart"/>
            <w:tcBorders>
              <w:top w:val="nil" w:sz="6" w:space="0" w:color="auto"/>
              <w:left w:val="single" w:sz="4" w:space="0" w:color="000000"/>
              <w:right w:val="single" w:sz="4" w:space="0" w:color="000000"/>
            </w:tcBorders>
            <w:shd w:val="clear" w:color="auto" w:fill="D2D2D2"/>
          </w:tcPr>
          <w:p>
            <w:pPr/>
          </w:p>
        </w:tc>
        <w:tc>
          <w:tcPr>
            <w:tcW w:w="1348" w:type="dxa"/>
            <w:vMerge/>
            <w:tcBorders>
              <w:left w:val="single" w:sz="4" w:space="0" w:color="000000"/>
              <w:bottom w:val="nil" w:sz="6" w:space="0" w:color="auto"/>
              <w:right w:val="single" w:sz="4" w:space="0" w:color="000000"/>
            </w:tcBorders>
            <w:shd w:val="clear" w:color="auto" w:fill="D2D2D2"/>
          </w:tcPr>
          <w:p>
            <w:pPr/>
          </w:p>
        </w:tc>
        <w:tc>
          <w:tcPr>
            <w:tcW w:w="6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52"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8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5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6" w:type="dxa"/>
            <w:vMerge/>
            <w:tcBorders>
              <w:left w:val="single" w:sz="4" w:space="0" w:color="000000"/>
              <w:bottom w:val="nil" w:sz="6" w:space="0" w:color="auto"/>
              <w:right w:val="single" w:sz="4" w:space="0" w:color="000000"/>
            </w:tcBorders>
            <w:shd w:val="clear" w:color="auto" w:fill="D2D2D2"/>
          </w:tcPr>
          <w:p>
            <w:pPr/>
          </w:p>
        </w:tc>
        <w:tc>
          <w:tcPr>
            <w:tcW w:w="856" w:type="dxa"/>
            <w:vMerge/>
            <w:tcBorders>
              <w:left w:val="single" w:sz="4" w:space="0" w:color="000000"/>
              <w:right w:val="single" w:sz="4" w:space="0" w:color="000000"/>
            </w:tcBorders>
            <w:shd w:val="clear" w:color="auto" w:fill="D2D2D2"/>
          </w:tcPr>
          <w:p>
            <w:pPr/>
          </w:p>
        </w:tc>
        <w:tc>
          <w:tcPr>
            <w:tcW w:w="1424" w:type="dxa"/>
            <w:vMerge/>
            <w:tcBorders>
              <w:left w:val="single" w:sz="4" w:space="0" w:color="000000"/>
              <w:bottom w:val="nil" w:sz="6" w:space="0" w:color="auto"/>
              <w:right w:val="single" w:sz="4" w:space="0" w:color="000000"/>
            </w:tcBorders>
            <w:shd w:val="clear" w:color="auto" w:fill="D2D2D2"/>
          </w:tcPr>
          <w:p>
            <w:pPr/>
          </w:p>
        </w:tc>
        <w:tc>
          <w:tcPr>
            <w:tcW w:w="854" w:type="dxa"/>
            <w:vMerge/>
            <w:tcBorders>
              <w:left w:val="single" w:sz="4" w:space="0" w:color="000000"/>
              <w:bottom w:val="nil" w:sz="6" w:space="0" w:color="auto"/>
              <w:right w:val="single" w:sz="4" w:space="0" w:color="000000"/>
            </w:tcBorders>
            <w:shd w:val="clear" w:color="auto" w:fill="D2D2D2"/>
          </w:tcPr>
          <w:p>
            <w:pPr/>
          </w:p>
        </w:tc>
        <w:tc>
          <w:tcPr>
            <w:tcW w:w="1141" w:type="dxa"/>
            <w:vMerge/>
            <w:tcBorders>
              <w:left w:val="single" w:sz="4" w:space="0" w:color="000000"/>
              <w:bottom w:val="nil" w:sz="6" w:space="0" w:color="auto"/>
              <w:right w:val="single" w:sz="4" w:space="0" w:color="000000"/>
            </w:tcBorders>
            <w:shd w:val="clear" w:color="auto" w:fill="D2D2D2"/>
          </w:tcPr>
          <w:p>
            <w:pPr/>
          </w:p>
        </w:tc>
        <w:tc>
          <w:tcPr>
            <w:tcW w:w="1424" w:type="dxa"/>
            <w:vMerge/>
            <w:tcBorders>
              <w:left w:val="single" w:sz="4" w:space="0" w:color="000000"/>
              <w:bottom w:val="nil" w:sz="6" w:space="0" w:color="auto"/>
              <w:right w:val="single" w:sz="4" w:space="0" w:color="000000"/>
            </w:tcBorders>
            <w:shd w:val="clear" w:color="auto" w:fill="D2D2D2"/>
          </w:tcPr>
          <w:p>
            <w:pPr/>
          </w:p>
        </w:tc>
        <w:tc>
          <w:tcPr>
            <w:tcW w:w="1485" w:type="dxa"/>
            <w:vMerge/>
            <w:tcBorders>
              <w:left w:val="single" w:sz="4" w:space="0" w:color="000000"/>
              <w:bottom w:val="nil" w:sz="6" w:space="0" w:color="auto"/>
              <w:right w:val="single" w:sz="4" w:space="0" w:color="000000"/>
            </w:tcBorders>
            <w:shd w:val="clear" w:color="auto" w:fill="D2D2D2"/>
          </w:tcPr>
          <w:p>
            <w:pPr/>
          </w:p>
        </w:tc>
      </w:tr>
      <w:tr>
        <w:trPr>
          <w:trHeight w:val="167" w:hRule="exact"/>
        </w:trPr>
        <w:tc>
          <w:tcPr>
            <w:tcW w:w="1823" w:type="dxa"/>
            <w:vMerge/>
            <w:tcBorders>
              <w:left w:val="single" w:sz="4" w:space="0" w:color="000000"/>
              <w:bottom w:val="single" w:sz="4" w:space="0" w:color="000000"/>
              <w:right w:val="single" w:sz="4" w:space="0" w:color="000000"/>
            </w:tcBorders>
            <w:shd w:val="clear" w:color="auto" w:fill="D2D2D2"/>
          </w:tcPr>
          <w:p>
            <w:pPr/>
          </w:p>
        </w:tc>
        <w:tc>
          <w:tcPr>
            <w:tcW w:w="134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6" w:type="dxa"/>
            <w:vMerge/>
            <w:tcBorders>
              <w:left w:val="single" w:sz="4" w:space="0" w:color="000000"/>
              <w:bottom w:val="single" w:sz="4" w:space="0" w:color="000000"/>
              <w:right w:val="single" w:sz="4" w:space="0" w:color="000000"/>
            </w:tcBorders>
            <w:shd w:val="clear" w:color="auto" w:fill="D2D2D2"/>
          </w:tcPr>
          <w:p>
            <w:pPr/>
          </w:p>
        </w:tc>
        <w:tc>
          <w:tcPr>
            <w:tcW w:w="715"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1706" w:type="dxa"/>
            <w:tcBorders>
              <w:top w:val="nil" w:sz="6" w:space="0" w:color="auto"/>
              <w:left w:val="single" w:sz="4" w:space="0" w:color="000000"/>
              <w:bottom w:val="single" w:sz="4" w:space="0" w:color="000000"/>
              <w:right w:val="single" w:sz="4" w:space="0" w:color="000000"/>
            </w:tcBorders>
            <w:shd w:val="clear" w:color="auto" w:fill="D2D2D2"/>
          </w:tcPr>
          <w:p>
            <w:pPr/>
          </w:p>
        </w:tc>
        <w:tc>
          <w:tcPr>
            <w:tcW w:w="856" w:type="dxa"/>
            <w:vMerge/>
            <w:tcBorders>
              <w:left w:val="single" w:sz="4" w:space="0" w:color="000000"/>
              <w:bottom w:val="single" w:sz="4" w:space="0" w:color="000000"/>
              <w:right w:val="single" w:sz="4" w:space="0" w:color="000000"/>
            </w:tcBorders>
            <w:shd w:val="clear" w:color="auto" w:fill="D2D2D2"/>
          </w:tcPr>
          <w:p>
            <w:pPr/>
          </w:p>
        </w:tc>
        <w:tc>
          <w:tcPr>
            <w:tcW w:w="14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1" w:type="dxa"/>
            <w:tcBorders>
              <w:top w:val="nil" w:sz="6" w:space="0" w:color="auto"/>
              <w:left w:val="single" w:sz="4" w:space="0" w:color="000000"/>
              <w:bottom w:val="single" w:sz="4" w:space="0" w:color="000000"/>
              <w:right w:val="single" w:sz="4" w:space="0" w:color="000000"/>
            </w:tcBorders>
            <w:shd w:val="clear" w:color="auto" w:fill="D2D2D2"/>
          </w:tcPr>
          <w:p>
            <w:pPr/>
          </w:p>
        </w:tc>
        <w:tc>
          <w:tcPr>
            <w:tcW w:w="14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4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4" w:hRule="exact"/>
        </w:trPr>
        <w:tc>
          <w:tcPr>
            <w:tcW w:w="1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4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654,070,434.00</w:t>
            </w:r>
          </w:p>
        </w:tc>
        <w:tc>
          <w:tcPr>
            <w:tcW w:w="656"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2,489,627,616.35</w:t>
            </w:r>
          </w:p>
        </w:tc>
        <w:tc>
          <w:tcPr>
            <w:tcW w:w="856" w:type="dxa"/>
            <w:tcBorders>
              <w:top w:val="single" w:sz="22" w:space="0" w:color="D2D2D2"/>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-1,067,652.82</w:t>
            </w:r>
          </w:p>
        </w:tc>
        <w:tc>
          <w:tcPr>
            <w:tcW w:w="854"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65,738,593.50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-894,751,477.75</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2,313,617,513.28</w:t>
            </w:r>
          </w:p>
        </w:tc>
      </w:tr>
      <w:tr>
        <w:trPr>
          <w:trHeight w:val="323" w:hRule="exact"/>
        </w:trPr>
        <w:tc>
          <w:tcPr>
            <w:tcW w:w="1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48" w:type="dxa"/>
            <w:tcBorders>
              <w:top w:val="single" w:sz="4" w:space="0" w:color="000000"/>
              <w:left w:val="single" w:sz="13" w:space="0" w:color="D2D2D2"/>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10"/>
              <w:ind w:left="731"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34" w:lineRule="exact"/>
              <w:ind w:left="11" w:right="0"/>
              <w:jc w:val="left"/>
              <w:rPr>
                <w:rFonts w:ascii="宋体" w:hAnsi="宋体" w:cs="宋体" w:eastAsia="宋体" w:hint="default"/>
                <w:sz w:val="18"/>
                <w:szCs w:val="18"/>
              </w:rPr>
            </w:pPr>
            <w:r>
              <w:rPr>
                <w:rFonts w:ascii="宋体" w:hAnsi="宋体" w:cs="宋体" w:eastAsia="宋体" w:hint="default"/>
                <w:sz w:val="18"/>
                <w:szCs w:val="18"/>
              </w:rPr>
              <w:t>正</w:t>
            </w:r>
          </w:p>
        </w:tc>
        <w:tc>
          <w:tcPr>
            <w:tcW w:w="1348" w:type="dxa"/>
            <w:tcBorders>
              <w:top w:val="single" w:sz="4" w:space="0" w:color="000000"/>
              <w:left w:val="single" w:sz="13" w:space="0" w:color="D2D2D2"/>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48" w:type="dxa"/>
            <w:tcBorders>
              <w:top w:val="single" w:sz="4" w:space="0" w:color="000000"/>
              <w:left w:val="single" w:sz="13" w:space="0" w:color="D2D2D2"/>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4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654,070,434.00</w:t>
            </w:r>
          </w:p>
        </w:tc>
        <w:tc>
          <w:tcPr>
            <w:tcW w:w="656"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2,489,627,616.35</w:t>
            </w:r>
          </w:p>
        </w:tc>
        <w:tc>
          <w:tcPr>
            <w:tcW w:w="85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-1,067,652.82</w:t>
            </w:r>
          </w:p>
        </w:tc>
        <w:tc>
          <w:tcPr>
            <w:tcW w:w="854"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65,738,593.50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-894,751,477.75</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2,313,617,513.28</w:t>
            </w:r>
          </w:p>
        </w:tc>
      </w:tr>
      <w:tr>
        <w:trPr>
          <w:trHeight w:val="557" w:hRule="exact"/>
        </w:trPr>
        <w:tc>
          <w:tcPr>
            <w:tcW w:w="1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10"/>
              <w:ind w:left="11"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8" w:lineRule="exact"/>
              <w:ind w:left="11"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348" w:type="dxa"/>
            <w:tcBorders>
              <w:top w:val="single" w:sz="4" w:space="0" w:color="000000"/>
              <w:left w:val="single" w:sz="13" w:space="0" w:color="D2D2D2"/>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-9,777,002.25</w:t>
            </w:r>
          </w:p>
        </w:tc>
        <w:tc>
          <w:tcPr>
            <w:tcW w:w="854"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18,464,356.36</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1,060,930,685.03</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1,069,618,039.14</w:t>
            </w:r>
          </w:p>
        </w:tc>
      </w:tr>
      <w:tr>
        <w:trPr>
          <w:trHeight w:val="324" w:hRule="exact"/>
        </w:trPr>
        <w:tc>
          <w:tcPr>
            <w:tcW w:w="1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48" w:type="dxa"/>
            <w:tcBorders>
              <w:top w:val="single" w:sz="4" w:space="0" w:color="000000"/>
              <w:left w:val="single" w:sz="13" w:space="0" w:color="D2D2D2"/>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-9,777,002.25</w:t>
            </w:r>
          </w:p>
        </w:tc>
        <w:tc>
          <w:tcPr>
            <w:tcW w:w="854"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1,104,249,701.47</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1,094,472,699.22</w:t>
            </w:r>
          </w:p>
        </w:tc>
      </w:tr>
      <w:tr>
        <w:trPr>
          <w:trHeight w:val="557" w:hRule="exact"/>
        </w:trPr>
        <w:tc>
          <w:tcPr>
            <w:tcW w:w="1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9"/>
              <w:jc w:val="left"/>
              <w:rPr>
                <w:rFonts w:ascii="宋体" w:hAnsi="宋体" w:cs="宋体" w:eastAsia="宋体" w:hint="default"/>
                <w:sz w:val="18"/>
                <w:szCs w:val="18"/>
              </w:rPr>
            </w:pPr>
            <w:r>
              <w:rPr>
                <w:rFonts w:ascii="宋体" w:hAnsi="宋体" w:cs="宋体" w:eastAsia="宋体" w:hint="default"/>
                <w:spacing w:val="-1"/>
                <w:sz w:val="18"/>
                <w:szCs w:val="18"/>
              </w:rPr>
              <w:t>（二）所有者投入和减</w:t>
            </w:r>
            <w:r>
              <w:rPr>
                <w:rFonts w:ascii="宋体" w:hAnsi="宋体" w:cs="宋体" w:eastAsia="宋体" w:hint="default"/>
                <w:sz w:val="18"/>
                <w:szCs w:val="18"/>
              </w:rPr>
              <w:t> 少资本</w:t>
            </w:r>
          </w:p>
        </w:tc>
        <w:tc>
          <w:tcPr>
            <w:tcW w:w="1348" w:type="dxa"/>
            <w:tcBorders>
              <w:top w:val="single" w:sz="4" w:space="0" w:color="000000"/>
              <w:left w:val="single" w:sz="13" w:space="0" w:color="D2D2D2"/>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11" w:right="9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 股</w:t>
            </w:r>
          </w:p>
        </w:tc>
        <w:tc>
          <w:tcPr>
            <w:tcW w:w="1348" w:type="dxa"/>
            <w:tcBorders>
              <w:top w:val="single" w:sz="4" w:space="0" w:color="000000"/>
              <w:left w:val="single" w:sz="13" w:space="0" w:color="D2D2D2"/>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11" w:right="9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 者投入资本</w:t>
            </w:r>
          </w:p>
        </w:tc>
        <w:tc>
          <w:tcPr>
            <w:tcW w:w="1348" w:type="dxa"/>
            <w:tcBorders>
              <w:top w:val="single" w:sz="4" w:space="0" w:color="000000"/>
              <w:left w:val="single" w:sz="13" w:space="0" w:color="D2D2D2"/>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11" w:right="9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 者权益的金额</w:t>
            </w:r>
          </w:p>
        </w:tc>
        <w:tc>
          <w:tcPr>
            <w:tcW w:w="1348" w:type="dxa"/>
            <w:tcBorders>
              <w:top w:val="single" w:sz="4" w:space="0" w:color="000000"/>
              <w:left w:val="single" w:sz="13" w:space="0" w:color="D2D2D2"/>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48" w:type="dxa"/>
            <w:tcBorders>
              <w:top w:val="single" w:sz="4" w:space="0" w:color="000000"/>
              <w:left w:val="single" w:sz="13" w:space="0" w:color="D2D2D2"/>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48" w:type="dxa"/>
            <w:tcBorders>
              <w:top w:val="single" w:sz="4" w:space="0" w:color="000000"/>
              <w:left w:val="single" w:sz="13" w:space="0" w:color="D2D2D2"/>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18,464,356.36</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-43,319,016.44</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-24,854,660.08</w:t>
            </w:r>
          </w:p>
        </w:tc>
      </w:tr>
      <w:tr>
        <w:trPr>
          <w:trHeight w:val="324" w:hRule="exact"/>
        </w:trPr>
        <w:tc>
          <w:tcPr>
            <w:tcW w:w="1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48" w:type="dxa"/>
            <w:tcBorders>
              <w:top w:val="single" w:sz="4" w:space="0" w:color="000000"/>
              <w:left w:val="single" w:sz="13" w:space="0" w:color="D2D2D2"/>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18,464,356.36</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-18,464,356.36</w:t>
            </w:r>
          </w:p>
        </w:tc>
        <w:tc>
          <w:tcPr>
            <w:tcW w:w="14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160" w:right="1280"/>
        </w:sectPr>
      </w:pPr>
    </w:p>
    <w:p>
      <w:pPr>
        <w:spacing w:line="240" w:lineRule="auto" w:before="12"/>
        <w:rPr>
          <w:rFonts w:ascii="宋体" w:hAnsi="宋体" w:cs="宋体" w:eastAsia="宋体" w:hint="default"/>
          <w:sz w:val="2"/>
          <w:szCs w:val="2"/>
        </w:rPr>
      </w:pPr>
      <w:r>
        <w:rPr/>
        <w:pict>
          <v:group style="position:absolute;margin-left:163.160004pt;margin-top:57.180008pt;width:66.4pt;height:21.45pt;mso-position-horizontal-relative:page;mso-position-vertical-relative:page;z-index:-1465000" coordorigin="3263,1144" coordsize="1328,429">
            <v:group style="position:absolute;left:3263;top:1144;width:1328;height:131" coordorigin="3263,1144" coordsize="1328,131">
              <v:shape style="position:absolute;left:3263;top:1144;width:1328;height:131" coordorigin="3263,1144" coordsize="1328,131" path="m3263,1274l4590,1274,4590,1144,3263,1144,3263,1274xe" filled="true" fillcolor="#ffffff" stroked="false">
                <v:path arrowok="t"/>
                <v:fill type="solid"/>
              </v:shape>
            </v:group>
            <v:group style="position:absolute;left:3275;top:1274;width:2;height:287" coordorigin="3275,1274" coordsize="2,287">
              <v:shape style="position:absolute;left:3275;top:1274;width:2;height:287" coordorigin="3275,1274" coordsize="0,287" path="m3275,1274l3275,1561e" filled="false" stroked="true" strokeweight="1.140pt" strokecolor="#ffffff">
                <v:path arrowok="t"/>
              </v:shape>
            </v:group>
            <v:group style="position:absolute;left:3286;top:1274;width:1282;height:287" coordorigin="3286,1274" coordsize="1282,287">
              <v:shape style="position:absolute;left:3286;top:1274;width:1282;height:287" coordorigin="3286,1274" coordsize="1282,287" path="m3286,1561l4568,1561,4568,1274,3286,1274,3286,1561xe" filled="true" fillcolor="#ffffff" stroked="false">
                <v:path arrowok="t"/>
                <v:fill type="solid"/>
              </v:shape>
            </v:group>
            <w10:wrap type="none"/>
          </v:group>
        </w:pict>
      </w:r>
    </w:p>
    <w:tbl>
      <w:tblPr>
        <w:tblW w:w="0" w:type="auto"/>
        <w:jc w:val="left"/>
        <w:tblInd w:w="107" w:type="dxa"/>
        <w:tblLayout w:type="fixed"/>
        <w:tblCellMar>
          <w:top w:w="0" w:type="dxa"/>
          <w:left w:w="0" w:type="dxa"/>
          <w:bottom w:w="0" w:type="dxa"/>
          <w:right w:w="0" w:type="dxa"/>
        </w:tblCellMar>
        <w:tblLook w:val="01E0"/>
      </w:tblPr>
      <w:tblGrid>
        <w:gridCol w:w="1846"/>
        <w:gridCol w:w="1337"/>
        <w:gridCol w:w="656"/>
        <w:gridCol w:w="715"/>
        <w:gridCol w:w="569"/>
        <w:gridCol w:w="1706"/>
        <w:gridCol w:w="856"/>
        <w:gridCol w:w="1424"/>
        <w:gridCol w:w="854"/>
        <w:gridCol w:w="1141"/>
        <w:gridCol w:w="1424"/>
        <w:gridCol w:w="1485"/>
      </w:tblGrid>
      <w:tr>
        <w:trPr>
          <w:trHeight w:val="572" w:hRule="exact"/>
        </w:trPr>
        <w:tc>
          <w:tcPr>
            <w:tcW w:w="184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111"/>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．对所有者（或股东</w:t>
            </w:r>
            <w:r>
              <w:rPr>
                <w:rFonts w:ascii="宋体" w:hAnsi="宋体" w:cs="宋体" w:eastAsia="宋体" w:hint="default"/>
                <w:sz w:val="18"/>
                <w:szCs w:val="18"/>
              </w:rPr>
              <w:t> 的分配</w:t>
            </w:r>
          </w:p>
        </w:tc>
        <w:tc>
          <w:tcPr>
            <w:tcW w:w="133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656" w:type="dxa"/>
            <w:tcBorders>
              <w:top w:val="single" w:sz="15" w:space="0" w:color="000000"/>
              <w:left w:val="single" w:sz="4" w:space="0" w:color="000000"/>
              <w:bottom w:val="single" w:sz="4" w:space="0" w:color="000000"/>
              <w:right w:val="single" w:sz="4" w:space="0" w:color="000000"/>
            </w:tcBorders>
          </w:tcPr>
          <w:p>
            <w:pPr/>
          </w:p>
        </w:tc>
        <w:tc>
          <w:tcPr>
            <w:tcW w:w="715" w:type="dxa"/>
            <w:tcBorders>
              <w:top w:val="single" w:sz="15" w:space="0" w:color="000000"/>
              <w:left w:val="single" w:sz="4" w:space="0" w:color="000000"/>
              <w:bottom w:val="single" w:sz="4" w:space="0" w:color="000000"/>
              <w:right w:val="single" w:sz="4" w:space="0" w:color="000000"/>
            </w:tcBorders>
          </w:tcPr>
          <w:p>
            <w:pPr/>
          </w:p>
        </w:tc>
        <w:tc>
          <w:tcPr>
            <w:tcW w:w="569" w:type="dxa"/>
            <w:tcBorders>
              <w:top w:val="single" w:sz="15" w:space="0" w:color="000000"/>
              <w:left w:val="single" w:sz="4" w:space="0" w:color="000000"/>
              <w:bottom w:val="single" w:sz="4" w:space="0" w:color="000000"/>
              <w:right w:val="single" w:sz="4" w:space="0" w:color="000000"/>
            </w:tcBorders>
          </w:tcPr>
          <w:p>
            <w:pPr/>
          </w:p>
        </w:tc>
        <w:tc>
          <w:tcPr>
            <w:tcW w:w="1706" w:type="dxa"/>
            <w:tcBorders>
              <w:top w:val="single" w:sz="15" w:space="0" w:color="000000"/>
              <w:left w:val="single" w:sz="4" w:space="0" w:color="000000"/>
              <w:bottom w:val="single" w:sz="4" w:space="0" w:color="000000"/>
              <w:right w:val="single" w:sz="4" w:space="0" w:color="000000"/>
            </w:tcBorders>
          </w:tcPr>
          <w:p>
            <w:pPr/>
          </w:p>
        </w:tc>
        <w:tc>
          <w:tcPr>
            <w:tcW w:w="856" w:type="dxa"/>
            <w:tcBorders>
              <w:top w:val="single" w:sz="15" w:space="0" w:color="000000"/>
              <w:left w:val="single" w:sz="4" w:space="0" w:color="000000"/>
              <w:bottom w:val="single" w:sz="4" w:space="0" w:color="000000"/>
              <w:right w:val="single" w:sz="4" w:space="0" w:color="000000"/>
            </w:tcBorders>
          </w:tcPr>
          <w:p>
            <w:pPr/>
          </w:p>
        </w:tc>
        <w:tc>
          <w:tcPr>
            <w:tcW w:w="1424" w:type="dxa"/>
            <w:tcBorders>
              <w:top w:val="single" w:sz="15" w:space="0" w:color="000000"/>
              <w:left w:val="single" w:sz="4" w:space="0" w:color="000000"/>
              <w:bottom w:val="single" w:sz="4" w:space="0" w:color="000000"/>
              <w:right w:val="single" w:sz="4" w:space="0" w:color="000000"/>
            </w:tcBorders>
          </w:tcPr>
          <w:p>
            <w:pPr/>
          </w:p>
        </w:tc>
        <w:tc>
          <w:tcPr>
            <w:tcW w:w="854" w:type="dxa"/>
            <w:tcBorders>
              <w:top w:val="single" w:sz="15" w:space="0" w:color="000000"/>
              <w:left w:val="single" w:sz="4" w:space="0" w:color="000000"/>
              <w:bottom w:val="single" w:sz="4" w:space="0" w:color="000000"/>
              <w:right w:val="single" w:sz="4" w:space="0" w:color="000000"/>
            </w:tcBorders>
          </w:tcPr>
          <w:p>
            <w:pPr/>
          </w:p>
        </w:tc>
        <w:tc>
          <w:tcPr>
            <w:tcW w:w="1141" w:type="dxa"/>
            <w:tcBorders>
              <w:top w:val="single" w:sz="15" w:space="0" w:color="000000"/>
              <w:left w:val="single" w:sz="4" w:space="0" w:color="000000"/>
              <w:bottom w:val="single" w:sz="4" w:space="0" w:color="000000"/>
              <w:right w:val="single" w:sz="4" w:space="0" w:color="000000"/>
            </w:tcBorders>
          </w:tcPr>
          <w:p>
            <w:pPr/>
          </w:p>
        </w:tc>
        <w:tc>
          <w:tcPr>
            <w:tcW w:w="142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-24,854,660.08</w:t>
            </w:r>
          </w:p>
        </w:tc>
        <w:tc>
          <w:tcPr>
            <w:tcW w:w="148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-24,854,660.08</w:t>
            </w:r>
          </w:p>
        </w:tc>
      </w:tr>
      <w:tr>
        <w:trPr>
          <w:trHeight w:val="324" w:hRule="exact"/>
        </w:trPr>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37"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21"/>
              <w:jc w:val="left"/>
              <w:rPr>
                <w:rFonts w:ascii="宋体" w:hAnsi="宋体" w:cs="宋体" w:eastAsia="宋体" w:hint="default"/>
                <w:sz w:val="18"/>
                <w:szCs w:val="18"/>
              </w:rPr>
            </w:pPr>
            <w:r>
              <w:rPr>
                <w:rFonts w:ascii="宋体" w:hAnsi="宋体" w:cs="宋体" w:eastAsia="宋体" w:hint="default"/>
                <w:spacing w:val="-1"/>
                <w:sz w:val="18"/>
                <w:szCs w:val="18"/>
              </w:rPr>
              <w:t>（四）所有者权益内部</w:t>
            </w:r>
            <w:r>
              <w:rPr>
                <w:rFonts w:ascii="宋体" w:hAnsi="宋体" w:cs="宋体" w:eastAsia="宋体" w:hint="default"/>
                <w:sz w:val="18"/>
                <w:szCs w:val="18"/>
              </w:rPr>
              <w:t> 结转</w:t>
            </w:r>
          </w:p>
        </w:tc>
        <w:tc>
          <w:tcPr>
            <w:tcW w:w="1337"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337"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337"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37"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3"/>
              <w:ind w:left="22"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 额结转留存收益</w:t>
            </w:r>
          </w:p>
        </w:tc>
        <w:tc>
          <w:tcPr>
            <w:tcW w:w="1337"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337"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37"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37"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337"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37"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9" w:right="0"/>
              <w:jc w:val="left"/>
              <w:rPr>
                <w:rFonts w:ascii="Times New Roman" w:hAnsi="Times New Roman" w:cs="Times New Roman" w:eastAsia="Times New Roman" w:hint="default"/>
                <w:sz w:val="18"/>
                <w:szCs w:val="18"/>
              </w:rPr>
            </w:pPr>
            <w:r>
              <w:rPr>
                <w:rFonts w:ascii="Times New Roman"/>
                <w:sz w:val="18"/>
              </w:rPr>
              <w:t>654,070,434.00</w:t>
            </w:r>
          </w:p>
        </w:tc>
        <w:tc>
          <w:tcPr>
            <w:tcW w:w="656"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3" w:right="0"/>
              <w:jc w:val="left"/>
              <w:rPr>
                <w:rFonts w:ascii="Times New Roman" w:hAnsi="Times New Roman" w:cs="Times New Roman" w:eastAsia="Times New Roman" w:hint="default"/>
                <w:sz w:val="18"/>
                <w:szCs w:val="18"/>
              </w:rPr>
            </w:pPr>
            <w:r>
              <w:rPr>
                <w:rFonts w:ascii="Times New Roman"/>
                <w:sz w:val="18"/>
              </w:rPr>
              <w:t>2,489,627,616.35</w:t>
            </w:r>
          </w:p>
        </w:tc>
        <w:tc>
          <w:tcPr>
            <w:tcW w:w="85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6" w:right="0"/>
              <w:jc w:val="left"/>
              <w:rPr>
                <w:rFonts w:ascii="Times New Roman" w:hAnsi="Times New Roman" w:cs="Times New Roman" w:eastAsia="Times New Roman" w:hint="default"/>
                <w:sz w:val="18"/>
                <w:szCs w:val="18"/>
              </w:rPr>
            </w:pPr>
            <w:r>
              <w:rPr>
                <w:rFonts w:ascii="Times New Roman"/>
                <w:sz w:val="18"/>
              </w:rPr>
              <w:t>-10,844,655.07</w:t>
            </w:r>
          </w:p>
        </w:tc>
        <w:tc>
          <w:tcPr>
            <w:tcW w:w="854"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3" w:right="0"/>
              <w:jc w:val="left"/>
              <w:rPr>
                <w:rFonts w:ascii="Times New Roman" w:hAnsi="Times New Roman" w:cs="Times New Roman" w:eastAsia="Times New Roman" w:hint="default"/>
                <w:sz w:val="18"/>
                <w:szCs w:val="18"/>
              </w:rPr>
            </w:pPr>
            <w:r>
              <w:rPr>
                <w:rFonts w:ascii="Times New Roman"/>
                <w:sz w:val="18"/>
              </w:rPr>
              <w:t>84,202,949.86</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166,179,207.28</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3,383,235,552.42</w:t>
            </w:r>
          </w:p>
        </w:tc>
      </w:tr>
    </w:tbl>
    <w:p>
      <w:pPr>
        <w:spacing w:line="240" w:lineRule="auto" w:before="3"/>
        <w:rPr>
          <w:rFonts w:ascii="宋体" w:hAnsi="宋体" w:cs="宋体" w:eastAsia="宋体" w:hint="default"/>
          <w:sz w:val="16"/>
          <w:szCs w:val="16"/>
        </w:rPr>
      </w:pPr>
    </w:p>
    <w:p>
      <w:pPr>
        <w:pStyle w:val="BodyText"/>
        <w:spacing w:line="240" w:lineRule="auto" w:before="44"/>
        <w:ind w:left="140" w:right="11378"/>
        <w:jc w:val="left"/>
      </w:pPr>
      <w:r>
        <w:rPr/>
        <w:t>上期金额</w:t>
      </w:r>
    </w:p>
    <w:p>
      <w:pPr>
        <w:pStyle w:val="BodyText"/>
        <w:spacing w:line="240" w:lineRule="auto" w:before="38"/>
        <w:ind w:left="0" w:right="136"/>
        <w:jc w:val="right"/>
      </w:pPr>
      <w:r>
        <w:rPr/>
        <w:t>单位：元</w:t>
      </w:r>
    </w:p>
    <w:p>
      <w:pPr>
        <w:spacing w:line="240" w:lineRule="auto" w:before="3"/>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1998"/>
        <w:gridCol w:w="1197"/>
        <w:gridCol w:w="881"/>
        <w:gridCol w:w="880"/>
        <w:gridCol w:w="886"/>
        <w:gridCol w:w="1324"/>
        <w:gridCol w:w="1079"/>
        <w:gridCol w:w="1076"/>
        <w:gridCol w:w="775"/>
        <w:gridCol w:w="1284"/>
        <w:gridCol w:w="1304"/>
        <w:gridCol w:w="1320"/>
      </w:tblGrid>
      <w:tr>
        <w:trPr>
          <w:trHeight w:val="318" w:hRule="exact"/>
        </w:trPr>
        <w:tc>
          <w:tcPr>
            <w:tcW w:w="19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0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172" w:hRule="exact"/>
        </w:trPr>
        <w:tc>
          <w:tcPr>
            <w:tcW w:w="19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7" w:type="dxa"/>
            <w:tcBorders>
              <w:top w:val="single" w:sz="4" w:space="0" w:color="000000"/>
              <w:left w:val="single" w:sz="4" w:space="0" w:color="000000"/>
              <w:bottom w:val="nil" w:sz="6" w:space="0" w:color="auto"/>
              <w:right w:val="single" w:sz="4" w:space="0" w:color="000000"/>
            </w:tcBorders>
            <w:shd w:val="clear" w:color="auto" w:fill="D2D2D2"/>
          </w:tcPr>
          <w:p>
            <w:pPr/>
          </w:p>
        </w:tc>
        <w:tc>
          <w:tcPr>
            <w:tcW w:w="264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6"/>
              <w:ind w:left="77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442" w:right="83"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2" w:hRule="exact"/>
        </w:trPr>
        <w:tc>
          <w:tcPr>
            <w:tcW w:w="1998" w:type="dxa"/>
            <w:vMerge/>
            <w:tcBorders>
              <w:left w:val="single" w:sz="4" w:space="0" w:color="000000"/>
              <w:bottom w:val="nil" w:sz="6" w:space="0" w:color="auto"/>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646" w:type="dxa"/>
            <w:gridSpan w:val="3"/>
            <w:vMerge/>
            <w:tcBorders>
              <w:left w:val="single" w:sz="4" w:space="0" w:color="000000"/>
              <w:bottom w:val="single" w:sz="4" w:space="0" w:color="000000"/>
              <w:right w:val="single" w:sz="4" w:space="0" w:color="000000"/>
            </w:tcBorders>
            <w:shd w:val="clear" w:color="auto" w:fill="D2D2D2"/>
          </w:tcPr>
          <w:p>
            <w:pPr/>
          </w:p>
        </w:tc>
        <w:tc>
          <w:tcPr>
            <w:tcW w:w="13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9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76" w:type="dxa"/>
            <w:vMerge/>
            <w:tcBorders>
              <w:left w:val="single" w:sz="4" w:space="0" w:color="000000"/>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7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9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62" w:hRule="exact"/>
        </w:trPr>
        <w:tc>
          <w:tcPr>
            <w:tcW w:w="1998" w:type="dxa"/>
            <w:vMerge w:val="restart"/>
            <w:tcBorders>
              <w:top w:val="nil" w:sz="6" w:space="0" w:color="auto"/>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8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164"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16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2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24" w:type="dxa"/>
            <w:vMerge/>
            <w:tcBorders>
              <w:left w:val="single" w:sz="4" w:space="0" w:color="000000"/>
              <w:bottom w:val="nil" w:sz="6" w:space="0" w:color="auto"/>
              <w:right w:val="single" w:sz="4" w:space="0" w:color="000000"/>
            </w:tcBorders>
            <w:shd w:val="clear" w:color="auto" w:fill="D2D2D2"/>
          </w:tcPr>
          <w:p>
            <w:pPr/>
          </w:p>
        </w:tc>
        <w:tc>
          <w:tcPr>
            <w:tcW w:w="1079" w:type="dxa"/>
            <w:vMerge/>
            <w:tcBorders>
              <w:left w:val="single" w:sz="4" w:space="0" w:color="000000"/>
              <w:bottom w:val="nil" w:sz="6" w:space="0" w:color="auto"/>
              <w:right w:val="single" w:sz="4" w:space="0" w:color="000000"/>
            </w:tcBorders>
            <w:shd w:val="clear" w:color="auto" w:fill="D2D2D2"/>
          </w:tcPr>
          <w:p>
            <w:pPr/>
          </w:p>
        </w:tc>
        <w:tc>
          <w:tcPr>
            <w:tcW w:w="1076"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1284" w:type="dxa"/>
            <w:vMerge/>
            <w:tcBorders>
              <w:left w:val="single" w:sz="4" w:space="0" w:color="000000"/>
              <w:bottom w:val="nil" w:sz="6" w:space="0" w:color="auto"/>
              <w:right w:val="single" w:sz="4" w:space="0" w:color="000000"/>
            </w:tcBorders>
            <w:shd w:val="clear" w:color="auto" w:fill="D2D2D2"/>
          </w:tcPr>
          <w:p>
            <w:pPr/>
          </w:p>
        </w:tc>
        <w:tc>
          <w:tcPr>
            <w:tcW w:w="1304" w:type="dxa"/>
            <w:vMerge/>
            <w:tcBorders>
              <w:left w:val="single" w:sz="4" w:space="0" w:color="000000"/>
              <w:bottom w:val="nil" w:sz="6" w:space="0" w:color="auto"/>
              <w:right w:val="single" w:sz="4" w:space="0" w:color="000000"/>
            </w:tcBorders>
            <w:shd w:val="clear" w:color="auto" w:fill="D2D2D2"/>
          </w:tcPr>
          <w:p>
            <w:pPr/>
          </w:p>
        </w:tc>
        <w:tc>
          <w:tcPr>
            <w:tcW w:w="1320"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998" w:type="dxa"/>
            <w:vMerge/>
            <w:tcBorders>
              <w:left w:val="single" w:sz="4" w:space="0" w:color="000000"/>
              <w:bottom w:val="single" w:sz="4" w:space="0" w:color="000000"/>
              <w:right w:val="single" w:sz="4" w:space="0" w:color="000000"/>
            </w:tcBorders>
            <w:shd w:val="clear" w:color="auto" w:fill="D2D2D2"/>
          </w:tcPr>
          <w:p>
            <w:pPr/>
          </w:p>
        </w:tc>
        <w:tc>
          <w:tcPr>
            <w:tcW w:w="1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81" w:type="dxa"/>
            <w:vMerge/>
            <w:tcBorders>
              <w:left w:val="single" w:sz="4" w:space="0" w:color="000000"/>
              <w:bottom w:val="single" w:sz="4" w:space="0" w:color="000000"/>
              <w:right w:val="single" w:sz="4" w:space="0" w:color="000000"/>
            </w:tcBorders>
            <w:shd w:val="clear" w:color="auto" w:fill="D2D2D2"/>
          </w:tcPr>
          <w:p>
            <w:pPr/>
          </w:p>
        </w:tc>
        <w:tc>
          <w:tcPr>
            <w:tcW w:w="880" w:type="dxa"/>
            <w:vMerge/>
            <w:tcBorders>
              <w:left w:val="single" w:sz="4" w:space="0" w:color="000000"/>
              <w:bottom w:val="single" w:sz="4" w:space="0" w:color="000000"/>
              <w:right w:val="single" w:sz="4" w:space="0" w:color="000000"/>
            </w:tcBorders>
            <w:shd w:val="clear" w:color="auto" w:fill="D2D2D2"/>
          </w:tcPr>
          <w:p>
            <w:pPr/>
          </w:p>
        </w:tc>
        <w:tc>
          <w:tcPr>
            <w:tcW w:w="886" w:type="dxa"/>
            <w:vMerge/>
            <w:tcBorders>
              <w:left w:val="single" w:sz="4" w:space="0" w:color="000000"/>
              <w:bottom w:val="single" w:sz="4" w:space="0" w:color="000000"/>
              <w:right w:val="single" w:sz="4" w:space="0" w:color="000000"/>
            </w:tcBorders>
            <w:shd w:val="clear" w:color="auto" w:fill="D2D2D2"/>
          </w:tcPr>
          <w:p>
            <w:pPr/>
          </w:p>
        </w:tc>
        <w:tc>
          <w:tcPr>
            <w:tcW w:w="13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6"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4"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left="28" w:right="0"/>
              <w:jc w:val="left"/>
              <w:rPr>
                <w:rFonts w:ascii="Times New Roman" w:hAnsi="Times New Roman" w:cs="Times New Roman" w:eastAsia="Times New Roman" w:hint="default"/>
                <w:sz w:val="18"/>
                <w:szCs w:val="18"/>
              </w:rPr>
            </w:pPr>
            <w:r>
              <w:rPr>
                <w:rFonts w:ascii="Times New Roman"/>
                <w:sz w:val="18"/>
              </w:rPr>
              <w:t>654,070,434.00</w:t>
            </w:r>
          </w:p>
        </w:tc>
        <w:tc>
          <w:tcPr>
            <w:tcW w:w="881"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Times New Roman" w:hAnsi="Times New Roman" w:cs="Times New Roman" w:eastAsia="Times New Roman" w:hint="default"/>
                <w:sz w:val="18"/>
                <w:szCs w:val="18"/>
              </w:rPr>
            </w:pPr>
            <w:r>
              <w:rPr>
                <w:rFonts w:ascii="Times New Roman"/>
                <w:sz w:val="18"/>
              </w:rPr>
              <w:t>2,489,627,616.35</w:t>
            </w:r>
          </w:p>
        </w:tc>
        <w:tc>
          <w:tcPr>
            <w:tcW w:w="1079"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18" w:space="0" w:color="D2D2D2"/>
              <w:left w:val="single" w:sz="4" w:space="0" w:color="000000"/>
              <w:bottom w:val="single" w:sz="4" w:space="0" w:color="000000"/>
              <w:right w:val="single" w:sz="4" w:space="0" w:color="000000"/>
            </w:tcBorders>
          </w:tcPr>
          <w:p>
            <w:pPr>
              <w:pStyle w:val="TableParagraph"/>
              <w:spacing w:line="240" w:lineRule="auto" w:before="33"/>
              <w:ind w:left="74" w:right="0"/>
              <w:jc w:val="center"/>
              <w:rPr>
                <w:rFonts w:ascii="Times New Roman" w:hAnsi="Times New Roman" w:cs="Times New Roman" w:eastAsia="Times New Roman" w:hint="default"/>
                <w:sz w:val="18"/>
                <w:szCs w:val="18"/>
              </w:rPr>
            </w:pPr>
            <w:r>
              <w:rPr>
                <w:rFonts w:ascii="Times New Roman"/>
                <w:sz w:val="18"/>
              </w:rPr>
              <w:t>1,883,103.83</w:t>
            </w:r>
          </w:p>
        </w:tc>
        <w:tc>
          <w:tcPr>
            <w:tcW w:w="775"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65,738,593.50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-913,298,811.01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2,298,020,936.67</w:t>
            </w:r>
          </w:p>
        </w:tc>
      </w:tr>
      <w:tr>
        <w:trPr>
          <w:trHeight w:val="323"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75"/>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7" w:type="dxa"/>
            <w:tcBorders>
              <w:top w:val="single" w:sz="4" w:space="0" w:color="000000"/>
              <w:left w:val="single" w:sz="13" w:space="0" w:color="D2D2D2"/>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75"/>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197" w:type="dxa"/>
            <w:tcBorders>
              <w:top w:val="single" w:sz="4" w:space="0" w:color="000000"/>
              <w:left w:val="single" w:sz="13" w:space="0" w:color="D2D2D2"/>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其他</w:t>
            </w:r>
          </w:p>
        </w:tc>
        <w:tc>
          <w:tcPr>
            <w:tcW w:w="1197" w:type="dxa"/>
            <w:tcBorders>
              <w:top w:val="single" w:sz="4" w:space="0" w:color="000000"/>
              <w:left w:val="single" w:sz="13" w:space="0" w:color="D2D2D2"/>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left="28" w:right="0"/>
              <w:jc w:val="left"/>
              <w:rPr>
                <w:rFonts w:ascii="Times New Roman" w:hAnsi="Times New Roman" w:cs="Times New Roman" w:eastAsia="Times New Roman" w:hint="default"/>
                <w:sz w:val="18"/>
                <w:szCs w:val="18"/>
              </w:rPr>
            </w:pPr>
            <w:r>
              <w:rPr>
                <w:rFonts w:ascii="Times New Roman"/>
                <w:sz w:val="18"/>
              </w:rPr>
              <w:t>654,070,434.00</w:t>
            </w:r>
          </w:p>
        </w:tc>
        <w:tc>
          <w:tcPr>
            <w:tcW w:w="881"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Times New Roman" w:hAnsi="Times New Roman" w:cs="Times New Roman" w:eastAsia="Times New Roman" w:hint="default"/>
                <w:sz w:val="18"/>
                <w:szCs w:val="18"/>
              </w:rPr>
            </w:pPr>
            <w:r>
              <w:rPr>
                <w:rFonts w:ascii="Times New Roman"/>
                <w:sz w:val="18"/>
              </w:rPr>
              <w:t>2,489,627,616.35</w:t>
            </w:r>
          </w:p>
        </w:tc>
        <w:tc>
          <w:tcPr>
            <w:tcW w:w="1079"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4" w:right="0"/>
              <w:jc w:val="center"/>
              <w:rPr>
                <w:rFonts w:ascii="Times New Roman" w:hAnsi="Times New Roman" w:cs="Times New Roman" w:eastAsia="Times New Roman" w:hint="default"/>
                <w:sz w:val="18"/>
                <w:szCs w:val="18"/>
              </w:rPr>
            </w:pPr>
            <w:r>
              <w:rPr>
                <w:rFonts w:ascii="Times New Roman"/>
                <w:sz w:val="18"/>
              </w:rPr>
              <w:t>1,883,103.83</w:t>
            </w:r>
          </w:p>
        </w:tc>
        <w:tc>
          <w:tcPr>
            <w:tcW w:w="775"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65,738,593.50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-913,298,811.01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2,298,020,936.67</w:t>
            </w:r>
          </w:p>
        </w:tc>
      </w:tr>
      <w:tr>
        <w:trPr>
          <w:trHeight w:val="557"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11"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8" w:lineRule="exact"/>
              <w:ind w:left="11"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97" w:type="dxa"/>
            <w:tcBorders>
              <w:top w:val="single" w:sz="4" w:space="0" w:color="000000"/>
              <w:left w:val="single" w:sz="13" w:space="0" w:color="D2D2D2"/>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-2,950,756.65</w:t>
            </w:r>
          </w:p>
        </w:tc>
        <w:tc>
          <w:tcPr>
            <w:tcW w:w="775"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18,547,333.26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15,596,576.61</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060" w:bottom="116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021"/>
        <w:gridCol w:w="1186"/>
        <w:gridCol w:w="881"/>
        <w:gridCol w:w="880"/>
        <w:gridCol w:w="886"/>
        <w:gridCol w:w="1324"/>
        <w:gridCol w:w="1079"/>
        <w:gridCol w:w="1076"/>
        <w:gridCol w:w="775"/>
        <w:gridCol w:w="1284"/>
        <w:gridCol w:w="1304"/>
        <w:gridCol w:w="1320"/>
      </w:tblGrid>
      <w:tr>
        <w:trPr>
          <w:trHeight w:val="338" w:hRule="exact"/>
        </w:trPr>
        <w:tc>
          <w:tcPr>
            <w:tcW w:w="202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6" w:type="dxa"/>
            <w:tcBorders>
              <w:top w:val="single" w:sz="15" w:space="0" w:color="000000"/>
              <w:left w:val="single" w:sz="4" w:space="0" w:color="000000"/>
              <w:bottom w:val="single" w:sz="4" w:space="0" w:color="000000"/>
              <w:right w:val="single" w:sz="4" w:space="0" w:color="000000"/>
            </w:tcBorders>
          </w:tcPr>
          <w:p>
            <w:pPr/>
          </w:p>
        </w:tc>
        <w:tc>
          <w:tcPr>
            <w:tcW w:w="881" w:type="dxa"/>
            <w:tcBorders>
              <w:top w:val="single" w:sz="15" w:space="0" w:color="000000"/>
              <w:left w:val="single" w:sz="4" w:space="0" w:color="000000"/>
              <w:bottom w:val="single" w:sz="4" w:space="0" w:color="000000"/>
              <w:right w:val="single" w:sz="4" w:space="0" w:color="000000"/>
            </w:tcBorders>
          </w:tcPr>
          <w:p>
            <w:pPr/>
          </w:p>
        </w:tc>
        <w:tc>
          <w:tcPr>
            <w:tcW w:w="880" w:type="dxa"/>
            <w:tcBorders>
              <w:top w:val="single" w:sz="15" w:space="0" w:color="000000"/>
              <w:left w:val="single" w:sz="4" w:space="0" w:color="000000"/>
              <w:bottom w:val="single" w:sz="4" w:space="0" w:color="000000"/>
              <w:right w:val="single" w:sz="4" w:space="0" w:color="000000"/>
            </w:tcBorders>
          </w:tcPr>
          <w:p>
            <w:pPr/>
          </w:p>
        </w:tc>
        <w:tc>
          <w:tcPr>
            <w:tcW w:w="886" w:type="dxa"/>
            <w:tcBorders>
              <w:top w:val="single" w:sz="15" w:space="0" w:color="000000"/>
              <w:left w:val="single" w:sz="4" w:space="0" w:color="000000"/>
              <w:bottom w:val="single" w:sz="4" w:space="0" w:color="000000"/>
              <w:right w:val="single" w:sz="4" w:space="0" w:color="000000"/>
            </w:tcBorders>
          </w:tcPr>
          <w:p>
            <w:pPr/>
          </w:p>
        </w:tc>
        <w:tc>
          <w:tcPr>
            <w:tcW w:w="1324" w:type="dxa"/>
            <w:tcBorders>
              <w:top w:val="single" w:sz="15" w:space="0" w:color="000000"/>
              <w:left w:val="single" w:sz="4" w:space="0" w:color="000000"/>
              <w:bottom w:val="single" w:sz="4" w:space="0" w:color="000000"/>
              <w:right w:val="single" w:sz="4" w:space="0" w:color="000000"/>
            </w:tcBorders>
          </w:tcPr>
          <w:p>
            <w:pPr/>
          </w:p>
        </w:tc>
        <w:tc>
          <w:tcPr>
            <w:tcW w:w="1079" w:type="dxa"/>
            <w:tcBorders>
              <w:top w:val="single" w:sz="15" w:space="0" w:color="000000"/>
              <w:left w:val="single" w:sz="4" w:space="0" w:color="000000"/>
              <w:bottom w:val="single" w:sz="4" w:space="0" w:color="000000"/>
              <w:right w:val="single" w:sz="4" w:space="0" w:color="000000"/>
            </w:tcBorders>
          </w:tcPr>
          <w:p>
            <w:pPr/>
          </w:p>
        </w:tc>
        <w:tc>
          <w:tcPr>
            <w:tcW w:w="107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9"/>
              <w:ind w:left="14" w:right="0"/>
              <w:jc w:val="center"/>
              <w:rPr>
                <w:rFonts w:ascii="Times New Roman" w:hAnsi="Times New Roman" w:cs="Times New Roman" w:eastAsia="Times New Roman" w:hint="default"/>
                <w:sz w:val="18"/>
                <w:szCs w:val="18"/>
              </w:rPr>
            </w:pPr>
            <w:r>
              <w:rPr>
                <w:rFonts w:ascii="Times New Roman"/>
                <w:sz w:val="18"/>
              </w:rPr>
              <w:t>-2,950,756.65</w:t>
            </w:r>
          </w:p>
        </w:tc>
        <w:tc>
          <w:tcPr>
            <w:tcW w:w="775" w:type="dxa"/>
            <w:tcBorders>
              <w:top w:val="single" w:sz="15" w:space="0" w:color="000000"/>
              <w:left w:val="single" w:sz="4" w:space="0" w:color="000000"/>
              <w:bottom w:val="single" w:sz="4" w:space="0" w:color="000000"/>
              <w:right w:val="single" w:sz="4" w:space="0" w:color="000000"/>
            </w:tcBorders>
          </w:tcPr>
          <w:p>
            <w:pPr/>
          </w:p>
        </w:tc>
        <w:tc>
          <w:tcPr>
            <w:tcW w:w="1284" w:type="dxa"/>
            <w:tcBorders>
              <w:top w:val="single" w:sz="15" w:space="0" w:color="000000"/>
              <w:left w:val="single" w:sz="4" w:space="0" w:color="000000"/>
              <w:bottom w:val="single" w:sz="4" w:space="0" w:color="000000"/>
              <w:right w:val="single" w:sz="4" w:space="0" w:color="000000"/>
            </w:tcBorders>
          </w:tcPr>
          <w:p>
            <w:pPr/>
          </w:p>
        </w:tc>
        <w:tc>
          <w:tcPr>
            <w:tcW w:w="130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18,547,333.26</w:t>
            </w:r>
          </w:p>
        </w:tc>
        <w:tc>
          <w:tcPr>
            <w:tcW w:w="132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15,596,576.61</w:t>
            </w:r>
          </w:p>
        </w:tc>
      </w:tr>
      <w:tr>
        <w:trPr>
          <w:trHeight w:val="557"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22"/>
              <w:jc w:val="left"/>
              <w:rPr>
                <w:rFonts w:ascii="宋体" w:hAnsi="宋体" w:cs="宋体" w:eastAsia="宋体" w:hint="default"/>
                <w:sz w:val="18"/>
                <w:szCs w:val="18"/>
              </w:rPr>
            </w:pPr>
            <w:r>
              <w:rPr>
                <w:rFonts w:ascii="宋体" w:hAnsi="宋体" w:cs="宋体" w:eastAsia="宋体" w:hint="default"/>
                <w:spacing w:val="-2"/>
                <w:sz w:val="18"/>
                <w:szCs w:val="18"/>
              </w:rPr>
              <w:t>（二）所有者投入和减少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资本</w:t>
            </w:r>
          </w:p>
        </w:tc>
        <w:tc>
          <w:tcPr>
            <w:tcW w:w="1186"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186"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 投入资本</w:t>
            </w:r>
          </w:p>
        </w:tc>
        <w:tc>
          <w:tcPr>
            <w:tcW w:w="1186"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2"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 权益的金额</w:t>
            </w:r>
          </w:p>
        </w:tc>
        <w:tc>
          <w:tcPr>
            <w:tcW w:w="1186"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6"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6"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6"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 的分配</w:t>
            </w:r>
          </w:p>
        </w:tc>
        <w:tc>
          <w:tcPr>
            <w:tcW w:w="1186"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86"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22"/>
              <w:jc w:val="left"/>
              <w:rPr>
                <w:rFonts w:ascii="宋体" w:hAnsi="宋体" w:cs="宋体" w:eastAsia="宋体" w:hint="default"/>
                <w:sz w:val="18"/>
                <w:szCs w:val="18"/>
              </w:rPr>
            </w:pPr>
            <w:r>
              <w:rPr>
                <w:rFonts w:ascii="宋体" w:hAnsi="宋体" w:cs="宋体" w:eastAsia="宋体" w:hint="default"/>
                <w:spacing w:val="-2"/>
                <w:sz w:val="18"/>
                <w:szCs w:val="18"/>
              </w:rPr>
              <w:t>（四）所有者权益内部结</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转</w:t>
            </w:r>
          </w:p>
        </w:tc>
        <w:tc>
          <w:tcPr>
            <w:tcW w:w="1186"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3"/>
              <w:ind w:left="22" w:right="22"/>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．资本公积转增资本（或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股本）</w:t>
            </w:r>
          </w:p>
        </w:tc>
        <w:tc>
          <w:tcPr>
            <w:tcW w:w="1186"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22"/>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．盈余公积转增资本（或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股本）</w:t>
            </w:r>
          </w:p>
        </w:tc>
        <w:tc>
          <w:tcPr>
            <w:tcW w:w="1186"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6"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 结转留存收益</w:t>
            </w:r>
          </w:p>
        </w:tc>
        <w:tc>
          <w:tcPr>
            <w:tcW w:w="1186"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186"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6"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6"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6"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6"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Times New Roman"/>
                <w:sz w:val="18"/>
              </w:rPr>
              <w:t>654,070,434.00</w:t>
            </w:r>
          </w:p>
        </w:tc>
        <w:tc>
          <w:tcPr>
            <w:tcW w:w="881"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Times New Roman" w:hAnsi="Times New Roman" w:cs="Times New Roman" w:eastAsia="Times New Roman" w:hint="default"/>
                <w:sz w:val="18"/>
                <w:szCs w:val="18"/>
              </w:rPr>
            </w:pPr>
            <w:r>
              <w:rPr>
                <w:rFonts w:ascii="Times New Roman"/>
                <w:sz w:val="18"/>
              </w:rPr>
              <w:t>2,489,627,616.35</w:t>
            </w:r>
          </w:p>
        </w:tc>
        <w:tc>
          <w:tcPr>
            <w:tcW w:w="1079"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 w:right="0"/>
              <w:jc w:val="center"/>
              <w:rPr>
                <w:rFonts w:ascii="Times New Roman" w:hAnsi="Times New Roman" w:cs="Times New Roman" w:eastAsia="Times New Roman" w:hint="default"/>
                <w:sz w:val="18"/>
                <w:szCs w:val="18"/>
              </w:rPr>
            </w:pPr>
            <w:r>
              <w:rPr>
                <w:rFonts w:ascii="Times New Roman"/>
                <w:sz w:val="18"/>
              </w:rPr>
              <w:t>-1,067,652.82</w:t>
            </w:r>
          </w:p>
        </w:tc>
        <w:tc>
          <w:tcPr>
            <w:tcW w:w="775"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6" w:right="0"/>
              <w:jc w:val="left"/>
              <w:rPr>
                <w:rFonts w:ascii="Times New Roman" w:hAnsi="Times New Roman" w:cs="Times New Roman" w:eastAsia="Times New Roman" w:hint="default"/>
                <w:sz w:val="18"/>
                <w:szCs w:val="18"/>
              </w:rPr>
            </w:pPr>
            <w:r>
              <w:rPr>
                <w:rFonts w:ascii="Times New Roman"/>
                <w:sz w:val="18"/>
              </w:rPr>
              <w:t>65,738,593.50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-894,751,477.75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2,313,617,513.28</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060" w:bottom="1160" w:left="1300" w:right="1300"/>
        </w:sectPr>
      </w:pPr>
    </w:p>
    <w:p>
      <w:pPr>
        <w:spacing w:line="240" w:lineRule="auto" w:before="2"/>
        <w:rPr>
          <w:rFonts w:ascii="Times New Roman" w:hAnsi="Times New Roman" w:cs="Times New Roman" w:eastAsia="Times New Roman" w:hint="default"/>
          <w:sz w:val="22"/>
          <w:szCs w:val="22"/>
        </w:rPr>
      </w:pPr>
    </w:p>
    <w:p>
      <w:pPr>
        <w:pStyle w:val="Heading2"/>
        <w:spacing w:line="240" w:lineRule="auto" w:before="26"/>
        <w:ind w:right="0"/>
        <w:jc w:val="left"/>
        <w:rPr>
          <w:b w:val="0"/>
          <w:bCs w:val="0"/>
        </w:rPr>
      </w:pPr>
      <w:bookmarkStart w:name="三、公司基本情况" w:id="166"/>
      <w:bookmarkEnd w:id="166"/>
      <w:r>
        <w:rPr>
          <w:b w:val="0"/>
          <w:bCs w:val="0"/>
        </w:rPr>
      </w:r>
      <w:r>
        <w:rPr/>
        <w:t>三、公司基本情况</w:t>
      </w:r>
      <w:r>
        <w:rPr>
          <w:b w:val="0"/>
          <w:bCs w:val="0"/>
        </w:rPr>
      </w:r>
    </w:p>
    <w:p>
      <w:pPr>
        <w:spacing w:line="240" w:lineRule="auto" w:before="3"/>
        <w:rPr>
          <w:rFonts w:ascii="宋体" w:hAnsi="宋体" w:cs="宋体" w:eastAsia="宋体" w:hint="default"/>
          <w:b/>
          <w:bCs/>
          <w:sz w:val="24"/>
          <w:szCs w:val="24"/>
        </w:rPr>
      </w:pPr>
    </w:p>
    <w:p>
      <w:pPr>
        <w:pStyle w:val="BodyText"/>
        <w:spacing w:line="228" w:lineRule="auto"/>
        <w:ind w:right="1129" w:firstLine="360"/>
        <w:jc w:val="both"/>
      </w:pPr>
      <w:r>
        <w:rPr/>
        <w:t>神州数码集团股份有限公司（以下简称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w:t>
      </w:r>
      <w:r>
        <w:rPr>
          <w:spacing w:val="38"/>
        </w:rPr>
        <w:t> </w:t>
      </w:r>
      <w:r>
        <w:rPr/>
        <w:t>在包含子公司时统称</w:t>
      </w:r>
      <w:r>
        <w:rPr>
          <w:rFonts w:ascii="Times New Roman" w:hAnsi="Times New Roman" w:cs="Times New Roman" w:eastAsia="Times New Roman" w:hint="default"/>
        </w:rPr>
        <w:t>“</w:t>
      </w:r>
      <w:r>
        <w:rPr/>
        <w:t>本集团</w:t>
      </w:r>
      <w:r>
        <w:rPr>
          <w:rFonts w:ascii="Times New Roman" w:hAnsi="Times New Roman" w:cs="Times New Roman" w:eastAsia="Times New Roman" w:hint="default"/>
        </w:rPr>
        <w:t>”</w:t>
      </w:r>
      <w:r>
        <w:rPr/>
        <w:t>）原名深圳市深信泰丰（集 团）股份有限公司，前身为深圳市华宝畜禽联合公司，</w:t>
      </w:r>
      <w:r>
        <w:rPr>
          <w:rFonts w:ascii="Times New Roman" w:hAnsi="Times New Roman" w:cs="Times New Roman" w:eastAsia="Times New Roman" w:hint="default"/>
        </w:rPr>
        <w:t>1981 </w:t>
      </w:r>
      <w:r>
        <w:rPr/>
        <w:t>年</w:t>
      </w:r>
      <w:r>
        <w:rPr>
          <w:rFonts w:ascii="Times New Roman" w:hAnsi="Times New Roman" w:cs="Times New Roman" w:eastAsia="Times New Roman" w:hint="default"/>
        </w:rPr>
        <w:t>11 </w:t>
      </w:r>
      <w:r>
        <w:rPr/>
        <w:t>月</w:t>
      </w:r>
      <w:r>
        <w:rPr>
          <w:rFonts w:ascii="Times New Roman" w:hAnsi="Times New Roman" w:cs="Times New Roman" w:eastAsia="Times New Roman" w:hint="default"/>
        </w:rPr>
        <w:t>20 </w:t>
      </w:r>
      <w:r>
        <w:rPr/>
        <w:t>日经深圳市人民政府以市特府</w:t>
      </w:r>
      <w:r>
        <w:rPr>
          <w:rFonts w:ascii="Times New Roman" w:hAnsi="Times New Roman" w:cs="Times New Roman" w:eastAsia="Times New Roman" w:hint="default"/>
        </w:rPr>
        <w:t>[1981]20</w:t>
      </w:r>
      <w:r>
        <w:rPr>
          <w:rFonts w:ascii="Times New Roman" w:hAnsi="Times New Roman" w:cs="Times New Roman" w:eastAsia="Times New Roman" w:hint="default"/>
          <w:spacing w:val="14"/>
        </w:rPr>
        <w:t> </w:t>
      </w:r>
      <w:r>
        <w:rPr/>
        <w:t>号文批准成</w:t>
      </w:r>
      <w:r>
        <w:rPr>
          <w:spacing w:val="1"/>
        </w:rPr>
        <w:t> </w:t>
      </w:r>
      <w:r>
        <w:rPr>
          <w:spacing w:val="-3"/>
        </w:rPr>
        <w:t>立，并于</w:t>
      </w:r>
      <w:r>
        <w:rPr>
          <w:rFonts w:ascii="Times New Roman" w:hAnsi="Times New Roman" w:cs="Times New Roman" w:eastAsia="Times New Roman" w:hint="default"/>
          <w:spacing w:val="-3"/>
        </w:rPr>
        <w:t>1983 </w:t>
      </w:r>
      <w:r>
        <w:rPr/>
        <w:t>年</w:t>
      </w:r>
      <w:r>
        <w:rPr>
          <w:rFonts w:ascii="Times New Roman" w:hAnsi="Times New Roman" w:cs="Times New Roman" w:eastAsia="Times New Roman" w:hint="default"/>
        </w:rPr>
        <w:t>1 </w:t>
      </w:r>
      <w:r>
        <w:rPr/>
        <w:t>月</w:t>
      </w:r>
      <w:r>
        <w:rPr>
          <w:rFonts w:ascii="Times New Roman" w:hAnsi="Times New Roman" w:cs="Times New Roman" w:eastAsia="Times New Roman" w:hint="default"/>
        </w:rPr>
        <w:t>31 </w:t>
      </w:r>
      <w:r>
        <w:rPr>
          <w:spacing w:val="-4"/>
        </w:rPr>
        <w:t>日经中国牧工商联合总公司以（</w:t>
      </w:r>
      <w:r>
        <w:rPr>
          <w:rFonts w:ascii="Times New Roman" w:hAnsi="Times New Roman" w:cs="Times New Roman" w:eastAsia="Times New Roman" w:hint="default"/>
          <w:spacing w:val="-4"/>
        </w:rPr>
        <w:t>83</w:t>
      </w:r>
      <w:r>
        <w:rPr>
          <w:spacing w:val="-4"/>
        </w:rPr>
        <w:t>）农牧（办）字第</w:t>
      </w:r>
      <w:r>
        <w:rPr>
          <w:rFonts w:ascii="Times New Roman" w:hAnsi="Times New Roman" w:cs="Times New Roman" w:eastAsia="Times New Roman" w:hint="default"/>
          <w:spacing w:val="-4"/>
        </w:rPr>
        <w:t>02</w:t>
      </w:r>
      <w:r>
        <w:rPr>
          <w:rFonts w:ascii="Times New Roman" w:hAnsi="Times New Roman" w:cs="Times New Roman" w:eastAsia="Times New Roman" w:hint="default"/>
          <w:spacing w:val="-1"/>
        </w:rPr>
        <w:t> </w:t>
      </w:r>
      <w:r>
        <w:rPr/>
        <w:t>号文批准更名为深圳华宝牧工商联合公司。 </w:t>
      </w:r>
      <w:r>
        <w:rPr>
          <w:rFonts w:ascii="Times New Roman" w:hAnsi="Times New Roman" w:cs="Times New Roman" w:eastAsia="Times New Roman" w:hint="default"/>
        </w:rPr>
        <w:t>1993</w:t>
      </w:r>
      <w:r>
        <w:rPr>
          <w:rFonts w:ascii="Times New Roman" w:hAnsi="Times New Roman" w:cs="Times New Roman" w:eastAsia="Times New Roman" w:hint="default"/>
          <w:spacing w:val="37"/>
        </w:rPr>
        <w:t> </w:t>
      </w:r>
      <w:r>
        <w:rPr/>
        <w:t>年</w:t>
      </w:r>
      <w:r>
        <w:rPr>
          <w:rFonts w:ascii="Times New Roman" w:hAnsi="Times New Roman" w:cs="Times New Roman" w:eastAsia="Times New Roman" w:hint="default"/>
        </w:rPr>
        <w:t>9</w:t>
      </w:r>
      <w:r>
        <w:rPr>
          <w:rFonts w:ascii="Times New Roman" w:hAnsi="Times New Roman" w:cs="Times New Roman" w:eastAsia="Times New Roman" w:hint="default"/>
          <w:spacing w:val="36"/>
        </w:rPr>
        <w:t> </w:t>
      </w:r>
      <w:r>
        <w:rPr/>
        <w:t>月</w:t>
      </w:r>
      <w:r>
        <w:rPr>
          <w:rFonts w:ascii="Times New Roman" w:hAnsi="Times New Roman" w:cs="Times New Roman" w:eastAsia="Times New Roman" w:hint="default"/>
        </w:rPr>
        <w:t>20</w:t>
      </w:r>
      <w:r>
        <w:rPr>
          <w:rFonts w:ascii="Times New Roman" w:hAnsi="Times New Roman" w:cs="Times New Roman" w:eastAsia="Times New Roman" w:hint="default"/>
          <w:spacing w:val="35"/>
        </w:rPr>
        <w:t> </w:t>
      </w:r>
      <w:r>
        <w:rPr/>
        <w:t>日经深圳市人民政府以深府办复</w:t>
      </w:r>
      <w:r>
        <w:rPr>
          <w:rFonts w:ascii="Times New Roman" w:hAnsi="Times New Roman" w:cs="Times New Roman" w:eastAsia="Times New Roman" w:hint="default"/>
        </w:rPr>
        <w:t>[1993]855</w:t>
      </w:r>
      <w:r>
        <w:rPr>
          <w:rFonts w:ascii="Times New Roman" w:hAnsi="Times New Roman" w:cs="Times New Roman" w:eastAsia="Times New Roman" w:hint="default"/>
          <w:spacing w:val="37"/>
        </w:rPr>
        <w:t> </w:t>
      </w:r>
      <w:r>
        <w:rPr/>
        <w:t>号文批准，由中国牧工商总公司、深圳市宝安区投资管理公司、</w:t>
      </w:r>
      <w:r>
        <w:rPr>
          <w:spacing w:val="-88"/>
        </w:rPr>
        <w:t> </w:t>
      </w:r>
      <w:r>
        <w:rPr>
          <w:spacing w:val="-88"/>
        </w:rPr>
      </w:r>
      <w:r>
        <w:rPr>
          <w:spacing w:val="-2"/>
        </w:rPr>
        <w:t>深圳经济特区食品贸易（集团）公司三家为发起人，通过改组以社会募集方式设立深圳市华宝（集团）股份有限公司。</w:t>
      </w:r>
      <w:r>
        <w:rPr>
          <w:rFonts w:ascii="Times New Roman" w:hAnsi="Times New Roman" w:cs="Times New Roman" w:eastAsia="Times New Roman" w:hint="default"/>
          <w:spacing w:val="-2"/>
        </w:rPr>
        <w:t>2001</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8"/>
        </w:rPr>
      </w:r>
      <w:r>
        <w:rPr/>
        <w:t>年</w:t>
      </w:r>
      <w:r>
        <w:rPr>
          <w:rFonts w:ascii="Times New Roman" w:hAnsi="Times New Roman" w:cs="Times New Roman" w:eastAsia="Times New Roman" w:hint="default"/>
        </w:rPr>
        <w:t>2 </w:t>
      </w:r>
      <w:r>
        <w:rPr/>
        <w:t>月</w:t>
      </w:r>
      <w:r>
        <w:rPr>
          <w:rFonts w:ascii="Times New Roman" w:hAnsi="Times New Roman" w:cs="Times New Roman" w:eastAsia="Times New Roman" w:hint="default"/>
        </w:rPr>
        <w:t>27</w:t>
      </w:r>
      <w:r>
        <w:rPr>
          <w:rFonts w:ascii="Times New Roman" w:hAnsi="Times New Roman" w:cs="Times New Roman" w:eastAsia="Times New Roman" w:hint="default"/>
          <w:spacing w:val="8"/>
        </w:rPr>
        <w:t> </w:t>
      </w:r>
      <w:r>
        <w:rPr/>
        <w:t>日经深圳市工商行政管理局批准，公司名称变更为深圳市深信泰丰（集团）股份有限公司。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日经深圳 </w:t>
      </w:r>
      <w:r>
        <w:rPr>
          <w:spacing w:val="18"/>
        </w:rPr>
        <w:t>市工商行政管理局批准，</w:t>
      </w:r>
      <w:r>
        <w:rPr>
          <w:spacing w:val="-63"/>
        </w:rPr>
        <w:t> </w:t>
      </w:r>
      <w:r>
        <w:rPr>
          <w:spacing w:val="19"/>
        </w:rPr>
        <w:t>公司名称变更为现名称神州数码集团股份有限公司。</w:t>
      </w:r>
      <w:r>
        <w:rPr>
          <w:spacing w:val="-65"/>
        </w:rPr>
        <w:t> </w:t>
      </w:r>
      <w:r>
        <w:rPr>
          <w:spacing w:val="19"/>
        </w:rPr>
        <w:t>本公司已领取统一社会信用代</w:t>
      </w:r>
      <w:r>
        <w:rPr>
          <w:spacing w:val="-62"/>
        </w:rPr>
        <w:t> </w:t>
      </w:r>
      <w:r>
        <w:rPr/>
        <w:t>码</w:t>
      </w:r>
      <w:r>
        <w:rPr>
          <w:spacing w:val="-81"/>
        </w:rPr>
        <w:t> </w:t>
      </w:r>
      <w:r>
        <w:rPr>
          <w:spacing w:val="-81"/>
        </w:rPr>
      </w:r>
      <w:r>
        <w:rPr>
          <w:rFonts w:ascii="Times New Roman" w:hAnsi="Times New Roman" w:cs="Times New Roman" w:eastAsia="Times New Roman" w:hint="default"/>
        </w:rPr>
        <w:t>9144030019218259X7</w:t>
      </w:r>
      <w:r>
        <w:rPr/>
        <w:t>号企业法人营业执照，注册资本为人民币</w:t>
      </w:r>
      <w:r>
        <w:rPr>
          <w:rFonts w:ascii="Times New Roman" w:hAnsi="Times New Roman" w:cs="Times New Roman" w:eastAsia="Times New Roman" w:hint="default"/>
        </w:rPr>
        <w:t>654,070,434.00</w:t>
      </w:r>
      <w:r>
        <w:rPr/>
        <w:t>元。</w:t>
      </w:r>
    </w:p>
    <w:p>
      <w:pPr>
        <w:pStyle w:val="Heading4"/>
        <w:spacing w:line="254" w:lineRule="exact"/>
        <w:ind w:left="555" w:right="0"/>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34"/>
        </w:rPr>
        <w:t> </w:t>
      </w:r>
      <w:r>
        <w:rPr/>
        <w:t>股东所持公司的法人股发生的股权转让事宜</w:t>
      </w:r>
      <w:r>
        <w:rPr>
          <w:b w:val="0"/>
          <w:bCs w:val="0"/>
        </w:rPr>
      </w:r>
    </w:p>
    <w:p>
      <w:pPr>
        <w:pStyle w:val="BodyText"/>
        <w:spacing w:line="225" w:lineRule="auto" w:before="4"/>
        <w:ind w:right="1130" w:firstLine="360"/>
        <w:jc w:val="both"/>
      </w:pPr>
      <w:r>
        <w:rPr>
          <w:spacing w:val="-3"/>
        </w:rPr>
        <w:t>（</w:t>
      </w:r>
      <w:r>
        <w:rPr>
          <w:rFonts w:ascii="Times New Roman" w:hAnsi="Times New Roman" w:cs="Times New Roman" w:eastAsia="Times New Roman" w:hint="default"/>
          <w:spacing w:val="-3"/>
        </w:rPr>
        <w:t>1</w:t>
      </w:r>
      <w:r>
        <w:rPr>
          <w:spacing w:val="-3"/>
        </w:rPr>
        <w:t>）深圳市证券管理办公室于</w:t>
      </w:r>
      <w:r>
        <w:rPr>
          <w:rFonts w:ascii="Times New Roman" w:hAnsi="Times New Roman" w:cs="Times New Roman" w:eastAsia="Times New Roman" w:hint="default"/>
          <w:spacing w:val="-3"/>
        </w:rPr>
        <w:t>1999 </w:t>
      </w:r>
      <w:r>
        <w:rPr/>
        <w:t>年</w:t>
      </w:r>
      <w:r>
        <w:rPr>
          <w:rFonts w:ascii="Times New Roman" w:hAnsi="Times New Roman" w:cs="Times New Roman" w:eastAsia="Times New Roman" w:hint="default"/>
        </w:rPr>
        <w:t>9 </w:t>
      </w:r>
      <w:r>
        <w:rPr/>
        <w:t>月</w:t>
      </w:r>
      <w:r>
        <w:rPr>
          <w:rFonts w:ascii="Times New Roman" w:hAnsi="Times New Roman" w:cs="Times New Roman" w:eastAsia="Times New Roman" w:hint="default"/>
        </w:rPr>
        <w:t>9 </w:t>
      </w:r>
      <w:r>
        <w:rPr/>
        <w:t>日以深证办复</w:t>
      </w:r>
      <w:r>
        <w:rPr>
          <w:rFonts w:ascii="Times New Roman" w:hAnsi="Times New Roman" w:cs="Times New Roman" w:eastAsia="Times New Roman" w:hint="default"/>
        </w:rPr>
        <w:t>[1999]42 </w:t>
      </w:r>
      <w:r>
        <w:rPr>
          <w:spacing w:val="-3"/>
        </w:rPr>
        <w:t>号文批准，以及经财政部于</w:t>
      </w:r>
      <w:r>
        <w:rPr>
          <w:rFonts w:ascii="Times New Roman" w:hAnsi="Times New Roman" w:cs="Times New Roman" w:eastAsia="Times New Roman" w:hint="default"/>
          <w:spacing w:val="-3"/>
        </w:rPr>
        <w:t>1999 </w:t>
      </w:r>
      <w:r>
        <w:rPr/>
        <w:t>年</w:t>
      </w:r>
      <w:r>
        <w:rPr>
          <w:rFonts w:ascii="Times New Roman" w:hAnsi="Times New Roman" w:cs="Times New Roman" w:eastAsia="Times New Roman" w:hint="default"/>
        </w:rPr>
        <w:t>11 </w:t>
      </w:r>
      <w:r>
        <w:rPr/>
        <w:t>月</w:t>
      </w:r>
      <w:r>
        <w:rPr>
          <w:rFonts w:ascii="Times New Roman" w:hAnsi="Times New Roman" w:cs="Times New Roman" w:eastAsia="Times New Roman" w:hint="default"/>
        </w:rPr>
        <w:t>24</w:t>
      </w:r>
      <w:r>
        <w:rPr>
          <w:rFonts w:ascii="Times New Roman" w:hAnsi="Times New Roman" w:cs="Times New Roman" w:eastAsia="Times New Roman" w:hint="default"/>
          <w:spacing w:val="41"/>
        </w:rPr>
        <w:t> </w:t>
      </w:r>
      <w:r>
        <w:rPr/>
        <w:t>日以财 管字</w:t>
      </w:r>
      <w:r>
        <w:rPr>
          <w:rFonts w:ascii="Times New Roman" w:hAnsi="Times New Roman" w:cs="Times New Roman" w:eastAsia="Times New Roman" w:hint="default"/>
        </w:rPr>
        <w:t>[1999]362</w:t>
      </w:r>
      <w:r>
        <w:rPr>
          <w:rFonts w:ascii="Times New Roman" w:hAnsi="Times New Roman" w:cs="Times New Roman" w:eastAsia="Times New Roman" w:hint="default"/>
          <w:spacing w:val="21"/>
        </w:rPr>
        <w:t> </w:t>
      </w:r>
      <w:r>
        <w:rPr/>
        <w:t>号文批准，由深圳国际信托投资有限责任公司受让本公司原股东</w:t>
      </w:r>
      <w:r>
        <w:rPr>
          <w:rFonts w:ascii="Times New Roman" w:hAnsi="Times New Roman" w:cs="Times New Roman" w:eastAsia="Times New Roman" w:hint="default"/>
        </w:rPr>
        <w:t>—</w:t>
      </w:r>
      <w:r>
        <w:rPr/>
        <w:t>中国牧工商（集团）总公司持有的本公司 法人股份</w:t>
      </w:r>
      <w:r>
        <w:rPr>
          <w:rFonts w:ascii="Times New Roman" w:hAnsi="Times New Roman" w:cs="Times New Roman" w:eastAsia="Times New Roman" w:hint="default"/>
        </w:rPr>
        <w:t>77,886,656</w:t>
      </w:r>
      <w:r>
        <w:rPr>
          <w:rFonts w:ascii="Times New Roman" w:hAnsi="Times New Roman" w:cs="Times New Roman" w:eastAsia="Times New Roman" w:hint="default"/>
          <w:spacing w:val="24"/>
        </w:rPr>
        <w:t> </w:t>
      </w:r>
      <w:r>
        <w:rPr/>
        <w:t>股，并办妥股权过户手续。转让完成后，中国牧工商（集团）总公司不再持有本公司股权。</w:t>
      </w:r>
    </w:p>
    <w:p>
      <w:pPr>
        <w:pStyle w:val="BodyText"/>
        <w:spacing w:line="225" w:lineRule="auto"/>
        <w:ind w:right="1127" w:firstLine="360"/>
        <w:jc w:val="both"/>
      </w:pPr>
      <w:r>
        <w:rPr/>
        <w:t>（</w:t>
      </w:r>
      <w:r>
        <w:rPr>
          <w:rFonts w:ascii="Times New Roman" w:hAnsi="Times New Roman" w:cs="Times New Roman" w:eastAsia="Times New Roman" w:hint="default"/>
        </w:rPr>
        <w:t>2</w:t>
      </w:r>
      <w:r>
        <w:rPr/>
        <w:t>）深圳市宝安区人民政府于</w:t>
      </w:r>
      <w:r>
        <w:rPr>
          <w:rFonts w:ascii="Times New Roman" w:hAnsi="Times New Roman" w:cs="Times New Roman" w:eastAsia="Times New Roman" w:hint="default"/>
        </w:rPr>
        <w:t>1999 </w:t>
      </w:r>
      <w:r>
        <w:rPr/>
        <w:t>年</w:t>
      </w:r>
      <w:r>
        <w:rPr>
          <w:rFonts w:ascii="Times New Roman" w:hAnsi="Times New Roman" w:cs="Times New Roman" w:eastAsia="Times New Roman" w:hint="default"/>
        </w:rPr>
        <w:t>9 </w:t>
      </w:r>
      <w:r>
        <w:rPr/>
        <w:t>月</w:t>
      </w:r>
      <w:r>
        <w:rPr>
          <w:rFonts w:ascii="Times New Roman" w:hAnsi="Times New Roman" w:cs="Times New Roman" w:eastAsia="Times New Roman" w:hint="default"/>
        </w:rPr>
        <w:t>9 </w:t>
      </w:r>
      <w:r>
        <w:rPr/>
        <w:t>日以深宝府函</w:t>
      </w:r>
      <w:r>
        <w:rPr>
          <w:rFonts w:ascii="Times New Roman" w:hAnsi="Times New Roman" w:cs="Times New Roman" w:eastAsia="Times New Roman" w:hint="default"/>
        </w:rPr>
        <w:t>[1999]29 </w:t>
      </w:r>
      <w:r>
        <w:rPr/>
        <w:t>号文批准、深圳市国有资产管理办公室于</w:t>
      </w:r>
      <w:r>
        <w:rPr>
          <w:rFonts w:ascii="Times New Roman" w:hAnsi="Times New Roman" w:cs="Times New Roman" w:eastAsia="Times New Roman" w:hint="default"/>
        </w:rPr>
        <w:t>1999</w:t>
      </w:r>
      <w:r>
        <w:rPr>
          <w:rFonts w:ascii="Times New Roman" w:hAnsi="Times New Roman" w:cs="Times New Roman" w:eastAsia="Times New Roman" w:hint="default"/>
          <w:spacing w:val="21"/>
        </w:rPr>
        <w:t> </w:t>
      </w:r>
      <w:r>
        <w:rPr/>
        <w:t>年</w:t>
      </w:r>
      <w:r>
        <w:rPr>
          <w:rFonts w:ascii="Times New Roman" w:hAnsi="Times New Roman" w:cs="Times New Roman" w:eastAsia="Times New Roman" w:hint="default"/>
        </w:rPr>
        <w:t>9 </w:t>
      </w:r>
      <w:r>
        <w:rPr/>
        <w:t>月</w:t>
      </w:r>
      <w:r>
        <w:rPr>
          <w:rFonts w:ascii="Times New Roman" w:hAnsi="Times New Roman" w:cs="Times New Roman" w:eastAsia="Times New Roman" w:hint="default"/>
        </w:rPr>
        <w:t>3 </w:t>
      </w:r>
      <w:r>
        <w:rPr/>
        <w:t>日以</w:t>
      </w:r>
      <w:r>
        <w:rPr>
          <w:rFonts w:ascii="Times New Roman" w:hAnsi="Times New Roman" w:cs="Times New Roman" w:eastAsia="Times New Roman" w:hint="default"/>
        </w:rPr>
        <w:t>[1999]65 </w:t>
      </w:r>
      <w:r>
        <w:rPr/>
        <w:t>号文批准，以及深圳市证券管理办公室于</w:t>
      </w:r>
      <w:r>
        <w:rPr>
          <w:rFonts w:ascii="Times New Roman" w:hAnsi="Times New Roman" w:cs="Times New Roman" w:eastAsia="Times New Roman" w:hint="default"/>
        </w:rPr>
        <w:t>1999 </w:t>
      </w:r>
      <w:r>
        <w:rPr/>
        <w:t>年</w:t>
      </w:r>
      <w:r>
        <w:rPr>
          <w:rFonts w:ascii="Times New Roman" w:hAnsi="Times New Roman" w:cs="Times New Roman" w:eastAsia="Times New Roman" w:hint="default"/>
        </w:rPr>
        <w:t>9 </w:t>
      </w:r>
      <w:r>
        <w:rPr/>
        <w:t>月</w:t>
      </w:r>
      <w:r>
        <w:rPr>
          <w:rFonts w:ascii="Times New Roman" w:hAnsi="Times New Roman" w:cs="Times New Roman" w:eastAsia="Times New Roman" w:hint="default"/>
        </w:rPr>
        <w:t>9 </w:t>
      </w:r>
      <w:r>
        <w:rPr/>
        <w:t>日以深证办复</w:t>
      </w:r>
      <w:r>
        <w:rPr>
          <w:rFonts w:ascii="Times New Roman" w:hAnsi="Times New Roman" w:cs="Times New Roman" w:eastAsia="Times New Roman" w:hint="default"/>
        </w:rPr>
        <w:t>[1999]42</w:t>
      </w:r>
      <w:r>
        <w:rPr>
          <w:rFonts w:ascii="Times New Roman" w:hAnsi="Times New Roman" w:cs="Times New Roman" w:eastAsia="Times New Roman" w:hint="default"/>
          <w:spacing w:val="26"/>
        </w:rPr>
        <w:t> </w:t>
      </w:r>
      <w:r>
        <w:rPr/>
        <w:t>号文批准，以及经财政部 于</w:t>
      </w:r>
      <w:r>
        <w:rPr>
          <w:rFonts w:ascii="Times New Roman" w:hAnsi="Times New Roman" w:cs="Times New Roman" w:eastAsia="Times New Roman" w:hint="default"/>
        </w:rPr>
        <w:t>1999</w:t>
      </w:r>
      <w:r>
        <w:rPr>
          <w:rFonts w:ascii="Times New Roman" w:hAnsi="Times New Roman" w:cs="Times New Roman" w:eastAsia="Times New Roman" w:hint="default"/>
          <w:spacing w:val="42"/>
        </w:rPr>
        <w:t> </w:t>
      </w:r>
      <w:r>
        <w:rPr/>
        <w:t>年</w:t>
      </w:r>
      <w:r>
        <w:rPr>
          <w:rFonts w:ascii="Times New Roman" w:hAnsi="Times New Roman" w:cs="Times New Roman" w:eastAsia="Times New Roman" w:hint="default"/>
        </w:rPr>
        <w:t>11</w:t>
      </w:r>
      <w:r>
        <w:rPr>
          <w:rFonts w:ascii="Times New Roman" w:hAnsi="Times New Roman" w:cs="Times New Roman" w:eastAsia="Times New Roman" w:hint="default"/>
          <w:spacing w:val="38"/>
        </w:rPr>
        <w:t> </w:t>
      </w:r>
      <w:r>
        <w:rPr/>
        <w:t>月</w:t>
      </w:r>
      <w:r>
        <w:rPr>
          <w:rFonts w:ascii="Times New Roman" w:hAnsi="Times New Roman" w:cs="Times New Roman" w:eastAsia="Times New Roman" w:hint="default"/>
        </w:rPr>
        <w:t>24</w:t>
      </w:r>
      <w:r>
        <w:rPr>
          <w:rFonts w:ascii="Times New Roman" w:hAnsi="Times New Roman" w:cs="Times New Roman" w:eastAsia="Times New Roman" w:hint="default"/>
          <w:spacing w:val="40"/>
        </w:rPr>
        <w:t> </w:t>
      </w:r>
      <w:r>
        <w:rPr/>
        <w:t>日以财管字</w:t>
      </w:r>
      <w:r>
        <w:rPr>
          <w:rFonts w:ascii="Times New Roman" w:hAnsi="Times New Roman" w:cs="Times New Roman" w:eastAsia="Times New Roman" w:hint="default"/>
        </w:rPr>
        <w:t>[1999]362</w:t>
      </w:r>
      <w:r>
        <w:rPr>
          <w:rFonts w:ascii="Times New Roman" w:hAnsi="Times New Roman" w:cs="Times New Roman" w:eastAsia="Times New Roman" w:hint="default"/>
          <w:spacing w:val="40"/>
        </w:rPr>
        <w:t> </w:t>
      </w:r>
      <w:r>
        <w:rPr>
          <w:spacing w:val="2"/>
        </w:rPr>
        <w:t>号文批准由深圳国际信托投资有限责任公司受让本公司原第一大股东</w:t>
      </w:r>
      <w:r>
        <w:rPr>
          <w:rFonts w:ascii="Times New Roman" w:hAnsi="Times New Roman" w:cs="Times New Roman" w:eastAsia="Times New Roman" w:hint="default"/>
          <w:spacing w:val="2"/>
        </w:rPr>
        <w:t>—</w:t>
      </w:r>
      <w:r>
        <w:rPr>
          <w:spacing w:val="2"/>
        </w:rPr>
        <w:t>深圳市宝</w:t>
      </w:r>
      <w:r>
        <w:rPr>
          <w:spacing w:val="-87"/>
        </w:rPr>
        <w:t> </w:t>
      </w:r>
      <w:r>
        <w:rPr/>
        <w:t>安区投资管理公司持有的本公司国家股份</w:t>
      </w:r>
      <w:r>
        <w:rPr>
          <w:rFonts w:ascii="Times New Roman" w:hAnsi="Times New Roman" w:cs="Times New Roman" w:eastAsia="Times New Roman" w:hint="default"/>
        </w:rPr>
        <w:t>71,335,413</w:t>
      </w:r>
      <w:r>
        <w:rPr>
          <w:rFonts w:ascii="Times New Roman" w:hAnsi="Times New Roman" w:cs="Times New Roman" w:eastAsia="Times New Roman" w:hint="default"/>
          <w:spacing w:val="27"/>
        </w:rPr>
        <w:t> </w:t>
      </w:r>
      <w:r>
        <w:rPr/>
        <w:t>股。</w:t>
      </w:r>
    </w:p>
    <w:p>
      <w:pPr>
        <w:pStyle w:val="BodyText"/>
        <w:spacing w:line="225" w:lineRule="auto"/>
        <w:ind w:right="1131" w:firstLine="360"/>
        <w:jc w:val="both"/>
      </w:pPr>
      <w:r>
        <w:rPr>
          <w:rFonts w:ascii="Times New Roman" w:hAnsi="Times New Roman" w:cs="Times New Roman" w:eastAsia="Times New Roman" w:hint="default"/>
        </w:rPr>
        <w:t>2002 </w:t>
      </w:r>
      <w:r>
        <w:rPr/>
        <w:t>年</w:t>
      </w:r>
      <w:r>
        <w:rPr>
          <w:rFonts w:ascii="Times New Roman" w:hAnsi="Times New Roman" w:cs="Times New Roman" w:eastAsia="Times New Roman" w:hint="default"/>
        </w:rPr>
        <w:t>10 </w:t>
      </w:r>
      <w:r>
        <w:rPr/>
        <w:t>月</w:t>
      </w:r>
      <w:r>
        <w:rPr>
          <w:rFonts w:ascii="Times New Roman" w:hAnsi="Times New Roman" w:cs="Times New Roman" w:eastAsia="Times New Roman" w:hint="default"/>
        </w:rPr>
        <w:t>16</w:t>
      </w:r>
      <w:r>
        <w:rPr>
          <w:rFonts w:ascii="Times New Roman" w:hAnsi="Times New Roman" w:cs="Times New Roman" w:eastAsia="Times New Roman" w:hint="default"/>
          <w:spacing w:val="5"/>
        </w:rPr>
        <w:t> </w:t>
      </w:r>
      <w:r>
        <w:rPr/>
        <w:t>日</w:t>
      </w:r>
      <w:r>
        <w:rPr>
          <w:rFonts w:ascii="Times New Roman" w:hAnsi="Times New Roman" w:cs="Times New Roman" w:eastAsia="Times New Roman" w:hint="default"/>
        </w:rPr>
        <w:t>,</w:t>
      </w:r>
      <w:r>
        <w:rPr/>
        <w:t>深圳市宝安区投资管理公司与深圳国际信托投资有限责任公司重新签定了《股权转让协议书》，根 据审计后本公司</w:t>
      </w:r>
      <w:r>
        <w:rPr>
          <w:rFonts w:ascii="Times New Roman" w:hAnsi="Times New Roman" w:cs="Times New Roman" w:eastAsia="Times New Roman" w:hint="default"/>
        </w:rPr>
        <w:t>2001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 </w:t>
      </w:r>
      <w:r>
        <w:rPr/>
        <w:t>日净资产，上述股权转让价格为</w:t>
      </w:r>
      <w:r>
        <w:rPr>
          <w:rFonts w:ascii="Times New Roman" w:hAnsi="Times New Roman" w:cs="Times New Roman" w:eastAsia="Times New Roman" w:hint="default"/>
        </w:rPr>
        <w:t>1.16 </w:t>
      </w:r>
      <w:r>
        <w:rPr/>
        <w:t>元</w:t>
      </w:r>
      <w:r>
        <w:rPr>
          <w:rFonts w:ascii="Times New Roman" w:hAnsi="Times New Roman" w:cs="Times New Roman" w:eastAsia="Times New Roman" w:hint="default"/>
        </w:rPr>
        <w:t>/</w:t>
      </w:r>
      <w:r>
        <w:rPr/>
        <w:t>股，总价款为</w:t>
      </w:r>
      <w:r>
        <w:rPr>
          <w:rFonts w:ascii="Times New Roman" w:hAnsi="Times New Roman" w:cs="Times New Roman" w:eastAsia="Times New Roman" w:hint="default"/>
        </w:rPr>
        <w:t>82,749,079.08</w:t>
      </w:r>
      <w:r>
        <w:rPr>
          <w:rFonts w:ascii="Times New Roman" w:hAnsi="Times New Roman" w:cs="Times New Roman" w:eastAsia="Times New Roman" w:hint="default"/>
          <w:spacing w:val="37"/>
        </w:rPr>
        <w:t> </w:t>
      </w:r>
      <w:r>
        <w:rPr/>
        <w:t>元。该事项已获财政 部财企</w:t>
      </w:r>
      <w:r>
        <w:rPr>
          <w:rFonts w:ascii="Times New Roman" w:hAnsi="Times New Roman" w:cs="Times New Roman" w:eastAsia="Times New Roman" w:hint="default"/>
        </w:rPr>
        <w:t>[2003]64  </w:t>
      </w:r>
      <w:r>
        <w:rPr/>
        <w:t>号文批复、中国证监会证监公司字</w:t>
      </w:r>
      <w:r>
        <w:rPr>
          <w:rFonts w:ascii="Times New Roman" w:hAnsi="Times New Roman" w:cs="Times New Roman" w:eastAsia="Times New Roman" w:hint="default"/>
        </w:rPr>
        <w:t>[2003]38</w:t>
      </w:r>
      <w:r>
        <w:rPr>
          <w:rFonts w:ascii="Times New Roman" w:hAnsi="Times New Roman" w:cs="Times New Roman" w:eastAsia="Times New Roman" w:hint="default"/>
          <w:spacing w:val="43"/>
        </w:rPr>
        <w:t> </w:t>
      </w:r>
      <w:r>
        <w:rPr/>
        <w:t>号文批复，并办妥股权过户手续。</w:t>
      </w:r>
    </w:p>
    <w:p>
      <w:pPr>
        <w:pStyle w:val="BodyText"/>
        <w:spacing w:line="234" w:lineRule="exact" w:before="9"/>
        <w:ind w:right="1133" w:firstLine="360"/>
        <w:jc w:val="both"/>
      </w:pPr>
      <w:r>
        <w:rPr/>
        <w:t>（</w:t>
      </w:r>
      <w:r>
        <w:rPr>
          <w:rFonts w:ascii="Times New Roman" w:hAnsi="Times New Roman" w:cs="Times New Roman" w:eastAsia="Times New Roman" w:hint="default"/>
        </w:rPr>
        <w:t>3</w:t>
      </w:r>
      <w:r>
        <w:rPr/>
        <w:t>）深圳市宝安区人民政府于</w:t>
      </w:r>
      <w:r>
        <w:rPr>
          <w:rFonts w:ascii="Times New Roman" w:hAnsi="Times New Roman" w:cs="Times New Roman" w:eastAsia="Times New Roman" w:hint="default"/>
        </w:rPr>
        <w:t>2000 </w:t>
      </w:r>
      <w:r>
        <w:rPr/>
        <w:t>年</w:t>
      </w:r>
      <w:r>
        <w:rPr>
          <w:rFonts w:ascii="Times New Roman" w:hAnsi="Times New Roman" w:cs="Times New Roman" w:eastAsia="Times New Roman" w:hint="default"/>
        </w:rPr>
        <w:t>10 </w:t>
      </w:r>
      <w:r>
        <w:rPr/>
        <w:t>月</w:t>
      </w:r>
      <w:r>
        <w:rPr>
          <w:rFonts w:ascii="Times New Roman" w:hAnsi="Times New Roman" w:cs="Times New Roman" w:eastAsia="Times New Roman" w:hint="default"/>
        </w:rPr>
        <w:t>19 </w:t>
      </w:r>
      <w:r>
        <w:rPr/>
        <w:t>日以深宝函</w:t>
      </w:r>
      <w:r>
        <w:rPr>
          <w:rFonts w:ascii="Times New Roman" w:hAnsi="Times New Roman" w:cs="Times New Roman" w:eastAsia="Times New Roman" w:hint="default"/>
        </w:rPr>
        <w:t>[2000]42</w:t>
      </w:r>
      <w:r>
        <w:rPr>
          <w:rFonts w:ascii="Times New Roman" w:hAnsi="Times New Roman" w:cs="Times New Roman" w:eastAsia="Times New Roman" w:hint="default"/>
          <w:spacing w:val="11"/>
        </w:rPr>
        <w:t> </w:t>
      </w:r>
      <w:r>
        <w:rPr/>
        <w:t>号文批准，由深圳泰丰电子有限公司受让本公司 原股东</w:t>
      </w:r>
      <w:r>
        <w:rPr>
          <w:rFonts w:ascii="Times New Roman" w:hAnsi="Times New Roman" w:cs="Times New Roman" w:eastAsia="Times New Roman" w:hint="default"/>
        </w:rPr>
        <w:t>—</w:t>
      </w:r>
      <w:r>
        <w:rPr/>
        <w:t>深圳市宝安区投资管理公司持有的公司国家股</w:t>
      </w:r>
      <w:r>
        <w:rPr>
          <w:rFonts w:ascii="Times New Roman" w:hAnsi="Times New Roman" w:cs="Times New Roman" w:eastAsia="Times New Roman" w:hint="default"/>
        </w:rPr>
        <w:t>24,891,152  </w:t>
      </w:r>
      <w:r>
        <w:rPr/>
        <w:t>股。</w:t>
      </w:r>
    </w:p>
    <w:p>
      <w:pPr>
        <w:pStyle w:val="BodyText"/>
        <w:spacing w:line="217" w:lineRule="exact"/>
        <w:ind w:right="0" w:firstLine="360"/>
        <w:jc w:val="both"/>
      </w:pPr>
      <w:r>
        <w:rPr>
          <w:rFonts w:ascii="Times New Roman" w:hAnsi="Times New Roman" w:cs="Times New Roman" w:eastAsia="Times New Roman" w:hint="default"/>
        </w:rPr>
        <w:t>2002  </w:t>
      </w:r>
      <w:r>
        <w:rPr/>
        <w:t>年</w:t>
      </w:r>
      <w:r>
        <w:rPr>
          <w:rFonts w:ascii="Times New Roman" w:hAnsi="Times New Roman" w:cs="Times New Roman" w:eastAsia="Times New Roman" w:hint="default"/>
        </w:rPr>
        <w:t>10  </w:t>
      </w:r>
      <w:r>
        <w:rPr/>
        <w:t>月</w:t>
      </w:r>
      <w:r>
        <w:rPr>
          <w:rFonts w:ascii="Times New Roman" w:hAnsi="Times New Roman" w:cs="Times New Roman" w:eastAsia="Times New Roman" w:hint="default"/>
        </w:rPr>
        <w:t>16 </w:t>
      </w:r>
      <w:r>
        <w:rPr>
          <w:rFonts w:ascii="Times New Roman" w:hAnsi="Times New Roman" w:cs="Times New Roman" w:eastAsia="Times New Roman" w:hint="default"/>
          <w:spacing w:val="8"/>
        </w:rPr>
        <w:t> </w:t>
      </w:r>
      <w:r>
        <w:rPr/>
        <w:t>日，深圳市宝安区投资管理公司与深圳泰丰电子有限公司重新签定了《股权转让协议书》，根据审计</w:t>
      </w:r>
    </w:p>
    <w:p>
      <w:pPr>
        <w:pStyle w:val="BodyText"/>
        <w:spacing w:line="232" w:lineRule="exact" w:before="17"/>
        <w:ind w:right="1118"/>
        <w:jc w:val="left"/>
      </w:pPr>
      <w:r>
        <w:rPr/>
        <w:t>后的本公司</w:t>
      </w:r>
      <w:r>
        <w:rPr>
          <w:rFonts w:ascii="Times New Roman" w:hAnsi="Times New Roman" w:cs="Times New Roman" w:eastAsia="Times New Roman" w:hint="default"/>
        </w:rPr>
        <w:t>2001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 </w:t>
      </w:r>
      <w:r>
        <w:rPr/>
        <w:t>日净资产，上述股权转让价格为</w:t>
      </w:r>
      <w:r>
        <w:rPr>
          <w:rFonts w:ascii="Times New Roman" w:hAnsi="Times New Roman" w:cs="Times New Roman" w:eastAsia="Times New Roman" w:hint="default"/>
        </w:rPr>
        <w:t>1.16 </w:t>
      </w:r>
      <w:r>
        <w:rPr/>
        <w:t>元</w:t>
      </w:r>
      <w:r>
        <w:rPr>
          <w:rFonts w:ascii="Times New Roman" w:hAnsi="Times New Roman" w:cs="Times New Roman" w:eastAsia="Times New Roman" w:hint="default"/>
        </w:rPr>
        <w:t>/</w:t>
      </w:r>
      <w:r>
        <w:rPr/>
        <w:t>股，总价款为</w:t>
      </w:r>
      <w:r>
        <w:rPr>
          <w:rFonts w:ascii="Times New Roman" w:hAnsi="Times New Roman" w:cs="Times New Roman" w:eastAsia="Times New Roman" w:hint="default"/>
        </w:rPr>
        <w:t>28,873,736.32</w:t>
      </w:r>
      <w:r>
        <w:rPr>
          <w:rFonts w:ascii="Times New Roman" w:hAnsi="Times New Roman" w:cs="Times New Roman" w:eastAsia="Times New Roman" w:hint="default"/>
          <w:spacing w:val="37"/>
        </w:rPr>
        <w:t> </w:t>
      </w:r>
      <w:r>
        <w:rPr/>
        <w:t>元。该事项已获财政部财 企</w:t>
      </w:r>
      <w:r>
        <w:rPr>
          <w:rFonts w:ascii="Times New Roman" w:hAnsi="Times New Roman" w:cs="Times New Roman" w:eastAsia="Times New Roman" w:hint="default"/>
        </w:rPr>
        <w:t>[2003]64</w:t>
      </w:r>
      <w:r>
        <w:rPr>
          <w:rFonts w:ascii="Times New Roman" w:hAnsi="Times New Roman" w:cs="Times New Roman" w:eastAsia="Times New Roman" w:hint="default"/>
          <w:spacing w:val="44"/>
        </w:rPr>
        <w:t> </w:t>
      </w:r>
      <w:r>
        <w:rPr/>
        <w:t>号文批复，并办妥股权过户手续。</w:t>
      </w:r>
    </w:p>
    <w:p>
      <w:pPr>
        <w:pStyle w:val="BodyText"/>
        <w:spacing w:line="218" w:lineRule="exact"/>
        <w:ind w:left="514" w:right="0"/>
        <w:jc w:val="left"/>
      </w:pPr>
      <w:r>
        <w:rPr/>
        <w:t>此次股权转让后，深圳市宝安区投资管理公司尚持有本公司股份为</w:t>
      </w:r>
      <w:r>
        <w:rPr>
          <w:rFonts w:ascii="Times New Roman" w:hAnsi="Times New Roman" w:cs="Times New Roman" w:eastAsia="Times New Roman" w:hint="default"/>
        </w:rPr>
        <w:t>37,329,007</w:t>
      </w:r>
      <w:r>
        <w:rPr>
          <w:rFonts w:ascii="Times New Roman" w:hAnsi="Times New Roman" w:cs="Times New Roman" w:eastAsia="Times New Roman" w:hint="default"/>
          <w:spacing w:val="43"/>
        </w:rPr>
        <w:t> </w:t>
      </w:r>
      <w:r>
        <w:rPr/>
        <w:t>股。</w:t>
      </w:r>
    </w:p>
    <w:p>
      <w:pPr>
        <w:pStyle w:val="BodyText"/>
        <w:spacing w:line="234" w:lineRule="exact" w:before="15"/>
        <w:ind w:right="1130" w:firstLine="360"/>
        <w:jc w:val="both"/>
      </w:pPr>
      <w:r>
        <w:rPr/>
        <w:t>（</w:t>
      </w:r>
      <w:r>
        <w:rPr>
          <w:rFonts w:ascii="Times New Roman" w:hAnsi="Times New Roman" w:cs="Times New Roman" w:eastAsia="Times New Roman" w:hint="default"/>
        </w:rPr>
        <w:t>4</w:t>
      </w:r>
      <w:r>
        <w:rPr/>
        <w:t>）深圳市投资管理公司于</w:t>
      </w:r>
      <w:r>
        <w:rPr>
          <w:rFonts w:ascii="Times New Roman" w:hAnsi="Times New Roman" w:cs="Times New Roman" w:eastAsia="Times New Roman" w:hint="default"/>
        </w:rPr>
        <w:t>2000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8</w:t>
      </w:r>
      <w:r>
        <w:rPr>
          <w:rFonts w:ascii="Times New Roman" w:hAnsi="Times New Roman" w:cs="Times New Roman" w:eastAsia="Times New Roman" w:hint="default"/>
          <w:spacing w:val="22"/>
        </w:rPr>
        <w:t> </w:t>
      </w:r>
      <w:r>
        <w:rPr/>
        <w:t>日以深投</w:t>
      </w:r>
      <w:r>
        <w:rPr>
          <w:rFonts w:ascii="Times New Roman" w:hAnsi="Times New Roman" w:cs="Times New Roman" w:eastAsia="Times New Roman" w:hint="default"/>
        </w:rPr>
        <w:t>[2000]411</w:t>
      </w:r>
      <w:r>
        <w:rPr/>
        <w:t>号批准，由深圳泰丰电子有限公司受让公司原股东</w:t>
      </w:r>
      <w:r>
        <w:rPr>
          <w:rFonts w:ascii="Times New Roman" w:hAnsi="Times New Roman" w:cs="Times New Roman" w:eastAsia="Times New Roman" w:hint="default"/>
        </w:rPr>
        <w:t>—</w:t>
      </w:r>
      <w:r>
        <w:rPr/>
        <w:t>深 圳市国际信托投资有限责任公司持有的本公司法人股</w:t>
      </w:r>
      <w:r>
        <w:rPr>
          <w:rFonts w:ascii="Times New Roman" w:hAnsi="Times New Roman" w:cs="Times New Roman" w:eastAsia="Times New Roman" w:hint="default"/>
        </w:rPr>
        <w:t>57,560,789</w:t>
      </w:r>
      <w:r>
        <w:rPr>
          <w:rFonts w:ascii="Times New Roman" w:hAnsi="Times New Roman" w:cs="Times New Roman" w:eastAsia="Times New Roman" w:hint="default"/>
          <w:spacing w:val="41"/>
        </w:rPr>
        <w:t> </w:t>
      </w:r>
      <w:r>
        <w:rPr/>
        <w:t>股，因需政府其他部门批准，故未办理股权过户手续。</w:t>
      </w:r>
    </w:p>
    <w:p>
      <w:pPr>
        <w:pStyle w:val="BodyText"/>
        <w:spacing w:line="225" w:lineRule="auto"/>
        <w:ind w:right="1134" w:firstLine="360"/>
        <w:jc w:val="both"/>
      </w:pPr>
      <w:r>
        <w:rPr/>
        <w:t>（</w:t>
      </w:r>
      <w:r>
        <w:rPr>
          <w:rFonts w:ascii="Times New Roman" w:hAnsi="Times New Roman" w:cs="Times New Roman" w:eastAsia="Times New Roman" w:hint="default"/>
        </w:rPr>
        <w:t>5</w:t>
      </w:r>
      <w:r>
        <w:rPr/>
        <w:t>）国务院国有资产监督管理委员会于</w:t>
      </w:r>
      <w:r>
        <w:rPr>
          <w:rFonts w:ascii="Times New Roman" w:hAnsi="Times New Roman" w:cs="Times New Roman" w:eastAsia="Times New Roman" w:hint="default"/>
        </w:rPr>
        <w:t>2006 </w:t>
      </w:r>
      <w:r>
        <w:rPr/>
        <w:t>年</w:t>
      </w:r>
      <w:r>
        <w:rPr>
          <w:rFonts w:ascii="Times New Roman" w:hAnsi="Times New Roman" w:cs="Times New Roman" w:eastAsia="Times New Roman" w:hint="default"/>
        </w:rPr>
        <w:t>2 </w:t>
      </w:r>
      <w:r>
        <w:rPr/>
        <w:t>月</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日以国资产权</w:t>
      </w:r>
      <w:r>
        <w:rPr>
          <w:rFonts w:ascii="Times New Roman" w:hAnsi="Times New Roman" w:cs="Times New Roman" w:eastAsia="Times New Roman" w:hint="default"/>
        </w:rPr>
        <w:t>[2006]106</w:t>
      </w:r>
      <w:r>
        <w:rPr/>
        <w:t>号批准，由中国希格玛有限公司受让公 司原股东</w:t>
      </w:r>
      <w:r>
        <w:rPr>
          <w:rFonts w:ascii="Times New Roman" w:hAnsi="Times New Roman" w:cs="Times New Roman" w:eastAsia="Times New Roman" w:hint="default"/>
        </w:rPr>
        <w:t>—</w:t>
      </w:r>
      <w:r>
        <w:rPr/>
        <w:t>深圳市国际信托投资有限责任公司持有的本公司国有股</w:t>
      </w:r>
      <w:r>
        <w:rPr>
          <w:rFonts w:ascii="Times New Roman" w:hAnsi="Times New Roman" w:cs="Times New Roman" w:eastAsia="Times New Roman" w:hint="default"/>
        </w:rPr>
        <w:t>91,661,280</w:t>
      </w:r>
      <w:r>
        <w:rPr>
          <w:rFonts w:ascii="Times New Roman" w:hAnsi="Times New Roman" w:cs="Times New Roman" w:eastAsia="Times New Roman" w:hint="default"/>
          <w:spacing w:val="41"/>
        </w:rPr>
        <w:t> </w:t>
      </w:r>
      <w:r>
        <w:rPr/>
        <w:t>股，并办妥股权过户手续。</w:t>
      </w:r>
    </w:p>
    <w:p>
      <w:pPr>
        <w:pStyle w:val="BodyText"/>
        <w:spacing w:line="234" w:lineRule="exact" w:before="9"/>
        <w:ind w:right="1130" w:firstLine="360"/>
        <w:jc w:val="both"/>
      </w:pPr>
      <w:r>
        <w:rPr/>
        <w:t>（</w:t>
      </w:r>
      <w:r>
        <w:rPr>
          <w:rFonts w:ascii="Times New Roman" w:hAnsi="Times New Roman" w:cs="Times New Roman" w:eastAsia="Times New Roman" w:hint="default"/>
        </w:rPr>
        <w:t>6</w:t>
      </w:r>
      <w:r>
        <w:rPr/>
        <w:t>）由于深圳泰丰电子有限公司持有的本公司</w:t>
      </w:r>
      <w:r>
        <w:rPr>
          <w:rFonts w:ascii="Times New Roman" w:hAnsi="Times New Roman" w:cs="Times New Roman" w:eastAsia="Times New Roman" w:hint="default"/>
        </w:rPr>
        <w:t>24,891,152 </w:t>
      </w:r>
      <w:r>
        <w:rPr/>
        <w:t>股法人股被北京市第一中级人民法院于</w:t>
      </w:r>
      <w:r>
        <w:rPr>
          <w:rFonts w:ascii="Times New Roman" w:hAnsi="Times New Roman" w:cs="Times New Roman" w:eastAsia="Times New Roman" w:hint="default"/>
        </w:rPr>
        <w:t>2006 </w:t>
      </w:r>
      <w:r>
        <w:rPr/>
        <w:t>年</w:t>
      </w:r>
      <w:r>
        <w:rPr>
          <w:rFonts w:ascii="Times New Roman" w:hAnsi="Times New Roman" w:cs="Times New Roman" w:eastAsia="Times New Roman" w:hint="default"/>
        </w:rPr>
        <w:t>7 </w:t>
      </w:r>
      <w:r>
        <w:rPr/>
        <w:t>月</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t>日公</w:t>
      </w:r>
      <w:r>
        <w:rPr>
          <w:spacing w:val="-2"/>
        </w:rPr>
        <w:t> </w:t>
      </w:r>
      <w:r>
        <w:rPr/>
        <w:t>开拍卖。上海灵竹投资咨询有限公司、上海美佳商贸有限公司以联合竞拍方式各得</w:t>
      </w:r>
      <w:r>
        <w:rPr>
          <w:rFonts w:ascii="Times New Roman" w:hAnsi="Times New Roman" w:cs="Times New Roman" w:eastAsia="Times New Roman" w:hint="default"/>
        </w:rPr>
        <w:t>12,445,576 </w:t>
      </w:r>
      <w:r>
        <w:rPr/>
        <w:t>股，并于</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年办妥股权过 户手续。</w:t>
      </w:r>
    </w:p>
    <w:p>
      <w:pPr>
        <w:pStyle w:val="BodyText"/>
        <w:spacing w:line="217" w:lineRule="exact"/>
        <w:ind w:right="0" w:firstLine="360"/>
        <w:jc w:val="both"/>
      </w:pPr>
      <w:r>
        <w:rPr>
          <w:spacing w:val="-2"/>
        </w:rPr>
        <w:t>（</w:t>
      </w:r>
      <w:r>
        <w:rPr>
          <w:rFonts w:ascii="Times New Roman" w:hAnsi="Times New Roman" w:cs="Times New Roman" w:eastAsia="Times New Roman" w:hint="default"/>
          <w:spacing w:val="-2"/>
        </w:rPr>
        <w:t>7</w:t>
      </w:r>
      <w:r>
        <w:rPr>
          <w:spacing w:val="-2"/>
        </w:rPr>
        <w:t>）由于深圳泰丰电子有限公司持有的本公司</w:t>
      </w:r>
      <w:r>
        <w:rPr>
          <w:rFonts w:ascii="Times New Roman" w:hAnsi="Times New Roman" w:cs="Times New Roman" w:eastAsia="Times New Roman" w:hint="default"/>
          <w:spacing w:val="-2"/>
        </w:rPr>
        <w:t>6,000,000</w:t>
      </w:r>
      <w:r>
        <w:rPr>
          <w:rFonts w:ascii="Times New Roman" w:hAnsi="Times New Roman" w:cs="Times New Roman" w:eastAsia="Times New Roman" w:hint="default"/>
        </w:rPr>
        <w:t> </w:t>
      </w:r>
      <w:r>
        <w:rPr>
          <w:rFonts w:ascii="Times New Roman" w:hAnsi="Times New Roman" w:cs="Times New Roman" w:eastAsia="Times New Roman" w:hint="default"/>
          <w:spacing w:val="31"/>
        </w:rPr>
        <w:t> </w:t>
      </w:r>
      <w:r>
        <w:rPr>
          <w:spacing w:val="-2"/>
        </w:rPr>
        <w:t>股法人股被广东省河源市中级人民法院公开拍卖。竞买人杨跃</w:t>
      </w:r>
    </w:p>
    <w:p>
      <w:pPr>
        <w:pStyle w:val="BodyText"/>
        <w:spacing w:line="232" w:lineRule="exact" w:before="17"/>
        <w:ind w:right="1118"/>
        <w:jc w:val="left"/>
      </w:pPr>
      <w:r>
        <w:rPr/>
        <w:t>烽、郝琳、谢雯、张丽程以联合竞拍方式竞得。具体为：杨跃烽拥有</w:t>
      </w:r>
      <w:r>
        <w:rPr>
          <w:rFonts w:ascii="Times New Roman" w:hAnsi="Times New Roman" w:cs="Times New Roman" w:eastAsia="Times New Roman" w:hint="default"/>
        </w:rPr>
        <w:t>300 </w:t>
      </w:r>
      <w:r>
        <w:rPr/>
        <w:t>万股、郝琳拥有</w:t>
      </w:r>
      <w:r>
        <w:rPr>
          <w:rFonts w:ascii="Times New Roman" w:hAnsi="Times New Roman" w:cs="Times New Roman" w:eastAsia="Times New Roman" w:hint="default"/>
        </w:rPr>
        <w:t>100 </w:t>
      </w:r>
      <w:r>
        <w:rPr/>
        <w:t>万股、谢雯拥有</w:t>
      </w:r>
      <w:r>
        <w:rPr>
          <w:rFonts w:ascii="Times New Roman" w:hAnsi="Times New Roman" w:cs="Times New Roman" w:eastAsia="Times New Roman" w:hint="default"/>
        </w:rPr>
        <w:t>100</w:t>
      </w:r>
      <w:r>
        <w:rPr>
          <w:rFonts w:ascii="Times New Roman" w:hAnsi="Times New Roman" w:cs="Times New Roman" w:eastAsia="Times New Roman" w:hint="default"/>
          <w:spacing w:val="19"/>
        </w:rPr>
        <w:t> </w:t>
      </w:r>
      <w:r>
        <w:rPr>
          <w:spacing w:val="-3"/>
        </w:rPr>
        <w:t>万股、张</w:t>
      </w:r>
      <w:r>
        <w:rPr/>
        <w:t> 丽程拥有</w:t>
      </w:r>
      <w:r>
        <w:rPr>
          <w:rFonts w:ascii="Times New Roman" w:hAnsi="Times New Roman" w:cs="Times New Roman" w:eastAsia="Times New Roman" w:hint="default"/>
        </w:rPr>
        <w:t>100  </w:t>
      </w:r>
      <w:r>
        <w:rPr/>
        <w:t>万股，并于</w:t>
      </w:r>
      <w:r>
        <w:rPr>
          <w:rFonts w:ascii="Times New Roman" w:hAnsi="Times New Roman" w:cs="Times New Roman" w:eastAsia="Times New Roman" w:hint="default"/>
        </w:rPr>
        <w:t>2008  </w:t>
      </w:r>
      <w:r>
        <w:rPr/>
        <w:t>年办妥股权过户手续。</w:t>
      </w:r>
    </w:p>
    <w:p>
      <w:pPr>
        <w:pStyle w:val="BodyText"/>
        <w:spacing w:line="232" w:lineRule="exact" w:before="2"/>
        <w:ind w:right="1132" w:firstLine="360"/>
        <w:jc w:val="both"/>
      </w:pPr>
      <w:r>
        <w:rPr>
          <w:spacing w:val="-4"/>
        </w:rPr>
        <w:t>（</w:t>
      </w:r>
      <w:r>
        <w:rPr>
          <w:rFonts w:ascii="Times New Roman" w:hAnsi="Times New Roman" w:cs="Times New Roman" w:eastAsia="Times New Roman" w:hint="default"/>
          <w:spacing w:val="-4"/>
        </w:rPr>
        <w:t>8</w:t>
      </w:r>
      <w:r>
        <w:rPr>
          <w:spacing w:val="-4"/>
        </w:rPr>
        <w:t>）</w:t>
      </w:r>
      <w:r>
        <w:rPr>
          <w:rFonts w:ascii="Times New Roman" w:hAnsi="Times New Roman" w:cs="Times New Roman" w:eastAsia="Times New Roman" w:hint="default"/>
          <w:spacing w:val="-4"/>
        </w:rPr>
        <w:t>2009 </w:t>
      </w:r>
      <w:r>
        <w:rPr/>
        <w:t>年</w:t>
      </w:r>
      <w:r>
        <w:rPr>
          <w:rFonts w:ascii="Times New Roman" w:hAnsi="Times New Roman" w:cs="Times New Roman" w:eastAsia="Times New Roman" w:hint="default"/>
        </w:rPr>
        <w:t>9 </w:t>
      </w:r>
      <w:r>
        <w:rPr/>
        <w:t>月</w:t>
      </w:r>
      <w:r>
        <w:rPr>
          <w:rFonts w:ascii="Times New Roman" w:hAnsi="Times New Roman" w:cs="Times New Roman" w:eastAsia="Times New Roman" w:hint="default"/>
        </w:rPr>
        <w:t>15 </w:t>
      </w:r>
      <w:r>
        <w:rPr/>
        <w:t>日，深圳泰丰电子有限公司持有的公司</w:t>
      </w:r>
      <w:r>
        <w:rPr>
          <w:rFonts w:ascii="Times New Roman" w:hAnsi="Times New Roman" w:cs="Times New Roman" w:eastAsia="Times New Roman" w:hint="default"/>
        </w:rPr>
        <w:t>3050</w:t>
      </w:r>
      <w:r>
        <w:rPr>
          <w:rFonts w:ascii="Times New Roman" w:hAnsi="Times New Roman" w:cs="Times New Roman" w:eastAsia="Times New Roman" w:hint="default"/>
          <w:spacing w:val="-2"/>
        </w:rPr>
        <w:t> </w:t>
      </w:r>
      <w:r>
        <w:rPr/>
        <w:t>万股股权被北京市第一中级人民法院公开拍卖，由重 庆润江基础设施投资有限公司竞得，并已办妥股权过户手续。</w:t>
      </w:r>
    </w:p>
    <w:p>
      <w:pPr>
        <w:pStyle w:val="BodyText"/>
        <w:spacing w:line="225" w:lineRule="auto"/>
        <w:ind w:right="1131" w:firstLine="360"/>
        <w:jc w:val="both"/>
      </w:pPr>
      <w:r>
        <w:rPr>
          <w:spacing w:val="-1"/>
        </w:rPr>
        <w:t>（</w:t>
      </w:r>
      <w:r>
        <w:rPr>
          <w:rFonts w:ascii="Times New Roman" w:hAnsi="Times New Roman" w:cs="Times New Roman" w:eastAsia="Times New Roman" w:hint="default"/>
          <w:spacing w:val="-1"/>
        </w:rPr>
        <w:t>9</w:t>
      </w:r>
      <w:r>
        <w:rPr>
          <w:spacing w:val="-1"/>
        </w:rPr>
        <w:t>）</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8</w:t>
      </w:r>
      <w:r>
        <w:rPr>
          <w:spacing w:val="-1"/>
        </w:rPr>
        <w:t>日，广东省高级人民法院以</w:t>
      </w:r>
      <w:r>
        <w:rPr>
          <w:rFonts w:ascii="Times New Roman" w:hAnsi="Times New Roman" w:cs="Times New Roman" w:eastAsia="Times New Roman" w:hint="default"/>
          <w:spacing w:val="-1"/>
        </w:rPr>
        <w:t>(2013)</w:t>
      </w:r>
      <w:r>
        <w:rPr>
          <w:spacing w:val="-1"/>
        </w:rPr>
        <w:t>粤高法民二终第</w:t>
      </w:r>
      <w:r>
        <w:rPr>
          <w:rFonts w:ascii="Times New Roman" w:hAnsi="Times New Roman" w:cs="Times New Roman" w:eastAsia="Times New Roman" w:hint="default"/>
          <w:spacing w:val="-1"/>
        </w:rPr>
        <w:t>41</w:t>
      </w:r>
      <w:r>
        <w:rPr>
          <w:spacing w:val="-1"/>
        </w:rPr>
        <w:t>号民事判决书确认华润深国投信托有限公司持有</w:t>
      </w:r>
      <w:r>
        <w:rPr/>
        <w:t> </w:t>
      </w:r>
      <w:r>
        <w:rPr>
          <w:spacing w:val="-2"/>
        </w:rPr>
        <w:t>的公司</w:t>
      </w:r>
      <w:r>
        <w:rPr>
          <w:rFonts w:ascii="Times New Roman" w:hAnsi="Times New Roman" w:cs="Times New Roman" w:eastAsia="Times New Roman" w:hint="default"/>
          <w:spacing w:val="-2"/>
        </w:rPr>
        <w:t>17,901,671</w:t>
      </w:r>
      <w:r>
        <w:rPr>
          <w:spacing w:val="-2"/>
        </w:rPr>
        <w:t>股股权为深圳泰丰电子有限公司所有。</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21</w:t>
      </w:r>
      <w:r>
        <w:rPr>
          <w:spacing w:val="-2"/>
        </w:rPr>
        <w:t>日，深圳市中级人民法院裁定受理深圳泰丰电子有限公</w:t>
      </w:r>
      <w:r>
        <w:rPr>
          <w:spacing w:val="-48"/>
        </w:rPr>
        <w:t> </w:t>
      </w:r>
      <w:r>
        <w:rPr>
          <w:spacing w:val="-48"/>
        </w:rPr>
      </w:r>
      <w:r>
        <w:rPr/>
        <w:t>司破产清算。</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11</w:t>
      </w:r>
      <w:r>
        <w:rPr/>
        <w:t>日，中国证券登记结算有限责任公司深圳分公司出具《证券过户登记确认书》，将华润深国投信</w:t>
      </w:r>
      <w:r>
        <w:rPr>
          <w:spacing w:val="-83"/>
        </w:rPr>
        <w:t> </w:t>
      </w:r>
      <w:r>
        <w:rPr>
          <w:spacing w:val="-83"/>
        </w:rPr>
      </w:r>
      <w:r>
        <w:rPr>
          <w:spacing w:val="-2"/>
        </w:rPr>
        <w:t>托有限公司名下的公司</w:t>
      </w:r>
      <w:r>
        <w:rPr>
          <w:rFonts w:ascii="Times New Roman" w:hAnsi="Times New Roman" w:cs="Times New Roman" w:eastAsia="Times New Roman" w:hint="default"/>
          <w:spacing w:val="-2"/>
        </w:rPr>
        <w:t>17,901,671</w:t>
      </w:r>
      <w:r>
        <w:rPr>
          <w:spacing w:val="-2"/>
        </w:rPr>
        <w:t>股过户至管理人开立的证券账户中，户名为</w:t>
      </w:r>
      <w:r>
        <w:rPr>
          <w:rFonts w:ascii="Times New Roman" w:hAnsi="Times New Roman" w:cs="Times New Roman" w:eastAsia="Times New Roman" w:hint="default"/>
          <w:spacing w:val="-2"/>
        </w:rPr>
        <w:t>“</w:t>
      </w:r>
      <w:r>
        <w:rPr>
          <w:spacing w:val="-2"/>
        </w:rPr>
        <w:t>深圳泰丰电子有限公司破产企业财产处置专用</w:t>
      </w:r>
      <w:r>
        <w:rPr>
          <w:spacing w:val="-46"/>
        </w:rPr>
        <w:t> </w:t>
      </w:r>
      <w:r>
        <w:rPr>
          <w:spacing w:val="-46"/>
        </w:rPr>
      </w:r>
      <w:r>
        <w:rPr/>
        <w:t>账户</w:t>
      </w:r>
      <w:r>
        <w:rPr>
          <w:rFonts w:ascii="Times New Roman" w:hAnsi="Times New Roman" w:cs="Times New Roman" w:eastAsia="Times New Roman" w:hint="default"/>
        </w:rPr>
        <w:t>”</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月，将股权分置改革后遗留的限售流通股</w:t>
      </w:r>
      <w:r>
        <w:rPr>
          <w:rFonts w:ascii="Times New Roman" w:hAnsi="Times New Roman" w:cs="Times New Roman" w:eastAsia="Times New Roman" w:hint="default"/>
        </w:rPr>
        <w:t>17,901,671</w:t>
      </w:r>
      <w:r>
        <w:rPr/>
        <w:t>股依法办理解除限售，并于</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日上市流通。</w:t>
      </w:r>
    </w:p>
    <w:p>
      <w:pPr>
        <w:pStyle w:val="Heading3"/>
        <w:spacing w:line="265" w:lineRule="exact"/>
        <w:ind w:left="576" w:right="0"/>
        <w:jc w:val="left"/>
        <w:rPr>
          <w:b w:val="0"/>
          <w:bCs w:val="0"/>
        </w:rPr>
      </w:pPr>
      <w:r>
        <w:rPr>
          <w:rFonts w:ascii="Times New Roman" w:hAnsi="Times New Roman" w:cs="Times New Roman" w:eastAsia="Times New Roman" w:hint="default"/>
        </w:rPr>
        <w:t>2</w:t>
      </w:r>
      <w:r>
        <w:rPr/>
        <w:t>．股权分置改革情况</w:t>
      </w:r>
      <w:r>
        <w:rPr>
          <w:b w:val="0"/>
          <w:bCs w:val="0"/>
        </w:rPr>
      </w:r>
    </w:p>
    <w:p>
      <w:pPr>
        <w:pStyle w:val="BodyText"/>
        <w:spacing w:line="225" w:lineRule="auto" w:before="6"/>
        <w:ind w:right="1130" w:firstLine="360"/>
        <w:jc w:val="both"/>
      </w:pPr>
      <w:r>
        <w:rPr/>
        <w:t>本公司于</w:t>
      </w:r>
      <w:r>
        <w:rPr>
          <w:rFonts w:ascii="Times New Roman" w:hAnsi="Times New Roman" w:cs="Times New Roman" w:eastAsia="Times New Roman" w:hint="default"/>
        </w:rPr>
        <w:t>2008 </w:t>
      </w:r>
      <w:r>
        <w:rPr/>
        <w:t>年</w:t>
      </w:r>
      <w:r>
        <w:rPr>
          <w:rFonts w:ascii="Times New Roman" w:hAnsi="Times New Roman" w:cs="Times New Roman" w:eastAsia="Times New Roman" w:hint="default"/>
        </w:rPr>
        <w:t>3 </w:t>
      </w:r>
      <w:r>
        <w:rPr/>
        <w:t>月</w:t>
      </w:r>
      <w:r>
        <w:rPr>
          <w:rFonts w:ascii="Times New Roman" w:hAnsi="Times New Roman" w:cs="Times New Roman" w:eastAsia="Times New Roman" w:hint="default"/>
        </w:rPr>
        <w:t>28</w:t>
      </w:r>
      <w:r>
        <w:rPr>
          <w:rFonts w:ascii="Times New Roman" w:hAnsi="Times New Roman" w:cs="Times New Roman" w:eastAsia="Times New Roman" w:hint="default"/>
          <w:spacing w:val="5"/>
        </w:rPr>
        <w:t> </w:t>
      </w:r>
      <w:r>
        <w:rPr/>
        <w:t>日召开股权分置改革相关股东会议，审议通过《深圳市深信泰丰（集团）股份有限公司股权分 置改革方案》。根据股权分置改革方案，公司申请增加注册资本人民币</w:t>
      </w:r>
      <w:r>
        <w:rPr>
          <w:rFonts w:ascii="Times New Roman" w:hAnsi="Times New Roman" w:cs="Times New Roman" w:eastAsia="Times New Roman" w:hint="default"/>
        </w:rPr>
        <w:t>46,834,131.00 </w:t>
      </w:r>
      <w:r>
        <w:rPr/>
        <w:t>元，以截止</w:t>
      </w:r>
      <w:r>
        <w:rPr>
          <w:rFonts w:ascii="Times New Roman" w:hAnsi="Times New Roman" w:cs="Times New Roman" w:eastAsia="Times New Roman" w:hint="default"/>
        </w:rPr>
        <w:t>2008 </w:t>
      </w:r>
      <w:r>
        <w:rPr/>
        <w:t>年</w:t>
      </w:r>
      <w:r>
        <w:rPr>
          <w:rFonts w:ascii="Times New Roman" w:hAnsi="Times New Roman" w:cs="Times New Roman" w:eastAsia="Times New Roman" w:hint="default"/>
        </w:rPr>
        <w:t>7 </w:t>
      </w:r>
      <w:r>
        <w:rPr/>
        <w:t>月</w:t>
      </w: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t>日的可流通 股本</w:t>
      </w:r>
      <w:r>
        <w:rPr>
          <w:rFonts w:ascii="Times New Roman" w:hAnsi="Times New Roman" w:cs="Times New Roman" w:eastAsia="Times New Roman" w:hint="default"/>
        </w:rPr>
        <w:t>84,658,866 </w:t>
      </w:r>
      <w:r>
        <w:rPr>
          <w:spacing w:val="-3"/>
        </w:rPr>
        <w:t>股为基数，用资本公积金向截止</w:t>
      </w:r>
      <w:r>
        <w:rPr>
          <w:rFonts w:ascii="Times New Roman" w:hAnsi="Times New Roman" w:cs="Times New Roman" w:eastAsia="Times New Roman" w:hint="default"/>
          <w:spacing w:val="-3"/>
        </w:rPr>
        <w:t>2008 </w:t>
      </w:r>
      <w:r>
        <w:rPr/>
        <w:t>年</w:t>
      </w:r>
      <w:r>
        <w:rPr>
          <w:rFonts w:ascii="Times New Roman" w:hAnsi="Times New Roman" w:cs="Times New Roman" w:eastAsia="Times New Roman" w:hint="default"/>
        </w:rPr>
        <w:t>7 </w:t>
      </w:r>
      <w:r>
        <w:rPr/>
        <w:t>月</w:t>
      </w:r>
      <w:r>
        <w:rPr>
          <w:rFonts w:ascii="Times New Roman" w:hAnsi="Times New Roman" w:cs="Times New Roman" w:eastAsia="Times New Roman" w:hint="default"/>
        </w:rPr>
        <w:t>11 </w:t>
      </w:r>
      <w:r>
        <w:rPr/>
        <w:t>日在册的全体流通股股东转增股本，流通股股东获得每</w:t>
      </w:r>
      <w:r>
        <w:rPr>
          <w:rFonts w:ascii="Times New Roman" w:hAnsi="Times New Roman" w:cs="Times New Roman" w:eastAsia="Times New Roman" w:hint="default"/>
        </w:rPr>
        <w:t>10</w:t>
      </w:r>
      <w:r>
        <w:rPr>
          <w:rFonts w:ascii="Times New Roman" w:hAnsi="Times New Roman" w:cs="Times New Roman" w:eastAsia="Times New Roman" w:hint="default"/>
          <w:spacing w:val="19"/>
        </w:rPr>
        <w:t> </w:t>
      </w:r>
      <w:r>
        <w:rPr/>
        <w:t>股 转增</w:t>
      </w:r>
      <w:r>
        <w:rPr>
          <w:rFonts w:ascii="Times New Roman" w:hAnsi="Times New Roman" w:cs="Times New Roman" w:eastAsia="Times New Roman" w:hint="default"/>
        </w:rPr>
        <w:t>5.5321 </w:t>
      </w:r>
      <w:r>
        <w:rPr/>
        <w:t>股的股份，即</w:t>
      </w:r>
      <w:r>
        <w:rPr>
          <w:rFonts w:ascii="Times New Roman" w:hAnsi="Times New Roman" w:cs="Times New Roman" w:eastAsia="Times New Roman" w:hint="default"/>
        </w:rPr>
        <w:t>46,834,131 </w:t>
      </w:r>
      <w:r>
        <w:rPr>
          <w:spacing w:val="-3"/>
        </w:rPr>
        <w:t>股，面值每股人民币</w:t>
      </w:r>
      <w:r>
        <w:rPr>
          <w:rFonts w:ascii="Times New Roman" w:hAnsi="Times New Roman" w:cs="Times New Roman" w:eastAsia="Times New Roman" w:hint="default"/>
          <w:spacing w:val="-3"/>
        </w:rPr>
        <w:t>1</w:t>
      </w:r>
      <w:r>
        <w:rPr>
          <w:rFonts w:ascii="Times New Roman" w:hAnsi="Times New Roman" w:cs="Times New Roman" w:eastAsia="Times New Roman" w:hint="default"/>
          <w:spacing w:val="35"/>
        </w:rPr>
        <w:t> </w:t>
      </w:r>
      <w:r>
        <w:rPr/>
        <w:t>元；上述对价水平换算为非流通股股东送股方案，相当于流通股 股东每</w:t>
      </w:r>
      <w:r>
        <w:rPr>
          <w:rFonts w:ascii="Times New Roman" w:hAnsi="Times New Roman" w:cs="Times New Roman" w:eastAsia="Times New Roman" w:hint="default"/>
        </w:rPr>
        <w:t>10</w:t>
      </w:r>
      <w:r>
        <w:rPr/>
        <w:t>股获送</w:t>
      </w:r>
      <w:r>
        <w:rPr>
          <w:rFonts w:ascii="Times New Roman" w:hAnsi="Times New Roman" w:cs="Times New Roman" w:eastAsia="Times New Roman" w:hint="default"/>
        </w:rPr>
        <w:t>3.5</w:t>
      </w:r>
      <w:r>
        <w:rPr>
          <w:rFonts w:ascii="Times New Roman" w:hAnsi="Times New Roman" w:cs="Times New Roman" w:eastAsia="Times New Roman" w:hint="default"/>
          <w:spacing w:val="43"/>
        </w:rPr>
        <w:t> </w:t>
      </w:r>
      <w:r>
        <w:rPr/>
        <w:t>股，公司总股本增加至</w:t>
      </w:r>
      <w:r>
        <w:rPr>
          <w:rFonts w:ascii="Times New Roman" w:hAnsi="Times New Roman" w:cs="Times New Roman" w:eastAsia="Times New Roman" w:hint="default"/>
        </w:rPr>
        <w:t>357,973,531</w:t>
      </w:r>
      <w:r>
        <w:rPr>
          <w:rFonts w:ascii="Times New Roman" w:hAnsi="Times New Roman" w:cs="Times New Roman" w:eastAsia="Times New Roman" w:hint="default"/>
          <w:spacing w:val="43"/>
        </w:rPr>
        <w:t> </w:t>
      </w:r>
      <w:r>
        <w:rPr/>
        <w:t>股。转增完成后，公司的注册资本增加人民币</w:t>
      </w:r>
      <w:r>
        <w:rPr>
          <w:rFonts w:ascii="Times New Roman" w:hAnsi="Times New Roman" w:cs="Times New Roman" w:eastAsia="Times New Roman" w:hint="default"/>
        </w:rPr>
        <w:t>46,834,131.00</w:t>
      </w:r>
      <w:r>
        <w:rPr>
          <w:rFonts w:ascii="Times New Roman" w:hAnsi="Times New Roman" w:cs="Times New Roman" w:eastAsia="Times New Roman" w:hint="default"/>
          <w:spacing w:val="42"/>
        </w:rPr>
        <w:t> </w:t>
      </w:r>
      <w:r>
        <w:rPr/>
        <w:t>元，变</w:t>
      </w:r>
      <w:r>
        <w:rPr>
          <w:spacing w:val="-87"/>
        </w:rPr>
        <w:t> </w:t>
      </w:r>
      <w:r>
        <w:rPr/>
        <w:t>更后的注册资本为人民币</w:t>
      </w:r>
      <w:r>
        <w:rPr>
          <w:rFonts w:ascii="Times New Roman" w:hAnsi="Times New Roman" w:cs="Times New Roman" w:eastAsia="Times New Roman" w:hint="default"/>
        </w:rPr>
        <w:t>357,973,531.00</w:t>
      </w:r>
      <w:r>
        <w:rPr>
          <w:rFonts w:ascii="Times New Roman" w:hAnsi="Times New Roman" w:cs="Times New Roman" w:eastAsia="Times New Roman" w:hint="default"/>
          <w:spacing w:val="22"/>
        </w:rPr>
        <w:t> </w:t>
      </w:r>
      <w:r>
        <w:rPr/>
        <w:t>元。</w:t>
      </w:r>
    </w:p>
    <w:p>
      <w:pPr>
        <w:pStyle w:val="Heading3"/>
        <w:spacing w:line="266" w:lineRule="exact"/>
        <w:ind w:left="576" w:right="0"/>
        <w:jc w:val="left"/>
        <w:rPr>
          <w:b w:val="0"/>
          <w:bCs w:val="0"/>
        </w:rPr>
      </w:pPr>
      <w:r>
        <w:rPr>
          <w:rFonts w:ascii="Times New Roman" w:hAnsi="Times New Roman" w:cs="Times New Roman" w:eastAsia="Times New Roman" w:hint="default"/>
        </w:rPr>
        <w:t>3</w:t>
      </w:r>
      <w:r>
        <w:rPr/>
        <w:t>．公司重整事项中股东权益调整事项</w:t>
      </w:r>
      <w:r>
        <w:rPr>
          <w:b w:val="0"/>
          <w:bCs w:val="0"/>
        </w:rPr>
      </w:r>
    </w:p>
    <w:p>
      <w:pPr>
        <w:pStyle w:val="BodyText"/>
        <w:spacing w:line="225" w:lineRule="auto" w:before="5"/>
        <w:ind w:right="1030" w:firstLine="36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36"/>
        </w:rPr>
        <w:t> </w:t>
      </w:r>
      <w:r>
        <w:rPr/>
        <w:t>年，根据深圳市中级人民法院批准的重整计划，公司全体限售流通股股东，即中国希格玛有限公司、深圳市宝安 </w:t>
      </w:r>
      <w:r>
        <w:rPr>
          <w:spacing w:val="-3"/>
        </w:rPr>
        <w:t>区投资管理公司、重庆润江基础设施投资有限公司、深圳国际信托投资有限责任公司各无偿让渡所持有的限售流通股的</w:t>
      </w:r>
      <w:r>
        <w:rPr>
          <w:rFonts w:ascii="Times New Roman" w:hAnsi="Times New Roman" w:cs="Times New Roman" w:eastAsia="Times New Roman" w:hint="default"/>
          <w:spacing w:val="-3"/>
        </w:rPr>
        <w:t>15%</w:t>
      </w:r>
      <w:r>
        <w:rPr>
          <w:spacing w:val="-3"/>
        </w:rPr>
        <w:t>，</w:t>
      </w:r>
      <w:r>
        <w:rPr>
          <w:spacing w:val="-63"/>
        </w:rPr>
        <w:t> </w:t>
      </w:r>
      <w:r>
        <w:rPr/>
        <w:t>合计让渡限售流通股</w:t>
      </w:r>
      <w:r>
        <w:rPr>
          <w:rFonts w:ascii="Times New Roman" w:hAnsi="Times New Roman" w:cs="Times New Roman" w:eastAsia="Times New Roman" w:hint="default"/>
        </w:rPr>
        <w:t>25,415,516 </w:t>
      </w:r>
      <w:r>
        <w:rPr/>
        <w:t>股；全体流通股股东各无偿让渡所持有的流通股的</w:t>
      </w:r>
      <w:r>
        <w:rPr>
          <w:rFonts w:ascii="Times New Roman" w:hAnsi="Times New Roman" w:cs="Times New Roman" w:eastAsia="Times New Roman" w:hint="default"/>
        </w:rPr>
        <w:t>10%</w:t>
      </w:r>
      <w:r>
        <w:rPr/>
        <w:t>，合计让渡流通股</w:t>
      </w:r>
      <w:r>
        <w:rPr>
          <w:rFonts w:ascii="Times New Roman" w:hAnsi="Times New Roman" w:cs="Times New Roman" w:eastAsia="Times New Roman" w:hint="default"/>
        </w:rPr>
        <w:t>18,849,303</w:t>
      </w:r>
      <w:r>
        <w:rPr>
          <w:rFonts w:ascii="Times New Roman" w:hAnsi="Times New Roman" w:cs="Times New Roman" w:eastAsia="Times New Roman" w:hint="default"/>
          <w:spacing w:val="43"/>
        </w:rPr>
        <w:t> </w:t>
      </w:r>
      <w:r>
        <w:rPr/>
        <w:t>股。以 上共计让渡公司股票</w:t>
      </w:r>
      <w:r>
        <w:rPr>
          <w:rFonts w:ascii="Times New Roman" w:hAnsi="Times New Roman" w:cs="Times New Roman" w:eastAsia="Times New Roman" w:hint="default"/>
        </w:rPr>
        <w:t>44,264,819</w:t>
      </w:r>
      <w:r>
        <w:rPr>
          <w:rFonts w:ascii="Times New Roman" w:hAnsi="Times New Roman" w:cs="Times New Roman" w:eastAsia="Times New Roman" w:hint="default"/>
          <w:spacing w:val="32"/>
        </w:rPr>
        <w:t> </w:t>
      </w:r>
      <w:r>
        <w:rPr/>
        <w:t>股，占公司总股本的</w:t>
      </w:r>
      <w:r>
        <w:rPr>
          <w:rFonts w:ascii="Times New Roman" w:hAnsi="Times New Roman" w:cs="Times New Roman" w:eastAsia="Times New Roman" w:hint="default"/>
        </w:rPr>
        <w:t>12.37%</w:t>
      </w:r>
      <w:r>
        <w:rPr/>
        <w:t>。该等股票用于支付公司重整费用和共益债务、清偿普通债权、 保全主要子公司经营性资产。</w:t>
      </w:r>
      <w:r>
        <w:rPr>
          <w:rFonts w:ascii="Times New Roman" w:hAnsi="Times New Roman" w:cs="Times New Roman" w:eastAsia="Times New Roman" w:hint="default"/>
        </w:rPr>
        <w:t>2010  </w:t>
      </w:r>
      <w:r>
        <w:rPr/>
        <w:t>年度重整完后，本公司注册资本仍为人民币</w:t>
      </w:r>
      <w:r>
        <w:rPr>
          <w:rFonts w:ascii="Times New Roman" w:hAnsi="Times New Roman" w:cs="Times New Roman" w:eastAsia="Times New Roman" w:hint="default"/>
        </w:rPr>
        <w:t>357,973,531.00</w:t>
      </w:r>
      <w:r>
        <w:rPr>
          <w:rFonts w:ascii="Times New Roman" w:hAnsi="Times New Roman" w:cs="Times New Roman" w:eastAsia="Times New Roman" w:hint="default"/>
          <w:spacing w:val="7"/>
        </w:rPr>
        <w:t> </w:t>
      </w:r>
      <w:r>
        <w:rPr/>
        <w:t>元。</w:t>
      </w:r>
    </w:p>
    <w:p>
      <w:pPr>
        <w:pStyle w:val="Heading3"/>
        <w:spacing w:line="272" w:lineRule="exact"/>
        <w:ind w:left="576" w:right="0"/>
        <w:jc w:val="left"/>
        <w:rPr>
          <w:b w:val="0"/>
          <w:bCs w:val="0"/>
        </w:rPr>
      </w:pPr>
      <w:r>
        <w:rPr>
          <w:rFonts w:ascii="Times New Roman" w:hAnsi="Times New Roman" w:cs="Times New Roman" w:eastAsia="Times New Roman" w:hint="default"/>
        </w:rPr>
        <w:t>4.</w:t>
      </w:r>
      <w:r>
        <w:rPr>
          <w:rFonts w:ascii="Times New Roman" w:hAnsi="Times New Roman" w:cs="Times New Roman" w:eastAsia="Times New Roman" w:hint="default"/>
          <w:spacing w:val="35"/>
        </w:rPr>
        <w:t> </w:t>
      </w:r>
      <w:r>
        <w:rPr/>
        <w:t>公司重大资产重组事项</w:t>
      </w:r>
      <w:r>
        <w:rPr>
          <w:b w:val="0"/>
          <w:bCs w:val="0"/>
        </w:rPr>
      </w:r>
    </w:p>
    <w:p>
      <w:pPr>
        <w:spacing w:after="0" w:line="272" w:lineRule="exact"/>
        <w:jc w:val="left"/>
        <w:sectPr>
          <w:headerReference w:type="default" r:id="rId32"/>
          <w:footerReference w:type="default" r:id="rId33"/>
          <w:pgSz w:w="11910" w:h="16840"/>
          <w:pgMar w:header="877" w:footer="979" w:top="1100" w:bottom="1160" w:left="980" w:right="0"/>
          <w:pgNumType w:start="115"/>
        </w:sectPr>
      </w:pPr>
    </w:p>
    <w:p>
      <w:pPr>
        <w:spacing w:line="240" w:lineRule="auto" w:before="10"/>
        <w:rPr>
          <w:rFonts w:ascii="宋体" w:hAnsi="宋体" w:cs="宋体" w:eastAsia="宋体" w:hint="default"/>
          <w:b/>
          <w:bCs/>
          <w:sz w:val="18"/>
          <w:szCs w:val="18"/>
        </w:rPr>
      </w:pPr>
    </w:p>
    <w:p>
      <w:pPr>
        <w:pStyle w:val="Heading5"/>
        <w:spacing w:line="242" w:lineRule="exact"/>
        <w:ind w:left="515" w:right="0"/>
        <w:jc w:val="left"/>
        <w:rPr>
          <w:b w:val="0"/>
          <w:bCs w:val="0"/>
        </w:rPr>
      </w:pPr>
      <w:r>
        <w:rPr/>
        <w:t>（</w:t>
      </w:r>
      <w:r>
        <w:rPr>
          <w:rFonts w:ascii="Times New Roman" w:hAnsi="Times New Roman" w:cs="Times New Roman" w:eastAsia="Times New Roman" w:hint="default"/>
        </w:rPr>
        <w:t>1</w:t>
      </w:r>
      <w:r>
        <w:rPr/>
        <w:t>）发行股份购买资产</w:t>
      </w:r>
      <w:r>
        <w:rPr>
          <w:b w:val="0"/>
          <w:bCs w:val="0"/>
        </w:rPr>
      </w:r>
    </w:p>
    <w:p>
      <w:pPr>
        <w:pStyle w:val="BodyText"/>
        <w:spacing w:line="225" w:lineRule="auto" w:before="5"/>
        <w:ind w:right="1129" w:firstLine="36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7</w:t>
      </w:r>
      <w:r>
        <w:rPr>
          <w:spacing w:val="-2"/>
        </w:rPr>
        <w:t>日，本公司与神州数码控股有限公司（以下简称</w:t>
      </w:r>
      <w:r>
        <w:rPr>
          <w:rFonts w:ascii="Times New Roman" w:hAnsi="Times New Roman" w:cs="Times New Roman" w:eastAsia="Times New Roman" w:hint="default"/>
          <w:spacing w:val="-2"/>
        </w:rPr>
        <w:t>“</w:t>
      </w:r>
      <w:r>
        <w:rPr>
          <w:spacing w:val="-2"/>
        </w:rPr>
        <w:t>神州控股</w:t>
      </w:r>
      <w:r>
        <w:rPr>
          <w:rFonts w:ascii="Times New Roman" w:hAnsi="Times New Roman" w:cs="Times New Roman" w:eastAsia="Times New Roman" w:hint="default"/>
          <w:spacing w:val="-2"/>
        </w:rPr>
        <w:t>”</w:t>
      </w:r>
      <w:r>
        <w:rPr>
          <w:spacing w:val="-2"/>
        </w:rPr>
        <w:t>）及其全资子公司神州数码有限公司（以下简称</w:t>
      </w:r>
      <w:r>
        <w:rPr/>
        <w:t> </w:t>
      </w:r>
      <w:r>
        <w:rPr>
          <w:rFonts w:ascii="Times New Roman" w:hAnsi="Times New Roman" w:cs="Times New Roman" w:eastAsia="Times New Roman" w:hint="default"/>
          <w:spacing w:val="-2"/>
        </w:rPr>
        <w:t>“</w:t>
      </w:r>
      <w:r>
        <w:rPr>
          <w:spacing w:val="-2"/>
        </w:rPr>
        <w:t>神码有限</w:t>
      </w:r>
      <w:r>
        <w:rPr>
          <w:rFonts w:ascii="Times New Roman" w:hAnsi="Times New Roman" w:cs="Times New Roman" w:eastAsia="Times New Roman" w:hint="default"/>
          <w:spacing w:val="-2"/>
        </w:rPr>
        <w:t>”</w:t>
      </w:r>
      <w:r>
        <w:rPr>
          <w:spacing w:val="-2"/>
        </w:rPr>
        <w:t>）签订股权转让协议，本公司通过向特定对象发行股份募集资金及自筹资金的方式受让重组后的神码有限的全资</w:t>
      </w:r>
      <w:r>
        <w:rPr>
          <w:spacing w:val="-45"/>
        </w:rPr>
        <w:t> </w:t>
      </w:r>
      <w:r>
        <w:rPr>
          <w:spacing w:val="-45"/>
        </w:rPr>
      </w:r>
      <w:r>
        <w:rPr>
          <w:spacing w:val="-1"/>
        </w:rPr>
        <w:t>子公司神州数码（中国）有限公司（以下简称</w:t>
      </w:r>
      <w:r>
        <w:rPr>
          <w:rFonts w:ascii="Times New Roman" w:hAnsi="Times New Roman" w:cs="Times New Roman" w:eastAsia="Times New Roman" w:hint="default"/>
          <w:spacing w:val="-1"/>
        </w:rPr>
        <w:t>“</w:t>
      </w:r>
      <w:r>
        <w:rPr>
          <w:spacing w:val="-1"/>
        </w:rPr>
        <w:t>神码中国</w:t>
      </w:r>
      <w:r>
        <w:rPr>
          <w:rFonts w:ascii="Times New Roman" w:hAnsi="Times New Roman" w:cs="Times New Roman" w:eastAsia="Times New Roman" w:hint="default"/>
          <w:spacing w:val="-1"/>
        </w:rPr>
        <w:t>”</w:t>
      </w:r>
      <w:r>
        <w:rPr>
          <w:spacing w:val="-1"/>
        </w:rPr>
        <w:t>）、上海神州数码有限公司（以下简称</w:t>
      </w:r>
      <w:r>
        <w:rPr>
          <w:rFonts w:ascii="Times New Roman" w:hAnsi="Times New Roman" w:cs="Times New Roman" w:eastAsia="Times New Roman" w:hint="default"/>
          <w:spacing w:val="-1"/>
        </w:rPr>
        <w:t>“</w:t>
      </w:r>
      <w:r>
        <w:rPr>
          <w:spacing w:val="-1"/>
        </w:rPr>
        <w:t>神码上海</w:t>
      </w:r>
      <w:r>
        <w:rPr>
          <w:rFonts w:ascii="Times New Roman" w:hAnsi="Times New Roman" w:cs="Times New Roman" w:eastAsia="Times New Roman" w:hint="default"/>
          <w:spacing w:val="-1"/>
        </w:rPr>
        <w:t>”</w:t>
      </w:r>
      <w:r>
        <w:rPr>
          <w:spacing w:val="-1"/>
        </w:rPr>
        <w:t>）及广州神州数</w:t>
      </w:r>
      <w:r>
        <w:rPr>
          <w:spacing w:val="-76"/>
        </w:rPr>
        <w:t> </w:t>
      </w:r>
      <w:r>
        <w:rPr>
          <w:spacing w:val="-76"/>
        </w:rPr>
      </w:r>
      <w:r>
        <w:rPr/>
        <w:t>码信息科技有限公司（以下简称</w:t>
      </w:r>
      <w:r>
        <w:rPr>
          <w:rFonts w:ascii="Times New Roman" w:hAnsi="Times New Roman" w:cs="Times New Roman" w:eastAsia="Times New Roman" w:hint="default"/>
        </w:rPr>
        <w:t>“</w:t>
      </w:r>
      <w:r>
        <w:rPr/>
        <w:t>神码广州</w:t>
      </w:r>
      <w:r>
        <w:rPr>
          <w:rFonts w:ascii="Times New Roman" w:hAnsi="Times New Roman" w:cs="Times New Roman" w:eastAsia="Times New Roman" w:hint="default"/>
        </w:rPr>
        <w:t>”</w:t>
      </w:r>
      <w:r>
        <w:rPr/>
        <w:t>，</w:t>
      </w:r>
      <w:r>
        <w:rPr>
          <w:spacing w:val="-20"/>
        </w:rPr>
        <w:t> </w:t>
      </w:r>
      <w:r>
        <w:rPr/>
        <w:t>神码中国、神码上海及神码广州合称为</w:t>
      </w:r>
      <w:r>
        <w:rPr>
          <w:rFonts w:ascii="Times New Roman" w:hAnsi="Times New Roman" w:cs="Times New Roman" w:eastAsia="Times New Roman" w:hint="default"/>
        </w:rPr>
        <w:t>“</w:t>
      </w:r>
      <w:r>
        <w:rPr/>
        <w:t>神码公司</w:t>
      </w:r>
      <w:r>
        <w:rPr>
          <w:rFonts w:ascii="Times New Roman" w:hAnsi="Times New Roman" w:cs="Times New Roman" w:eastAsia="Times New Roman" w:hint="default"/>
        </w:rPr>
        <w:t>”</w:t>
      </w:r>
      <w:r>
        <w:rPr/>
        <w:t>）的全部股权。</w:t>
      </w:r>
    </w:p>
    <w:p>
      <w:pPr>
        <w:pStyle w:val="BodyText"/>
        <w:spacing w:line="228" w:lineRule="exact"/>
        <w:ind w:left="514" w:right="0"/>
        <w:jc w:val="left"/>
      </w:pPr>
      <w:r>
        <w:rPr>
          <w:spacing w:val="2"/>
        </w:rPr>
        <w:t>经本公司</w:t>
      </w:r>
      <w:r>
        <w:rPr>
          <w:rFonts w:ascii="Times New Roman" w:hAnsi="Times New Roman" w:cs="Times New Roman" w:eastAsia="Times New Roman" w:hint="default"/>
          <w:spacing w:val="2"/>
        </w:rPr>
        <w:t>2015</w:t>
      </w:r>
      <w:r>
        <w:rPr>
          <w:spacing w:val="2"/>
        </w:rPr>
        <w:t>年第一次临时股东大会决议，并经中国证券监督管理委员会</w:t>
      </w:r>
      <w:r>
        <w:rPr>
          <w:rFonts w:ascii="Times New Roman" w:hAnsi="Times New Roman" w:cs="Times New Roman" w:eastAsia="Times New Roman" w:hint="default"/>
          <w:spacing w:val="2"/>
        </w:rPr>
        <w:t>“</w:t>
      </w:r>
      <w:r>
        <w:rPr>
          <w:spacing w:val="2"/>
        </w:rPr>
        <w:t>证监许可</w:t>
      </w:r>
      <w:r>
        <w:rPr>
          <w:rFonts w:ascii="Times New Roman" w:hAnsi="Times New Roman" w:cs="Times New Roman" w:eastAsia="Times New Roman" w:hint="default"/>
          <w:spacing w:val="2"/>
        </w:rPr>
        <w:t>[2015]2952</w:t>
      </w:r>
      <w:r>
        <w:rPr>
          <w:spacing w:val="2"/>
        </w:rPr>
        <w:t>号</w:t>
      </w:r>
      <w:r>
        <w:rPr>
          <w:rFonts w:ascii="Times New Roman" w:hAnsi="Times New Roman" w:cs="Times New Roman" w:eastAsia="Times New Roman" w:hint="default"/>
          <w:spacing w:val="2"/>
        </w:rPr>
        <w:t>”</w:t>
      </w:r>
      <w:r>
        <w:rPr>
          <w:spacing w:val="2"/>
        </w:rPr>
        <w:t>文核准，本公司于</w:t>
      </w:r>
    </w:p>
    <w:p>
      <w:pPr>
        <w:pStyle w:val="BodyText"/>
        <w:spacing w:line="234" w:lineRule="exact"/>
        <w:ind w:right="0"/>
        <w:jc w:val="both"/>
      </w:pP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16</w:t>
      </w:r>
      <w:r>
        <w:rPr>
          <w:spacing w:val="4"/>
        </w:rPr>
        <w:t>日启动向郭为发行</w:t>
      </w:r>
      <w:r>
        <w:rPr>
          <w:rFonts w:ascii="Times New Roman" w:hAnsi="Times New Roman" w:cs="Times New Roman" w:eastAsia="Times New Roman" w:hint="default"/>
          <w:spacing w:val="4"/>
        </w:rPr>
        <w:t>154,777,803</w:t>
      </w:r>
      <w:r>
        <w:rPr>
          <w:spacing w:val="4"/>
        </w:rPr>
        <w:t>股、向王晓岩发行</w:t>
      </w:r>
      <w:r>
        <w:rPr>
          <w:rFonts w:ascii="Times New Roman" w:hAnsi="Times New Roman" w:cs="Times New Roman" w:eastAsia="Times New Roman" w:hint="default"/>
          <w:spacing w:val="4"/>
        </w:rPr>
        <w:t>64,603,000</w:t>
      </w:r>
      <w:r>
        <w:rPr>
          <w:spacing w:val="4"/>
        </w:rPr>
        <w:t>股、向王廷月发行</w:t>
      </w:r>
      <w:r>
        <w:rPr>
          <w:rFonts w:ascii="Times New Roman" w:hAnsi="Times New Roman" w:cs="Times New Roman" w:eastAsia="Times New Roman" w:hint="default"/>
          <w:spacing w:val="4"/>
        </w:rPr>
        <w:t>26,917,900</w:t>
      </w:r>
      <w:r>
        <w:rPr>
          <w:spacing w:val="4"/>
        </w:rPr>
        <w:t>股、向钱学宁发行</w:t>
      </w:r>
    </w:p>
    <w:p>
      <w:pPr>
        <w:pStyle w:val="BodyText"/>
        <w:spacing w:line="225" w:lineRule="auto" w:before="5"/>
        <w:ind w:right="1132"/>
        <w:jc w:val="both"/>
      </w:pPr>
      <w:r>
        <w:rPr>
          <w:rFonts w:ascii="Times New Roman" w:hAnsi="Times New Roman" w:cs="Times New Roman" w:eastAsia="Times New Roman" w:hint="default"/>
          <w:spacing w:val="-2"/>
        </w:rPr>
        <w:t>13,459,000</w:t>
      </w:r>
      <w:r>
        <w:rPr>
          <w:spacing w:val="-2"/>
        </w:rPr>
        <w:t>股、向张明发行</w:t>
      </w:r>
      <w:r>
        <w:rPr>
          <w:rFonts w:ascii="Times New Roman" w:hAnsi="Times New Roman" w:cs="Times New Roman" w:eastAsia="Times New Roman" w:hint="default"/>
          <w:spacing w:val="-2"/>
        </w:rPr>
        <w:t>6,729,500</w:t>
      </w:r>
      <w:r>
        <w:rPr>
          <w:spacing w:val="-2"/>
        </w:rPr>
        <w:t>股、向中信建投基金管理有限公司发行</w:t>
      </w:r>
      <w:r>
        <w:rPr>
          <w:rFonts w:ascii="Times New Roman" w:hAnsi="Times New Roman" w:cs="Times New Roman" w:eastAsia="Times New Roman" w:hint="default"/>
          <w:spacing w:val="-2"/>
        </w:rPr>
        <w:t>29,609,700</w:t>
      </w:r>
      <w:r>
        <w:rPr>
          <w:spacing w:val="-2"/>
        </w:rPr>
        <w:t>股股份购买标的公司全部股权。本次实</w:t>
      </w:r>
      <w:r>
        <w:rPr>
          <w:spacing w:val="-39"/>
        </w:rPr>
        <w:t> </w:t>
      </w:r>
      <w:r>
        <w:rPr>
          <w:spacing w:val="-39"/>
        </w:rPr>
      </w:r>
      <w:r>
        <w:rPr>
          <w:spacing w:val="7"/>
        </w:rPr>
        <w:t>际增发人民币普通股</w:t>
      </w:r>
      <w:r>
        <w:rPr>
          <w:rFonts w:ascii="Times New Roman" w:hAnsi="Times New Roman" w:cs="Times New Roman" w:eastAsia="Times New Roman" w:hint="default"/>
          <w:spacing w:val="7"/>
        </w:rPr>
        <w:t>296,096,903</w:t>
      </w:r>
      <w:r>
        <w:rPr>
          <w:spacing w:val="7"/>
        </w:rPr>
        <w:t>股，每股面值为人民币</w:t>
      </w:r>
      <w:r>
        <w:rPr>
          <w:rFonts w:ascii="Times New Roman" w:hAnsi="Times New Roman" w:cs="Times New Roman" w:eastAsia="Times New Roman" w:hint="default"/>
          <w:spacing w:val="7"/>
        </w:rPr>
        <w:t>1.00</w:t>
      </w:r>
      <w:r>
        <w:rPr>
          <w:spacing w:val="7"/>
        </w:rPr>
        <w:t>元，增发价格为人民币</w:t>
      </w:r>
      <w:r>
        <w:rPr>
          <w:rFonts w:ascii="Times New Roman" w:hAnsi="Times New Roman" w:cs="Times New Roman" w:eastAsia="Times New Roman" w:hint="default"/>
          <w:spacing w:val="7"/>
        </w:rPr>
        <w:t>7.43</w:t>
      </w:r>
      <w:r>
        <w:rPr>
          <w:spacing w:val="7"/>
        </w:rPr>
        <w:t>元</w:t>
      </w:r>
      <w:r>
        <w:rPr>
          <w:rFonts w:ascii="Times New Roman" w:hAnsi="Times New Roman" w:cs="Times New Roman" w:eastAsia="Times New Roman" w:hint="default"/>
          <w:spacing w:val="7"/>
        </w:rPr>
        <w:t>/</w:t>
      </w:r>
      <w:r>
        <w:rPr>
          <w:spacing w:val="7"/>
        </w:rPr>
        <w:t>股，募集资金总额为人民币</w:t>
      </w:r>
      <w:r>
        <w:rPr>
          <w:spacing w:val="-58"/>
        </w:rPr>
        <w:t> </w:t>
      </w:r>
      <w:r>
        <w:rPr>
          <w:spacing w:val="-58"/>
        </w:rPr>
      </w:r>
      <w:r>
        <w:rPr>
          <w:rFonts w:ascii="Times New Roman" w:hAnsi="Times New Roman" w:cs="Times New Roman" w:eastAsia="Times New Roman" w:hint="default"/>
          <w:spacing w:val="-2"/>
        </w:rPr>
        <w:t>2,199,999,989.29</w:t>
      </w:r>
      <w:r>
        <w:rPr>
          <w:spacing w:val="-2"/>
        </w:rPr>
        <w:t>元，扣除发行费用后募集资金净额为人民币</w:t>
      </w:r>
      <w:r>
        <w:rPr>
          <w:rFonts w:ascii="Times New Roman" w:hAnsi="Times New Roman" w:cs="Times New Roman" w:eastAsia="Times New Roman" w:hint="default"/>
          <w:spacing w:val="-2"/>
        </w:rPr>
        <w:t>2,179,799,989.29</w:t>
      </w:r>
      <w:r>
        <w:rPr>
          <w:spacing w:val="-2"/>
        </w:rPr>
        <w:t>元。本次非公开发行后，本公司注册资本变更为</w:t>
      </w:r>
    </w:p>
    <w:p>
      <w:pPr>
        <w:pStyle w:val="BodyText"/>
        <w:spacing w:line="228" w:lineRule="exact"/>
        <w:ind w:right="0"/>
        <w:jc w:val="both"/>
      </w:pPr>
      <w:r>
        <w:rPr>
          <w:rFonts w:ascii="Times New Roman" w:hAnsi="Times New Roman" w:cs="Times New Roman" w:eastAsia="Times New Roman" w:hint="default"/>
        </w:rPr>
        <w:t>654,070,434.00</w:t>
      </w:r>
      <w:r>
        <w:rPr/>
        <w:t>元，郭为成为本公司实际控制人。</w:t>
      </w:r>
    </w:p>
    <w:p>
      <w:pPr>
        <w:pStyle w:val="Heading5"/>
        <w:spacing w:line="233" w:lineRule="exact" w:before="0"/>
        <w:ind w:left="515" w:right="0"/>
        <w:jc w:val="left"/>
        <w:rPr>
          <w:b w:val="0"/>
          <w:bCs w:val="0"/>
        </w:rPr>
      </w:pPr>
      <w:r>
        <w:rPr/>
        <w:t>（</w:t>
      </w:r>
      <w:r>
        <w:rPr>
          <w:rFonts w:ascii="Times New Roman" w:hAnsi="Times New Roman" w:cs="Times New Roman" w:eastAsia="Times New Roman" w:hint="default"/>
        </w:rPr>
        <w:t>2</w:t>
      </w:r>
      <w:r>
        <w:rPr/>
        <w:t>）出售重大资产</w:t>
      </w:r>
      <w:r>
        <w:rPr>
          <w:b w:val="0"/>
          <w:bCs w:val="0"/>
        </w:rPr>
      </w:r>
    </w:p>
    <w:p>
      <w:pPr>
        <w:pStyle w:val="BodyText"/>
        <w:spacing w:line="225" w:lineRule="auto" w:before="4"/>
        <w:ind w:right="0" w:firstLine="36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日，本公司与中国希格玛有限公司（以下简称</w:t>
      </w:r>
      <w:r>
        <w:rPr>
          <w:rFonts w:ascii="Times New Roman" w:hAnsi="Times New Roman" w:cs="Times New Roman" w:eastAsia="Times New Roman" w:hint="default"/>
        </w:rPr>
        <w:t>“</w:t>
      </w:r>
      <w:r>
        <w:rPr/>
        <w:t>希格玛</w:t>
      </w:r>
      <w:r>
        <w:rPr>
          <w:rFonts w:ascii="Times New Roman" w:hAnsi="Times New Roman" w:cs="Times New Roman" w:eastAsia="Times New Roman" w:hint="default"/>
        </w:rPr>
        <w:t>”</w:t>
      </w:r>
      <w:r>
        <w:rPr/>
        <w:t>）签订重大资产出售协议，本公司将持有的深圳市 深信西部房地产有限公司</w:t>
      </w:r>
      <w:r>
        <w:rPr>
          <w:rFonts w:ascii="Times New Roman" w:hAnsi="Times New Roman" w:cs="Times New Roman" w:eastAsia="Times New Roman" w:hint="default"/>
        </w:rPr>
        <w:t>100%</w:t>
      </w:r>
      <w:r>
        <w:rPr/>
        <w:t>股权、深圳市泰丰科技有限公司</w:t>
      </w:r>
      <w:r>
        <w:rPr>
          <w:rFonts w:ascii="Times New Roman" w:hAnsi="Times New Roman" w:cs="Times New Roman" w:eastAsia="Times New Roman" w:hint="default"/>
        </w:rPr>
        <w:t>100%</w:t>
      </w:r>
      <w:r>
        <w:rPr/>
        <w:t>股权、深圳市华宝（集团）饲料有限公司</w:t>
      </w:r>
      <w:r>
        <w:rPr>
          <w:rFonts w:ascii="Times New Roman" w:hAnsi="Times New Roman" w:cs="Times New Roman" w:eastAsia="Times New Roman" w:hint="default"/>
        </w:rPr>
        <w:t>100%</w:t>
      </w:r>
      <w:r>
        <w:rPr/>
        <w:t>股权、深 </w:t>
      </w:r>
      <w:r>
        <w:rPr>
          <w:spacing w:val="-2"/>
        </w:rPr>
        <w:t>圳市深信泰丰投资发展有限公司</w:t>
      </w:r>
      <w:r>
        <w:rPr>
          <w:rFonts w:ascii="Times New Roman" w:hAnsi="Times New Roman" w:cs="Times New Roman" w:eastAsia="Times New Roman" w:hint="default"/>
          <w:spacing w:val="-2"/>
        </w:rPr>
        <w:t>90%</w:t>
      </w:r>
      <w:r>
        <w:rPr>
          <w:spacing w:val="-2"/>
        </w:rPr>
        <w:t>股权、深圳市龙岗区华宝经济发展有限公司</w:t>
      </w:r>
      <w:r>
        <w:rPr>
          <w:rFonts w:ascii="Times New Roman" w:hAnsi="Times New Roman" w:cs="Times New Roman" w:eastAsia="Times New Roman" w:hint="default"/>
          <w:spacing w:val="-2"/>
        </w:rPr>
        <w:t>90%</w:t>
      </w:r>
      <w:r>
        <w:rPr>
          <w:spacing w:val="-2"/>
        </w:rPr>
        <w:t>股权以</w:t>
      </w:r>
      <w:r>
        <w:rPr>
          <w:rFonts w:ascii="Times New Roman" w:hAnsi="Times New Roman" w:cs="Times New Roman" w:eastAsia="Times New Roman" w:hint="default"/>
          <w:spacing w:val="-2"/>
        </w:rPr>
        <w:t>160,801</w:t>
      </w:r>
      <w:r>
        <w:rPr>
          <w:spacing w:val="-2"/>
        </w:rPr>
        <w:t>千元的对价转让给希格玛。</w:t>
      </w:r>
      <w:r>
        <w:rPr>
          <w:spacing w:val="-37"/>
        </w:rPr>
        <w:t> </w:t>
      </w:r>
      <w:r>
        <w:rPr/>
        <w:t>上述公司已于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日办妥工商变更登记，本公司已于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日收到上述转让价款。</w:t>
      </w:r>
    </w:p>
    <w:p>
      <w:pPr>
        <w:pStyle w:val="Heading3"/>
        <w:spacing w:line="266" w:lineRule="exact"/>
        <w:ind w:left="576" w:right="0"/>
        <w:jc w:val="left"/>
        <w:rPr>
          <w:b w:val="0"/>
          <w:bCs w:val="0"/>
        </w:rPr>
      </w:pPr>
      <w:r>
        <w:rPr>
          <w:rFonts w:ascii="Times New Roman" w:hAnsi="Times New Roman" w:cs="Times New Roman" w:eastAsia="Times New Roman" w:hint="default"/>
        </w:rPr>
        <w:t>5.</w:t>
      </w:r>
      <w:r>
        <w:rPr/>
        <w:t>其他基本情况</w:t>
      </w:r>
      <w:r>
        <w:rPr>
          <w:b w:val="0"/>
          <w:bCs w:val="0"/>
        </w:rPr>
      </w:r>
    </w:p>
    <w:p>
      <w:pPr>
        <w:pStyle w:val="BodyText"/>
        <w:spacing w:line="234" w:lineRule="exact" w:before="16"/>
        <w:ind w:left="514" w:right="0"/>
        <w:jc w:val="left"/>
      </w:pPr>
      <w:r>
        <w:rPr/>
        <w:t>注册地址</w:t>
      </w:r>
      <w:r>
        <w:rPr>
          <w:rFonts w:ascii="Times New Roman" w:hAnsi="Times New Roman" w:cs="Times New Roman" w:eastAsia="Times New Roman" w:hint="default"/>
        </w:rPr>
        <w:t>:</w:t>
      </w:r>
      <w:r>
        <w:rPr/>
        <w:t>深圳市南山区粤海街道科发路</w:t>
      </w:r>
      <w:r>
        <w:rPr>
          <w:rFonts w:ascii="Times New Roman" w:hAnsi="Times New Roman" w:cs="Times New Roman" w:eastAsia="Times New Roman" w:hint="default"/>
        </w:rPr>
        <w:t>8</w:t>
      </w:r>
      <w:r>
        <w:rPr/>
        <w:t>号金融基地</w:t>
      </w:r>
      <w:r>
        <w:rPr>
          <w:rFonts w:ascii="Times New Roman" w:hAnsi="Times New Roman" w:cs="Times New Roman" w:eastAsia="Times New Roman" w:hint="default"/>
        </w:rPr>
        <w:t>1</w:t>
      </w:r>
      <w:r>
        <w:rPr/>
        <w:t>栋</w:t>
      </w:r>
      <w:r>
        <w:rPr>
          <w:rFonts w:ascii="Times New Roman" w:hAnsi="Times New Roman" w:cs="Times New Roman" w:eastAsia="Times New Roman" w:hint="default"/>
        </w:rPr>
        <w:t>11</w:t>
      </w:r>
      <w:r>
        <w:rPr/>
        <w:t>楼</w:t>
      </w:r>
      <w:r>
        <w:rPr>
          <w:rFonts w:ascii="Times New Roman" w:hAnsi="Times New Roman" w:cs="Times New Roman" w:eastAsia="Times New Roman" w:hint="default"/>
        </w:rPr>
        <w:t>E1</w:t>
      </w:r>
      <w:r>
        <w:rPr/>
        <w:t>。 </w:t>
      </w:r>
      <w:r>
        <w:rPr>
          <w:spacing w:val="-2"/>
        </w:rPr>
        <w:t>本公司主要经营范围为：计算机硬件及配套零件的研究、开发；网络产品、多媒体产品、电子信息产品及通讯产品、办</w:t>
      </w:r>
    </w:p>
    <w:p>
      <w:pPr>
        <w:pStyle w:val="BodyText"/>
        <w:spacing w:line="232" w:lineRule="exact" w:before="1"/>
        <w:ind w:right="0"/>
        <w:jc w:val="left"/>
      </w:pPr>
      <w:r>
        <w:rPr>
          <w:spacing w:val="-2"/>
        </w:rPr>
        <w:t>公自动化设备、仪器仪表、电器及印刷照排设备、计算机应用系统的安装和维修；自产产品的技术咨询、技术服务、技术转</w:t>
      </w:r>
      <w:r>
        <w:rPr>
          <w:spacing w:val="-67"/>
        </w:rPr>
        <w:t> </w:t>
      </w:r>
      <w:r>
        <w:rPr>
          <w:spacing w:val="-67"/>
        </w:rPr>
      </w:r>
      <w:r>
        <w:rPr>
          <w:spacing w:val="-2"/>
        </w:rPr>
        <w:t>让（法律、行政法规、国务院决定禁止的项目除外，限制的项目须取得许可后方可经营）；经营进出口业务（法律、行政法</w:t>
      </w:r>
    </w:p>
    <w:p>
      <w:pPr>
        <w:pStyle w:val="BodyText"/>
        <w:spacing w:line="232" w:lineRule="exact" w:before="2"/>
        <w:ind w:right="1127"/>
        <w:jc w:val="left"/>
      </w:pPr>
      <w:r>
        <w:rPr>
          <w:spacing w:val="-2"/>
        </w:rPr>
        <w:t>规、国务院决定禁止的项目除外，限制的项目须取得许可后方可经营）；计算机硬件、软件及外围设施的代理销售；销售自</w:t>
      </w:r>
      <w:r>
        <w:rPr>
          <w:spacing w:val="-68"/>
        </w:rPr>
        <w:t> </w:t>
      </w:r>
      <w:r>
        <w:rPr>
          <w:spacing w:val="-68"/>
        </w:rPr>
      </w:r>
      <w:r>
        <w:rPr>
          <w:spacing w:val="-5"/>
        </w:rPr>
        <w:t>产产品（法律、行政法规、国务院决定禁止的项目除外，限制的项目须取得许可后方可经营）；国内贸易（不含专营、专卖、</w:t>
      </w:r>
    </w:p>
    <w:p>
      <w:pPr>
        <w:pStyle w:val="BodyText"/>
        <w:spacing w:line="213" w:lineRule="exact"/>
        <w:ind w:right="0"/>
        <w:jc w:val="both"/>
      </w:pPr>
      <w:r>
        <w:rPr/>
        <w:t>专控商品）。</w:t>
      </w:r>
    </w:p>
    <w:p>
      <w:pPr>
        <w:spacing w:line="240" w:lineRule="auto" w:before="8"/>
        <w:rPr>
          <w:rFonts w:ascii="宋体" w:hAnsi="宋体" w:cs="宋体" w:eastAsia="宋体" w:hint="default"/>
          <w:sz w:val="16"/>
          <w:szCs w:val="16"/>
        </w:rPr>
      </w:pPr>
    </w:p>
    <w:p>
      <w:pPr>
        <w:pStyle w:val="BodyText"/>
        <w:spacing w:line="225" w:lineRule="auto"/>
        <w:ind w:right="1131" w:firstLine="360"/>
        <w:jc w:val="both"/>
      </w:pPr>
      <w:r>
        <w:rPr>
          <w:spacing w:val="-2"/>
        </w:rPr>
        <w:t>本集团合并财务报表范围包括本公司、神码中国、神码上海、神码广州信息等</w:t>
      </w:r>
      <w:r>
        <w:rPr>
          <w:rFonts w:ascii="Times New Roman" w:hAnsi="Times New Roman" w:cs="Times New Roman" w:eastAsia="Times New Roman" w:hint="default"/>
          <w:spacing w:val="-2"/>
        </w:rPr>
        <w:t>44</w:t>
      </w:r>
      <w:r>
        <w:rPr>
          <w:spacing w:val="-2"/>
        </w:rPr>
        <w:t>家公司。与上年相比，本年因非同一控</w:t>
      </w:r>
      <w:r>
        <w:rPr/>
        <w:t> 制下企业合并增加智慧神州（北京）投资管理有限公司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智慧神州</w:t>
      </w:r>
      <w:r>
        <w:rPr>
          <w:rFonts w:ascii="Times New Roman" w:hAnsi="Times New Roman" w:cs="Times New Roman" w:eastAsia="Times New Roman" w:hint="default"/>
        </w:rPr>
        <w:t>”</w:t>
      </w:r>
      <w:r>
        <w:rPr>
          <w:rFonts w:ascii="Times New Roman" w:hAnsi="Times New Roman" w:cs="Times New Roman" w:eastAsia="Times New Roman" w:hint="default"/>
        </w:rPr>
        <w:t>)</w:t>
      </w:r>
      <w:r>
        <w:rPr/>
        <w:t>，因设立新增深圳神州数码电商服务有限公司</w:t>
      </w:r>
      <w:r>
        <w:rPr>
          <w:w w:val="99"/>
        </w:rPr>
        <w:t> </w:t>
      </w:r>
      <w:r>
        <w:rPr/>
        <w:t>及</w:t>
      </w:r>
      <w:r>
        <w:rPr>
          <w:rFonts w:ascii="Times New Roman" w:hAnsi="Times New Roman" w:cs="Times New Roman" w:eastAsia="Times New Roman" w:hint="default"/>
        </w:rPr>
        <w:t>Digital China Technology (Malaysia)</w:t>
      </w:r>
      <w:r>
        <w:rPr>
          <w:rFonts w:ascii="Times New Roman" w:hAnsi="Times New Roman" w:cs="Times New Roman" w:eastAsia="Times New Roman" w:hint="default"/>
          <w:spacing w:val="-8"/>
        </w:rPr>
        <w:t> </w:t>
      </w:r>
      <w:r>
        <w:rPr>
          <w:rFonts w:ascii="Times New Roman" w:hAnsi="Times New Roman" w:cs="Times New Roman" w:eastAsia="Times New Roman" w:hint="default"/>
        </w:rPr>
        <w:t>Sdn.Bhd</w:t>
      </w:r>
      <w:r>
        <w:rPr/>
        <w:t>。</w:t>
      </w:r>
    </w:p>
    <w:p>
      <w:pPr>
        <w:pStyle w:val="BodyText"/>
        <w:spacing w:line="235" w:lineRule="exact"/>
        <w:ind w:left="514" w:right="0"/>
        <w:jc w:val="left"/>
      </w:pPr>
      <w:r>
        <w:rPr/>
        <w:t>详见本附注</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及本附注</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相关内容。</w:t>
      </w:r>
    </w:p>
    <w:p>
      <w:pPr>
        <w:spacing w:line="240" w:lineRule="auto" w:before="2"/>
        <w:rPr>
          <w:rFonts w:ascii="宋体" w:hAnsi="宋体" w:cs="宋体" w:eastAsia="宋体" w:hint="default"/>
          <w:sz w:val="21"/>
          <w:szCs w:val="21"/>
        </w:rPr>
      </w:pPr>
    </w:p>
    <w:p>
      <w:pPr>
        <w:pStyle w:val="Heading2"/>
        <w:spacing w:line="240" w:lineRule="auto"/>
        <w:ind w:right="0"/>
        <w:jc w:val="both"/>
        <w:rPr>
          <w:b w:val="0"/>
          <w:bCs w:val="0"/>
        </w:rPr>
      </w:pPr>
      <w:bookmarkStart w:name="四、财务报表的编制基础" w:id="167"/>
      <w:bookmarkEnd w:id="167"/>
      <w:r>
        <w:rPr>
          <w:b w:val="0"/>
          <w:bCs w:val="0"/>
        </w:rPr>
      </w:r>
      <w:r>
        <w:rPr/>
        <w:t>四、财务报表的编制基础</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right="0"/>
        <w:jc w:val="both"/>
        <w:rPr>
          <w:b w:val="0"/>
          <w:bCs w:val="0"/>
        </w:rPr>
      </w:pPr>
      <w:bookmarkStart w:name="1、编制基础" w:id="168"/>
      <w:bookmarkEnd w:id="168"/>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right="1133" w:firstLine="360"/>
        <w:jc w:val="both"/>
      </w:pPr>
      <w:r>
        <w:rPr>
          <w:spacing w:val="-2"/>
        </w:rPr>
        <w:t>本集团财务报表以持续经营为基础，根据实际发生的交易和事项，按照财政部颁布的《企业会计准则》及相关规定，并</w:t>
      </w:r>
      <w:r>
        <w:rPr/>
        <w:t> 基于本附注</w:t>
      </w:r>
      <w:r>
        <w:rPr>
          <w:rFonts w:ascii="Times New Roman" w:hAnsi="Times New Roman" w:cs="Times New Roman" w:eastAsia="Times New Roman" w:hint="default"/>
        </w:rPr>
        <w:t>“</w:t>
      </w:r>
      <w:r>
        <w:rPr/>
        <w:t>五、重要会计政策及会计估计</w:t>
      </w:r>
      <w:r>
        <w:rPr>
          <w:rFonts w:ascii="Times New Roman" w:hAnsi="Times New Roman" w:cs="Times New Roman" w:eastAsia="Times New Roman" w:hint="default"/>
        </w:rPr>
        <w:t>”</w:t>
      </w:r>
      <w:r>
        <w:rPr/>
        <w:t>所述会计政策和会计估计编制。</w:t>
      </w:r>
    </w:p>
    <w:p>
      <w:pPr>
        <w:spacing w:line="240" w:lineRule="auto" w:before="4"/>
        <w:rPr>
          <w:rFonts w:ascii="宋体" w:hAnsi="宋体" w:cs="宋体" w:eastAsia="宋体" w:hint="default"/>
          <w:sz w:val="21"/>
          <w:szCs w:val="21"/>
        </w:rPr>
      </w:pPr>
    </w:p>
    <w:p>
      <w:pPr>
        <w:pStyle w:val="Heading3"/>
        <w:spacing w:line="240" w:lineRule="auto"/>
        <w:ind w:right="0"/>
        <w:jc w:val="both"/>
        <w:rPr>
          <w:b w:val="0"/>
          <w:bCs w:val="0"/>
        </w:rPr>
      </w:pPr>
      <w:bookmarkStart w:name="2、持续经营" w:id="169"/>
      <w:bookmarkEnd w:id="169"/>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8"/>
        <w:rPr>
          <w:rFonts w:ascii="宋体" w:hAnsi="宋体" w:cs="宋体" w:eastAsia="宋体" w:hint="default"/>
          <w:b/>
          <w:bCs/>
          <w:sz w:val="22"/>
          <w:szCs w:val="22"/>
        </w:rPr>
      </w:pPr>
    </w:p>
    <w:p>
      <w:pPr>
        <w:pStyle w:val="BodyText"/>
        <w:spacing w:line="230" w:lineRule="auto"/>
        <w:ind w:right="1130" w:firstLine="360"/>
        <w:jc w:val="both"/>
      </w:pPr>
      <w:r>
        <w:rPr>
          <w:spacing w:val="-1"/>
        </w:rPr>
        <w:t>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日止，本集团流动负债合计金额超过流动资产合计金额</w:t>
      </w:r>
      <w:r>
        <w:rPr>
          <w:rFonts w:ascii="Times New Roman" w:hAnsi="Times New Roman" w:cs="Times New Roman" w:eastAsia="Times New Roman" w:hint="default"/>
          <w:spacing w:val="-1"/>
        </w:rPr>
        <w:t>24,000,292.74</w:t>
      </w:r>
      <w:r>
        <w:rPr>
          <w:spacing w:val="-1"/>
        </w:rPr>
        <w:t>元。本集团管理层综合考虑公司</w:t>
      </w:r>
      <w:r>
        <w:rPr/>
        <w:t> </w:t>
      </w:r>
      <w:r>
        <w:rPr>
          <w:spacing w:val="-2"/>
        </w:rPr>
        <w:t>的财务表现、营运资金、流动资金状况以及未来一年的现金流量预测，认为本集团在可预见的将来有足够的营运资金维持本</w:t>
      </w:r>
      <w:r>
        <w:rPr>
          <w:spacing w:val="-66"/>
        </w:rPr>
        <w:t> </w:t>
      </w:r>
      <w:r>
        <w:rPr>
          <w:spacing w:val="-66"/>
        </w:rPr>
      </w:r>
      <w:r>
        <w:rPr/>
        <w:t>集团之持续经营，本财务报表系在持续经营假设的基础上编制。</w:t>
      </w:r>
    </w:p>
    <w:p>
      <w:pPr>
        <w:spacing w:line="240" w:lineRule="auto" w:before="3"/>
        <w:rPr>
          <w:rFonts w:ascii="宋体" w:hAnsi="宋体" w:cs="宋体" w:eastAsia="宋体" w:hint="default"/>
          <w:sz w:val="22"/>
          <w:szCs w:val="22"/>
        </w:rPr>
      </w:pPr>
    </w:p>
    <w:p>
      <w:pPr>
        <w:pStyle w:val="Heading2"/>
        <w:spacing w:line="240" w:lineRule="auto"/>
        <w:ind w:right="0"/>
        <w:jc w:val="both"/>
        <w:rPr>
          <w:b w:val="0"/>
          <w:bCs w:val="0"/>
        </w:rPr>
      </w:pPr>
      <w:bookmarkStart w:name="五、重要会计政策及会计估计" w:id="170"/>
      <w:bookmarkEnd w:id="170"/>
      <w:r>
        <w:rPr>
          <w:b w:val="0"/>
          <w:bCs w:val="0"/>
        </w:rPr>
      </w:r>
      <w:r>
        <w:rPr/>
        <w:t>五、重要会计政策及会计估计</w:t>
      </w:r>
      <w:r>
        <w:rPr>
          <w:b w:val="0"/>
          <w:bCs w:val="0"/>
        </w:rPr>
      </w:r>
    </w:p>
    <w:p>
      <w:pPr>
        <w:spacing w:line="240" w:lineRule="auto" w:before="6"/>
        <w:rPr>
          <w:rFonts w:ascii="宋体" w:hAnsi="宋体" w:cs="宋体" w:eastAsia="宋体" w:hint="default"/>
          <w:b/>
          <w:bCs/>
          <w:sz w:val="23"/>
          <w:szCs w:val="23"/>
        </w:rPr>
      </w:pPr>
    </w:p>
    <w:p>
      <w:pPr>
        <w:pStyle w:val="BodyText"/>
        <w:spacing w:line="278" w:lineRule="auto"/>
        <w:ind w:right="7692"/>
        <w:jc w:val="left"/>
      </w:pPr>
      <w:r>
        <w:rPr/>
        <w:t>公司是否需要遵守特殊行业的披露要求 否</w:t>
      </w:r>
    </w:p>
    <w:p>
      <w:pPr>
        <w:pStyle w:val="BodyText"/>
        <w:spacing w:line="278" w:lineRule="auto" w:before="9"/>
        <w:ind w:left="514" w:right="0" w:hanging="360"/>
        <w:jc w:val="left"/>
      </w:pPr>
      <w:r>
        <w:rPr/>
        <w:t>具体会计政策和会计估计提示： </w:t>
      </w:r>
      <w:r>
        <w:rPr>
          <w:spacing w:val="-2"/>
        </w:rPr>
        <w:t>本集团根据实际生产经营特点制定的具体会计政策和会计估计包括营业周期、应收款项坏账准备的确认和计量、存货跌</w:t>
      </w:r>
    </w:p>
    <w:p>
      <w:pPr>
        <w:pStyle w:val="BodyText"/>
        <w:spacing w:line="203" w:lineRule="exact"/>
        <w:ind w:right="0"/>
        <w:jc w:val="both"/>
      </w:pPr>
      <w:r>
        <w:rPr/>
        <w:t>价准备的确认和计量、固定资产分类及折旧方法、无形资产摊销、开发支出资本化条件、商誉减值测试、递延所得税资产和</w:t>
      </w:r>
    </w:p>
    <w:p>
      <w:pPr>
        <w:pStyle w:val="BodyText"/>
        <w:spacing w:line="235" w:lineRule="exact"/>
        <w:ind w:right="0"/>
        <w:jc w:val="both"/>
      </w:pPr>
      <w:r>
        <w:rPr/>
        <w:t>递延所得税负债确认、收入确认和计量等。</w:t>
      </w:r>
    </w:p>
    <w:p>
      <w:pPr>
        <w:spacing w:line="240" w:lineRule="auto" w:before="4"/>
        <w:rPr>
          <w:rFonts w:ascii="宋体" w:hAnsi="宋体" w:cs="宋体" w:eastAsia="宋体" w:hint="default"/>
          <w:sz w:val="22"/>
          <w:szCs w:val="22"/>
        </w:rPr>
      </w:pPr>
    </w:p>
    <w:p>
      <w:pPr>
        <w:pStyle w:val="Heading3"/>
        <w:spacing w:line="240" w:lineRule="auto"/>
        <w:ind w:right="0"/>
        <w:jc w:val="both"/>
        <w:rPr>
          <w:b w:val="0"/>
          <w:bCs w:val="0"/>
        </w:rPr>
      </w:pPr>
      <w:bookmarkStart w:name="1、遵循企业会计准则的声明" w:id="171"/>
      <w:bookmarkEnd w:id="171"/>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514" w:right="0"/>
        <w:jc w:val="left"/>
      </w:pPr>
      <w:r>
        <w:rPr/>
        <w:t>本集团编制的财务报表符合企业会计准则的要求，真实、完整地反映了本公司及本集团的财务状况、经营成果和现金流</w:t>
      </w:r>
    </w:p>
    <w:p>
      <w:pPr>
        <w:spacing w:after="0" w:line="240" w:lineRule="auto"/>
        <w:jc w:val="left"/>
        <w:sectPr>
          <w:pgSz w:w="11910" w:h="16840"/>
          <w:pgMar w:header="877" w:footer="979" w:top="1100" w:bottom="1160" w:left="980" w:right="0"/>
        </w:sectPr>
      </w:pPr>
    </w:p>
    <w:p>
      <w:pPr>
        <w:spacing w:line="240" w:lineRule="auto" w:before="10"/>
        <w:rPr>
          <w:rFonts w:ascii="宋体" w:hAnsi="宋体" w:cs="宋体" w:eastAsia="宋体" w:hint="default"/>
          <w:sz w:val="18"/>
          <w:szCs w:val="18"/>
        </w:rPr>
      </w:pPr>
    </w:p>
    <w:p>
      <w:pPr>
        <w:pStyle w:val="BodyText"/>
        <w:spacing w:line="240" w:lineRule="auto" w:before="44"/>
        <w:ind w:right="0"/>
        <w:jc w:val="left"/>
      </w:pPr>
      <w:r>
        <w:rPr/>
        <w:t>量等有关信息。</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bookmarkStart w:name="2、会计期间" w:id="172"/>
      <w:bookmarkEnd w:id="172"/>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left="514" w:right="0"/>
        <w:jc w:val="left"/>
      </w:pPr>
      <w:r>
        <w:rPr/>
        <w:t>本集团的会计期间为公历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3、营业周期" w:id="173"/>
      <w:bookmarkEnd w:id="173"/>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514" w:right="0"/>
        <w:jc w:val="left"/>
      </w:pPr>
      <w:r>
        <w:rPr/>
        <w:t>本集团的营业周期为</w:t>
      </w:r>
      <w:r>
        <w:rPr>
          <w:rFonts w:ascii="Times New Roman" w:hAnsi="Times New Roman" w:cs="Times New Roman" w:eastAsia="Times New Roman" w:hint="default"/>
        </w:rPr>
        <w:t>12</w:t>
      </w:r>
      <w:r>
        <w:rPr/>
        <w:t>个月。</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4、记账本位币" w:id="174"/>
      <w:bookmarkEnd w:id="174"/>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right="1133" w:firstLine="360"/>
        <w:jc w:val="both"/>
      </w:pPr>
      <w:r>
        <w:rPr>
          <w:spacing w:val="-2"/>
        </w:rPr>
        <w:t>本公司、本公司子公司、合营企业及联营企业根据其经营所处的主要经济环境自行决定其记账本位币，在编制合并财务</w:t>
      </w:r>
      <w:r>
        <w:rPr/>
        <w:t> 报表时折算为人民币。本公司编制本合并财务报表所采用的货币为人民币。</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5、同一控制下和非同一控制下企业合并的会计处理方法" w:id="175"/>
      <w:bookmarkEnd w:id="175"/>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right="1132" w:firstLine="360"/>
        <w:jc w:val="both"/>
      </w:pPr>
      <w:r>
        <w:rPr>
          <w:spacing w:val="-2"/>
        </w:rPr>
        <w:t>合并方在同一控制下企业合并中取得的资产和负债，在合并日按被合并方在最终控制方合并报表中的账面价值计量。取</w:t>
      </w:r>
      <w:r>
        <w:rPr/>
        <w:t> 得的净资产账面价值与支付的合并对价账面价值的差额，调整资本公积；资本公积不足冲减的，调整留存收益。</w:t>
      </w:r>
    </w:p>
    <w:p>
      <w:pPr>
        <w:pStyle w:val="BodyText"/>
        <w:spacing w:line="237" w:lineRule="auto"/>
        <w:ind w:right="1131" w:firstLine="360"/>
        <w:jc w:val="both"/>
      </w:pPr>
      <w:r>
        <w:rPr>
          <w:spacing w:val="-2"/>
        </w:rPr>
        <w:t>在非同一控制下企业合并中取得的被购买方可辨认资产、负债及或有负债在收购日以公允价值计量。合并成本为本公司</w:t>
      </w:r>
      <w:r>
        <w:rPr/>
        <w:t> </w:t>
      </w:r>
      <w:r>
        <w:rPr>
          <w:spacing w:val="-2"/>
        </w:rPr>
        <w:t>在购买日为取得对被购买方的控制权而支付的现金或非现金资产、发行或承担的负债、发行的权益性证券等的公允价值以及</w:t>
      </w:r>
      <w:r>
        <w:rPr>
          <w:spacing w:val="-64"/>
        </w:rPr>
        <w:t> </w:t>
      </w:r>
      <w:r>
        <w:rPr>
          <w:spacing w:val="-64"/>
        </w:rPr>
      </w:r>
      <w:r>
        <w:rPr>
          <w:spacing w:val="-5"/>
        </w:rPr>
        <w:t>在企业合并中发生的各项直接相关费用之和（通过多次交易分步实现的企业合并，其合并成本为每一单项交易的成本之和）。</w:t>
      </w:r>
      <w:r>
        <w:rPr>
          <w:spacing w:val="-79"/>
        </w:rPr>
        <w:t> </w:t>
      </w:r>
      <w:r>
        <w:rPr>
          <w:spacing w:val="-79"/>
        </w:rPr>
      </w:r>
      <w:r>
        <w:rPr>
          <w:spacing w:val="-2"/>
        </w:rPr>
        <w:t>合并成本大于合并中取得的被购买方可辨认净资产公允价值份额的差额，确认为商誉；合并成本小于合并中取得的被购买方</w:t>
      </w:r>
      <w:r>
        <w:rPr>
          <w:spacing w:val="-64"/>
        </w:rPr>
        <w:t> </w:t>
      </w:r>
      <w:r>
        <w:rPr>
          <w:spacing w:val="-64"/>
        </w:rPr>
      </w:r>
      <w:r>
        <w:rPr>
          <w:spacing w:val="-2"/>
        </w:rPr>
        <w:t>可辨认净资产公允价值份额的，首先对合并中取得的各项可辨认资产、负债及或有负债的公允价值、以及合并对价的非现金</w:t>
      </w:r>
      <w:r>
        <w:rPr>
          <w:spacing w:val="-66"/>
        </w:rPr>
        <w:t> </w:t>
      </w:r>
      <w:r>
        <w:rPr>
          <w:spacing w:val="-66"/>
        </w:rPr>
      </w:r>
      <w:r>
        <w:rPr>
          <w:spacing w:val="-2"/>
        </w:rPr>
        <w:t>资产或发行的权益性证券等的公允价值进行复核，经复核后，合并成本仍小于合并中取得的被购买方可辨认净资产公允价值</w:t>
      </w:r>
      <w:r>
        <w:rPr>
          <w:spacing w:val="-63"/>
        </w:rPr>
        <w:t> </w:t>
      </w:r>
      <w:r>
        <w:rPr>
          <w:spacing w:val="-63"/>
        </w:rPr>
      </w:r>
      <w:r>
        <w:rPr/>
        <w:t>份额的，将其差额计入合并当期营业外收入。</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bookmarkStart w:name="6、合并财务报表的编制方法" w:id="176"/>
      <w:bookmarkEnd w:id="176"/>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12"/>
        <w:rPr>
          <w:rFonts w:ascii="宋体" w:hAnsi="宋体" w:cs="宋体" w:eastAsia="宋体" w:hint="default"/>
          <w:b/>
          <w:bCs/>
          <w:sz w:val="23"/>
          <w:szCs w:val="23"/>
        </w:rPr>
      </w:pPr>
    </w:p>
    <w:p>
      <w:pPr>
        <w:pStyle w:val="BodyText"/>
        <w:spacing w:line="232" w:lineRule="exact"/>
        <w:ind w:left="514" w:right="0"/>
        <w:jc w:val="left"/>
      </w:pPr>
      <w:r>
        <w:rPr/>
        <w:t>本公司将所有控制的子公司纳入合并财务报表范围。 </w:t>
      </w:r>
      <w:r>
        <w:rPr>
          <w:spacing w:val="-2"/>
        </w:rPr>
        <w:t>在编制合并财务报表时，子公司与本公司采用的会计政策或会计期间不一致的，按照本公司的会计政策或会计期间对子</w:t>
      </w:r>
    </w:p>
    <w:p>
      <w:pPr>
        <w:pStyle w:val="BodyText"/>
        <w:spacing w:line="234" w:lineRule="exact"/>
        <w:ind w:left="514" w:right="0" w:hanging="360"/>
        <w:jc w:val="left"/>
      </w:pPr>
      <w:r>
        <w:rPr/>
        <w:t>公司财务报表进行必要的调整。 </w:t>
      </w:r>
      <w:r>
        <w:rPr>
          <w:spacing w:val="-2"/>
        </w:rPr>
        <w:t>合并范围内的所有重大内部交易、往来余额及未实现利润在合并报表编制时予以抵销。子公司的所有者权益中不属于母</w:t>
      </w:r>
    </w:p>
    <w:p>
      <w:pPr>
        <w:pStyle w:val="BodyText"/>
        <w:spacing w:line="217" w:lineRule="exact"/>
        <w:ind w:right="0"/>
        <w:jc w:val="left"/>
      </w:pPr>
      <w:r>
        <w:rPr/>
        <w:t>公司的份额以及当期净损益、其他综合收益及综合收益总额中属于少数股东权益的份额，分别在合并财务报表</w:t>
      </w:r>
      <w:r>
        <w:rPr>
          <w:rFonts w:ascii="Times New Roman" w:hAnsi="Times New Roman" w:cs="Times New Roman" w:eastAsia="Times New Roman" w:hint="default"/>
        </w:rPr>
        <w:t>“</w:t>
      </w:r>
      <w:r>
        <w:rPr/>
        <w:t>少数股东权</w:t>
      </w:r>
    </w:p>
    <w:p>
      <w:pPr>
        <w:pStyle w:val="BodyText"/>
        <w:spacing w:line="232" w:lineRule="exact" w:before="17"/>
        <w:ind w:left="514" w:right="0" w:hanging="360"/>
        <w:jc w:val="left"/>
      </w:pPr>
      <w:r>
        <w:rPr/>
        <w:t>益、少数股东损益、归属于少数股东的其他综合收益及归属于少数股东的综合收益总额</w:t>
      </w:r>
      <w:r>
        <w:rPr>
          <w:rFonts w:ascii="Times New Roman" w:hAnsi="Times New Roman" w:cs="Times New Roman" w:eastAsia="Times New Roman" w:hint="default"/>
        </w:rPr>
        <w:t>”</w:t>
      </w:r>
      <w:r>
        <w:rPr/>
        <w:t>项目列示。 </w:t>
      </w:r>
      <w:r>
        <w:rPr>
          <w:spacing w:val="-2"/>
        </w:rPr>
        <w:t>对于同一控制下企业合并取得的子公司，其经营成果和现金流量自合并当期期初纳入合并财务报表。编制比较合并财务</w:t>
      </w:r>
    </w:p>
    <w:p>
      <w:pPr>
        <w:pStyle w:val="BodyText"/>
        <w:spacing w:line="232" w:lineRule="exact" w:before="2"/>
        <w:ind w:left="514" w:right="0" w:hanging="360"/>
        <w:jc w:val="left"/>
      </w:pPr>
      <w:r>
        <w:rPr/>
        <w:t>报表时，对上年财务报表的相关项目进行调整，视同合并后形成的报告主体自最终控制方开始控制时点起一直存在。 </w:t>
      </w:r>
      <w:r>
        <w:rPr>
          <w:spacing w:val="-2"/>
        </w:rPr>
        <w:t>对于非同一控制下企业合并取得子公司，经营成果和现金流量自本公司取得控制权之日起纳入合并财务报表。在编制合</w:t>
      </w:r>
    </w:p>
    <w:p>
      <w:pPr>
        <w:pStyle w:val="BodyText"/>
        <w:spacing w:line="232" w:lineRule="exact" w:before="2"/>
        <w:ind w:left="514" w:right="0" w:hanging="360"/>
        <w:jc w:val="left"/>
      </w:pPr>
      <w:r>
        <w:rPr/>
        <w:t>并财务报表时，以购买日确定的各项可辨认资产、负债及或有负债的公允价值为基础对子公司的财务报表进行调整。 </w:t>
      </w:r>
      <w:r>
        <w:rPr>
          <w:spacing w:val="-2"/>
        </w:rPr>
        <w:t>通过多次交易分步取得非同一控制下被投资单位的股权，最终形成企业合并，编制合并报表时，对于购买日之前持有的</w:t>
      </w:r>
    </w:p>
    <w:p>
      <w:pPr>
        <w:pStyle w:val="BodyText"/>
        <w:spacing w:line="232" w:lineRule="exact" w:before="2"/>
        <w:ind w:right="0"/>
        <w:jc w:val="left"/>
      </w:pPr>
      <w:r>
        <w:rPr>
          <w:spacing w:val="-2"/>
        </w:rPr>
        <w:t>被购买方的股权，按照该股权在购买日的公允价值进行重新计量，公允价值与其账面价值的差额计入当期投资收益；与其相</w:t>
      </w:r>
      <w:r>
        <w:rPr>
          <w:spacing w:val="-66"/>
        </w:rPr>
        <w:t> </w:t>
      </w:r>
      <w:r>
        <w:rPr>
          <w:spacing w:val="-66"/>
        </w:rPr>
      </w:r>
      <w:r>
        <w:rPr>
          <w:spacing w:val="-2"/>
        </w:rPr>
        <w:t>关的购买日之前持有的被购买方的股权涉及权益法核算下的其他综合收益以及除净损益、其他综合收益和利润分配外的其他</w:t>
      </w:r>
    </w:p>
    <w:p>
      <w:pPr>
        <w:pStyle w:val="BodyText"/>
        <w:spacing w:line="232" w:lineRule="exact" w:before="2"/>
        <w:ind w:right="0"/>
        <w:jc w:val="left"/>
      </w:pPr>
      <w:r>
        <w:rPr>
          <w:spacing w:val="-2"/>
        </w:rPr>
        <w:t>所有者权益变动，在购买日所属当期转为投资损益，由于被投资方重新计量设定受益计划净负债或净资产变动而产生的其他</w:t>
      </w:r>
      <w:r>
        <w:rPr>
          <w:spacing w:val="-64"/>
        </w:rPr>
        <w:t> </w:t>
      </w:r>
      <w:r>
        <w:rPr>
          <w:spacing w:val="-64"/>
        </w:rPr>
      </w:r>
      <w:r>
        <w:rPr/>
        <w:t>综合收益除外。</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bookmarkStart w:name="7、合营安排分类及共同经营会计处理方法" w:id="177"/>
      <w:bookmarkEnd w:id="177"/>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12"/>
        <w:rPr>
          <w:rFonts w:ascii="宋体" w:hAnsi="宋体" w:cs="宋体" w:eastAsia="宋体" w:hint="default"/>
          <w:b/>
          <w:bCs/>
          <w:sz w:val="23"/>
          <w:szCs w:val="23"/>
        </w:rPr>
      </w:pPr>
    </w:p>
    <w:p>
      <w:pPr>
        <w:pStyle w:val="BodyText"/>
        <w:spacing w:line="232" w:lineRule="exact"/>
        <w:ind w:right="1133" w:firstLine="360"/>
        <w:jc w:val="both"/>
      </w:pPr>
      <w:r>
        <w:rPr>
          <w:spacing w:val="-2"/>
        </w:rPr>
        <w:t>合营安排分为共同经营和合营企业。共同经营，是指合营方享有该安排相关资产且承担该安排相关负债的合营安排。合</w:t>
      </w:r>
      <w:r>
        <w:rPr/>
        <w:t> 营企业，是指合营方仅对该安排的净资产享有权利的合营安排。本集团无共同经营情况。</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bookmarkStart w:name="8、现金及现金等价物的确定标准" w:id="178"/>
      <w:bookmarkEnd w:id="178"/>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12"/>
        <w:rPr>
          <w:rFonts w:ascii="宋体" w:hAnsi="宋体" w:cs="宋体" w:eastAsia="宋体" w:hint="default"/>
          <w:b/>
          <w:bCs/>
          <w:sz w:val="23"/>
          <w:szCs w:val="23"/>
        </w:rPr>
      </w:pPr>
    </w:p>
    <w:p>
      <w:pPr>
        <w:pStyle w:val="BodyText"/>
        <w:spacing w:line="232" w:lineRule="exact"/>
        <w:ind w:right="1040" w:firstLine="360"/>
        <w:jc w:val="both"/>
      </w:pPr>
      <w:r>
        <w:rPr>
          <w:spacing w:val="-2"/>
        </w:rPr>
        <w:t>本集团现金流量表之现金指库存现金以及可以随时用于支付的存款。现金流量表之现金等价物指持有期限不超过</w:t>
      </w:r>
      <w:r>
        <w:rPr>
          <w:rFonts w:ascii="Times New Roman" w:hAnsi="Times New Roman" w:cs="Times New Roman" w:eastAsia="Times New Roman" w:hint="default"/>
          <w:spacing w:val="-2"/>
        </w:rPr>
        <w:t>3</w:t>
      </w:r>
      <w:r>
        <w:rPr>
          <w:spacing w:val="-2"/>
        </w:rPr>
        <w:t>个月、</w:t>
      </w:r>
      <w:r>
        <w:rPr/>
        <w:t> 流动性强、易于转换为已知金额现金且价值变动风险很小的投资。</w:t>
      </w:r>
    </w:p>
    <w:p>
      <w:pPr>
        <w:spacing w:after="0" w:line="232" w:lineRule="exact"/>
        <w:jc w:val="both"/>
        <w:sectPr>
          <w:pgSz w:w="11910" w:h="16840"/>
          <w:pgMar w:header="877" w:footer="979" w:top="1100" w:bottom="1160" w:left="980" w:right="0"/>
        </w:sectPr>
      </w:pPr>
    </w:p>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9、外币业务和外币报表折算" w:id="179"/>
      <w:bookmarkEnd w:id="179"/>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12"/>
        <w:rPr>
          <w:rFonts w:ascii="宋体" w:hAnsi="宋体" w:cs="宋体" w:eastAsia="宋体" w:hint="default"/>
          <w:b/>
          <w:bCs/>
          <w:sz w:val="23"/>
          <w:szCs w:val="23"/>
        </w:rPr>
      </w:pPr>
    </w:p>
    <w:p>
      <w:pPr>
        <w:pStyle w:val="BodyText"/>
        <w:spacing w:line="232" w:lineRule="exact"/>
        <w:ind w:left="514" w:right="1118" w:firstLine="1"/>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）外币交易</w:t>
      </w:r>
      <w:r>
        <w:rPr>
          <w:rFonts w:ascii="宋体" w:hAnsi="宋体" w:cs="宋体" w:eastAsia="宋体" w:hint="default"/>
          <w:b/>
          <w:bCs/>
          <w:w w:val="99"/>
        </w:rPr>
        <w:t> </w:t>
      </w:r>
      <w:r>
        <w:rPr>
          <w:spacing w:val="-2"/>
        </w:rPr>
        <w:t>本集团外币交易按交易发生日的即期汇率将外币金额折算为人民币金额。于资产负债表日，外币货币性项目采用资产负</w:t>
      </w:r>
    </w:p>
    <w:p>
      <w:pPr>
        <w:pStyle w:val="BodyText"/>
        <w:spacing w:line="234" w:lineRule="exact"/>
        <w:ind w:right="0"/>
        <w:jc w:val="left"/>
      </w:pPr>
      <w:r>
        <w:rPr>
          <w:spacing w:val="-2"/>
        </w:rPr>
        <w:t>债表日的即期汇率折算为人民币，所产生的折算差额除了为购建或生产符合资本化条件的资产而借入的外币专门借款产生的</w:t>
      </w:r>
      <w:r>
        <w:rPr>
          <w:spacing w:val="-64"/>
        </w:rPr>
        <w:t> </w:t>
      </w:r>
      <w:r>
        <w:rPr>
          <w:spacing w:val="-64"/>
        </w:rPr>
      </w:r>
      <w:r>
        <w:rPr/>
        <w:t>汇兑差额按资本化的原则处理外，直接计入当期损益。</w:t>
      </w:r>
    </w:p>
    <w:p>
      <w:pPr>
        <w:pStyle w:val="BodyText"/>
        <w:spacing w:line="234" w:lineRule="exact"/>
        <w:ind w:left="514" w:right="0" w:firstLine="1"/>
        <w:jc w:val="left"/>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）外币财务报表的折算</w:t>
      </w:r>
      <w:r>
        <w:rPr>
          <w:rFonts w:ascii="宋体" w:hAnsi="宋体" w:cs="宋体" w:eastAsia="宋体" w:hint="default"/>
          <w:b/>
          <w:bCs/>
          <w:w w:val="99"/>
        </w:rPr>
        <w:t> </w:t>
      </w:r>
      <w:r>
        <w:rPr>
          <w:spacing w:val="-2"/>
        </w:rPr>
        <w:t>外币资产负债表中资产、负债类项目采用资产负债表日的即期汇率折算；股东权益类项目除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外，均按业务</w:t>
      </w:r>
    </w:p>
    <w:p>
      <w:pPr>
        <w:pStyle w:val="BodyText"/>
        <w:spacing w:line="211" w:lineRule="exact"/>
        <w:ind w:right="0"/>
        <w:jc w:val="left"/>
      </w:pPr>
      <w:r>
        <w:rPr/>
        <w:t>发生时的即期汇率折算</w:t>
      </w:r>
      <w:r>
        <w:rPr>
          <w:spacing w:val="-88"/>
        </w:rPr>
        <w:t>；</w:t>
      </w:r>
      <w:r>
        <w:rPr/>
        <w:t>利润表中的收入与费用项目</w:t>
      </w:r>
      <w:r>
        <w:rPr>
          <w:spacing w:val="-88"/>
        </w:rPr>
        <w:t>，</w:t>
      </w:r>
      <w:r>
        <w:rPr/>
        <w:t>采用交易发生日的即期汇率折算</w:t>
      </w:r>
      <w:r>
        <w:rPr>
          <w:spacing w:val="-88"/>
        </w:rPr>
        <w:t>。</w:t>
      </w:r>
      <w:r>
        <w:rPr/>
        <w:t>上述折算产生的外币报表折算差额，</w:t>
      </w:r>
    </w:p>
    <w:p>
      <w:pPr>
        <w:pStyle w:val="BodyText"/>
        <w:spacing w:line="232" w:lineRule="exact" w:before="24"/>
        <w:ind w:right="1118"/>
        <w:jc w:val="left"/>
      </w:pPr>
      <w:r>
        <w:rPr>
          <w:spacing w:val="-2"/>
        </w:rPr>
        <w:t>在其他综合收益项目中列示。外币现金流量采用现金流量发生日的即期汇率折算。汇率变动对现金的影响额，在现金流量表</w:t>
      </w:r>
      <w:r>
        <w:rPr>
          <w:spacing w:val="-66"/>
        </w:rPr>
        <w:t> </w:t>
      </w:r>
      <w:r>
        <w:rPr>
          <w:spacing w:val="-66"/>
        </w:rPr>
      </w:r>
      <w:r>
        <w:rPr/>
        <w:t>中单独列示。</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bookmarkStart w:name="10、金融工具" w:id="180"/>
      <w:bookmarkEnd w:id="180"/>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0"/>
        <w:rPr>
          <w:rFonts w:ascii="宋体" w:hAnsi="宋体" w:cs="宋体" w:eastAsia="宋体" w:hint="default"/>
          <w:b/>
          <w:bCs/>
          <w:sz w:val="22"/>
          <w:szCs w:val="22"/>
        </w:rPr>
      </w:pPr>
    </w:p>
    <w:p>
      <w:pPr>
        <w:pStyle w:val="BodyText"/>
        <w:spacing w:line="234" w:lineRule="exact"/>
        <w:ind w:left="514" w:right="0"/>
        <w:jc w:val="left"/>
      </w:pPr>
      <w:r>
        <w:rPr/>
        <w:t>本集团成为金融工具合同的一方时确认一项金融资产或金融负债。</w:t>
      </w:r>
    </w:p>
    <w:p>
      <w:pPr>
        <w:pStyle w:val="Heading5"/>
        <w:spacing w:line="240" w:lineRule="exact" w:before="0"/>
        <w:ind w:left="515" w:right="0"/>
        <w:jc w:val="left"/>
        <w:rPr>
          <w:b w:val="0"/>
          <w:bCs w:val="0"/>
        </w:rPr>
      </w:pPr>
      <w:r>
        <w:rPr/>
        <w:t>（</w:t>
      </w:r>
      <w:r>
        <w:rPr>
          <w:rFonts w:ascii="Times New Roman" w:hAnsi="Times New Roman" w:cs="Times New Roman" w:eastAsia="Times New Roman" w:hint="default"/>
        </w:rPr>
        <w:t>1</w:t>
      </w:r>
      <w:r>
        <w:rPr/>
        <w:t>）金融资产</w:t>
      </w:r>
      <w:r>
        <w:rPr>
          <w:b w:val="0"/>
          <w:bCs w:val="0"/>
        </w:rPr>
      </w:r>
    </w:p>
    <w:p>
      <w:pPr>
        <w:pStyle w:val="BodyText"/>
        <w:spacing w:line="232" w:lineRule="exact" w:before="17"/>
        <w:ind w:left="514" w:right="0"/>
        <w:jc w:val="left"/>
      </w:pPr>
      <w:r>
        <w:rPr>
          <w:rFonts w:ascii="Times New Roman" w:hAnsi="Times New Roman" w:cs="Times New Roman" w:eastAsia="Times New Roman" w:hint="default"/>
        </w:rPr>
        <w:t>1</w:t>
      </w:r>
      <w:r>
        <w:rPr/>
        <w:t>）金融资产分类、确认依据和计量方法 </w:t>
      </w:r>
      <w:r>
        <w:rPr>
          <w:spacing w:val="-2"/>
        </w:rPr>
        <w:t>金融资产在初始确认时划分为以公允价值计量且其变动计入当期损益的金融资产、持有至到期投资、贷款和应收款项及</w:t>
      </w:r>
    </w:p>
    <w:p>
      <w:pPr>
        <w:pStyle w:val="BodyText"/>
        <w:spacing w:line="232" w:lineRule="exact" w:before="2"/>
        <w:ind w:right="0"/>
        <w:jc w:val="left"/>
      </w:pPr>
      <w:r>
        <w:rPr>
          <w:spacing w:val="-2"/>
        </w:rPr>
        <w:t>可供出售金融资产。以常规方式买卖金融资产，按交易日会计进行确认和终止确认。本集团的金融资产划分为以公允价值计</w:t>
      </w:r>
      <w:r>
        <w:rPr>
          <w:spacing w:val="-66"/>
        </w:rPr>
        <w:t> </w:t>
      </w:r>
      <w:r>
        <w:rPr>
          <w:spacing w:val="-66"/>
        </w:rPr>
      </w:r>
      <w:r>
        <w:rPr/>
        <w:t>量且其变动计入当期损益的金融资产、贷款和应收款项以及可供出售金融资产。</w:t>
      </w:r>
    </w:p>
    <w:p>
      <w:pPr>
        <w:pStyle w:val="BodyText"/>
        <w:spacing w:line="232" w:lineRule="exact" w:before="2"/>
        <w:ind w:right="1120" w:firstLine="360"/>
        <w:jc w:val="left"/>
      </w:pPr>
      <w:r>
        <w:rPr/>
        <w:t>以公允价值计量且其变动计入当期损益的</w:t>
      </w:r>
      <w:r>
        <w:rPr>
          <w:spacing w:val="2"/>
        </w:rPr>
        <w:t> </w:t>
      </w:r>
      <w:r>
        <w:rPr/>
        <w:t>金融资产包括持有目的为短期内出售的金融资产以及指定为以公允价值计量</w:t>
      </w:r>
      <w:r>
        <w:rPr/>
        <w:t> 且其变动计入当期损益的金融资产。</w:t>
      </w:r>
    </w:p>
    <w:p>
      <w:pPr>
        <w:pStyle w:val="BodyText"/>
        <w:spacing w:line="232" w:lineRule="exact" w:before="2"/>
        <w:ind w:left="514" w:right="0"/>
        <w:jc w:val="left"/>
      </w:pPr>
      <w:r>
        <w:rPr/>
        <w:t>贷款和应收款项是指在活跃市场中没有报价、回收金额固定或可确定的非衍生金融资产。 </w:t>
      </w:r>
      <w:r>
        <w:rPr>
          <w:spacing w:val="-2"/>
        </w:rPr>
        <w:t>可供出售金融资产包括初始确认时即被指定为可供出售的非衍生金融资产及未被划分为其他类的金融资产。自资产负债</w:t>
      </w:r>
    </w:p>
    <w:p>
      <w:pPr>
        <w:pStyle w:val="BodyText"/>
        <w:spacing w:line="232" w:lineRule="exact" w:before="2"/>
        <w:ind w:left="514" w:right="0" w:hanging="360"/>
        <w:jc w:val="left"/>
      </w:pPr>
      <w:r>
        <w:rPr/>
        <w:t>表日起</w:t>
      </w:r>
      <w:r>
        <w:rPr>
          <w:rFonts w:ascii="Times New Roman" w:hAnsi="Times New Roman" w:cs="Times New Roman" w:eastAsia="Times New Roman" w:hint="default"/>
        </w:rPr>
        <w:t>12</w:t>
      </w:r>
      <w:r>
        <w:rPr/>
        <w:t>个月内将出售的可供出售金融资产在资产负债表中列示为其他流动资产。 </w:t>
      </w:r>
      <w:r>
        <w:rPr>
          <w:spacing w:val="-2"/>
        </w:rPr>
        <w:t>金融资产于本集团成为金融工具合同的一方时，按公允价值在资产负债表内确认。以公允价值计量且其变动计入当期损</w:t>
      </w:r>
    </w:p>
    <w:p>
      <w:pPr>
        <w:pStyle w:val="BodyText"/>
        <w:spacing w:line="232" w:lineRule="exact" w:before="2"/>
        <w:ind w:left="514" w:right="0" w:hanging="360"/>
        <w:jc w:val="left"/>
      </w:pPr>
      <w:r>
        <w:rPr/>
        <w:t>益的金融资产，取得时发生的相关交易费用计入当期损益；其他金融资产的相关交易费用计入初始确认金额。 </w:t>
      </w:r>
      <w:r>
        <w:rPr>
          <w:spacing w:val="-2"/>
        </w:rPr>
        <w:t>以公允价值计量且其变动计入当期损益的金融资产和可供出售金融资产按照公允价值进行后续计量，但在活跃市场中没</w:t>
      </w:r>
    </w:p>
    <w:p>
      <w:pPr>
        <w:pStyle w:val="BodyText"/>
        <w:spacing w:line="234" w:lineRule="exact" w:before="1"/>
        <w:ind w:left="514" w:right="0" w:hanging="360"/>
        <w:jc w:val="left"/>
      </w:pPr>
      <w:r>
        <w:rPr/>
        <w:t>有报价且其公允价值不能可靠计量的权益工具投资，按照成本计量；应收款项采用实际利率法，以摊余成本计量。 </w:t>
      </w:r>
      <w:r>
        <w:rPr>
          <w:spacing w:val="-2"/>
        </w:rPr>
        <w:t>以公允价值计量且其变动计入当期损益的金融资产的公允价值变动作为公允价值变动损益计入当期损益；在资产持有期</w:t>
      </w:r>
    </w:p>
    <w:p>
      <w:pPr>
        <w:pStyle w:val="BodyText"/>
        <w:spacing w:line="211" w:lineRule="exact"/>
        <w:ind w:right="0"/>
        <w:jc w:val="left"/>
      </w:pPr>
      <w:r>
        <w:rPr/>
        <w:t>间所取得的利息或现金股利以及处置时产生的处置损益计入当期损益。</w:t>
      </w:r>
    </w:p>
    <w:p>
      <w:pPr>
        <w:pStyle w:val="BodyText"/>
        <w:spacing w:line="237" w:lineRule="auto" w:before="1"/>
        <w:ind w:right="1132" w:firstLine="360"/>
        <w:jc w:val="both"/>
      </w:pPr>
      <w:r>
        <w:rPr>
          <w:spacing w:val="-2"/>
        </w:rPr>
        <w:t>除减值损失及外币货币性金融资产形成的汇兑损益外，可供出售金融资产公允价值变动直接计入股东权益，待该金融资</w:t>
      </w:r>
      <w:r>
        <w:rPr/>
        <w:t> </w:t>
      </w:r>
      <w:r>
        <w:rPr>
          <w:spacing w:val="-2"/>
        </w:rPr>
        <w:t>产终止确认时，原直接计入权益的公允价值变动累计额转入当期损益。可供出售债务工具投资在持有期间按实际利率法计算</w:t>
      </w:r>
      <w:r>
        <w:rPr>
          <w:spacing w:val="-64"/>
        </w:rPr>
        <w:t> </w:t>
      </w:r>
      <w:r>
        <w:rPr>
          <w:spacing w:val="-64"/>
        </w:rPr>
      </w:r>
      <w:r>
        <w:rPr/>
        <w:t>的利息，以及被投资单位已宣告发放的与可供出售权益工具投资相关的现金股利，作为投资收益计入当期损益。</w:t>
      </w:r>
    </w:p>
    <w:p>
      <w:pPr>
        <w:pStyle w:val="BodyText"/>
        <w:spacing w:line="234" w:lineRule="exact" w:before="20"/>
        <w:ind w:left="514" w:right="0"/>
        <w:jc w:val="left"/>
      </w:pPr>
      <w:r>
        <w:rPr>
          <w:rFonts w:ascii="Times New Roman" w:hAnsi="Times New Roman" w:cs="Times New Roman" w:eastAsia="Times New Roman" w:hint="default"/>
        </w:rPr>
        <w:t>2</w:t>
      </w:r>
      <w:r>
        <w:rPr/>
        <w:t>）金融资产转移的确认依据和计量方法 </w:t>
      </w:r>
      <w:r>
        <w:rPr>
          <w:spacing w:val="-2"/>
        </w:rPr>
        <w:t>金融资产满足下列条件之一的，予以终止确认：①收取金融资产现金流量的权利届满；②转移了收取金融资产现金流量</w:t>
      </w:r>
    </w:p>
    <w:p>
      <w:pPr>
        <w:pStyle w:val="BodyText"/>
        <w:spacing w:line="217" w:lineRule="exact"/>
        <w:ind w:right="0"/>
        <w:jc w:val="left"/>
      </w:pPr>
      <w:r>
        <w:rPr/>
        <w:t>的权利，或在</w:t>
      </w:r>
      <w:r>
        <w:rPr>
          <w:rFonts w:ascii="Times New Roman" w:hAnsi="Times New Roman" w:cs="Times New Roman" w:eastAsia="Times New Roman" w:hint="default"/>
        </w:rPr>
        <w:t>“</w:t>
      </w:r>
      <w:r>
        <w:rPr/>
        <w:t>过手协议</w:t>
      </w:r>
      <w:r>
        <w:rPr>
          <w:rFonts w:ascii="Times New Roman" w:hAnsi="Times New Roman" w:cs="Times New Roman" w:eastAsia="Times New Roman" w:hint="default"/>
        </w:rPr>
        <w:t>”</w:t>
      </w:r>
      <w:r>
        <w:rPr/>
        <w:t>下承担了及时将收取的现金流量全额支付给第三方的义务；并且</w:t>
      </w:r>
      <w:r>
        <w:rPr>
          <w:rFonts w:ascii="Times New Roman" w:hAnsi="Times New Roman" w:cs="Times New Roman" w:eastAsia="Times New Roman" w:hint="default"/>
        </w:rPr>
        <w:t>(a)</w:t>
      </w:r>
      <w:r>
        <w:rPr/>
        <w:t>实质上转让了金融资产所有权上</w:t>
      </w:r>
    </w:p>
    <w:p>
      <w:pPr>
        <w:pStyle w:val="BodyText"/>
        <w:spacing w:line="232" w:lineRule="exact" w:before="17"/>
        <w:ind w:right="0"/>
        <w:jc w:val="left"/>
      </w:pPr>
      <w:r>
        <w:rPr/>
        <w:t>几乎所有的风险和报酬，或</w:t>
      </w:r>
      <w:r>
        <w:rPr>
          <w:rFonts w:ascii="Times New Roman" w:hAnsi="Times New Roman" w:cs="Times New Roman" w:eastAsia="Times New Roman" w:hint="default"/>
        </w:rPr>
        <w:t>(b)</w:t>
      </w:r>
      <w:r>
        <w:rPr/>
        <w:t>虽然实质上既没有转移也没有保留金融资产所有权上几乎所有的风险和报酬，但放弃了对该</w:t>
      </w:r>
      <w:r>
        <w:rPr>
          <w:spacing w:val="-30"/>
        </w:rPr>
        <w:t> </w:t>
      </w:r>
      <w:r>
        <w:rPr>
          <w:spacing w:val="-30"/>
        </w:rPr>
      </w:r>
      <w:r>
        <w:rPr/>
        <w:t>金融资产的控制。</w:t>
      </w:r>
    </w:p>
    <w:p>
      <w:pPr>
        <w:pStyle w:val="BodyText"/>
        <w:spacing w:line="232" w:lineRule="exact" w:before="2"/>
        <w:ind w:right="0" w:firstLine="360"/>
        <w:jc w:val="left"/>
      </w:pPr>
      <w:r>
        <w:rPr>
          <w:spacing w:val="-2"/>
        </w:rPr>
        <w:t>企业既没有转移也没有保留金融资产所有权上几乎所有的风险和报酬，且未放弃对该金融资产控制的，则按照其继续涉</w:t>
      </w:r>
      <w:r>
        <w:rPr/>
        <w:t> 入所转移金融资产的程度确认有关金融资产，并相应确认有关负债。</w:t>
      </w:r>
    </w:p>
    <w:p>
      <w:pPr>
        <w:pStyle w:val="BodyText"/>
        <w:spacing w:line="232" w:lineRule="exact" w:before="2"/>
        <w:ind w:right="0" w:firstLine="360"/>
        <w:jc w:val="left"/>
      </w:pPr>
      <w:r>
        <w:rPr>
          <w:spacing w:val="-2"/>
        </w:rPr>
        <w:t>金融资产整体转移满足终止确认条件的，将所转移金融资产的账面价值，与因转移而收到的对价及原计入其他综合收益</w:t>
      </w:r>
      <w:r>
        <w:rPr/>
        <w:t> 的公允价值变动累计额之和的差额计入当期损益。</w:t>
      </w:r>
    </w:p>
    <w:p>
      <w:pPr>
        <w:pStyle w:val="BodyText"/>
        <w:spacing w:line="212" w:lineRule="exact"/>
        <w:ind w:left="514" w:right="0"/>
        <w:jc w:val="left"/>
      </w:pPr>
      <w:r>
        <w:rPr/>
        <w:t>金融资产部分转移满足终止确认条件的，将所转移金融资产整体的账面价值，在终止确认部分和未终止确认部分之间，</w:t>
      </w:r>
    </w:p>
    <w:p>
      <w:pPr>
        <w:pStyle w:val="BodyText"/>
        <w:spacing w:line="232" w:lineRule="exact" w:before="24"/>
        <w:ind w:right="0"/>
        <w:jc w:val="left"/>
      </w:pPr>
      <w:r>
        <w:rPr>
          <w:spacing w:val="-2"/>
        </w:rPr>
        <w:t>按照各自的相对公允价值进行分摊，并将因转移而收到的对价及应分摊至终止确认部分的原计入其他综合收益的公允价值变</w:t>
      </w:r>
      <w:r>
        <w:rPr>
          <w:spacing w:val="-64"/>
        </w:rPr>
        <w:t> </w:t>
      </w:r>
      <w:r>
        <w:rPr>
          <w:spacing w:val="-64"/>
        </w:rPr>
      </w:r>
      <w:r>
        <w:rPr/>
        <w:t>动累计额之和，与分摊的前述账面金额的差额计入当期损益。</w:t>
      </w:r>
    </w:p>
    <w:p>
      <w:pPr>
        <w:pStyle w:val="BodyText"/>
        <w:spacing w:line="232" w:lineRule="exact" w:before="2"/>
        <w:ind w:left="514" w:right="0"/>
        <w:jc w:val="left"/>
      </w:pPr>
      <w:r>
        <w:rPr>
          <w:rFonts w:ascii="Times New Roman" w:hAnsi="Times New Roman" w:cs="Times New Roman" w:eastAsia="Times New Roman" w:hint="default"/>
        </w:rPr>
        <w:t>3</w:t>
      </w:r>
      <w:r>
        <w:rPr/>
        <w:t>）金融资产减值的测试方法及会计处理方法 </w:t>
      </w:r>
      <w:r>
        <w:rPr>
          <w:spacing w:val="-2"/>
        </w:rPr>
        <w:t>本集团于资产负债表日对金融资产的账面价值进行检查，有客观证据表明该金融资产发生减值的，计提减值准备。表明</w:t>
      </w:r>
    </w:p>
    <w:p>
      <w:pPr>
        <w:pStyle w:val="BodyText"/>
        <w:spacing w:line="232" w:lineRule="exact" w:before="2"/>
        <w:ind w:right="0"/>
        <w:jc w:val="left"/>
      </w:pPr>
      <w:r>
        <w:rPr>
          <w:spacing w:val="-2"/>
        </w:rPr>
        <w:t>金融资产发生减值的客观证据，是指金融资产初始确认后实际发生的、对该金融资产的预计未来现金流量有影响，且企业能</w:t>
      </w:r>
      <w:r>
        <w:rPr>
          <w:spacing w:val="-66"/>
        </w:rPr>
        <w:t> </w:t>
      </w:r>
      <w:r>
        <w:rPr>
          <w:spacing w:val="-66"/>
        </w:rPr>
      </w:r>
      <w:r>
        <w:rPr>
          <w:spacing w:val="-2"/>
        </w:rPr>
        <w:t>够对该影响进行可靠计量的事项。金融资产发生减值的客观证据，包括发行人或债务人发生严重财务困难、债务人违反合同</w:t>
      </w:r>
    </w:p>
    <w:p>
      <w:pPr>
        <w:pStyle w:val="BodyText"/>
        <w:spacing w:line="232" w:lineRule="exact" w:before="2"/>
        <w:ind w:right="0"/>
        <w:jc w:val="left"/>
      </w:pPr>
      <w:r>
        <w:rPr>
          <w:spacing w:val="-1"/>
        </w:rPr>
        <w:t>条款</w:t>
      </w:r>
      <w:r>
        <w:rPr>
          <w:rFonts w:ascii="Times New Roman" w:hAnsi="Times New Roman" w:cs="Times New Roman" w:eastAsia="Times New Roman" w:hint="default"/>
          <w:spacing w:val="-1"/>
        </w:rPr>
        <w:t>(</w:t>
      </w:r>
      <w:r>
        <w:rPr>
          <w:spacing w:val="-1"/>
        </w:rPr>
        <w:t>如偿付利息或本金发生违约或逾期等</w:t>
      </w:r>
      <w:r>
        <w:rPr>
          <w:rFonts w:ascii="Times New Roman" w:hAnsi="Times New Roman" w:cs="Times New Roman" w:eastAsia="Times New Roman" w:hint="default"/>
          <w:spacing w:val="-1"/>
        </w:rPr>
        <w:t>)</w:t>
      </w:r>
      <w:r>
        <w:rPr>
          <w:spacing w:val="-1"/>
        </w:rPr>
        <w:t>、债务人很可能倒闭或进行其他财务重组，以及公开的数据显示预计未来现金流</w:t>
      </w:r>
      <w:r>
        <w:rPr>
          <w:spacing w:val="-57"/>
        </w:rPr>
        <w:t> </w:t>
      </w:r>
      <w:r>
        <w:rPr>
          <w:spacing w:val="-57"/>
        </w:rPr>
      </w:r>
      <w:r>
        <w:rPr/>
        <w:t>量确已减少且可计量。</w:t>
      </w:r>
    </w:p>
    <w:p>
      <w:pPr>
        <w:pStyle w:val="BodyText"/>
        <w:spacing w:line="232" w:lineRule="exact" w:before="2"/>
        <w:ind w:left="514" w:right="0"/>
        <w:jc w:val="left"/>
      </w:pPr>
      <w:r>
        <w:rPr>
          <w:rFonts w:ascii="Times New Roman" w:hAnsi="Times New Roman" w:cs="Times New Roman" w:eastAsia="Times New Roman" w:hint="default"/>
        </w:rPr>
        <w:t>A</w:t>
      </w:r>
      <w:r>
        <w:rPr/>
        <w:t>、以摊余成本计量的金融资产 发生减值时，将该金融资产的账面通过备抵项目价值减记至预计未来现金流量</w:t>
      </w:r>
      <w:r>
        <w:rPr>
          <w:rFonts w:ascii="Times New Roman" w:hAnsi="Times New Roman" w:cs="Times New Roman" w:eastAsia="Times New Roman" w:hint="default"/>
        </w:rPr>
        <w:t>(</w:t>
      </w:r>
      <w:r>
        <w:rPr/>
        <w:t>不包括尚未发生的未来信用损失</w:t>
      </w:r>
      <w:r>
        <w:rPr>
          <w:rFonts w:ascii="Times New Roman" w:hAnsi="Times New Roman" w:cs="Times New Roman" w:eastAsia="Times New Roman" w:hint="default"/>
        </w:rPr>
        <w:t>)</w:t>
      </w:r>
      <w:r>
        <w:rPr/>
        <w:t>现值，</w:t>
      </w:r>
    </w:p>
    <w:p>
      <w:pPr>
        <w:pStyle w:val="BodyText"/>
        <w:spacing w:line="232" w:lineRule="exact" w:before="2"/>
        <w:ind w:right="1032"/>
        <w:jc w:val="left"/>
      </w:pPr>
      <w:r>
        <w:rPr>
          <w:spacing w:val="-3"/>
        </w:rPr>
        <w:t>减记金额计入当期损益。预计未来现金流量现值，按照该金融资产原实际利率</w:t>
      </w:r>
      <w:r>
        <w:rPr>
          <w:rFonts w:ascii="Times New Roman" w:hAnsi="Times New Roman" w:cs="Times New Roman" w:eastAsia="Times New Roman" w:hint="default"/>
          <w:spacing w:val="-3"/>
        </w:rPr>
        <w:t>(</w:t>
      </w:r>
      <w:r>
        <w:rPr>
          <w:spacing w:val="-3"/>
        </w:rPr>
        <w:t>即初始确认时计算确定的实际利率</w:t>
      </w:r>
      <w:r>
        <w:rPr>
          <w:rFonts w:ascii="Times New Roman" w:hAnsi="Times New Roman" w:cs="Times New Roman" w:eastAsia="Times New Roman" w:hint="default"/>
          <w:spacing w:val="-3"/>
        </w:rPr>
        <w:t>)</w:t>
      </w:r>
      <w:r>
        <w:rPr>
          <w:spacing w:val="-3"/>
        </w:rPr>
        <w:t>折现确定，</w:t>
      </w:r>
      <w:r>
        <w:rPr>
          <w:spacing w:val="-36"/>
        </w:rPr>
        <w:t> </w:t>
      </w:r>
      <w:r>
        <w:rPr/>
        <w:t>并考虑相关担保物的价值。减值后利息收入按照确定减值损失时对未来现金流量进行折现采用的折现率作为利率计算确认。</w:t>
      </w:r>
    </w:p>
    <w:p>
      <w:pPr>
        <w:pStyle w:val="BodyText"/>
        <w:spacing w:line="232" w:lineRule="exact" w:before="2"/>
        <w:ind w:right="0"/>
        <w:jc w:val="left"/>
      </w:pPr>
      <w:r>
        <w:rPr>
          <w:spacing w:val="-2"/>
        </w:rPr>
        <w:t>对于贷款和应收款项，如果没有未来收回的现实预期且所有抵押品均已变现或已转入本公司，则转销贷款和应收款项以及与</w:t>
      </w:r>
      <w:r>
        <w:rPr>
          <w:spacing w:val="-64"/>
        </w:rPr>
        <w:t> </w:t>
      </w:r>
      <w:r>
        <w:rPr>
          <w:spacing w:val="-64"/>
        </w:rPr>
      </w:r>
      <w:r>
        <w:rPr/>
        <w:t>之相关的减值准备。</w:t>
      </w:r>
    </w:p>
    <w:p>
      <w:pPr>
        <w:spacing w:after="0" w:line="232" w:lineRule="exact"/>
        <w:jc w:val="left"/>
        <w:sectPr>
          <w:pgSz w:w="11910" w:h="16840"/>
          <w:pgMar w:header="877" w:footer="979" w:top="1100" w:bottom="1160" w:left="980" w:right="0"/>
        </w:sectPr>
      </w:pPr>
    </w:p>
    <w:p>
      <w:pPr>
        <w:spacing w:line="240" w:lineRule="auto" w:before="10"/>
        <w:rPr>
          <w:rFonts w:ascii="宋体" w:hAnsi="宋体" w:cs="宋体" w:eastAsia="宋体" w:hint="default"/>
          <w:sz w:val="18"/>
          <w:szCs w:val="18"/>
        </w:rPr>
      </w:pPr>
    </w:p>
    <w:p>
      <w:pPr>
        <w:pStyle w:val="BodyText"/>
        <w:spacing w:line="230" w:lineRule="auto" w:before="53"/>
        <w:ind w:right="1129" w:firstLine="360"/>
        <w:jc w:val="both"/>
      </w:pPr>
      <w:r>
        <w:rPr>
          <w:spacing w:val="-2"/>
        </w:rPr>
        <w:t>对单项金额重大的金融资产单独进行减值测试，如有客观证据表明其已发生减值，确认减值损失，计入当期损益。单项</w:t>
      </w:r>
      <w:r>
        <w:rPr/>
        <w:t> </w:t>
      </w:r>
      <w:r>
        <w:rPr>
          <w:spacing w:val="-2"/>
        </w:rPr>
        <w:t>金额不重大且按照组合计提坏账准备不能反映其风险特征的金融资产，将其从相关组合中分离出来，根据其未来现金流量现</w:t>
      </w:r>
      <w:r>
        <w:rPr>
          <w:spacing w:val="-64"/>
        </w:rPr>
        <w:t> </w:t>
      </w:r>
      <w:r>
        <w:rPr>
          <w:spacing w:val="-64"/>
        </w:rPr>
      </w:r>
      <w:r>
        <w:rPr/>
        <w:t>值低于其账面价值的差额，确认减值损失，计提坏账准备。单独测试未发生减值的金融资产</w:t>
      </w:r>
      <w:r>
        <w:rPr>
          <w:rFonts w:ascii="Times New Roman" w:hAnsi="Times New Roman" w:cs="Times New Roman" w:eastAsia="Times New Roman" w:hint="default"/>
        </w:rPr>
        <w:t>(</w:t>
      </w:r>
      <w:r>
        <w:rPr/>
        <w:t>包括单项金额重大和不重大的</w:t>
      </w:r>
      <w:r>
        <w:rPr>
          <w:spacing w:val="-53"/>
        </w:rPr>
        <w:t> </w:t>
      </w:r>
      <w:r>
        <w:rPr>
          <w:spacing w:val="-53"/>
        </w:rPr>
      </w:r>
      <w:r>
        <w:rPr/>
        <w:t>金融资产</w:t>
      </w:r>
      <w:r>
        <w:rPr>
          <w:rFonts w:ascii="Times New Roman" w:hAnsi="Times New Roman" w:cs="Times New Roman" w:eastAsia="Times New Roman" w:hint="default"/>
        </w:rPr>
        <w:t>)</w:t>
      </w:r>
      <w:r>
        <w:rPr/>
        <w:t>，包括在具有类似信用风险特征的金融资产组合中再进行减值测试。已单项确认减值损失的金融资产，不包括在</w:t>
      </w:r>
      <w:r>
        <w:rPr>
          <w:spacing w:val="-57"/>
        </w:rPr>
        <w:t> </w:t>
      </w:r>
      <w:r>
        <w:rPr>
          <w:spacing w:val="-57"/>
        </w:rPr>
      </w:r>
      <w:r>
        <w:rPr/>
        <w:t>具有类似信用风险特征的金融资产组合中进行减值测试。</w:t>
      </w:r>
    </w:p>
    <w:p>
      <w:pPr>
        <w:pStyle w:val="BodyText"/>
        <w:spacing w:line="237" w:lineRule="auto" w:before="1"/>
        <w:ind w:right="1131" w:firstLine="360"/>
        <w:jc w:val="both"/>
      </w:pPr>
      <w:r>
        <w:rPr>
          <w:spacing w:val="-2"/>
        </w:rPr>
        <w:t>本集团对以摊余成本计量的金融资产确认减值损失后，如有客观证据表明该金融资产价值已恢复，且客观上与确认该损</w:t>
      </w:r>
      <w:r>
        <w:rPr/>
        <w:t> </w:t>
      </w:r>
      <w:r>
        <w:rPr>
          <w:spacing w:val="-2"/>
        </w:rPr>
        <w:t>失后发生的事项有关，原确认的减值损失予以转回，计入当期损益。但是，该转回后的账面价值不超过假定不计提减值准备</w:t>
      </w:r>
      <w:r>
        <w:rPr>
          <w:spacing w:val="-66"/>
        </w:rPr>
        <w:t> </w:t>
      </w:r>
      <w:r>
        <w:rPr>
          <w:spacing w:val="-66"/>
        </w:rPr>
      </w:r>
      <w:r>
        <w:rPr/>
        <w:t>情况下该金融资产在转回日的摊余成本。</w:t>
      </w:r>
    </w:p>
    <w:p>
      <w:pPr>
        <w:pStyle w:val="BodyText"/>
        <w:spacing w:line="234" w:lineRule="exact" w:before="20"/>
        <w:ind w:left="514" w:right="0"/>
        <w:jc w:val="left"/>
      </w:pPr>
      <w:r>
        <w:rPr>
          <w:rFonts w:ascii="Times New Roman" w:hAnsi="Times New Roman" w:cs="Times New Roman" w:eastAsia="Times New Roman" w:hint="default"/>
        </w:rPr>
        <w:t>B</w:t>
      </w:r>
      <w:r>
        <w:rPr/>
        <w:t>、可供出售金融资产 </w:t>
      </w:r>
      <w:r>
        <w:rPr>
          <w:spacing w:val="-2"/>
        </w:rPr>
        <w:t>如果有客观证据表明该金融资产发生减值，原计入其他综合收益的因公允价值下降形成的累计损失，予以转出，计入当</w:t>
      </w:r>
    </w:p>
    <w:p>
      <w:pPr>
        <w:pStyle w:val="BodyText"/>
        <w:spacing w:line="211" w:lineRule="exact"/>
        <w:ind w:right="0"/>
        <w:jc w:val="left"/>
      </w:pPr>
      <w:r>
        <w:rPr/>
        <w:t>期损益。该转出的累计损失，为可供出售金融资产的初始取得成本扣除已收回本金和已摊销金额、当前公允价值和原已计入</w:t>
      </w:r>
    </w:p>
    <w:p>
      <w:pPr>
        <w:pStyle w:val="BodyText"/>
        <w:spacing w:line="232" w:lineRule="exact" w:before="24"/>
        <w:ind w:left="514" w:right="0" w:hanging="360"/>
        <w:jc w:val="left"/>
      </w:pPr>
      <w:r>
        <w:rPr/>
        <w:t>损益的减值损失后的余额。 </w:t>
      </w:r>
      <w:r>
        <w:rPr>
          <w:spacing w:val="-2"/>
        </w:rPr>
        <w:t>可供出售权益工具投资发生减值的客观证据，包括公允价值发生严重或非暂时性下跌。</w:t>
      </w:r>
      <w:r>
        <w:rPr>
          <w:rFonts w:ascii="Times New Roman" w:hAnsi="Times New Roman" w:cs="Times New Roman" w:eastAsia="Times New Roman" w:hint="default"/>
          <w:spacing w:val="-2"/>
        </w:rPr>
        <w:t>“</w:t>
      </w:r>
      <w:r>
        <w:rPr>
          <w:spacing w:val="-2"/>
        </w:rPr>
        <w:t>严重</w:t>
      </w:r>
      <w:r>
        <w:rPr>
          <w:rFonts w:ascii="Times New Roman" w:hAnsi="Times New Roman" w:cs="Times New Roman" w:eastAsia="Times New Roman" w:hint="default"/>
          <w:spacing w:val="-2"/>
        </w:rPr>
        <w:t>”</w:t>
      </w:r>
      <w:r>
        <w:rPr>
          <w:spacing w:val="-2"/>
        </w:rPr>
        <w:t>根据公允价值低于成本的</w:t>
      </w:r>
    </w:p>
    <w:p>
      <w:pPr>
        <w:pStyle w:val="BodyText"/>
        <w:spacing w:line="232" w:lineRule="exact" w:before="2"/>
        <w:ind w:right="0"/>
        <w:jc w:val="left"/>
      </w:pPr>
      <w:r>
        <w:rPr/>
        <w:t>程度进行判断，</w:t>
      </w:r>
      <w:r>
        <w:rPr>
          <w:rFonts w:ascii="Times New Roman" w:hAnsi="Times New Roman" w:cs="Times New Roman" w:eastAsia="Times New Roman" w:hint="default"/>
        </w:rPr>
        <w:t>“</w:t>
      </w:r>
      <w:r>
        <w:rPr/>
        <w:t>非暂时性</w:t>
      </w:r>
      <w:r>
        <w:rPr>
          <w:rFonts w:ascii="Times New Roman" w:hAnsi="Times New Roman" w:cs="Times New Roman" w:eastAsia="Times New Roman" w:hint="default"/>
        </w:rPr>
        <w:t>”</w:t>
      </w:r>
      <w:r>
        <w:rPr/>
        <w:t>根据公允价值低于成本的期间长短进行判断。存在发生减值的客观证据的，转出的累计损失，为 </w:t>
      </w:r>
      <w:r>
        <w:rPr>
          <w:spacing w:val="-4"/>
        </w:rPr>
        <w:t>取得成本扣除当前公允价值和原已计入损益的减值损失后的余额。可供出售权益工具投资发生的减值损失，不通过损益转回，</w:t>
      </w:r>
    </w:p>
    <w:p>
      <w:pPr>
        <w:pStyle w:val="BodyText"/>
        <w:spacing w:line="234" w:lineRule="exact"/>
        <w:ind w:left="514" w:right="1126" w:hanging="360"/>
        <w:jc w:val="left"/>
      </w:pPr>
      <w:r>
        <w:rPr/>
        <w:t>减值之后发生的公允价值增加直接在其他综合收益中确认。 </w:t>
      </w:r>
      <w:r>
        <w:rPr>
          <w:spacing w:val="-1"/>
        </w:rPr>
        <w:t>在确定何谓</w:t>
      </w:r>
      <w:r>
        <w:rPr>
          <w:rFonts w:ascii="Times New Roman" w:hAnsi="Times New Roman" w:cs="Times New Roman" w:eastAsia="Times New Roman" w:hint="default"/>
          <w:spacing w:val="-1"/>
        </w:rPr>
        <w:t>“</w:t>
      </w:r>
      <w:r>
        <w:rPr>
          <w:spacing w:val="-1"/>
        </w:rPr>
        <w:t>严重</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非暂时性</w:t>
      </w:r>
      <w:r>
        <w:rPr>
          <w:rFonts w:ascii="Times New Roman" w:hAnsi="Times New Roman" w:cs="Times New Roman" w:eastAsia="Times New Roman" w:hint="default"/>
          <w:spacing w:val="-1"/>
        </w:rPr>
        <w:t>”</w:t>
      </w:r>
      <w:r>
        <w:rPr>
          <w:spacing w:val="-1"/>
        </w:rPr>
        <w:t>时，需要进行判断。本公司根据公允价值低于成本的程度或期间长短，结合其他因素进</w:t>
      </w:r>
    </w:p>
    <w:p>
      <w:pPr>
        <w:pStyle w:val="BodyText"/>
        <w:spacing w:line="211" w:lineRule="exact"/>
        <w:ind w:right="0"/>
        <w:jc w:val="left"/>
      </w:pPr>
      <w:r>
        <w:rPr/>
        <w:t>行判断。</w:t>
      </w:r>
    </w:p>
    <w:p>
      <w:pPr>
        <w:pStyle w:val="BodyText"/>
        <w:spacing w:line="237" w:lineRule="auto" w:before="1"/>
        <w:ind w:right="1131" w:firstLine="360"/>
        <w:jc w:val="both"/>
      </w:pPr>
      <w:r>
        <w:rPr>
          <w:spacing w:val="-2"/>
        </w:rPr>
        <w:t>对于可供出售债务工具投资，其减值按照与以摊余成本计量的金融资产相同的方法评估。不过，转出的累计损失，为摊</w:t>
      </w:r>
      <w:r>
        <w:rPr/>
        <w:t> </w:t>
      </w:r>
      <w:r>
        <w:rPr>
          <w:spacing w:val="-2"/>
        </w:rPr>
        <w:t>余成本扣除当前公允价值和原已计入损益的减值损失后的余额。减值后利息收入按照确定减值损失时对未来现金流量进行折</w:t>
      </w:r>
      <w:r>
        <w:rPr>
          <w:spacing w:val="-64"/>
        </w:rPr>
        <w:t> </w:t>
      </w:r>
      <w:r>
        <w:rPr>
          <w:spacing w:val="-64"/>
        </w:rPr>
      </w:r>
      <w:r>
        <w:rPr/>
        <w:t>现采用的折现率作为利率计算确认。</w:t>
      </w:r>
    </w:p>
    <w:p>
      <w:pPr>
        <w:pStyle w:val="BodyText"/>
        <w:spacing w:line="234" w:lineRule="exact" w:before="20"/>
        <w:ind w:right="1131" w:firstLine="360"/>
        <w:jc w:val="both"/>
      </w:pPr>
      <w:r>
        <w:rPr>
          <w:spacing w:val="-2"/>
        </w:rPr>
        <w:t>对于已确认减值损失的可供出售债务工具，在随后的会计期间公允价值已上升且客观上与确认原减值损失确认后发生的</w:t>
      </w:r>
      <w:r>
        <w:rPr/>
        <w:t> 事项有关的，原确认的减值损失予以转回，计入当期损益。</w:t>
      </w:r>
    </w:p>
    <w:p>
      <w:pPr>
        <w:pStyle w:val="Heading5"/>
        <w:spacing w:line="217" w:lineRule="exact" w:before="0"/>
        <w:ind w:left="515" w:right="0"/>
        <w:jc w:val="left"/>
        <w:rPr>
          <w:b w:val="0"/>
          <w:bCs w:val="0"/>
        </w:rPr>
      </w:pPr>
      <w:r>
        <w:rPr/>
        <w:t>（</w:t>
      </w:r>
      <w:r>
        <w:rPr>
          <w:rFonts w:ascii="Times New Roman" w:hAnsi="Times New Roman" w:cs="Times New Roman" w:eastAsia="Times New Roman" w:hint="default"/>
        </w:rPr>
        <w:t>2</w:t>
      </w:r>
      <w:r>
        <w:rPr/>
        <w:t>）金融负债</w:t>
      </w:r>
      <w:r>
        <w:rPr>
          <w:b w:val="0"/>
          <w:bCs w:val="0"/>
        </w:rPr>
      </w:r>
    </w:p>
    <w:p>
      <w:pPr>
        <w:pStyle w:val="BodyText"/>
        <w:spacing w:line="230" w:lineRule="auto" w:before="1"/>
        <w:ind w:left="514" w:right="0"/>
        <w:jc w:val="left"/>
      </w:pPr>
      <w:r>
        <w:rPr>
          <w:rFonts w:ascii="Times New Roman" w:hAnsi="Times New Roman" w:cs="Times New Roman" w:eastAsia="Times New Roman" w:hint="default"/>
        </w:rPr>
        <w:t>1</w:t>
      </w:r>
      <w:r>
        <w:rPr/>
        <w:t>）金融负债分类、确认依据和计量方法 金融负债于初始确认时分类为以公允价值计量且其变动计入当期损益的金融负债和其他金融负债。 </w:t>
      </w:r>
      <w:r>
        <w:rPr>
          <w:spacing w:val="-2"/>
        </w:rPr>
        <w:t>以公允价值计量且其变动计入当期损益的金融负债，包括交易性金融负债和初始确认时指定为以公允价值计量且其变动</w:t>
      </w:r>
    </w:p>
    <w:p>
      <w:pPr>
        <w:pStyle w:val="BodyText"/>
        <w:spacing w:line="237" w:lineRule="auto"/>
        <w:ind w:right="1032"/>
        <w:jc w:val="left"/>
      </w:pPr>
      <w:r>
        <w:rPr>
          <w:spacing w:val="-2"/>
        </w:rPr>
        <w:t>计入当期损益的金融负债。交易性金融负债，是指满足下列条件之一的金融负债：承担该金融负债的目的是为了在近期内回</w:t>
      </w:r>
      <w:r>
        <w:rPr>
          <w:spacing w:val="-66"/>
        </w:rPr>
        <w:t> </w:t>
      </w:r>
      <w:r>
        <w:rPr>
          <w:spacing w:val="-66"/>
        </w:rPr>
      </w:r>
      <w:r>
        <w:rPr/>
        <w:t>购；属于进行集中管理的可辨认金融工具组合的一部分，且有客观证据表明企业近期采用短期获利方式对该组合进行管理；</w:t>
      </w:r>
      <w:r>
        <w:rPr>
          <w:spacing w:val="-85"/>
        </w:rPr>
        <w:t> </w:t>
      </w:r>
      <w:r>
        <w:rPr>
          <w:spacing w:val="-85"/>
        </w:rPr>
      </w:r>
      <w:r>
        <w:rPr>
          <w:spacing w:val="-2"/>
        </w:rPr>
        <w:t>属于衍生工具，但是，被指定且为有效套期工具的衍生工具、属于财务担保合同的衍生工具、与在活跃市场中没有报价且其</w:t>
      </w:r>
      <w:r>
        <w:rPr>
          <w:spacing w:val="-66"/>
        </w:rPr>
        <w:t> </w:t>
      </w:r>
      <w:r>
        <w:rPr>
          <w:spacing w:val="-66"/>
        </w:rPr>
      </w:r>
      <w:r>
        <w:rPr>
          <w:spacing w:val="-2"/>
        </w:rPr>
        <w:t>公允价值不能可靠计量的权益工具投资挂钩并须通过交付该权益工具结算的衍生工具除外。对于此类金融负债，按照公允价</w:t>
      </w:r>
      <w:r>
        <w:rPr>
          <w:spacing w:val="-64"/>
        </w:rPr>
        <w:t> </w:t>
      </w:r>
      <w:r>
        <w:rPr>
          <w:spacing w:val="-64"/>
        </w:rPr>
      </w:r>
      <w:r>
        <w:rPr/>
        <w:t>值进行后续计量，所有已实现和未实现的损益均计入当期损益。</w:t>
      </w:r>
    </w:p>
    <w:p>
      <w:pPr>
        <w:pStyle w:val="BodyText"/>
        <w:spacing w:line="233" w:lineRule="exact"/>
        <w:ind w:left="514" w:right="0"/>
        <w:jc w:val="left"/>
      </w:pPr>
      <w:r>
        <w:rPr/>
        <w:t>其他金融负债，采用实际利率法，按照摊余成本进行后续计量。</w:t>
      </w:r>
    </w:p>
    <w:p>
      <w:pPr>
        <w:pStyle w:val="BodyText"/>
        <w:spacing w:line="232" w:lineRule="exact" w:before="24"/>
        <w:ind w:left="514" w:right="0"/>
        <w:jc w:val="left"/>
      </w:pPr>
      <w:r>
        <w:rPr>
          <w:rFonts w:ascii="Times New Roman" w:hAnsi="Times New Roman" w:cs="Times New Roman" w:eastAsia="Times New Roman" w:hint="default"/>
        </w:rPr>
        <w:t>2</w:t>
      </w:r>
      <w:r>
        <w:rPr/>
        <w:t>）金融负债终止确认条件 </w:t>
      </w:r>
      <w:r>
        <w:rPr>
          <w:spacing w:val="-4"/>
        </w:rPr>
        <w:t>当金融负债的现时义务全部或部分已经解除时，终止确认该金融负债或义务已解除的部分。公司与债权人之间签订协议，</w:t>
      </w:r>
    </w:p>
    <w:p>
      <w:pPr>
        <w:pStyle w:val="BodyText"/>
        <w:spacing w:line="232" w:lineRule="exact" w:before="2"/>
        <w:ind w:right="1026"/>
        <w:jc w:val="left"/>
      </w:pPr>
      <w:r>
        <w:rPr/>
        <w:t>以承担新金融负债方式替换现存金融负债</w:t>
      </w:r>
      <w:r>
        <w:rPr>
          <w:spacing w:val="-87"/>
        </w:rPr>
        <w:t>，</w:t>
      </w:r>
      <w:r>
        <w:rPr/>
        <w:t>且新金融负债与现存金融负债的合同条款实质上不同的</w:t>
      </w:r>
      <w:r>
        <w:rPr>
          <w:spacing w:val="-87"/>
        </w:rPr>
        <w:t>，</w:t>
      </w:r>
      <w:r>
        <w:rPr/>
        <w:t>终止确认现存金融负债，</w:t>
      </w:r>
      <w:r>
        <w:rPr/>
        <w:t> 并同时确认新金融负债</w:t>
      </w:r>
      <w:r>
        <w:rPr>
          <w:spacing w:val="-87"/>
        </w:rPr>
        <w:t>。</w:t>
      </w:r>
      <w:r>
        <w:rPr/>
        <w:t>公司对现存金融负债全部或部分的合同条款作出实质性修改的</w:t>
      </w:r>
      <w:r>
        <w:rPr>
          <w:spacing w:val="-87"/>
        </w:rPr>
        <w:t>，</w:t>
      </w:r>
      <w:r>
        <w:rPr/>
        <w:t>终止确认现存金融负债或其一部分，</w:t>
      </w:r>
    </w:p>
    <w:p>
      <w:pPr>
        <w:pStyle w:val="BodyText"/>
        <w:spacing w:line="212" w:lineRule="exact"/>
        <w:ind w:right="0"/>
        <w:jc w:val="left"/>
      </w:pPr>
      <w:r>
        <w:rPr/>
        <w:t>同时将修改条款后的金融负债确认为一项新金融负债。终止确认部分的账面价值与支付的对价之间的差额，计入当期损益。</w:t>
      </w:r>
    </w:p>
    <w:p>
      <w:pPr>
        <w:spacing w:line="234" w:lineRule="exact" w:before="21"/>
        <w:ind w:left="514" w:right="0"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）金融资产和金融负债的公允价值确定方法</w:t>
      </w:r>
      <w:r>
        <w:rPr>
          <w:rFonts w:ascii="宋体" w:hAnsi="宋体" w:cs="宋体" w:eastAsia="宋体" w:hint="default"/>
          <w:b/>
          <w:bCs/>
          <w:w w:val="99"/>
          <w:sz w:val="18"/>
          <w:szCs w:val="18"/>
        </w:rPr>
        <w:t> </w:t>
      </w:r>
      <w:r>
        <w:rPr>
          <w:rFonts w:ascii="宋体" w:hAnsi="宋体" w:cs="宋体" w:eastAsia="宋体" w:hint="default"/>
          <w:spacing w:val="-2"/>
          <w:sz w:val="18"/>
          <w:szCs w:val="18"/>
        </w:rPr>
        <w:t>本集团于每个资产负债表日以公允价值计量衍生金融工具。公允价值，是指市场参与者在计量日发生的有序交易中，出</w:t>
      </w:r>
    </w:p>
    <w:p>
      <w:pPr>
        <w:pStyle w:val="BodyText"/>
        <w:spacing w:line="211" w:lineRule="exact"/>
        <w:ind w:right="0"/>
        <w:jc w:val="left"/>
      </w:pPr>
      <w:r>
        <w:rPr/>
        <w:t>售一项资产所能收到或者转移一项负债所需支付的价格。本集团以公允价值计量相关资产或负债，假定出售资产或者转移负</w:t>
      </w:r>
    </w:p>
    <w:p>
      <w:pPr>
        <w:pStyle w:val="BodyText"/>
        <w:spacing w:line="230" w:lineRule="auto" w:before="7"/>
        <w:ind w:right="1131"/>
        <w:jc w:val="both"/>
      </w:pPr>
      <w:r>
        <w:rPr>
          <w:spacing w:val="-2"/>
        </w:rPr>
        <w:t>债的有序交易在相关资产或负债的主要市场进行；不存在主要市场的，本集团假定该交易在相关资产或负债的最有利市场进</w:t>
      </w:r>
      <w:r>
        <w:rPr>
          <w:spacing w:val="-64"/>
        </w:rPr>
        <w:t> </w:t>
      </w:r>
      <w:r>
        <w:rPr>
          <w:spacing w:val="-64"/>
        </w:rPr>
      </w:r>
      <w:r>
        <w:rPr>
          <w:spacing w:val="-1"/>
        </w:rPr>
        <w:t>行。主要市场</w:t>
      </w:r>
      <w:r>
        <w:rPr>
          <w:rFonts w:ascii="Times New Roman" w:hAnsi="Times New Roman" w:cs="Times New Roman" w:eastAsia="Times New Roman" w:hint="default"/>
          <w:spacing w:val="-1"/>
        </w:rPr>
        <w:t>(</w:t>
      </w:r>
      <w:r>
        <w:rPr>
          <w:spacing w:val="-1"/>
        </w:rPr>
        <w:t>或最有利市场</w:t>
      </w:r>
      <w:r>
        <w:rPr>
          <w:rFonts w:ascii="Times New Roman" w:hAnsi="Times New Roman" w:cs="Times New Roman" w:eastAsia="Times New Roman" w:hint="default"/>
          <w:spacing w:val="-1"/>
        </w:rPr>
        <w:t>)</w:t>
      </w:r>
      <w:r>
        <w:rPr>
          <w:spacing w:val="-1"/>
        </w:rPr>
        <w:t>是本集团在计量日能够进入的交易市场。本集团采用市场参与者在对该资产或负债定价时为实</w:t>
      </w:r>
      <w:r>
        <w:rPr>
          <w:spacing w:val="-57"/>
        </w:rPr>
        <w:t> </w:t>
      </w:r>
      <w:r>
        <w:rPr>
          <w:spacing w:val="-57"/>
        </w:rPr>
      </w:r>
      <w:r>
        <w:rPr/>
        <w:t>现其经济利益最大化所使用的假设。</w:t>
      </w:r>
    </w:p>
    <w:p>
      <w:pPr>
        <w:pStyle w:val="BodyText"/>
        <w:spacing w:line="237" w:lineRule="auto"/>
        <w:ind w:right="0" w:firstLine="360"/>
        <w:jc w:val="left"/>
      </w:pPr>
      <w:r>
        <w:rPr>
          <w:spacing w:val="-2"/>
        </w:rPr>
        <w:t>本集团以主要市场的价格计量金融资产和金融负债的公允价值，不存在主要市场的，以最有利市场的价格计量金融资产</w:t>
      </w:r>
      <w:r>
        <w:rPr/>
        <w:t> </w:t>
      </w:r>
      <w:r>
        <w:rPr>
          <w:spacing w:val="-4"/>
        </w:rPr>
        <w:t>和金融负债的公允价值，并且采用当时适用并且有足够可利用数据和其他信息支持的估值技术，优先使用相关可观察输入值，</w:t>
      </w:r>
      <w:r>
        <w:rPr>
          <w:spacing w:val="-44"/>
        </w:rPr>
        <w:t> </w:t>
      </w:r>
      <w:r>
        <w:rPr>
          <w:spacing w:val="-44"/>
        </w:rPr>
      </w:r>
      <w:r>
        <w:rPr/>
        <w:t>只有在可观察输入值无法取得或取得不切实可行的情况下，才使用不可观察输入值。</w:t>
      </w:r>
    </w:p>
    <w:p>
      <w:pPr>
        <w:pStyle w:val="BodyText"/>
        <w:spacing w:line="237" w:lineRule="auto" w:before="1"/>
        <w:ind w:right="1131" w:firstLine="360"/>
        <w:jc w:val="both"/>
      </w:pPr>
      <w:r>
        <w:rPr>
          <w:spacing w:val="-2"/>
        </w:rPr>
        <w:t>在财务报表中以公允价值计量或披露的资产和负债，根据对公允价值计量整体而言具有重要意义的最低层次输入值，确</w:t>
      </w:r>
      <w:r>
        <w:rPr/>
        <w:t> </w:t>
      </w:r>
      <w:r>
        <w:rPr>
          <w:spacing w:val="-2"/>
        </w:rPr>
        <w:t>定所属的公允价值层次：第一层次输入值，在计量日能够取得的相同资产或负债在活跃市场上未经调整的报价；第二层次输</w:t>
      </w:r>
      <w:r>
        <w:rPr>
          <w:spacing w:val="-66"/>
        </w:rPr>
        <w:t> </w:t>
      </w:r>
      <w:r>
        <w:rPr>
          <w:spacing w:val="-66"/>
        </w:rPr>
      </w:r>
      <w:r>
        <w:rPr>
          <w:spacing w:val="-2"/>
        </w:rPr>
        <w:t>入值，除第一层次输入值外相关资产或负债直接或间接可观察的输入值；第三层次输入值，相关资产或负债的不可观察输入</w:t>
      </w:r>
      <w:r>
        <w:rPr>
          <w:spacing w:val="-66"/>
        </w:rPr>
        <w:t> </w:t>
      </w:r>
      <w:r>
        <w:rPr>
          <w:spacing w:val="-66"/>
        </w:rPr>
      </w:r>
      <w:r>
        <w:rPr/>
        <w:t>值。</w:t>
      </w:r>
    </w:p>
    <w:p>
      <w:pPr>
        <w:pStyle w:val="BodyText"/>
        <w:spacing w:line="234" w:lineRule="exact" w:before="20"/>
        <w:ind w:left="514" w:right="0" w:firstLine="1"/>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）金融工具抵销</w:t>
      </w:r>
      <w:r>
        <w:rPr>
          <w:rFonts w:ascii="宋体" w:hAnsi="宋体" w:cs="宋体" w:eastAsia="宋体" w:hint="default"/>
          <w:b/>
          <w:bCs/>
          <w:w w:val="99"/>
        </w:rPr>
        <w:t> </w:t>
      </w:r>
      <w:r>
        <w:rPr>
          <w:spacing w:val="-4"/>
        </w:rPr>
        <w:t>同时满足下列条件的，金融资产和金融负债以相互抵销后的净额在资产负债表内列示：具有抵销已确认金额的法定权利，</w:t>
      </w:r>
    </w:p>
    <w:p>
      <w:pPr>
        <w:pStyle w:val="BodyText"/>
        <w:spacing w:line="211" w:lineRule="exact"/>
        <w:ind w:right="0"/>
        <w:jc w:val="left"/>
      </w:pPr>
      <w:r>
        <w:rPr/>
        <w:t>且该种法定权利是当前可执行的；计划以净额结算，或同时变现该金融资产和清偿该金融负债。</w:t>
      </w:r>
    </w:p>
    <w:p>
      <w:pPr>
        <w:pStyle w:val="BodyText"/>
        <w:spacing w:line="232" w:lineRule="exact" w:before="24"/>
        <w:ind w:left="514" w:right="0" w:firstLine="1"/>
        <w:jc w:val="left"/>
      </w:pPr>
      <w:r>
        <w:rPr>
          <w:rFonts w:ascii="宋体" w:hAnsi="宋体" w:cs="宋体" w:eastAsia="宋体" w:hint="default"/>
          <w:b/>
          <w:bCs/>
        </w:rPr>
        <w:t>（</w:t>
      </w:r>
      <w:r>
        <w:rPr>
          <w:rFonts w:ascii="Times New Roman" w:hAnsi="Times New Roman" w:cs="Times New Roman" w:eastAsia="Times New Roman" w:hint="default"/>
          <w:b/>
          <w:bCs/>
        </w:rPr>
        <w:t>5</w:t>
      </w:r>
      <w:r>
        <w:rPr>
          <w:rFonts w:ascii="宋体" w:hAnsi="宋体" w:cs="宋体" w:eastAsia="宋体" w:hint="default"/>
          <w:b/>
          <w:bCs/>
        </w:rPr>
        <w:t>）财务担保合同</w:t>
      </w:r>
      <w:r>
        <w:rPr>
          <w:rFonts w:ascii="宋体" w:hAnsi="宋体" w:cs="宋体" w:eastAsia="宋体" w:hint="default"/>
          <w:b/>
          <w:bCs/>
          <w:w w:val="99"/>
        </w:rPr>
        <w:t> </w:t>
      </w:r>
      <w:r>
        <w:rPr>
          <w:spacing w:val="-2"/>
        </w:rPr>
        <w:t>财务担保合同，是指保证人和债权人约定，当债务人不履行债务时，保证人按照约定履行债务或者承担责任的合同。财</w:t>
      </w:r>
    </w:p>
    <w:p>
      <w:pPr>
        <w:pStyle w:val="BodyText"/>
        <w:spacing w:line="232" w:lineRule="exact" w:before="2"/>
        <w:ind w:right="0"/>
        <w:jc w:val="left"/>
      </w:pPr>
      <w:r>
        <w:rPr>
          <w:spacing w:val="-2"/>
        </w:rPr>
        <w:t>务担保合同在初始确认时按照公允价值计量，不属于指定为以公允价值计量且其变动计入当期损益的金融负债的财务担保合</w:t>
      </w:r>
      <w:r>
        <w:rPr>
          <w:spacing w:val="-64"/>
        </w:rPr>
        <w:t> </w:t>
      </w:r>
      <w:r>
        <w:rPr>
          <w:spacing w:val="-64"/>
        </w:rPr>
      </w:r>
      <w:r>
        <w:rPr>
          <w:spacing w:val="-2"/>
        </w:rPr>
        <w:t>同，在初始确认后，按照资产负债表日履行相关现时义务所需支出的当前最佳估计数确定的金额，和初始确认金额扣除（如</w:t>
      </w:r>
    </w:p>
    <w:p>
      <w:pPr>
        <w:pStyle w:val="BodyText"/>
        <w:spacing w:line="213" w:lineRule="exact"/>
        <w:ind w:right="0"/>
        <w:jc w:val="left"/>
      </w:pPr>
      <w:r>
        <w:rPr/>
        <w:t>适用）按照收入确认原则确定的累计摊销额后的余额，以两者之中的较高者进行后续计量。</w:t>
      </w:r>
    </w:p>
    <w:p>
      <w:pPr>
        <w:spacing w:after="0" w:line="213" w:lineRule="exact"/>
        <w:jc w:val="left"/>
        <w:sectPr>
          <w:pgSz w:w="11910" w:h="16840"/>
          <w:pgMar w:header="877" w:footer="979" w:top="1100" w:bottom="1160" w:left="980" w:right="0"/>
        </w:sectPr>
      </w:pPr>
    </w:p>
    <w:p>
      <w:pPr>
        <w:spacing w:line="240" w:lineRule="auto" w:before="10"/>
        <w:rPr>
          <w:rFonts w:ascii="宋体" w:hAnsi="宋体" w:cs="宋体" w:eastAsia="宋体" w:hint="default"/>
          <w:sz w:val="18"/>
          <w:szCs w:val="18"/>
        </w:rPr>
      </w:pPr>
    </w:p>
    <w:p>
      <w:pPr>
        <w:pStyle w:val="BodyText"/>
        <w:spacing w:line="234" w:lineRule="exact" w:before="67"/>
        <w:ind w:left="514" w:right="0" w:firstLine="1"/>
        <w:jc w:val="left"/>
      </w:pPr>
      <w:r>
        <w:rPr>
          <w:rFonts w:ascii="宋体" w:hAnsi="宋体" w:cs="宋体" w:eastAsia="宋体" w:hint="default"/>
          <w:b/>
          <w:bCs/>
        </w:rPr>
        <w:t>（</w:t>
      </w:r>
      <w:r>
        <w:rPr>
          <w:rFonts w:ascii="Times New Roman" w:hAnsi="Times New Roman" w:cs="Times New Roman" w:eastAsia="Times New Roman" w:hint="default"/>
          <w:b/>
          <w:bCs/>
        </w:rPr>
        <w:t>6</w:t>
      </w:r>
      <w:r>
        <w:rPr>
          <w:rFonts w:ascii="宋体" w:hAnsi="宋体" w:cs="宋体" w:eastAsia="宋体" w:hint="default"/>
          <w:b/>
          <w:bCs/>
        </w:rPr>
        <w:t>）衍生金融工具</w:t>
      </w:r>
      <w:r>
        <w:rPr>
          <w:rFonts w:ascii="宋体" w:hAnsi="宋体" w:cs="宋体" w:eastAsia="宋体" w:hint="default"/>
          <w:b/>
          <w:bCs/>
          <w:w w:val="99"/>
        </w:rPr>
        <w:t> </w:t>
      </w:r>
      <w:r>
        <w:rPr>
          <w:spacing w:val="-2"/>
        </w:rPr>
        <w:t>本集团使用衍生金融工具，例如以远期外汇合同对汇率风险进行套期保值。衍生金融工具初始以衍生交易合同签订当日</w:t>
      </w:r>
    </w:p>
    <w:p>
      <w:pPr>
        <w:pStyle w:val="BodyText"/>
        <w:spacing w:line="211" w:lineRule="exact"/>
        <w:ind w:right="0"/>
        <w:jc w:val="left"/>
      </w:pPr>
      <w:r>
        <w:rPr/>
        <w:t>的公允价值进行计量，并以其公允价值进行后续计量。公允价值为正数的衍生金融工具确认为一项资产，公允价值为负数的</w:t>
      </w:r>
    </w:p>
    <w:p>
      <w:pPr>
        <w:pStyle w:val="BodyText"/>
        <w:spacing w:line="232" w:lineRule="exact" w:before="24"/>
        <w:ind w:right="0"/>
        <w:jc w:val="left"/>
      </w:pPr>
      <w:r>
        <w:rPr>
          <w:spacing w:val="-2"/>
        </w:rPr>
        <w:t>确认为一项负债。但对于在活跃市场中没有报价且其公允价值不能可靠计量的权益工具挂钩并须通过交付该权益工具结算的</w:t>
      </w:r>
      <w:r>
        <w:rPr>
          <w:spacing w:val="-64"/>
        </w:rPr>
        <w:t> </w:t>
      </w:r>
      <w:r>
        <w:rPr>
          <w:spacing w:val="-64"/>
        </w:rPr>
      </w:r>
      <w:r>
        <w:rPr/>
        <w:t>衍生金融工具，按成本计量。</w:t>
      </w:r>
    </w:p>
    <w:p>
      <w:pPr>
        <w:pStyle w:val="BodyText"/>
        <w:spacing w:line="213" w:lineRule="exact"/>
        <w:ind w:left="514" w:right="0"/>
        <w:jc w:val="left"/>
      </w:pPr>
      <w:r>
        <w:rPr/>
        <w:t>本集团衍生工具公允价值变动而产生的利得或损失，直接计入当期损益。</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11、 应收票据及应收账款" w:id="181"/>
      <w:bookmarkEnd w:id="181"/>
      <w:r>
        <w:rPr>
          <w:b w:val="0"/>
          <w:bCs w:val="0"/>
        </w:rPr>
      </w:r>
      <w:r>
        <w:rPr>
          <w:rFonts w:ascii="Times New Roman" w:hAnsi="Times New Roman" w:cs="Times New Roman" w:eastAsia="Times New Roman" w:hint="default"/>
        </w:rPr>
        <w:t>11</w:t>
      </w:r>
      <w:r>
        <w:rPr/>
        <w:t>、</w:t>
      </w:r>
      <w:r>
        <w:rPr>
          <w:spacing w:val="-4"/>
        </w:rPr>
        <w:t> </w:t>
      </w:r>
      <w:r>
        <w:rPr/>
        <w:t>应收票据及应收账款</w:t>
      </w:r>
      <w:r>
        <w:rPr>
          <w:b w:val="0"/>
          <w:bCs w:val="0"/>
        </w:rPr>
      </w:r>
    </w:p>
    <w:p>
      <w:pPr>
        <w:spacing w:line="240" w:lineRule="auto" w:before="2"/>
        <w:rPr>
          <w:rFonts w:ascii="宋体" w:hAnsi="宋体" w:cs="宋体" w:eastAsia="宋体" w:hint="default"/>
          <w:b/>
          <w:bCs/>
          <w:sz w:val="22"/>
          <w:szCs w:val="22"/>
        </w:rPr>
      </w:pPr>
    </w:p>
    <w:p>
      <w:pPr>
        <w:pStyle w:val="BodyText"/>
        <w:spacing w:line="237" w:lineRule="auto"/>
        <w:ind w:right="1132" w:firstLine="360"/>
        <w:jc w:val="both"/>
      </w:pPr>
      <w:r>
        <w:rPr>
          <w:spacing w:val="-2"/>
        </w:rPr>
        <w:t>本集团将下列情形作为应收款项坏账损失确认标准：债务单位撤销、破产、资不抵债、现金流量严重不足、发生严重自</w:t>
      </w:r>
      <w:r>
        <w:rPr/>
        <w:t> </w:t>
      </w:r>
      <w:r>
        <w:rPr>
          <w:spacing w:val="-2"/>
        </w:rPr>
        <w:t>然灾害等导致停产而在可预见的时间内无法偿付债务等；债务单位逾期未履行偿债义务；其他确凿证据表明确实无法收回或</w:t>
      </w:r>
      <w:r>
        <w:rPr>
          <w:spacing w:val="-64"/>
        </w:rPr>
        <w:t> </w:t>
      </w:r>
      <w:r>
        <w:rPr>
          <w:spacing w:val="-64"/>
        </w:rPr>
      </w:r>
      <w:r>
        <w:rPr/>
        <w:t>收回的可能性不大。</w:t>
      </w:r>
    </w:p>
    <w:p>
      <w:pPr>
        <w:pStyle w:val="BodyText"/>
        <w:spacing w:line="232" w:lineRule="exact" w:before="23"/>
        <w:ind w:right="1131" w:firstLine="360"/>
        <w:jc w:val="both"/>
      </w:pPr>
      <w:r>
        <w:rPr>
          <w:spacing w:val="-2"/>
        </w:rPr>
        <w:t>对可能发生的坏账损失采用备抵法核算，年末单独或按组合进行减值测试，计提坏账准备，计入当期损益。对于有确凿</w:t>
      </w:r>
      <w:r>
        <w:rPr/>
        <w:t> 证据表明确实无法收回的应收款项，经本集团按规定程序批准后作为坏账损失，冲销提取的坏账准备。</w:t>
      </w:r>
    </w:p>
    <w:p>
      <w:pPr>
        <w:pStyle w:val="BodyText"/>
        <w:spacing w:line="240" w:lineRule="auto" w:before="18"/>
        <w:ind w:right="0"/>
        <w:jc w:val="left"/>
      </w:pPr>
      <w:r>
        <w:rPr/>
        <w:t>（</w:t>
      </w:r>
      <w:r>
        <w:rPr>
          <w:rFonts w:ascii="Times New Roman" w:hAnsi="Times New Roman" w:cs="Times New Roman" w:eastAsia="Times New Roman" w:hint="default"/>
        </w:rPr>
        <w:t>1</w:t>
      </w:r>
      <w:r>
        <w:rPr/>
        <w:t>）单项金额重大并单独计提坏账准备的应收款项</w:t>
      </w:r>
    </w:p>
    <w:p>
      <w:pPr>
        <w:spacing w:line="240" w:lineRule="auto" w:before="9"/>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4328"/>
        <w:gridCol w:w="5331"/>
      </w:tblGrid>
      <w:tr>
        <w:trPr>
          <w:trHeight w:val="502" w:hRule="exact"/>
        </w:trPr>
        <w:tc>
          <w:tcPr>
            <w:tcW w:w="4328"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33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5"/>
              <w:ind w:left="2" w:right="5"/>
              <w:jc w:val="left"/>
              <w:rPr>
                <w:rFonts w:ascii="宋体" w:hAnsi="宋体" w:cs="宋体" w:eastAsia="宋体" w:hint="default"/>
                <w:sz w:val="18"/>
                <w:szCs w:val="18"/>
              </w:rPr>
            </w:pPr>
            <w:r>
              <w:rPr>
                <w:rFonts w:ascii="宋体" w:hAnsi="宋体" w:cs="宋体" w:eastAsia="宋体" w:hint="default"/>
                <w:sz w:val="18"/>
                <w:szCs w:val="18"/>
              </w:rPr>
              <w:t>对于一个项目或一个客户，期末余额人民币</w:t>
            </w:r>
            <w:r>
              <w:rPr>
                <w:rFonts w:ascii="Times New Roman" w:hAnsi="Times New Roman" w:cs="Times New Roman" w:eastAsia="Times New Roman" w:hint="default"/>
                <w:sz w:val="18"/>
                <w:szCs w:val="18"/>
              </w:rPr>
              <w:t>1,000</w:t>
            </w:r>
            <w:r>
              <w:rPr>
                <w:rFonts w:ascii="宋体" w:hAnsi="宋体" w:cs="宋体" w:eastAsia="宋体" w:hint="default"/>
                <w:sz w:val="18"/>
                <w:szCs w:val="18"/>
              </w:rPr>
              <w:t>万元及以上的应收</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款项为单项金额重大的应收款项</w:t>
            </w:r>
          </w:p>
        </w:tc>
      </w:tr>
      <w:tr>
        <w:trPr>
          <w:trHeight w:val="503" w:hRule="exact"/>
        </w:trPr>
        <w:tc>
          <w:tcPr>
            <w:tcW w:w="4328"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33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5"/>
              <w:ind w:left="2" w:right="0"/>
              <w:jc w:val="left"/>
              <w:rPr>
                <w:rFonts w:ascii="宋体" w:hAnsi="宋体" w:cs="宋体" w:eastAsia="宋体" w:hint="default"/>
                <w:sz w:val="18"/>
                <w:szCs w:val="18"/>
              </w:rPr>
            </w:pPr>
            <w:r>
              <w:rPr>
                <w:rFonts w:ascii="宋体" w:hAnsi="宋体" w:cs="宋体" w:eastAsia="宋体" w:hint="default"/>
                <w:spacing w:val="-3"/>
                <w:sz w:val="18"/>
                <w:szCs w:val="18"/>
              </w:rPr>
              <w:t>根据其未来现金流量现值低于其账面价值的差额，确认减值损失，计</w:t>
            </w:r>
            <w:r>
              <w:rPr>
                <w:rFonts w:ascii="宋体" w:hAnsi="宋体" w:cs="宋体" w:eastAsia="宋体" w:hint="default"/>
                <w:sz w:val="18"/>
                <w:szCs w:val="18"/>
              </w:rPr>
              <w:t> 提坏账准备</w:t>
            </w:r>
          </w:p>
        </w:tc>
      </w:tr>
    </w:tbl>
    <w:p>
      <w:pPr>
        <w:pStyle w:val="BodyText"/>
        <w:spacing w:line="240" w:lineRule="auto" w:before="10"/>
        <w:ind w:right="0"/>
        <w:jc w:val="left"/>
      </w:pPr>
      <w:r>
        <w:rPr/>
        <w:t>（</w:t>
      </w:r>
      <w:r>
        <w:rPr>
          <w:rFonts w:ascii="Times New Roman" w:hAnsi="Times New Roman" w:cs="Times New Roman" w:eastAsia="Times New Roman" w:hint="default"/>
        </w:rPr>
        <w:t>2</w:t>
      </w:r>
      <w:r>
        <w:rPr/>
        <w:t>）按信用风险特征组合计提坏账准备的应收款项</w:t>
      </w:r>
    </w:p>
    <w:p>
      <w:pPr>
        <w:spacing w:line="240" w:lineRule="auto" w:before="9"/>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2631"/>
        <w:gridCol w:w="7028"/>
      </w:tblGrid>
      <w:tr>
        <w:trPr>
          <w:trHeight w:val="268" w:hRule="exact"/>
        </w:trPr>
        <w:tc>
          <w:tcPr>
            <w:tcW w:w="9659" w:type="dxa"/>
            <w:gridSpan w:val="2"/>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按组合计提坏账准备的计提方法</w:t>
            </w:r>
          </w:p>
        </w:tc>
      </w:tr>
      <w:tr>
        <w:trPr>
          <w:trHeight w:val="970" w:hRule="exact"/>
        </w:trPr>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账期组合</w:t>
            </w:r>
            <w:r>
              <w:rPr>
                <w:rFonts w:ascii="Times New Roman" w:hAnsi="Times New Roman" w:cs="Times New Roman" w:eastAsia="Times New Roman" w:hint="default"/>
                <w:sz w:val="18"/>
                <w:szCs w:val="18"/>
              </w:rPr>
              <w:t>I</w:t>
            </w:r>
          </w:p>
        </w:tc>
        <w:tc>
          <w:tcPr>
            <w:tcW w:w="7028"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3" w:right="0"/>
              <w:jc w:val="both"/>
              <w:rPr>
                <w:rFonts w:ascii="宋体" w:hAnsi="宋体" w:cs="宋体" w:eastAsia="宋体" w:hint="default"/>
                <w:sz w:val="18"/>
                <w:szCs w:val="18"/>
              </w:rPr>
            </w:pPr>
            <w:r>
              <w:rPr>
                <w:rFonts w:ascii="宋体" w:hAnsi="宋体" w:cs="宋体" w:eastAsia="宋体" w:hint="default"/>
                <w:spacing w:val="-1"/>
                <w:sz w:val="18"/>
                <w:szCs w:val="18"/>
              </w:rPr>
              <w:t>本公司应收款项以合同付款期限为信用账期。对于一个项目或一个客户，将超信用账期天</w:t>
            </w:r>
          </w:p>
          <w:p>
            <w:pPr>
              <w:pStyle w:val="TableParagraph"/>
              <w:spacing w:line="225" w:lineRule="auto" w:before="12"/>
              <w:ind w:left="3" w:right="0"/>
              <w:jc w:val="both"/>
              <w:rPr>
                <w:rFonts w:ascii="宋体" w:hAnsi="宋体" w:cs="宋体" w:eastAsia="宋体" w:hint="default"/>
                <w:sz w:val="18"/>
                <w:szCs w:val="18"/>
              </w:rPr>
            </w:pPr>
            <w:r>
              <w:rPr>
                <w:rFonts w:ascii="宋体" w:hAnsi="宋体" w:cs="宋体" w:eastAsia="宋体" w:hint="default"/>
                <w:sz w:val="18"/>
                <w:szCs w:val="18"/>
              </w:rPr>
              <w:t>数</w:t>
            </w:r>
            <w:r>
              <w:rPr>
                <w:rFonts w:ascii="Times New Roman" w:hAnsi="Times New Roman" w:cs="Times New Roman" w:eastAsia="Times New Roman" w:hint="default"/>
                <w:sz w:val="18"/>
                <w:szCs w:val="18"/>
              </w:rPr>
              <w:t>60</w:t>
            </w:r>
            <w:r>
              <w:rPr>
                <w:rFonts w:ascii="宋体" w:hAnsi="宋体" w:cs="宋体" w:eastAsia="宋体" w:hint="default"/>
                <w:sz w:val="18"/>
                <w:szCs w:val="18"/>
              </w:rPr>
              <w:t>天以上的应收款项原值进行汇总，如果汇总金额在人民币</w:t>
            </w:r>
            <w:r>
              <w:rPr>
                <w:rFonts w:ascii="Times New Roman" w:hAnsi="Times New Roman" w:cs="Times New Roman" w:eastAsia="Times New Roman" w:hint="default"/>
                <w:sz w:val="18"/>
                <w:szCs w:val="18"/>
              </w:rPr>
              <w:t>500</w:t>
            </w:r>
            <w:r>
              <w:rPr>
                <w:rFonts w:ascii="宋体" w:hAnsi="宋体" w:cs="宋体" w:eastAsia="宋体" w:hint="default"/>
                <w:sz w:val="18"/>
                <w:szCs w:val="18"/>
              </w:rPr>
              <w:t>万元以上的，对此所有</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的应收款项全额计提坏账准备，但如果取得客户回款证明或确认，则按照账期组合</w:t>
            </w:r>
            <w:r>
              <w:rPr>
                <w:rFonts w:ascii="Times New Roman" w:hAnsi="Times New Roman" w:cs="Times New Roman" w:eastAsia="Times New Roman" w:hint="default"/>
                <w:sz w:val="18"/>
                <w:szCs w:val="18"/>
              </w:rPr>
              <w:t>II</w:t>
            </w:r>
            <w:r>
              <w:rPr>
                <w:rFonts w:ascii="宋体" w:hAnsi="宋体" w:cs="宋体" w:eastAsia="宋体" w:hint="default"/>
                <w:sz w:val="18"/>
                <w:szCs w:val="18"/>
              </w:rPr>
              <w:t>计提</w:t>
            </w:r>
            <w:r>
              <w:rPr>
                <w:rFonts w:ascii="宋体" w:hAnsi="宋体" w:cs="宋体" w:eastAsia="宋体" w:hint="default"/>
                <w:spacing w:val="-51"/>
                <w:sz w:val="18"/>
                <w:szCs w:val="18"/>
              </w:rPr>
              <w:t> </w:t>
            </w:r>
            <w:r>
              <w:rPr>
                <w:rFonts w:ascii="宋体" w:hAnsi="宋体" w:cs="宋体" w:eastAsia="宋体" w:hint="default"/>
                <w:sz w:val="18"/>
                <w:szCs w:val="18"/>
              </w:rPr>
              <w:t>坏账准备。</w:t>
            </w:r>
          </w:p>
        </w:tc>
      </w:tr>
      <w:tr>
        <w:trPr>
          <w:trHeight w:val="268" w:hRule="exact"/>
        </w:trPr>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账期组合</w:t>
            </w:r>
            <w:r>
              <w:rPr>
                <w:rFonts w:ascii="Times New Roman" w:hAnsi="Times New Roman" w:cs="Times New Roman" w:eastAsia="Times New Roman" w:hint="default"/>
                <w:sz w:val="18"/>
                <w:szCs w:val="18"/>
              </w:rPr>
              <w:t>II</w:t>
            </w:r>
          </w:p>
        </w:tc>
        <w:tc>
          <w:tcPr>
            <w:tcW w:w="7028"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3" w:right="0"/>
              <w:jc w:val="left"/>
              <w:rPr>
                <w:rFonts w:ascii="宋体" w:hAnsi="宋体" w:cs="宋体" w:eastAsia="宋体" w:hint="default"/>
                <w:sz w:val="18"/>
                <w:szCs w:val="18"/>
              </w:rPr>
            </w:pPr>
            <w:r>
              <w:rPr>
                <w:rFonts w:ascii="宋体" w:hAnsi="宋体" w:cs="宋体" w:eastAsia="宋体" w:hint="default"/>
                <w:sz w:val="18"/>
                <w:szCs w:val="18"/>
              </w:rPr>
              <w:t>以应收账款的信用期限为风险特征划分组合，按账期分析法计提坏账准备</w:t>
            </w:r>
          </w:p>
        </w:tc>
      </w:tr>
      <w:tr>
        <w:trPr>
          <w:trHeight w:val="269" w:hRule="exact"/>
        </w:trPr>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与交易对象关系组合</w:t>
            </w:r>
          </w:p>
        </w:tc>
        <w:tc>
          <w:tcPr>
            <w:tcW w:w="7028"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3" w:right="0"/>
              <w:jc w:val="left"/>
              <w:rPr>
                <w:rFonts w:ascii="宋体" w:hAnsi="宋体" w:cs="宋体" w:eastAsia="宋体" w:hint="default"/>
                <w:sz w:val="18"/>
                <w:szCs w:val="18"/>
              </w:rPr>
            </w:pPr>
            <w:r>
              <w:rPr>
                <w:rFonts w:ascii="宋体" w:hAnsi="宋体" w:cs="宋体" w:eastAsia="宋体" w:hint="default"/>
                <w:sz w:val="18"/>
                <w:szCs w:val="18"/>
              </w:rPr>
              <w:t>与关联方往来款，不计提坏账准备</w:t>
            </w:r>
          </w:p>
        </w:tc>
      </w:tr>
      <w:tr>
        <w:trPr>
          <w:trHeight w:val="269" w:hRule="exact"/>
        </w:trPr>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2" w:right="0"/>
              <w:jc w:val="left"/>
              <w:rPr>
                <w:rFonts w:ascii="宋体" w:hAnsi="宋体" w:cs="宋体" w:eastAsia="宋体" w:hint="default"/>
                <w:sz w:val="18"/>
                <w:szCs w:val="18"/>
              </w:rPr>
            </w:pPr>
            <w:r>
              <w:rPr>
                <w:rFonts w:ascii="宋体" w:hAnsi="宋体" w:cs="宋体" w:eastAsia="宋体" w:hint="default"/>
                <w:sz w:val="18"/>
                <w:szCs w:val="18"/>
              </w:rPr>
              <w:t>款项性质组合</w:t>
            </w:r>
          </w:p>
        </w:tc>
        <w:tc>
          <w:tcPr>
            <w:tcW w:w="7028"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3" w:right="0"/>
              <w:jc w:val="left"/>
              <w:rPr>
                <w:rFonts w:ascii="宋体" w:hAnsi="宋体" w:cs="宋体" w:eastAsia="宋体" w:hint="default"/>
                <w:sz w:val="18"/>
                <w:szCs w:val="18"/>
              </w:rPr>
            </w:pPr>
            <w:r>
              <w:rPr>
                <w:rFonts w:ascii="宋体" w:hAnsi="宋体" w:cs="宋体" w:eastAsia="宋体" w:hint="default"/>
                <w:sz w:val="18"/>
                <w:szCs w:val="18"/>
              </w:rPr>
              <w:t>投标和保函保证金、房租押金等不计提坏账准备</w:t>
            </w:r>
          </w:p>
        </w:tc>
      </w:tr>
    </w:tbl>
    <w:p>
      <w:pPr>
        <w:pStyle w:val="BodyText"/>
        <w:spacing w:line="240" w:lineRule="auto" w:before="10"/>
        <w:ind w:right="0"/>
        <w:jc w:val="left"/>
      </w:pPr>
      <w:r>
        <w:rPr>
          <w:rFonts w:ascii="Times New Roman" w:hAnsi="Times New Roman" w:cs="Times New Roman" w:eastAsia="Times New Roman" w:hint="default"/>
        </w:rPr>
        <w:t>1</w:t>
      </w:r>
      <w:r>
        <w:rPr/>
        <w:t>）账期组合</w:t>
      </w:r>
      <w:r>
        <w:rPr>
          <w:rFonts w:ascii="Times New Roman" w:hAnsi="Times New Roman" w:cs="Times New Roman" w:eastAsia="Times New Roman" w:hint="default"/>
        </w:rPr>
        <w:t>II</w:t>
      </w:r>
      <w:r>
        <w:rPr/>
        <w:t>的应收款项坏账准备计提比例如下：</w:t>
      </w:r>
    </w:p>
    <w:p>
      <w:pPr>
        <w:spacing w:line="240" w:lineRule="auto" w:before="9"/>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5448"/>
        <w:gridCol w:w="4211"/>
      </w:tblGrid>
      <w:tr>
        <w:trPr>
          <w:trHeight w:val="269"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421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2" w:right="0"/>
              <w:jc w:val="left"/>
              <w:rPr>
                <w:rFonts w:ascii="宋体" w:hAnsi="宋体" w:cs="宋体" w:eastAsia="宋体" w:hint="default"/>
                <w:sz w:val="18"/>
                <w:szCs w:val="18"/>
              </w:rPr>
            </w:pPr>
            <w:r>
              <w:rPr>
                <w:rFonts w:ascii="宋体" w:hAnsi="宋体" w:cs="宋体" w:eastAsia="宋体" w:hint="default"/>
                <w:b/>
                <w:bCs/>
                <w:sz w:val="18"/>
                <w:szCs w:val="18"/>
              </w:rPr>
              <w:t>应收账款计提比例（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269"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2" w:right="0"/>
              <w:jc w:val="left"/>
              <w:rPr>
                <w:rFonts w:ascii="宋体" w:hAnsi="宋体" w:cs="宋体" w:eastAsia="宋体" w:hint="default"/>
                <w:sz w:val="18"/>
                <w:szCs w:val="18"/>
              </w:rPr>
            </w:pPr>
            <w:r>
              <w:rPr>
                <w:rFonts w:ascii="宋体" w:hAnsi="宋体" w:cs="宋体" w:eastAsia="宋体" w:hint="default"/>
                <w:sz w:val="18"/>
                <w:szCs w:val="18"/>
              </w:rPr>
              <w:t>信用期内及超信用期</w:t>
            </w:r>
            <w:r>
              <w:rPr>
                <w:rFonts w:ascii="Times New Roman" w:hAnsi="Times New Roman" w:cs="Times New Roman" w:eastAsia="Times New Roman" w:hint="default"/>
                <w:sz w:val="18"/>
                <w:szCs w:val="18"/>
              </w:rPr>
              <w:t>1-30</w:t>
            </w:r>
            <w:r>
              <w:rPr>
                <w:rFonts w:ascii="宋体" w:hAnsi="宋体" w:cs="宋体" w:eastAsia="宋体" w:hint="default"/>
                <w:sz w:val="18"/>
                <w:szCs w:val="18"/>
              </w:rPr>
              <w:t>天</w:t>
            </w:r>
          </w:p>
        </w:tc>
        <w:tc>
          <w:tcPr>
            <w:tcW w:w="4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2" w:right="0"/>
              <w:jc w:val="left"/>
              <w:rPr>
                <w:rFonts w:ascii="Times New Roman" w:hAnsi="Times New Roman" w:cs="Times New Roman" w:eastAsia="Times New Roman" w:hint="default"/>
                <w:sz w:val="18"/>
                <w:szCs w:val="18"/>
              </w:rPr>
            </w:pPr>
            <w:r>
              <w:rPr>
                <w:rFonts w:ascii="Times New Roman"/>
                <w:sz w:val="18"/>
              </w:rPr>
              <w:t>0</w:t>
            </w:r>
          </w:p>
        </w:tc>
      </w:tr>
      <w:tr>
        <w:trPr>
          <w:trHeight w:val="269"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2" w:right="0"/>
              <w:jc w:val="left"/>
              <w:rPr>
                <w:rFonts w:ascii="宋体" w:hAnsi="宋体" w:cs="宋体" w:eastAsia="宋体" w:hint="default"/>
                <w:sz w:val="18"/>
                <w:szCs w:val="18"/>
              </w:rPr>
            </w:pPr>
            <w:r>
              <w:rPr>
                <w:rFonts w:ascii="宋体" w:hAnsi="宋体" w:cs="宋体" w:eastAsia="宋体" w:hint="default"/>
                <w:sz w:val="18"/>
                <w:szCs w:val="18"/>
              </w:rPr>
              <w:t>超信用期</w:t>
            </w:r>
            <w:r>
              <w:rPr>
                <w:rFonts w:ascii="Times New Roman" w:hAnsi="Times New Roman" w:cs="Times New Roman" w:eastAsia="Times New Roman" w:hint="default"/>
                <w:sz w:val="18"/>
                <w:szCs w:val="18"/>
              </w:rPr>
              <w:t>31</w:t>
            </w:r>
            <w:r>
              <w:rPr>
                <w:rFonts w:ascii="宋体" w:hAnsi="宋体" w:cs="宋体" w:eastAsia="宋体" w:hint="default"/>
                <w:sz w:val="18"/>
                <w:szCs w:val="18"/>
              </w:rPr>
              <w:t>天</w:t>
            </w:r>
            <w:r>
              <w:rPr>
                <w:rFonts w:ascii="Times New Roman" w:hAnsi="Times New Roman" w:cs="Times New Roman" w:eastAsia="Times New Roman" w:hint="default"/>
                <w:sz w:val="18"/>
                <w:szCs w:val="18"/>
              </w:rPr>
              <w:t>-60</w:t>
            </w:r>
            <w:r>
              <w:rPr>
                <w:rFonts w:ascii="宋体" w:hAnsi="宋体" w:cs="宋体" w:eastAsia="宋体" w:hint="default"/>
                <w:sz w:val="18"/>
                <w:szCs w:val="18"/>
              </w:rPr>
              <w:t>天</w:t>
            </w:r>
          </w:p>
        </w:tc>
        <w:tc>
          <w:tcPr>
            <w:tcW w:w="4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2" w:right="0"/>
              <w:jc w:val="left"/>
              <w:rPr>
                <w:rFonts w:ascii="Times New Roman" w:hAnsi="Times New Roman" w:cs="Times New Roman" w:eastAsia="Times New Roman" w:hint="default"/>
                <w:sz w:val="18"/>
                <w:szCs w:val="18"/>
              </w:rPr>
            </w:pPr>
            <w:r>
              <w:rPr>
                <w:rFonts w:ascii="Times New Roman"/>
                <w:sz w:val="18"/>
              </w:rPr>
              <w:t>10</w:t>
            </w:r>
          </w:p>
        </w:tc>
      </w:tr>
      <w:tr>
        <w:trPr>
          <w:trHeight w:val="26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 w:right="0"/>
              <w:jc w:val="left"/>
              <w:rPr>
                <w:rFonts w:ascii="宋体" w:hAnsi="宋体" w:cs="宋体" w:eastAsia="宋体" w:hint="default"/>
                <w:sz w:val="18"/>
                <w:szCs w:val="18"/>
              </w:rPr>
            </w:pPr>
            <w:r>
              <w:rPr>
                <w:rFonts w:ascii="宋体" w:hAnsi="宋体" w:cs="宋体" w:eastAsia="宋体" w:hint="default"/>
                <w:sz w:val="18"/>
                <w:szCs w:val="18"/>
              </w:rPr>
              <w:t>超信用期</w:t>
            </w:r>
            <w:r>
              <w:rPr>
                <w:rFonts w:ascii="Times New Roman" w:hAnsi="Times New Roman" w:cs="Times New Roman" w:eastAsia="Times New Roman" w:hint="default"/>
                <w:sz w:val="18"/>
                <w:szCs w:val="18"/>
              </w:rPr>
              <w:t>61</w:t>
            </w:r>
            <w:r>
              <w:rPr>
                <w:rFonts w:ascii="宋体" w:hAnsi="宋体" w:cs="宋体" w:eastAsia="宋体" w:hint="default"/>
                <w:sz w:val="18"/>
                <w:szCs w:val="18"/>
              </w:rPr>
              <w:t>天</w:t>
            </w:r>
            <w:r>
              <w:rPr>
                <w:rFonts w:ascii="Times New Roman" w:hAnsi="Times New Roman" w:cs="Times New Roman" w:eastAsia="Times New Roman" w:hint="default"/>
                <w:sz w:val="18"/>
                <w:szCs w:val="18"/>
              </w:rPr>
              <w:t>-90</w:t>
            </w:r>
            <w:r>
              <w:rPr>
                <w:rFonts w:ascii="宋体" w:hAnsi="宋体" w:cs="宋体" w:eastAsia="宋体" w:hint="default"/>
                <w:sz w:val="18"/>
                <w:szCs w:val="18"/>
              </w:rPr>
              <w:t>天</w:t>
            </w:r>
          </w:p>
        </w:tc>
        <w:tc>
          <w:tcPr>
            <w:tcW w:w="4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Times New Roman" w:hAnsi="Times New Roman" w:cs="Times New Roman" w:eastAsia="Times New Roman" w:hint="default"/>
                <w:sz w:val="18"/>
                <w:szCs w:val="18"/>
              </w:rPr>
            </w:pPr>
            <w:r>
              <w:rPr>
                <w:rFonts w:ascii="Times New Roman"/>
                <w:sz w:val="18"/>
              </w:rPr>
              <w:t>20</w:t>
            </w:r>
          </w:p>
        </w:tc>
      </w:tr>
      <w:tr>
        <w:trPr>
          <w:trHeight w:val="269"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2" w:right="0"/>
              <w:jc w:val="left"/>
              <w:rPr>
                <w:rFonts w:ascii="宋体" w:hAnsi="宋体" w:cs="宋体" w:eastAsia="宋体" w:hint="default"/>
                <w:sz w:val="18"/>
                <w:szCs w:val="18"/>
              </w:rPr>
            </w:pPr>
            <w:r>
              <w:rPr>
                <w:rFonts w:ascii="宋体" w:hAnsi="宋体" w:cs="宋体" w:eastAsia="宋体" w:hint="default"/>
                <w:sz w:val="18"/>
                <w:szCs w:val="18"/>
              </w:rPr>
              <w:t>超信用期</w:t>
            </w:r>
            <w:r>
              <w:rPr>
                <w:rFonts w:ascii="Times New Roman" w:hAnsi="Times New Roman" w:cs="Times New Roman" w:eastAsia="Times New Roman" w:hint="default"/>
                <w:sz w:val="18"/>
                <w:szCs w:val="18"/>
              </w:rPr>
              <w:t>91</w:t>
            </w:r>
            <w:r>
              <w:rPr>
                <w:rFonts w:ascii="宋体" w:hAnsi="宋体" w:cs="宋体" w:eastAsia="宋体" w:hint="default"/>
                <w:sz w:val="18"/>
                <w:szCs w:val="18"/>
              </w:rPr>
              <w:t>天</w:t>
            </w:r>
            <w:r>
              <w:rPr>
                <w:rFonts w:ascii="Times New Roman" w:hAnsi="Times New Roman" w:cs="Times New Roman" w:eastAsia="Times New Roman" w:hint="default"/>
                <w:sz w:val="18"/>
                <w:szCs w:val="18"/>
              </w:rPr>
              <w:t>-120</w:t>
            </w:r>
            <w:r>
              <w:rPr>
                <w:rFonts w:ascii="宋体" w:hAnsi="宋体" w:cs="宋体" w:eastAsia="宋体" w:hint="default"/>
                <w:sz w:val="18"/>
                <w:szCs w:val="18"/>
              </w:rPr>
              <w:t>天</w:t>
            </w:r>
          </w:p>
        </w:tc>
        <w:tc>
          <w:tcPr>
            <w:tcW w:w="4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2" w:right="0"/>
              <w:jc w:val="left"/>
              <w:rPr>
                <w:rFonts w:ascii="Times New Roman" w:hAnsi="Times New Roman" w:cs="Times New Roman" w:eastAsia="Times New Roman" w:hint="default"/>
                <w:sz w:val="18"/>
                <w:szCs w:val="18"/>
              </w:rPr>
            </w:pPr>
            <w:r>
              <w:rPr>
                <w:rFonts w:ascii="Times New Roman"/>
                <w:sz w:val="18"/>
              </w:rPr>
              <w:t>30</w:t>
            </w:r>
          </w:p>
        </w:tc>
      </w:tr>
      <w:tr>
        <w:trPr>
          <w:trHeight w:val="269"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2" w:right="0"/>
              <w:jc w:val="left"/>
              <w:rPr>
                <w:rFonts w:ascii="宋体" w:hAnsi="宋体" w:cs="宋体" w:eastAsia="宋体" w:hint="default"/>
                <w:sz w:val="18"/>
                <w:szCs w:val="18"/>
              </w:rPr>
            </w:pPr>
            <w:r>
              <w:rPr>
                <w:rFonts w:ascii="宋体" w:hAnsi="宋体" w:cs="宋体" w:eastAsia="宋体" w:hint="default"/>
                <w:sz w:val="18"/>
                <w:szCs w:val="18"/>
              </w:rPr>
              <w:t>超信用期</w:t>
            </w:r>
            <w:r>
              <w:rPr>
                <w:rFonts w:ascii="Times New Roman" w:hAnsi="Times New Roman" w:cs="Times New Roman" w:eastAsia="Times New Roman" w:hint="default"/>
                <w:sz w:val="18"/>
                <w:szCs w:val="18"/>
              </w:rPr>
              <w:t>121</w:t>
            </w:r>
            <w:r>
              <w:rPr>
                <w:rFonts w:ascii="宋体" w:hAnsi="宋体" w:cs="宋体" w:eastAsia="宋体" w:hint="default"/>
                <w:sz w:val="18"/>
                <w:szCs w:val="18"/>
              </w:rPr>
              <w:t>天</w:t>
            </w:r>
            <w:r>
              <w:rPr>
                <w:rFonts w:ascii="Times New Roman" w:hAnsi="Times New Roman" w:cs="Times New Roman" w:eastAsia="Times New Roman" w:hint="default"/>
                <w:sz w:val="18"/>
                <w:szCs w:val="18"/>
              </w:rPr>
              <w:t>-150</w:t>
            </w:r>
            <w:r>
              <w:rPr>
                <w:rFonts w:ascii="宋体" w:hAnsi="宋体" w:cs="宋体" w:eastAsia="宋体" w:hint="default"/>
                <w:sz w:val="18"/>
                <w:szCs w:val="18"/>
              </w:rPr>
              <w:t>天</w:t>
            </w:r>
          </w:p>
        </w:tc>
        <w:tc>
          <w:tcPr>
            <w:tcW w:w="4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2" w:right="0"/>
              <w:jc w:val="left"/>
              <w:rPr>
                <w:rFonts w:ascii="Times New Roman" w:hAnsi="Times New Roman" w:cs="Times New Roman" w:eastAsia="Times New Roman" w:hint="default"/>
                <w:sz w:val="18"/>
                <w:szCs w:val="18"/>
              </w:rPr>
            </w:pPr>
            <w:r>
              <w:rPr>
                <w:rFonts w:ascii="Times New Roman"/>
                <w:sz w:val="18"/>
              </w:rPr>
              <w:t>40</w:t>
            </w:r>
          </w:p>
        </w:tc>
      </w:tr>
      <w:tr>
        <w:trPr>
          <w:trHeight w:val="26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 w:right="0"/>
              <w:jc w:val="left"/>
              <w:rPr>
                <w:rFonts w:ascii="宋体" w:hAnsi="宋体" w:cs="宋体" w:eastAsia="宋体" w:hint="default"/>
                <w:sz w:val="18"/>
                <w:szCs w:val="18"/>
              </w:rPr>
            </w:pPr>
            <w:r>
              <w:rPr>
                <w:rFonts w:ascii="宋体" w:hAnsi="宋体" w:cs="宋体" w:eastAsia="宋体" w:hint="default"/>
                <w:sz w:val="18"/>
                <w:szCs w:val="18"/>
              </w:rPr>
              <w:t>超信用期</w:t>
            </w:r>
            <w:r>
              <w:rPr>
                <w:rFonts w:ascii="Times New Roman" w:hAnsi="Times New Roman" w:cs="Times New Roman" w:eastAsia="Times New Roman" w:hint="default"/>
                <w:sz w:val="18"/>
                <w:szCs w:val="18"/>
              </w:rPr>
              <w:t>151</w:t>
            </w:r>
            <w:r>
              <w:rPr>
                <w:rFonts w:ascii="宋体" w:hAnsi="宋体" w:cs="宋体" w:eastAsia="宋体" w:hint="default"/>
                <w:sz w:val="18"/>
                <w:szCs w:val="18"/>
              </w:rPr>
              <w:t>天</w:t>
            </w:r>
            <w:r>
              <w:rPr>
                <w:rFonts w:ascii="Times New Roman" w:hAnsi="Times New Roman" w:cs="Times New Roman" w:eastAsia="Times New Roman" w:hint="default"/>
                <w:sz w:val="18"/>
                <w:szCs w:val="18"/>
              </w:rPr>
              <w:t>-180</w:t>
            </w:r>
            <w:r>
              <w:rPr>
                <w:rFonts w:ascii="宋体" w:hAnsi="宋体" w:cs="宋体" w:eastAsia="宋体" w:hint="default"/>
                <w:sz w:val="18"/>
                <w:szCs w:val="18"/>
              </w:rPr>
              <w:t>天</w:t>
            </w:r>
          </w:p>
        </w:tc>
        <w:tc>
          <w:tcPr>
            <w:tcW w:w="4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Times New Roman" w:hAnsi="Times New Roman" w:cs="Times New Roman" w:eastAsia="Times New Roman" w:hint="default"/>
                <w:sz w:val="18"/>
                <w:szCs w:val="18"/>
              </w:rPr>
            </w:pPr>
            <w:r>
              <w:rPr>
                <w:rFonts w:ascii="Times New Roman"/>
                <w:sz w:val="18"/>
              </w:rPr>
              <w:t>70</w:t>
            </w:r>
          </w:p>
        </w:tc>
      </w:tr>
      <w:tr>
        <w:trPr>
          <w:trHeight w:val="269"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2" w:right="0"/>
              <w:jc w:val="left"/>
              <w:rPr>
                <w:rFonts w:ascii="宋体" w:hAnsi="宋体" w:cs="宋体" w:eastAsia="宋体" w:hint="default"/>
                <w:sz w:val="18"/>
                <w:szCs w:val="18"/>
              </w:rPr>
            </w:pPr>
            <w:r>
              <w:rPr>
                <w:rFonts w:ascii="宋体" w:hAnsi="宋体" w:cs="宋体" w:eastAsia="宋体" w:hint="default"/>
                <w:sz w:val="18"/>
                <w:szCs w:val="18"/>
              </w:rPr>
              <w:t>超信用期</w:t>
            </w:r>
            <w:r>
              <w:rPr>
                <w:rFonts w:ascii="Times New Roman" w:hAnsi="Times New Roman" w:cs="Times New Roman" w:eastAsia="Times New Roman" w:hint="default"/>
                <w:sz w:val="18"/>
                <w:szCs w:val="18"/>
              </w:rPr>
              <w:t>181</w:t>
            </w:r>
            <w:r>
              <w:rPr>
                <w:rFonts w:ascii="宋体" w:hAnsi="宋体" w:cs="宋体" w:eastAsia="宋体" w:hint="default"/>
                <w:sz w:val="18"/>
                <w:szCs w:val="18"/>
              </w:rPr>
              <w:t>天以上</w:t>
            </w:r>
          </w:p>
        </w:tc>
        <w:tc>
          <w:tcPr>
            <w:tcW w:w="4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2" w:right="0"/>
              <w:jc w:val="left"/>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10"/>
        <w:ind w:right="0"/>
        <w:jc w:val="left"/>
      </w:pPr>
      <w:r>
        <w:rPr>
          <w:rFonts w:ascii="Times New Roman" w:hAnsi="Times New Roman" w:cs="Times New Roman" w:eastAsia="Times New Roman" w:hint="default"/>
        </w:rPr>
        <w:t>2</w:t>
      </w:r>
      <w:r>
        <w:rPr/>
        <w:t>）采用其他方法的应收款项坏账准备计提：</w:t>
      </w:r>
    </w:p>
    <w:p>
      <w:pPr>
        <w:spacing w:line="240" w:lineRule="auto" w:before="11"/>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2946"/>
        <w:gridCol w:w="6712"/>
      </w:tblGrid>
      <w:tr>
        <w:trPr>
          <w:trHeight w:val="26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2" w:right="0"/>
              <w:jc w:val="left"/>
              <w:rPr>
                <w:rFonts w:ascii="宋体" w:hAnsi="宋体" w:cs="宋体" w:eastAsia="宋体" w:hint="default"/>
                <w:sz w:val="18"/>
                <w:szCs w:val="18"/>
              </w:rPr>
            </w:pPr>
            <w:r>
              <w:rPr>
                <w:rFonts w:ascii="宋体" w:hAnsi="宋体" w:cs="宋体" w:eastAsia="宋体" w:hint="default"/>
                <w:sz w:val="18"/>
                <w:szCs w:val="18"/>
              </w:rPr>
              <w:t>与交易对象关系组合</w:t>
            </w:r>
          </w:p>
        </w:tc>
        <w:tc>
          <w:tcPr>
            <w:tcW w:w="6712"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2" w:right="0"/>
              <w:jc w:val="left"/>
              <w:rPr>
                <w:rFonts w:ascii="宋体" w:hAnsi="宋体" w:cs="宋体" w:eastAsia="宋体" w:hint="default"/>
                <w:sz w:val="18"/>
                <w:szCs w:val="18"/>
              </w:rPr>
            </w:pPr>
            <w:r>
              <w:rPr>
                <w:rFonts w:ascii="宋体" w:hAnsi="宋体" w:cs="宋体" w:eastAsia="宋体" w:hint="default"/>
                <w:sz w:val="18"/>
                <w:szCs w:val="18"/>
              </w:rPr>
              <w:t>与关联方往来款，不计提坏账准备</w:t>
            </w:r>
          </w:p>
        </w:tc>
      </w:tr>
      <w:tr>
        <w:trPr>
          <w:trHeight w:val="269"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款项性质组合</w:t>
            </w:r>
          </w:p>
        </w:tc>
        <w:tc>
          <w:tcPr>
            <w:tcW w:w="6712"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投标和保函保证金、房租押金等不计提坏账准备</w:t>
            </w:r>
          </w:p>
        </w:tc>
      </w:tr>
    </w:tbl>
    <w:p>
      <w:pPr>
        <w:pStyle w:val="BodyText"/>
        <w:spacing w:line="240" w:lineRule="auto" w:before="10"/>
        <w:ind w:right="0"/>
        <w:jc w:val="left"/>
      </w:pPr>
      <w:r>
        <w:rPr/>
        <w:t>（</w:t>
      </w:r>
      <w:r>
        <w:rPr>
          <w:rFonts w:ascii="Times New Roman" w:hAnsi="Times New Roman" w:cs="Times New Roman" w:eastAsia="Times New Roman" w:hint="default"/>
        </w:rPr>
        <w:t>3</w:t>
      </w:r>
      <w:r>
        <w:rPr/>
        <w:t>）单项金额不重大但单独计提坏账准备的应收款项</w:t>
      </w:r>
    </w:p>
    <w:p>
      <w:pPr>
        <w:spacing w:line="240" w:lineRule="auto" w:before="9"/>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2946"/>
        <w:gridCol w:w="6712"/>
      </w:tblGrid>
      <w:tr>
        <w:trPr>
          <w:trHeight w:val="503"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712"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3"/>
              <w:ind w:left="2" w:right="0"/>
              <w:jc w:val="left"/>
              <w:rPr>
                <w:rFonts w:ascii="宋体" w:hAnsi="宋体" w:cs="宋体" w:eastAsia="宋体" w:hint="default"/>
                <w:sz w:val="18"/>
                <w:szCs w:val="18"/>
              </w:rPr>
            </w:pPr>
            <w:r>
              <w:rPr>
                <w:rFonts w:ascii="宋体" w:hAnsi="宋体" w:cs="宋体" w:eastAsia="宋体" w:hint="default"/>
                <w:spacing w:val="-2"/>
                <w:sz w:val="18"/>
                <w:szCs w:val="18"/>
              </w:rPr>
              <w:t>对于一个项目或一个客户，期末余额低于人民币</w:t>
            </w:r>
            <w:r>
              <w:rPr>
                <w:rFonts w:ascii="宋体" w:hAnsi="宋体" w:cs="宋体" w:eastAsia="宋体" w:hint="default"/>
                <w:spacing w:val="-2"/>
                <w:sz w:val="18"/>
                <w:szCs w:val="18"/>
              </w:rPr>
              <w:t>1,000</w:t>
            </w:r>
            <w:r>
              <w:rPr>
                <w:rFonts w:ascii="宋体" w:hAnsi="宋体" w:cs="宋体" w:eastAsia="宋体" w:hint="default"/>
                <w:spacing w:val="-2"/>
                <w:sz w:val="18"/>
                <w:szCs w:val="18"/>
              </w:rPr>
              <w:t>万元，按照组合计提坏账准备不</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能反映其风险特征的应收款项</w:t>
            </w:r>
          </w:p>
        </w:tc>
      </w:tr>
      <w:tr>
        <w:trPr>
          <w:trHeight w:val="269"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712"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根据其未来现金流量现值低于其账面价值的差额，确认减值损失，计提坏账准备</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12、存货" w:id="182"/>
      <w:bookmarkEnd w:id="182"/>
      <w:r>
        <w:rPr>
          <w:b w:val="0"/>
          <w:bCs w:val="0"/>
        </w:rPr>
      </w:r>
      <w:r>
        <w:rPr>
          <w:rFonts w:ascii="Times New Roman" w:hAnsi="Times New Roman" w:cs="Times New Roman" w:eastAsia="Times New Roman" w:hint="default"/>
        </w:rPr>
        <w:t>12</w:t>
      </w:r>
      <w:r>
        <w:rPr/>
        <w:t>、存货</w:t>
      </w:r>
      <w:r>
        <w:rPr>
          <w:b w:val="0"/>
          <w:bCs w:val="0"/>
        </w:rPr>
      </w:r>
    </w:p>
    <w:p>
      <w:pPr>
        <w:spacing w:line="240" w:lineRule="auto" w:before="0"/>
        <w:rPr>
          <w:rFonts w:ascii="宋体" w:hAnsi="宋体" w:cs="宋体" w:eastAsia="宋体" w:hint="default"/>
          <w:b/>
          <w:bCs/>
          <w:sz w:val="22"/>
          <w:szCs w:val="22"/>
        </w:rPr>
      </w:pPr>
    </w:p>
    <w:p>
      <w:pPr>
        <w:pStyle w:val="BodyText"/>
        <w:spacing w:line="278" w:lineRule="auto"/>
        <w:ind w:right="7692"/>
        <w:jc w:val="left"/>
      </w:pPr>
      <w:r>
        <w:rPr/>
        <w:t>公司是否需要遵守特殊行业的披露要求 否</w:t>
      </w:r>
    </w:p>
    <w:p>
      <w:pPr>
        <w:pStyle w:val="BodyText"/>
        <w:spacing w:line="237" w:lineRule="auto" w:before="11"/>
        <w:ind w:right="1130" w:firstLine="360"/>
        <w:jc w:val="both"/>
      </w:pPr>
      <w:r>
        <w:rPr>
          <w:spacing w:val="-2"/>
        </w:rPr>
        <w:t>本集团存货主要包括库存商品、在途商品、开发成本等。开发成本是指已建成、待出售的物业；或未建成、以出售为目</w:t>
      </w:r>
      <w:r>
        <w:rPr/>
        <w:t> </w:t>
      </w:r>
      <w:r>
        <w:rPr>
          <w:spacing w:val="-2"/>
        </w:rPr>
        <w:t>的的物业；或所购入的、已决定将之发展为已完工开发产品的土地。开发成本包括土地成本、施工成本和其他成本。符合资</w:t>
      </w:r>
      <w:r>
        <w:rPr>
          <w:spacing w:val="-66"/>
        </w:rPr>
        <w:t> </w:t>
      </w:r>
      <w:r>
        <w:rPr>
          <w:spacing w:val="-66"/>
        </w:rPr>
      </w:r>
      <w:r>
        <w:rPr/>
        <w:t>本化条件的借款费用，亦计入开发成本。</w:t>
      </w:r>
    </w:p>
    <w:p>
      <w:pPr>
        <w:pStyle w:val="BodyText"/>
        <w:spacing w:line="233" w:lineRule="exact"/>
        <w:ind w:left="514" w:right="0"/>
        <w:jc w:val="left"/>
      </w:pPr>
      <w:r>
        <w:rPr/>
        <w:t>存货实行永续盘存制，存货在取得时按实际成本计价；发出存货，采用加权平均法确定其实际成本。</w:t>
      </w:r>
    </w:p>
    <w:p>
      <w:pPr>
        <w:spacing w:after="0" w:line="233" w:lineRule="exact"/>
        <w:jc w:val="left"/>
        <w:sectPr>
          <w:pgSz w:w="11910" w:h="16840"/>
          <w:pgMar w:header="877" w:footer="979" w:top="1100" w:bottom="1160" w:left="980" w:right="0"/>
        </w:sectPr>
      </w:pPr>
    </w:p>
    <w:p>
      <w:pPr>
        <w:spacing w:line="240" w:lineRule="auto" w:before="10"/>
        <w:rPr>
          <w:rFonts w:ascii="宋体" w:hAnsi="宋体" w:cs="宋体" w:eastAsia="宋体" w:hint="default"/>
          <w:sz w:val="18"/>
          <w:szCs w:val="18"/>
        </w:rPr>
      </w:pPr>
    </w:p>
    <w:p>
      <w:pPr>
        <w:pStyle w:val="BodyText"/>
        <w:spacing w:line="237" w:lineRule="auto" w:before="46"/>
        <w:ind w:right="1131" w:firstLine="360"/>
        <w:jc w:val="both"/>
      </w:pPr>
      <w:r>
        <w:rPr>
          <w:spacing w:val="-6"/>
        </w:rPr>
        <w:t>于资产负债表日，存货按照成本与可变现净值孰低计量，对成本高于可变现净值的，计提存货跌价准备，计入当期损益。</w:t>
      </w:r>
      <w:r>
        <w:rPr/>
        <w:t> </w:t>
      </w:r>
      <w:r>
        <w:rPr>
          <w:spacing w:val="-2"/>
        </w:rPr>
        <w:t>如果以前计提存货跌价准备的影响因素已经消失，使得存货的可变现净值高于其账面价值，则在原已计提的存货跌价准备金</w:t>
      </w:r>
      <w:r>
        <w:rPr>
          <w:spacing w:val="-64"/>
        </w:rPr>
        <w:t> </w:t>
      </w:r>
      <w:r>
        <w:rPr>
          <w:spacing w:val="-64"/>
        </w:rPr>
      </w:r>
      <w:r>
        <w:rPr/>
        <w:t>额内，将以前减记的金额予以恢复，转回的金额计入当期损益。</w:t>
      </w:r>
    </w:p>
    <w:p>
      <w:pPr>
        <w:pStyle w:val="BodyText"/>
        <w:spacing w:line="237" w:lineRule="auto" w:before="1"/>
        <w:ind w:right="1133" w:firstLine="360"/>
        <w:jc w:val="both"/>
      </w:pPr>
      <w:r>
        <w:rPr>
          <w:spacing w:val="-5"/>
        </w:rPr>
        <w:t>可变现净值，是指在日常活动中，管理层根据存货最新的销售发票金额和当期市场情况估计所得。计提存货跌价准备时，</w:t>
      </w:r>
      <w:r>
        <w:rPr/>
        <w:t> </w:t>
      </w:r>
      <w:r>
        <w:rPr>
          <w:spacing w:val="-2"/>
        </w:rPr>
        <w:t>按存货类别计提。与在同一地区生产和销售的产品系列相关、具有相同或类似最终用途或目的，且难以与其他项目分开计量</w:t>
      </w:r>
      <w:r>
        <w:rPr>
          <w:spacing w:val="-66"/>
        </w:rPr>
        <w:t> </w:t>
      </w:r>
      <w:r>
        <w:rPr>
          <w:spacing w:val="-66"/>
        </w:rPr>
      </w:r>
      <w:r>
        <w:rPr/>
        <w:t>的存货，合并计提存货跌价准备。</w:t>
      </w:r>
    </w:p>
    <w:p>
      <w:pPr>
        <w:spacing w:line="240" w:lineRule="auto" w:before="5"/>
        <w:rPr>
          <w:rFonts w:ascii="宋体" w:hAnsi="宋体" w:cs="宋体" w:eastAsia="宋体" w:hint="default"/>
          <w:sz w:val="22"/>
          <w:szCs w:val="22"/>
        </w:rPr>
      </w:pPr>
    </w:p>
    <w:p>
      <w:pPr>
        <w:pStyle w:val="Heading3"/>
        <w:spacing w:line="240" w:lineRule="auto"/>
        <w:ind w:right="0"/>
        <w:jc w:val="both"/>
        <w:rPr>
          <w:b w:val="0"/>
          <w:bCs w:val="0"/>
        </w:rPr>
      </w:pPr>
      <w:bookmarkStart w:name="13、持有待售资产" w:id="183"/>
      <w:bookmarkEnd w:id="183"/>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6"/>
        <w:rPr>
          <w:rFonts w:ascii="宋体" w:hAnsi="宋体" w:cs="宋体" w:eastAsia="宋体" w:hint="default"/>
          <w:b/>
          <w:bCs/>
          <w:sz w:val="22"/>
          <w:szCs w:val="22"/>
        </w:rPr>
      </w:pPr>
    </w:p>
    <w:p>
      <w:pPr>
        <w:pStyle w:val="BodyText"/>
        <w:spacing w:line="232" w:lineRule="auto"/>
        <w:ind w:right="1131" w:firstLine="360"/>
        <w:jc w:val="both"/>
      </w:pPr>
      <w:r>
        <w:rPr>
          <w:spacing w:val="-2"/>
        </w:rPr>
        <w:t>（</w:t>
      </w:r>
      <w:r>
        <w:rPr>
          <w:rFonts w:ascii="Times New Roman" w:hAnsi="Times New Roman" w:cs="Times New Roman" w:eastAsia="Times New Roman" w:hint="default"/>
          <w:spacing w:val="-2"/>
        </w:rPr>
        <w:t>1</w:t>
      </w:r>
      <w:r>
        <w:rPr>
          <w:spacing w:val="-2"/>
        </w:rPr>
        <w:t>）本集团将同时符合下列条件的非流动资产或处置组划分为持有待售：</w:t>
      </w:r>
      <w:r>
        <w:rPr>
          <w:rFonts w:ascii="Times New Roman" w:hAnsi="Times New Roman" w:cs="Times New Roman" w:eastAsia="Times New Roman" w:hint="default"/>
          <w:spacing w:val="-2"/>
        </w:rPr>
        <w:t>1</w:t>
      </w:r>
      <w:r>
        <w:rPr>
          <w:spacing w:val="-2"/>
        </w:rPr>
        <w:t>）根据类似交易中出售此类资产或处置组的</w:t>
      </w:r>
      <w:r>
        <w:rPr/>
        <w:t> 惯例，在当前状况下即可立即出售；</w:t>
      </w:r>
      <w:r>
        <w:rPr>
          <w:rFonts w:ascii="Times New Roman" w:hAnsi="Times New Roman" w:cs="Times New Roman" w:eastAsia="Times New Roman" w:hint="default"/>
        </w:rPr>
        <w:t>2</w:t>
      </w:r>
      <w:r>
        <w:rPr/>
        <w:t>）出售极可能发生，即已经就一项出售计划作出决议且获得确定的购买承诺，预计出</w:t>
      </w:r>
      <w:r>
        <w:rPr>
          <w:spacing w:val="-83"/>
        </w:rPr>
        <w:t> </w:t>
      </w:r>
      <w:r>
        <w:rPr>
          <w:spacing w:val="-83"/>
        </w:rPr>
      </w:r>
      <w:r>
        <w:rPr>
          <w:spacing w:val="-2"/>
        </w:rPr>
        <w:t>售将在一年内完成。有关规定要求相关权力机构或者监管部门批准后方可出售的需要获得相关批准。本集团将非流动资产或</w:t>
      </w:r>
      <w:r>
        <w:rPr>
          <w:spacing w:val="-64"/>
        </w:rPr>
        <w:t> </w:t>
      </w:r>
      <w:r>
        <w:rPr>
          <w:spacing w:val="-64"/>
        </w:rPr>
      </w:r>
      <w:r>
        <w:rPr>
          <w:spacing w:val="-2"/>
        </w:rPr>
        <w:t>处置组首次划分为持有待售类别前，按照相关会计准则规定计量非流动资产或处置组中各项资产和负债的账面价值。初始计</w:t>
      </w:r>
      <w:r>
        <w:rPr>
          <w:spacing w:val="-64"/>
        </w:rPr>
        <w:t> </w:t>
      </w:r>
      <w:r>
        <w:rPr>
          <w:spacing w:val="-64"/>
        </w:rPr>
      </w:r>
      <w:r>
        <w:rPr>
          <w:spacing w:val="-2"/>
        </w:rPr>
        <w:t>量或在资产负债表日重新计量持有待售的非流动资产或处置组时，其账面价值高于公允价值减去出售费用后的净额的，将账</w:t>
      </w:r>
      <w:r>
        <w:rPr>
          <w:spacing w:val="-64"/>
        </w:rPr>
        <w:t> </w:t>
      </w:r>
      <w:r>
        <w:rPr>
          <w:spacing w:val="-64"/>
        </w:rPr>
      </w:r>
      <w:r>
        <w:rPr>
          <w:spacing w:val="-2"/>
        </w:rPr>
        <w:t>面价值减记至公允价值减去出售费用后的净额，减记的金额确认为资产减值损失，计入当期损益，同时计提持有待售资产减</w:t>
      </w:r>
      <w:r>
        <w:rPr>
          <w:spacing w:val="-66"/>
        </w:rPr>
        <w:t> </w:t>
      </w:r>
      <w:r>
        <w:rPr>
          <w:spacing w:val="-66"/>
        </w:rPr>
      </w:r>
      <w:r>
        <w:rPr/>
        <w:t>值准备。</w:t>
      </w:r>
    </w:p>
    <w:p>
      <w:pPr>
        <w:pStyle w:val="BodyText"/>
        <w:spacing w:line="230" w:lineRule="auto" w:before="7"/>
        <w:ind w:right="1130" w:firstLine="360"/>
        <w:jc w:val="both"/>
      </w:pPr>
      <w:r>
        <w:rPr>
          <w:spacing w:val="-3"/>
        </w:rPr>
        <w:t>（</w:t>
      </w:r>
      <w:r>
        <w:rPr>
          <w:rFonts w:ascii="Times New Roman" w:hAnsi="Times New Roman" w:cs="Times New Roman" w:eastAsia="Times New Roman" w:hint="default"/>
          <w:spacing w:val="-3"/>
        </w:rPr>
        <w:t>2</w:t>
      </w:r>
      <w:r>
        <w:rPr>
          <w:spacing w:val="-3"/>
        </w:rPr>
        <w:t>）本集团专为转售而取得的非流动资产或处置组，在取得日满足</w:t>
      </w:r>
      <w:r>
        <w:rPr>
          <w:rFonts w:ascii="Times New Roman" w:hAnsi="Times New Roman" w:cs="Times New Roman" w:eastAsia="Times New Roman" w:hint="default"/>
          <w:spacing w:val="-3"/>
        </w:rPr>
        <w:t>“</w:t>
      </w:r>
      <w:r>
        <w:rPr>
          <w:spacing w:val="-3"/>
        </w:rPr>
        <w:t>预计出售将在一年内完成</w:t>
      </w:r>
      <w:r>
        <w:rPr>
          <w:rFonts w:ascii="Times New Roman" w:hAnsi="Times New Roman" w:cs="Times New Roman" w:eastAsia="Times New Roman" w:hint="default"/>
          <w:spacing w:val="-3"/>
        </w:rPr>
        <w:t>”</w:t>
      </w:r>
      <w:r>
        <w:rPr>
          <w:spacing w:val="-3"/>
        </w:rPr>
        <w:t>的规定条件，且短期（通</w:t>
      </w:r>
      <w:r>
        <w:rPr/>
        <w:t> 常为</w:t>
      </w:r>
      <w:r>
        <w:rPr>
          <w:rFonts w:ascii="Times New Roman" w:hAnsi="Times New Roman" w:cs="Times New Roman" w:eastAsia="Times New Roman" w:hint="default"/>
        </w:rPr>
        <w:t>3</w:t>
      </w:r>
      <w:r>
        <w:rPr/>
        <w:t>个月）内很可能满足持有待售类别的其他划分条件的，在取得日将其划分为持有待售类别。在初始计量时，比较假定</w:t>
      </w:r>
      <w:r>
        <w:rPr>
          <w:spacing w:val="-83"/>
        </w:rPr>
        <w:t> </w:t>
      </w:r>
      <w:r>
        <w:rPr>
          <w:spacing w:val="-83"/>
        </w:rPr>
      </w:r>
      <w:r>
        <w:rPr>
          <w:spacing w:val="-2"/>
        </w:rPr>
        <w:t>其不划分为持有待售类别情况下的初始计量金额和公允价值减去出售费用后的净额，以两者孰低计量。除企业合并中取得的</w:t>
      </w:r>
      <w:r>
        <w:rPr>
          <w:spacing w:val="-64"/>
        </w:rPr>
        <w:t> </w:t>
      </w:r>
      <w:r>
        <w:rPr>
          <w:spacing w:val="-64"/>
        </w:rPr>
      </w:r>
      <w:r>
        <w:rPr>
          <w:spacing w:val="-2"/>
        </w:rPr>
        <w:t>非流动资产或处置组外，由非流动资产或处置组以公允价值减去出售费用后的净额作为初始计量金额而产生的差额，计入当</w:t>
      </w:r>
      <w:r>
        <w:rPr>
          <w:spacing w:val="-64"/>
        </w:rPr>
        <w:t> </w:t>
      </w:r>
      <w:r>
        <w:rPr>
          <w:spacing w:val="-64"/>
        </w:rPr>
      </w:r>
      <w:r>
        <w:rPr/>
        <w:t>期损益。</w:t>
      </w:r>
    </w:p>
    <w:p>
      <w:pPr>
        <w:pStyle w:val="BodyText"/>
        <w:spacing w:line="234" w:lineRule="exact" w:before="21"/>
        <w:ind w:right="0" w:firstLine="360"/>
        <w:jc w:val="left"/>
      </w:pPr>
      <w:r>
        <w:rPr/>
        <w:t>（</w:t>
      </w:r>
      <w:r>
        <w:rPr>
          <w:rFonts w:ascii="Times New Roman" w:hAnsi="Times New Roman" w:cs="Times New Roman" w:eastAsia="Times New Roman" w:hint="default"/>
        </w:rPr>
        <w:t>3</w:t>
      </w:r>
      <w:r>
        <w:rPr/>
        <w:t>）本集团因出售对子公司的投资等原因导致丧失对子公司控制权的，无论出售后本集团是否保留部分权益性投资， </w:t>
      </w:r>
      <w:r>
        <w:rPr>
          <w:spacing w:val="-2"/>
        </w:rPr>
        <w:t>在拟出售的对子公司投资满足持有待售类别划分条件时，在母公司个别财务报表中将对子公司投资整体划分为持有待售类别，</w:t>
      </w:r>
      <w:r>
        <w:rPr>
          <w:spacing w:val="-62"/>
        </w:rPr>
        <w:t> </w:t>
      </w:r>
      <w:r>
        <w:rPr>
          <w:spacing w:val="-62"/>
        </w:rPr>
      </w:r>
      <w:r>
        <w:rPr/>
        <w:t>在合并财务报表中将子公司所有资产和负债划分为持有待售类别。</w:t>
      </w:r>
    </w:p>
    <w:p>
      <w:pPr>
        <w:pStyle w:val="BodyText"/>
        <w:spacing w:line="217" w:lineRule="exact"/>
        <w:ind w:right="0" w:firstLine="360"/>
        <w:jc w:val="both"/>
      </w:pPr>
      <w:r>
        <w:rPr/>
        <w:t>（</w:t>
      </w:r>
      <w:r>
        <w:rPr>
          <w:rFonts w:ascii="Times New Roman" w:hAnsi="Times New Roman" w:cs="Times New Roman" w:eastAsia="Times New Roman" w:hint="default"/>
        </w:rPr>
        <w:t>4</w:t>
      </w:r>
      <w:r>
        <w:rPr>
          <w:spacing w:val="-87"/>
        </w:rPr>
        <w:t>）</w:t>
      </w:r>
      <w:r>
        <w:rPr/>
        <w:t>后续资产负债表日持有待售的非流动资产公允价值减去出售费用后的净额增加的</w:t>
      </w:r>
      <w:r>
        <w:rPr>
          <w:spacing w:val="-87"/>
        </w:rPr>
        <w:t>，</w:t>
      </w:r>
      <w:r>
        <w:rPr/>
        <w:t>以前减记的金额应当予以恢复，</w:t>
      </w:r>
    </w:p>
    <w:p>
      <w:pPr>
        <w:pStyle w:val="BodyText"/>
        <w:spacing w:line="232" w:lineRule="exact" w:before="17"/>
        <w:ind w:right="1132"/>
        <w:jc w:val="both"/>
      </w:pPr>
      <w:r>
        <w:rPr>
          <w:spacing w:val="-2"/>
        </w:rPr>
        <w:t>并在划分为持有待售类别后确认的资产减值损失金额内转回，转回金额计入当期损益。划分为持有待售类别前确认的资产减</w:t>
      </w:r>
      <w:r>
        <w:rPr>
          <w:spacing w:val="-64"/>
        </w:rPr>
        <w:t> </w:t>
      </w:r>
      <w:r>
        <w:rPr>
          <w:spacing w:val="-64"/>
        </w:rPr>
      </w:r>
      <w:r>
        <w:rPr/>
        <w:t>值损失不得转回。</w:t>
      </w:r>
    </w:p>
    <w:p>
      <w:pPr>
        <w:pStyle w:val="BodyText"/>
        <w:spacing w:line="232" w:lineRule="exact" w:before="2"/>
        <w:ind w:right="1130" w:firstLine="360"/>
        <w:jc w:val="both"/>
      </w:pPr>
      <w:r>
        <w:rPr/>
        <w:t>（</w:t>
      </w:r>
      <w:r>
        <w:rPr>
          <w:rFonts w:ascii="Times New Roman" w:hAnsi="Times New Roman" w:cs="Times New Roman" w:eastAsia="Times New Roman" w:hint="default"/>
        </w:rPr>
        <w:t>5</w:t>
      </w:r>
      <w:r>
        <w:rPr/>
        <w:t>）对于持有待售的处置组确认的资产减值损失金额，先抵减处置组中商誉的账面价值，再根据各项非流动资产账面 价值所占比重，按比例抵减其账面价值。</w:t>
      </w:r>
    </w:p>
    <w:p>
      <w:pPr>
        <w:pStyle w:val="BodyText"/>
        <w:spacing w:line="232" w:lineRule="exact" w:before="2"/>
        <w:ind w:right="1132" w:firstLine="360"/>
        <w:jc w:val="both"/>
      </w:pPr>
      <w:r>
        <w:rPr>
          <w:spacing w:val="-2"/>
        </w:rPr>
        <w:t>后续资产负债表日持有待售的处置组公允价值减去出售费用后的净额增加的，以前减记的金额应当予以恢复，并在划分</w:t>
      </w:r>
      <w:r>
        <w:rPr/>
        <w:t> </w:t>
      </w:r>
      <w:r>
        <w:rPr>
          <w:spacing w:val="-2"/>
        </w:rPr>
        <w:t>为持有待售类别后适用相关计量规定的非流动资产确认的资产减值损失金额内转回，转回金额计入当期损益。已抵减的商誉</w:t>
      </w:r>
    </w:p>
    <w:p>
      <w:pPr>
        <w:pStyle w:val="BodyText"/>
        <w:spacing w:line="232" w:lineRule="exact" w:before="2"/>
        <w:ind w:left="514" w:right="0" w:hanging="360"/>
        <w:jc w:val="left"/>
      </w:pPr>
      <w:r>
        <w:rPr/>
        <w:t>账面价值，以及非流动资产在划分为持有待售类别前确认的资产减值损失不得转回。 </w:t>
      </w:r>
      <w:r>
        <w:rPr>
          <w:spacing w:val="-2"/>
        </w:rPr>
        <w:t>持有待售的处置组确认的资产减值损失后续转回金额，根据处置组中除商誉外，各项非流动资产账面价值所占比重，按</w:t>
      </w:r>
    </w:p>
    <w:p>
      <w:pPr>
        <w:pStyle w:val="BodyText"/>
        <w:spacing w:line="212" w:lineRule="exact"/>
        <w:ind w:right="0"/>
        <w:jc w:val="both"/>
      </w:pPr>
      <w:r>
        <w:rPr/>
        <w:t>比例增加其账面价值。</w:t>
      </w:r>
    </w:p>
    <w:p>
      <w:pPr>
        <w:pStyle w:val="BodyText"/>
        <w:spacing w:line="234" w:lineRule="exact" w:before="21"/>
        <w:ind w:right="1131" w:firstLine="360"/>
        <w:jc w:val="both"/>
      </w:pPr>
      <w:r>
        <w:rPr/>
        <w:t>（</w:t>
      </w:r>
      <w:r>
        <w:rPr>
          <w:rFonts w:ascii="Times New Roman" w:hAnsi="Times New Roman" w:cs="Times New Roman" w:eastAsia="Times New Roman" w:hint="default"/>
        </w:rPr>
        <w:t>6</w:t>
      </w:r>
      <w:r>
        <w:rPr/>
        <w:t>）持有待售的非流动资产或处置组中的非流动资产不计提折旧或摊销，持有待售的处置组中负债的利息和其他费用 继续予以确认。</w:t>
      </w:r>
    </w:p>
    <w:p>
      <w:pPr>
        <w:pStyle w:val="BodyText"/>
        <w:spacing w:line="217" w:lineRule="exact"/>
        <w:ind w:right="0" w:firstLine="360"/>
        <w:jc w:val="both"/>
      </w:pPr>
      <w:r>
        <w:rPr/>
        <w:t>（</w:t>
      </w:r>
      <w:r>
        <w:rPr>
          <w:rFonts w:ascii="Times New Roman" w:hAnsi="Times New Roman" w:cs="Times New Roman" w:eastAsia="Times New Roman" w:hint="default"/>
        </w:rPr>
        <w:t>7</w:t>
      </w:r>
      <w:r>
        <w:rPr/>
        <w:t>）持有待售的非流动资产或处置组因不再满足持有待售类别的划分条件，而不再继续划分为持有待售类别或非流动</w:t>
      </w:r>
    </w:p>
    <w:p>
      <w:pPr>
        <w:pStyle w:val="BodyText"/>
        <w:spacing w:line="232" w:lineRule="exact" w:before="17"/>
        <w:ind w:right="1130"/>
        <w:jc w:val="both"/>
      </w:pPr>
      <w:r>
        <w:rPr/>
        <w:t>资产从持有待售的处置组中移除时，按照以下两者孰低计量：</w:t>
      </w:r>
      <w:r>
        <w:rPr>
          <w:rFonts w:ascii="Times New Roman" w:hAnsi="Times New Roman" w:cs="Times New Roman" w:eastAsia="Times New Roman" w:hint="default"/>
        </w:rPr>
        <w:t>1</w:t>
      </w:r>
      <w:r>
        <w:rPr/>
        <w:t>）划分为持有待售类别前的账面价值，按照假定不划分为持</w:t>
      </w:r>
      <w:r>
        <w:rPr>
          <w:spacing w:val="-82"/>
        </w:rPr>
        <w:t> </w:t>
      </w:r>
      <w:r>
        <w:rPr>
          <w:spacing w:val="-82"/>
        </w:rPr>
      </w:r>
      <w:r>
        <w:rPr/>
        <w:t>有待售类别情况下本应确认的折旧、摊销或减值等进行调整后的金额；</w:t>
      </w:r>
      <w:r>
        <w:rPr>
          <w:rFonts w:ascii="Times New Roman" w:hAnsi="Times New Roman" w:cs="Times New Roman" w:eastAsia="Times New Roman" w:hint="default"/>
        </w:rPr>
        <w:t>2</w:t>
      </w:r>
      <w:r>
        <w:rPr/>
        <w:t>）可收回金额。</w:t>
      </w:r>
    </w:p>
    <w:p>
      <w:pPr>
        <w:pStyle w:val="BodyText"/>
        <w:spacing w:line="227" w:lineRule="exact"/>
        <w:ind w:left="514" w:right="0"/>
        <w:jc w:val="left"/>
      </w:pPr>
      <w:r>
        <w:rPr/>
        <w:t>（</w:t>
      </w:r>
      <w:r>
        <w:rPr>
          <w:rFonts w:ascii="Times New Roman" w:hAnsi="Times New Roman" w:cs="Times New Roman" w:eastAsia="Times New Roman" w:hint="default"/>
        </w:rPr>
        <w:t>8</w:t>
      </w:r>
      <w:r>
        <w:rPr/>
        <w:t>）终止确认持有待售的非流动资产或处置组时，将尚未确认的利得或损失计入当期损益。</w:t>
      </w:r>
    </w:p>
    <w:p>
      <w:pPr>
        <w:spacing w:line="240" w:lineRule="auto" w:before="5"/>
        <w:rPr>
          <w:rFonts w:ascii="宋体" w:hAnsi="宋体" w:cs="宋体" w:eastAsia="宋体" w:hint="default"/>
          <w:sz w:val="21"/>
          <w:szCs w:val="21"/>
        </w:rPr>
      </w:pPr>
    </w:p>
    <w:p>
      <w:pPr>
        <w:pStyle w:val="Heading3"/>
        <w:spacing w:line="240" w:lineRule="auto"/>
        <w:ind w:right="0"/>
        <w:jc w:val="both"/>
        <w:rPr>
          <w:b w:val="0"/>
          <w:bCs w:val="0"/>
        </w:rPr>
      </w:pPr>
      <w:bookmarkStart w:name="14、长期股权投资" w:id="184"/>
      <w:bookmarkEnd w:id="184"/>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left="514" w:right="0"/>
        <w:jc w:val="left"/>
      </w:pPr>
      <w:r>
        <w:rPr/>
        <w:t>本集团长期股权投资主要是对子公司的投资、对联营企业的投资和对合营企业的投资。 </w:t>
      </w:r>
      <w:r>
        <w:rPr>
          <w:spacing w:val="-1"/>
        </w:rPr>
        <w:t>本集团直接或通过子公司间接拥有被投资单位</w:t>
      </w:r>
      <w:r>
        <w:rPr>
          <w:rFonts w:ascii="Times New Roman" w:hAnsi="Times New Roman" w:cs="Times New Roman" w:eastAsia="Times New Roman" w:hint="default"/>
          <w:spacing w:val="-1"/>
        </w:rPr>
        <w:t>20%</w:t>
      </w:r>
      <w:r>
        <w:rPr>
          <w:spacing w:val="-1"/>
        </w:rPr>
        <w:t>（含）以上但低于</w:t>
      </w:r>
      <w:r>
        <w:rPr>
          <w:rFonts w:ascii="Times New Roman" w:hAnsi="Times New Roman" w:cs="Times New Roman" w:eastAsia="Times New Roman" w:hint="default"/>
          <w:spacing w:val="-1"/>
        </w:rPr>
        <w:t>50%</w:t>
      </w:r>
      <w:r>
        <w:rPr>
          <w:spacing w:val="-1"/>
        </w:rPr>
        <w:t>的表决权时，通常认为对被投资单位具有重大</w:t>
      </w:r>
    </w:p>
    <w:p>
      <w:pPr>
        <w:pStyle w:val="BodyText"/>
        <w:spacing w:line="230" w:lineRule="auto"/>
        <w:ind w:right="1130"/>
        <w:jc w:val="both"/>
      </w:pPr>
      <w:r>
        <w:rPr>
          <w:spacing w:val="-1"/>
        </w:rPr>
        <w:t>影响。持有被投资单位</w:t>
      </w:r>
      <w:r>
        <w:rPr>
          <w:rFonts w:ascii="Times New Roman" w:hAnsi="Times New Roman" w:cs="Times New Roman" w:eastAsia="Times New Roman" w:hint="default"/>
          <w:spacing w:val="-1"/>
        </w:rPr>
        <w:t>20%</w:t>
      </w:r>
      <w:r>
        <w:rPr>
          <w:spacing w:val="-1"/>
        </w:rPr>
        <w:t>以下表决权的，还需要综合考虑在被投资单位的董事会或类似权力机构中派有代表、或参与被投</w:t>
      </w:r>
      <w:r>
        <w:rPr>
          <w:spacing w:val="-86"/>
        </w:rPr>
        <w:t> </w:t>
      </w:r>
      <w:r>
        <w:rPr>
          <w:spacing w:val="-86"/>
        </w:rPr>
      </w:r>
      <w:r>
        <w:rPr>
          <w:spacing w:val="-2"/>
        </w:rPr>
        <w:t>资单位财务和经营政策制定过程、或与被投资单位之间发生重要交易、或向被投资单位派出管理人员、或向被投资单位提供</w:t>
      </w:r>
      <w:r>
        <w:rPr>
          <w:spacing w:val="-66"/>
        </w:rPr>
        <w:t> </w:t>
      </w:r>
      <w:r>
        <w:rPr>
          <w:spacing w:val="-66"/>
        </w:rPr>
      </w:r>
      <w:r>
        <w:rPr/>
        <w:t>关键技术资料等事实和情况判断对被投资单位具有重大影响。</w:t>
      </w:r>
    </w:p>
    <w:p>
      <w:pPr>
        <w:pStyle w:val="BodyText"/>
        <w:spacing w:line="232" w:lineRule="auto" w:before="4"/>
        <w:ind w:right="1128" w:firstLine="360"/>
        <w:jc w:val="both"/>
      </w:pPr>
      <w:r>
        <w:rPr>
          <w:spacing w:val="-2"/>
        </w:rPr>
        <w:t>对被投资单位形成控制的，为本集团的子公司。通过同一控制下的企业合并取得的长期股权投资，在合并日按照取得被</w:t>
      </w:r>
      <w:r>
        <w:rPr/>
        <w:t> </w:t>
      </w:r>
      <w:r>
        <w:rPr>
          <w:spacing w:val="-2"/>
        </w:rPr>
        <w:t>合并方在最终控制方合并报表中净资产的账面价值的份额作为长期股权投资的初始投资成本。被合并方在合并日的净资产账</w:t>
      </w:r>
      <w:r>
        <w:rPr>
          <w:spacing w:val="-64"/>
        </w:rPr>
        <w:t> </w:t>
      </w:r>
      <w:r>
        <w:rPr>
          <w:spacing w:val="-64"/>
        </w:rPr>
      </w:r>
      <w:r>
        <w:rPr/>
        <w:t>面价值为负数的，长期股权投资成本按零确定。初始投资成本与合并对价账面价值之间差额，调整资本公积</w:t>
      </w:r>
      <w:r>
        <w:rPr>
          <w:rFonts w:ascii="Times New Roman" w:hAnsi="Times New Roman" w:cs="Times New Roman" w:eastAsia="Times New Roman" w:hint="default"/>
        </w:rPr>
        <w:t>(</w:t>
      </w:r>
      <w:r>
        <w:rPr/>
        <w:t>不足冲减的，</w:t>
      </w:r>
      <w:r>
        <w:rPr>
          <w:spacing w:val="-52"/>
        </w:rPr>
        <w:t> </w:t>
      </w:r>
      <w:r>
        <w:rPr>
          <w:spacing w:val="-52"/>
        </w:rPr>
      </w:r>
      <w:r>
        <w:rPr/>
        <w:t>冲减留存收益</w:t>
      </w:r>
      <w:r>
        <w:rPr>
          <w:rFonts w:ascii="Times New Roman" w:hAnsi="Times New Roman" w:cs="Times New Roman" w:eastAsia="Times New Roman" w:hint="default"/>
        </w:rPr>
        <w:t>)</w:t>
      </w:r>
      <w:r>
        <w:rPr/>
        <w:t>。</w:t>
      </w:r>
    </w:p>
    <w:p>
      <w:pPr>
        <w:pStyle w:val="BodyText"/>
        <w:spacing w:line="220" w:lineRule="exact"/>
        <w:ind w:right="0" w:firstLine="360"/>
        <w:jc w:val="both"/>
      </w:pPr>
      <w:r>
        <w:rPr/>
        <w:t>通过非同一控制下的企业合并取得的长期股权投资，以合并成本作为初始投资成本（通过多次交易分步取得非同一控制</w:t>
      </w:r>
    </w:p>
    <w:p>
      <w:pPr>
        <w:pStyle w:val="BodyText"/>
        <w:spacing w:line="237" w:lineRule="auto" w:before="1"/>
        <w:ind w:right="1132"/>
        <w:jc w:val="both"/>
      </w:pPr>
      <w:r>
        <w:rPr>
          <w:spacing w:val="-5"/>
        </w:rPr>
        <w:t>下被投资单位的股权，最终形成企业合并，属于一揽子交易的，本集团将各项交易作为一项取得控制权的交易进行会计处理。</w:t>
      </w:r>
      <w:r>
        <w:rPr>
          <w:spacing w:val="-79"/>
        </w:rPr>
        <w:t> </w:t>
      </w:r>
      <w:r>
        <w:rPr>
          <w:spacing w:val="-79"/>
        </w:rPr>
      </w:r>
      <w:r>
        <w:rPr>
          <w:spacing w:val="-2"/>
        </w:rPr>
        <w:t>不属于一览交易的，按照原持有的股权投资账面价值加上新增投资成本之和，作为改按成本法核算的初始投资成本。购买日</w:t>
      </w:r>
      <w:r>
        <w:rPr>
          <w:spacing w:val="-66"/>
        </w:rPr>
        <w:t> </w:t>
      </w:r>
      <w:r>
        <w:rPr>
          <w:spacing w:val="-66"/>
        </w:rPr>
      </w:r>
      <w:r>
        <w:rPr>
          <w:spacing w:val="-2"/>
        </w:rPr>
        <w:t>之前持有股权采用权益法核算的，原权益法核算的相关其他综合收益暂不做调整，在处置该项投资时采用与被投资单位直接</w:t>
      </w:r>
      <w:r>
        <w:rPr>
          <w:spacing w:val="-64"/>
        </w:rPr>
        <w:t> </w:t>
      </w:r>
      <w:r>
        <w:rPr>
          <w:spacing w:val="-64"/>
        </w:rPr>
      </w:r>
      <w:r>
        <w:rPr>
          <w:spacing w:val="-2"/>
        </w:rPr>
        <w:t>处置相关资产或负债相同的基础进行会计处理。购买日之前持有的股权在可供出售金融资产中采用公允价值核算的，原计入</w:t>
      </w:r>
      <w:r>
        <w:rPr>
          <w:spacing w:val="-64"/>
        </w:rPr>
        <w:t> </w:t>
      </w:r>
      <w:r>
        <w:rPr>
          <w:spacing w:val="-64"/>
        </w:rPr>
      </w:r>
      <w:r>
        <w:rPr/>
        <w:t>其他综合收益的累计公允价值变动在购买日转入当期投资收益。</w:t>
      </w:r>
    </w:p>
    <w:p>
      <w:pPr>
        <w:spacing w:after="0" w:line="237" w:lineRule="auto"/>
        <w:jc w:val="both"/>
        <w:sectPr>
          <w:pgSz w:w="11910" w:h="16840"/>
          <w:pgMar w:header="877" w:footer="979" w:top="1100" w:bottom="1160" w:left="980" w:right="0"/>
        </w:sectPr>
      </w:pPr>
    </w:p>
    <w:p>
      <w:pPr>
        <w:spacing w:line="240" w:lineRule="auto" w:before="10"/>
        <w:rPr>
          <w:rFonts w:ascii="宋体" w:hAnsi="宋体" w:cs="宋体" w:eastAsia="宋体" w:hint="default"/>
          <w:sz w:val="18"/>
          <w:szCs w:val="18"/>
        </w:rPr>
      </w:pPr>
    </w:p>
    <w:p>
      <w:pPr>
        <w:pStyle w:val="BodyText"/>
        <w:spacing w:line="232" w:lineRule="auto" w:before="50"/>
        <w:ind w:right="1042" w:firstLine="360"/>
        <w:jc w:val="both"/>
      </w:pPr>
      <w:r>
        <w:rPr>
          <w:spacing w:val="-2"/>
        </w:rPr>
        <w:t>除企业合并形成的长期股权投资以外方式取得的长期股权投资，按照下列方法确定初始投资成本：支付现金取得的，以</w:t>
      </w:r>
      <w:r>
        <w:rPr/>
        <w:t> </w:t>
      </w:r>
      <w:r>
        <w:rPr>
          <w:spacing w:val="-2"/>
        </w:rPr>
        <w:t>实际支付的购买价款及与取得长期股权投资直接相关的费用、税金及其他必要支出作为初始投资成本；发行权益性证券取得</w:t>
      </w:r>
      <w:r>
        <w:rPr>
          <w:spacing w:val="-64"/>
        </w:rPr>
        <w:t> </w:t>
      </w:r>
      <w:r>
        <w:rPr>
          <w:spacing w:val="-64"/>
        </w:rPr>
      </w:r>
      <w:r>
        <w:rPr/>
        <w:t>的，以发行权益性证券的公允价值作为初始投资成本；通过非货币性资产交换取得的，按照《企业会计准则第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w:t>
      </w:r>
      <w:r>
        <w:rPr>
          <w:spacing w:val="-81"/>
        </w:rPr>
        <w:t> </w:t>
      </w:r>
      <w:r>
        <w:rPr/>
        <w:t>币性资产交换》确定初始投资成本；通过债务重组取得的，按照《企业会计准则第</w:t>
      </w:r>
      <w:r>
        <w:rPr>
          <w:rFonts w:ascii="Times New Roman" w:hAnsi="Times New Roman" w:cs="Times New Roman" w:eastAsia="Times New Roman" w:hint="default"/>
        </w:rPr>
        <w:t>12</w:t>
      </w:r>
      <w:r>
        <w:rPr/>
        <w:t>号</w:t>
      </w:r>
      <w:r>
        <w:rPr>
          <w:rFonts w:ascii="Times New Roman" w:hAnsi="Times New Roman" w:cs="Times New Roman" w:eastAsia="Times New Roman" w:hint="default"/>
        </w:rPr>
        <w:t>——</w:t>
      </w:r>
      <w:r>
        <w:rPr/>
        <w:t>债务重组》确定初始投资成本。</w:t>
      </w:r>
    </w:p>
    <w:p>
      <w:pPr>
        <w:pStyle w:val="BodyText"/>
        <w:spacing w:line="234" w:lineRule="exact" w:before="8"/>
        <w:ind w:left="514" w:right="0"/>
        <w:jc w:val="left"/>
      </w:pPr>
      <w:r>
        <w:rPr/>
        <w:t>本集团对子公司投资采用成本法核算，对合营企业及联营企业投资采用权益法核算。 </w:t>
      </w:r>
      <w:r>
        <w:rPr>
          <w:spacing w:val="-2"/>
        </w:rPr>
        <w:t>后续计量采用成本法核算的长期股权投资，在追加投资时，按照追加投资支付的成本额公允价值及发生的相关交易费用</w:t>
      </w:r>
    </w:p>
    <w:p>
      <w:pPr>
        <w:pStyle w:val="BodyText"/>
        <w:spacing w:line="211" w:lineRule="exact"/>
        <w:ind w:right="0"/>
        <w:jc w:val="left"/>
      </w:pPr>
      <w:r>
        <w:rPr/>
        <w:t>增加长期股权投资成本的账面价值。被投资单位宣告分派的现金股利或利润，按照应享有的金额确认为当期投资收益。</w:t>
      </w:r>
    </w:p>
    <w:p>
      <w:pPr>
        <w:pStyle w:val="BodyText"/>
        <w:spacing w:line="237" w:lineRule="auto" w:before="1"/>
        <w:ind w:right="1131" w:firstLine="360"/>
        <w:jc w:val="both"/>
      </w:pPr>
      <w:r>
        <w:rPr>
          <w:spacing w:val="-2"/>
        </w:rPr>
        <w:t>后续计量采用权益法核算的长期股权投资，随着被投资单位所有者权益的变动相应调整增加或减少长期股权投资的账面</w:t>
      </w:r>
      <w:r>
        <w:rPr/>
        <w:t> </w:t>
      </w:r>
      <w:r>
        <w:rPr>
          <w:spacing w:val="-2"/>
        </w:rPr>
        <w:t>价值。其中在确认应享有被投资单位净损益的份额时，以取得投资时被投资单位各项可辨认资产等的公允价值为基础，按照</w:t>
      </w:r>
      <w:r>
        <w:rPr>
          <w:spacing w:val="-66"/>
        </w:rPr>
        <w:t> </w:t>
      </w:r>
      <w:r>
        <w:rPr>
          <w:spacing w:val="-66"/>
        </w:rPr>
      </w:r>
      <w:r>
        <w:rPr>
          <w:spacing w:val="-2"/>
        </w:rPr>
        <w:t>本集团的会计政策及会计期间，并抵销与联营企业及合营企业之间发生的内部交易损益按照持股比例计算归属于投资企业的</w:t>
      </w:r>
      <w:r>
        <w:rPr>
          <w:spacing w:val="-64"/>
        </w:rPr>
        <w:t> </w:t>
      </w:r>
      <w:r>
        <w:rPr>
          <w:spacing w:val="-64"/>
        </w:rPr>
      </w:r>
      <w:r>
        <w:rPr/>
        <w:t>部分，对被投资单位的净利润进行调整后确认。</w:t>
      </w:r>
    </w:p>
    <w:p>
      <w:pPr>
        <w:pStyle w:val="BodyText"/>
        <w:spacing w:line="237" w:lineRule="auto" w:before="1"/>
        <w:ind w:right="1131" w:firstLine="360"/>
        <w:jc w:val="both"/>
      </w:pPr>
      <w:r>
        <w:rPr>
          <w:spacing w:val="-2"/>
        </w:rPr>
        <w:t>处置长期股权投资，其账面价值与实际取得价款的差额，计入当期损益。采用权益法核算的长期股权投资，终止采用权</w:t>
      </w:r>
      <w:r>
        <w:rPr/>
        <w:t> </w:t>
      </w:r>
      <w:r>
        <w:rPr>
          <w:spacing w:val="-2"/>
        </w:rPr>
        <w:t>益法的，原权益法核算的相关其他综合收益采用与被投资单位直接处置相关资产或负债相同的基础进行会计处理，因被投资</w:t>
      </w:r>
      <w:r>
        <w:rPr>
          <w:spacing w:val="-64"/>
        </w:rPr>
        <w:t> </w:t>
      </w:r>
      <w:r>
        <w:rPr>
          <w:spacing w:val="-64"/>
        </w:rPr>
      </w:r>
      <w:r>
        <w:rPr>
          <w:spacing w:val="-2"/>
        </w:rPr>
        <w:t>方除净损益、其他综合收益和利润分配以外的其他所有者权益变动而确认的所有者权益，全部转入当期损益；仍采用权益法</w:t>
      </w:r>
      <w:r>
        <w:rPr>
          <w:spacing w:val="-66"/>
        </w:rPr>
        <w:t> </w:t>
      </w:r>
      <w:r>
        <w:rPr>
          <w:spacing w:val="-66"/>
        </w:rPr>
      </w:r>
      <w:r>
        <w:rPr>
          <w:spacing w:val="-2"/>
        </w:rPr>
        <w:t>的，原权益法核算的相关其他综合收益采用与被投资单位直接处置相关资产或负债相同的基础进行会计处理并按比例转入当</w:t>
      </w:r>
      <w:r>
        <w:rPr>
          <w:spacing w:val="-64"/>
        </w:rPr>
        <w:t> </w:t>
      </w:r>
      <w:r>
        <w:rPr>
          <w:spacing w:val="-64"/>
        </w:rPr>
      </w:r>
      <w:r>
        <w:rPr>
          <w:spacing w:val="-2"/>
        </w:rPr>
        <w:t>期损益，因被投资方除净损益、其他综合收益和利润分配以外的其他所有者权益变动而确认的所有者权益，按相应的比例转</w:t>
      </w:r>
      <w:r>
        <w:rPr>
          <w:spacing w:val="-65"/>
        </w:rPr>
        <w:t> </w:t>
      </w:r>
      <w:r>
        <w:rPr>
          <w:spacing w:val="-65"/>
        </w:rPr>
      </w:r>
      <w:r>
        <w:rPr/>
        <w:t>入当期损益。</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15、投资性房地产" w:id="185"/>
      <w:bookmarkEnd w:id="185"/>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0"/>
        <w:rPr>
          <w:rFonts w:ascii="宋体" w:hAnsi="宋体" w:cs="宋体" w:eastAsia="宋体" w:hint="default"/>
          <w:b/>
          <w:bCs/>
          <w:sz w:val="22"/>
          <w:szCs w:val="22"/>
        </w:rPr>
      </w:pPr>
    </w:p>
    <w:p>
      <w:pPr>
        <w:pStyle w:val="BodyText"/>
        <w:spacing w:line="278" w:lineRule="auto"/>
        <w:ind w:right="8952"/>
        <w:jc w:val="left"/>
      </w:pPr>
      <w:r>
        <w:rPr/>
        <w:t>投资性房地产计量模式 成本法计量 折旧或摊销方法</w:t>
      </w:r>
    </w:p>
    <w:p>
      <w:pPr>
        <w:pStyle w:val="BodyText"/>
        <w:spacing w:line="232" w:lineRule="exact" w:before="34"/>
        <w:ind w:left="514" w:right="0"/>
        <w:jc w:val="left"/>
      </w:pPr>
      <w:r>
        <w:rPr/>
        <w:t>本集团投资性房地产为房屋建筑物。 </w:t>
      </w:r>
      <w:r>
        <w:rPr>
          <w:spacing w:val="-2"/>
        </w:rPr>
        <w:t>本集团投资性房地产按其成本作为入账价值，外购投资性房地产的成本包括购买价款、相关税费和可直接归属于该资产</w:t>
      </w:r>
    </w:p>
    <w:p>
      <w:pPr>
        <w:pStyle w:val="BodyText"/>
        <w:spacing w:line="232" w:lineRule="exact" w:before="2"/>
        <w:ind w:left="514" w:right="0" w:hanging="360"/>
        <w:jc w:val="left"/>
      </w:pPr>
      <w:r>
        <w:rPr/>
        <w:t>的其他支出；自行建造投资性房地产的成本，由建造该项资产达到预定可使用状态前所发生的必要支出构成。 本集团对投资性房地产采用成本模式进行后续计量，并按照与房屋建筑物一致的政策进行折旧或摊销。</w:t>
      </w:r>
    </w:p>
    <w:p>
      <w:pPr>
        <w:pStyle w:val="BodyText"/>
        <w:spacing w:line="234" w:lineRule="exact"/>
        <w:ind w:right="1131" w:firstLine="360"/>
        <w:jc w:val="both"/>
      </w:pPr>
      <w:r>
        <w:rPr>
          <w:spacing w:val="-2"/>
        </w:rPr>
        <w:t>当投资性房地产的用途改变为自用时，则自改变之日起，将该投资性房地产转换为固定资产或无形资产。自用房地产的</w:t>
      </w:r>
      <w:r>
        <w:rPr/>
        <w:t> </w:t>
      </w:r>
      <w:r>
        <w:rPr>
          <w:spacing w:val="-2"/>
        </w:rPr>
        <w:t>用途改变为赚取租金或资本增值时，则自改变之日起，将固定资产或无形资产转换为投资性房地产。发生转换时，以转换前</w:t>
      </w:r>
    </w:p>
    <w:p>
      <w:pPr>
        <w:pStyle w:val="BodyText"/>
        <w:spacing w:line="232" w:lineRule="exact" w:before="1"/>
        <w:ind w:left="514" w:right="0" w:hanging="360"/>
        <w:jc w:val="left"/>
      </w:pPr>
      <w:r>
        <w:rPr/>
        <w:t>的账面价值作为转换后的入账价值。 </w:t>
      </w:r>
      <w:r>
        <w:rPr>
          <w:spacing w:val="-2"/>
        </w:rPr>
        <w:t>当投资性房地产被处置，或者永久退出使用且预计不能从其处置中取得经济利益时，终止确认该项投资性房地产。投资</w:t>
      </w:r>
    </w:p>
    <w:p>
      <w:pPr>
        <w:pStyle w:val="BodyText"/>
        <w:spacing w:line="232" w:lineRule="exact" w:before="2"/>
        <w:ind w:left="514" w:right="1212" w:hanging="360"/>
        <w:jc w:val="left"/>
      </w:pPr>
      <w:r>
        <w:rPr/>
        <w:t>性房地产出售、转让、报废或毁损的处置收入扣除其账面价值和相关税费后的金额计入当期损益。 本集团投资性房地产采用平均年限方法计提折旧或摊销。投资性房地产的预计使用寿命、净残值率及年折旧率如下：</w:t>
      </w:r>
    </w:p>
    <w:tbl>
      <w:tblPr>
        <w:tblW w:w="0" w:type="auto"/>
        <w:jc w:val="left"/>
        <w:tblInd w:w="146" w:type="dxa"/>
        <w:tblLayout w:type="fixed"/>
        <w:tblCellMar>
          <w:top w:w="0" w:type="dxa"/>
          <w:left w:w="0" w:type="dxa"/>
          <w:bottom w:w="0" w:type="dxa"/>
          <w:right w:w="0" w:type="dxa"/>
        </w:tblCellMar>
        <w:tblLook w:val="01E0"/>
      </w:tblPr>
      <w:tblGrid>
        <w:gridCol w:w="1226"/>
        <w:gridCol w:w="2472"/>
        <w:gridCol w:w="1881"/>
        <w:gridCol w:w="2178"/>
        <w:gridCol w:w="1902"/>
      </w:tblGrid>
      <w:tr>
        <w:trPr>
          <w:trHeight w:val="274" w:hRule="exact"/>
        </w:trPr>
        <w:tc>
          <w:tcPr>
            <w:tcW w:w="1226" w:type="dxa"/>
            <w:tcBorders>
              <w:top w:val="single" w:sz="8" w:space="0" w:color="000000"/>
              <w:left w:val="single" w:sz="6" w:space="0" w:color="000000"/>
              <w:bottom w:val="single" w:sz="8" w:space="0" w:color="000000"/>
              <w:right w:val="single" w:sz="6" w:space="0" w:color="000000"/>
            </w:tcBorders>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472" w:type="dxa"/>
            <w:tcBorders>
              <w:top w:val="single" w:sz="8" w:space="0" w:color="000000"/>
              <w:left w:val="single" w:sz="6" w:space="0" w:color="000000"/>
              <w:bottom w:val="single" w:sz="8" w:space="0" w:color="000000"/>
              <w:right w:val="single" w:sz="6" w:space="0" w:color="000000"/>
            </w:tcBorders>
          </w:tcPr>
          <w:p>
            <w:pPr>
              <w:pStyle w:val="TableParagraph"/>
              <w:spacing w:line="216" w:lineRule="exact"/>
              <w:ind w:right="1045"/>
              <w:jc w:val="righ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881" w:type="dxa"/>
            <w:tcBorders>
              <w:top w:val="single" w:sz="8" w:space="0" w:color="000000"/>
              <w:left w:val="single" w:sz="6" w:space="0" w:color="000000"/>
              <w:bottom w:val="single" w:sz="8" w:space="0" w:color="000000"/>
              <w:right w:val="single" w:sz="6" w:space="0" w:color="000000"/>
            </w:tcBorders>
          </w:tcPr>
          <w:p>
            <w:pPr>
              <w:pStyle w:val="TableParagraph"/>
              <w:spacing w:line="230" w:lineRule="exact"/>
              <w:ind w:left="1"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折旧年限</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2178" w:type="dxa"/>
            <w:tcBorders>
              <w:top w:val="single" w:sz="8" w:space="0" w:color="000000"/>
              <w:left w:val="single" w:sz="6" w:space="0" w:color="000000"/>
              <w:bottom w:val="single" w:sz="8" w:space="0" w:color="000000"/>
              <w:right w:val="single" w:sz="6" w:space="0" w:color="000000"/>
            </w:tcBorders>
          </w:tcPr>
          <w:p>
            <w:pPr>
              <w:pStyle w:val="TableParagraph"/>
              <w:spacing w:line="230" w:lineRule="exact"/>
              <w:ind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预计残值率</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902" w:type="dxa"/>
            <w:tcBorders>
              <w:top w:val="single" w:sz="8" w:space="0" w:color="000000"/>
              <w:left w:val="single" w:sz="6" w:space="0" w:color="000000"/>
              <w:bottom w:val="single" w:sz="8" w:space="0" w:color="000000"/>
              <w:right w:val="single" w:sz="6" w:space="0" w:color="000000"/>
            </w:tcBorders>
          </w:tcPr>
          <w:p>
            <w:pPr>
              <w:pStyle w:val="TableParagraph"/>
              <w:spacing w:line="230" w:lineRule="exact"/>
              <w:ind w:right="1"/>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年折旧率</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271" w:hRule="exact"/>
        </w:trPr>
        <w:tc>
          <w:tcPr>
            <w:tcW w:w="1226" w:type="dxa"/>
            <w:tcBorders>
              <w:top w:val="single" w:sz="8" w:space="0" w:color="000000"/>
              <w:left w:val="single" w:sz="6" w:space="0" w:color="000000"/>
              <w:bottom w:val="single" w:sz="6" w:space="0" w:color="000000"/>
              <w:right w:val="single" w:sz="6" w:space="0" w:color="000000"/>
            </w:tcBorders>
          </w:tcPr>
          <w:p>
            <w:pPr>
              <w:pStyle w:val="TableParagraph"/>
              <w:spacing w:line="240" w:lineRule="auto" w:before="6"/>
              <w:ind w:right="1"/>
              <w:jc w:val="center"/>
              <w:rPr>
                <w:rFonts w:ascii="Times New Roman" w:hAnsi="Times New Roman" w:cs="Times New Roman" w:eastAsia="Times New Roman" w:hint="default"/>
                <w:sz w:val="18"/>
                <w:szCs w:val="18"/>
              </w:rPr>
            </w:pPr>
            <w:r>
              <w:rPr>
                <w:rFonts w:ascii="Times New Roman"/>
                <w:sz w:val="18"/>
              </w:rPr>
              <w:t>1</w:t>
            </w:r>
          </w:p>
        </w:tc>
        <w:tc>
          <w:tcPr>
            <w:tcW w:w="2472" w:type="dxa"/>
            <w:tcBorders>
              <w:top w:val="single" w:sz="8" w:space="0" w:color="000000"/>
              <w:left w:val="single" w:sz="6" w:space="0" w:color="000000"/>
              <w:bottom w:val="single" w:sz="6" w:space="0" w:color="000000"/>
              <w:right w:val="single" w:sz="6" w:space="0" w:color="000000"/>
            </w:tcBorders>
          </w:tcPr>
          <w:p>
            <w:pPr>
              <w:pStyle w:val="TableParagraph"/>
              <w:spacing w:line="216" w:lineRule="exact"/>
              <w:ind w:right="1013"/>
              <w:jc w:val="right"/>
              <w:rPr>
                <w:rFonts w:ascii="宋体" w:hAnsi="宋体" w:cs="宋体" w:eastAsia="宋体" w:hint="default"/>
                <w:sz w:val="18"/>
                <w:szCs w:val="18"/>
              </w:rPr>
            </w:pPr>
            <w:r>
              <w:rPr>
                <w:rFonts w:ascii="宋体" w:hAnsi="宋体" w:cs="宋体" w:eastAsia="宋体" w:hint="default"/>
                <w:sz w:val="18"/>
                <w:szCs w:val="18"/>
              </w:rPr>
              <w:t>房屋及土地使用权</w:t>
            </w:r>
          </w:p>
        </w:tc>
        <w:tc>
          <w:tcPr>
            <w:tcW w:w="1881" w:type="dxa"/>
            <w:tcBorders>
              <w:top w:val="single" w:sz="8" w:space="0" w:color="000000"/>
              <w:left w:val="single" w:sz="6" w:space="0" w:color="000000"/>
              <w:bottom w:val="single" w:sz="6" w:space="0" w:color="000000"/>
              <w:right w:val="single" w:sz="6" w:space="0" w:color="000000"/>
            </w:tcBorders>
          </w:tcPr>
          <w:p>
            <w:pPr>
              <w:pStyle w:val="TableParagraph"/>
              <w:spacing w:line="230"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20-50</w:t>
            </w:r>
            <w:r>
              <w:rPr>
                <w:rFonts w:ascii="宋体" w:hAnsi="宋体" w:cs="宋体" w:eastAsia="宋体" w:hint="default"/>
                <w:sz w:val="18"/>
                <w:szCs w:val="18"/>
              </w:rPr>
              <w:t>年</w:t>
            </w:r>
          </w:p>
        </w:tc>
        <w:tc>
          <w:tcPr>
            <w:tcW w:w="2178" w:type="dxa"/>
            <w:tcBorders>
              <w:top w:val="single" w:sz="8" w:space="0" w:color="000000"/>
              <w:left w:val="single" w:sz="6" w:space="0" w:color="000000"/>
              <w:bottom w:val="single" w:sz="6" w:space="0" w:color="000000"/>
              <w:right w:val="single" w:sz="6" w:space="0" w:color="000000"/>
            </w:tcBorders>
          </w:tcPr>
          <w:p>
            <w:pPr>
              <w:pStyle w:val="TableParagraph"/>
              <w:spacing w:line="240" w:lineRule="auto" w:before="6"/>
              <w:ind w:right="0"/>
              <w:jc w:val="center"/>
              <w:rPr>
                <w:rFonts w:ascii="Times New Roman" w:hAnsi="Times New Roman" w:cs="Times New Roman" w:eastAsia="Times New Roman" w:hint="default"/>
                <w:sz w:val="18"/>
                <w:szCs w:val="18"/>
              </w:rPr>
            </w:pPr>
            <w:r>
              <w:rPr>
                <w:rFonts w:ascii="Times New Roman"/>
                <w:sz w:val="18"/>
              </w:rPr>
              <w:t>0-10</w:t>
            </w:r>
          </w:p>
        </w:tc>
        <w:tc>
          <w:tcPr>
            <w:tcW w:w="1902" w:type="dxa"/>
            <w:tcBorders>
              <w:top w:val="single" w:sz="8" w:space="0" w:color="000000"/>
              <w:left w:val="single" w:sz="6" w:space="0" w:color="000000"/>
              <w:bottom w:val="single" w:sz="6" w:space="0" w:color="000000"/>
              <w:right w:val="single" w:sz="6" w:space="0" w:color="000000"/>
            </w:tcBorders>
          </w:tcPr>
          <w:p>
            <w:pPr>
              <w:pStyle w:val="TableParagraph"/>
              <w:spacing w:line="240" w:lineRule="auto" w:before="6"/>
              <w:ind w:right="0"/>
              <w:jc w:val="center"/>
              <w:rPr>
                <w:rFonts w:ascii="Times New Roman" w:hAnsi="Times New Roman" w:cs="Times New Roman" w:eastAsia="Times New Roman" w:hint="default"/>
                <w:sz w:val="18"/>
                <w:szCs w:val="18"/>
              </w:rPr>
            </w:pPr>
            <w:r>
              <w:rPr>
                <w:rFonts w:ascii="Times New Roman"/>
                <w:sz w:val="18"/>
              </w:rPr>
              <w:t>1.8-5</w:t>
            </w:r>
          </w:p>
        </w:tc>
      </w:tr>
    </w:tbl>
    <w:p>
      <w:pPr>
        <w:spacing w:line="240" w:lineRule="auto" w:before="2"/>
        <w:rPr>
          <w:rFonts w:ascii="宋体" w:hAnsi="宋体" w:cs="宋体" w:eastAsia="宋体" w:hint="default"/>
          <w:sz w:val="18"/>
          <w:szCs w:val="18"/>
        </w:rPr>
      </w:pPr>
    </w:p>
    <w:p>
      <w:pPr>
        <w:pStyle w:val="Heading3"/>
        <w:spacing w:line="240" w:lineRule="auto" w:before="35"/>
        <w:ind w:right="0"/>
        <w:jc w:val="left"/>
        <w:rPr>
          <w:b w:val="0"/>
          <w:bCs w:val="0"/>
        </w:rPr>
      </w:pPr>
      <w:bookmarkStart w:name="16、固定资产" w:id="186"/>
      <w:bookmarkEnd w:id="186"/>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bookmarkStart w:name="（1）确认条件" w:id="187"/>
      <w:bookmarkEnd w:id="187"/>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12"/>
        <w:rPr>
          <w:rFonts w:ascii="宋体" w:hAnsi="宋体" w:cs="宋体" w:eastAsia="宋体" w:hint="default"/>
          <w:b/>
          <w:bCs/>
          <w:sz w:val="23"/>
          <w:szCs w:val="23"/>
        </w:rPr>
      </w:pPr>
    </w:p>
    <w:p>
      <w:pPr>
        <w:pStyle w:val="BodyText"/>
        <w:spacing w:line="232" w:lineRule="exact"/>
        <w:ind w:right="1118" w:firstLine="360"/>
        <w:jc w:val="left"/>
      </w:pPr>
      <w:r>
        <w:rPr>
          <w:spacing w:val="-2"/>
        </w:rPr>
        <w:t>本集团固定资产是指同时具有以下特征，即为生产商品、提供劳务、出租或经营管理而持有的，使用年限超过一年，单</w:t>
      </w:r>
      <w:r>
        <w:rPr/>
        <w:t> 位价值超过</w:t>
      </w:r>
      <w:r>
        <w:rPr>
          <w:spacing w:val="-46"/>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
        </w:rPr>
        <w:t> </w:t>
      </w:r>
      <w:r>
        <w:rPr/>
        <w:t>元的有形资产。</w:t>
      </w:r>
    </w:p>
    <w:p>
      <w:pPr>
        <w:pStyle w:val="BodyText"/>
        <w:spacing w:line="237" w:lineRule="auto" w:before="19"/>
        <w:ind w:right="1032" w:firstLine="360"/>
        <w:jc w:val="left"/>
      </w:pPr>
      <w:r>
        <w:rPr/>
        <w:t>固定资产在与其有关的经济利益很可能流入本集团、且其成本能够可靠计量时予以确认。与固定资产有关的后续支出， </w:t>
      </w:r>
      <w:r>
        <w:rPr>
          <w:spacing w:val="-2"/>
        </w:rPr>
        <w:t>符合该确认条件的，计入固定资产成本，并终止确认被替换部分的账面价值；否则，在发生时计入当期损益。本集团固定资</w:t>
      </w:r>
      <w:r>
        <w:rPr>
          <w:spacing w:val="-66"/>
        </w:rPr>
        <w:t> </w:t>
      </w:r>
      <w:r>
        <w:rPr>
          <w:spacing w:val="-66"/>
        </w:rPr>
      </w:r>
      <w:r>
        <w:rPr/>
        <w:t>产包括房屋及土地使用权、办公设备、运输设备等。</w:t>
      </w:r>
    </w:p>
    <w:p>
      <w:pPr>
        <w:pStyle w:val="BodyText"/>
        <w:spacing w:line="240" w:lineRule="auto" w:before="38"/>
        <w:ind w:right="0" w:firstLine="360"/>
        <w:jc w:val="left"/>
      </w:pPr>
      <w:r>
        <w:rPr>
          <w:spacing w:val="-2"/>
        </w:rPr>
        <w:t>固定资产按照成本进行初始计量。购置固定资产的成本包括购买价款，相关税费，以及为使固定资产达到预定可使用状</w:t>
      </w:r>
      <w:r>
        <w:rPr/>
        <w:t> 态前所发生的可直接归属于该资产的其他支出。</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bookmarkStart w:name="（2）折旧方法" w:id="188"/>
      <w:bookmarkEnd w:id="188"/>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3"/>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32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32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房屋及土地使用权</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0%-10%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1.80-5.00</w:t>
            </w:r>
          </w:p>
        </w:tc>
      </w:tr>
      <w:tr>
        <w:trPr>
          <w:trHeight w:val="32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0%-10%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9.00-33.33</w:t>
            </w:r>
          </w:p>
        </w:tc>
      </w:tr>
      <w:tr>
        <w:trPr>
          <w:trHeight w:val="32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0%-10%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9.00-20.00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b/>
          <w:bCs/>
          <w:sz w:val="18"/>
          <w:szCs w:val="18"/>
        </w:rPr>
      </w:pPr>
    </w:p>
    <w:p>
      <w:pPr>
        <w:pStyle w:val="BodyText"/>
        <w:spacing w:line="237" w:lineRule="auto" w:before="46"/>
        <w:ind w:right="1133" w:firstLine="360"/>
        <w:jc w:val="both"/>
      </w:pPr>
      <w:r>
        <w:rPr>
          <w:spacing w:val="-2"/>
        </w:rPr>
        <w:t>除已提足折旧仍继续使用的固定资产外，本集团对所有固定资产计提折旧。计提折旧时采用平均年限法。本集团于每年</w:t>
      </w:r>
      <w:r>
        <w:rPr/>
        <w:t> </w:t>
      </w:r>
      <w:r>
        <w:rPr>
          <w:spacing w:val="-2"/>
        </w:rPr>
        <w:t>年度终了，对固定资产的预计使用寿命、预计净残值和折旧方法进行复核，如发生改变，则作为会计估计变更处理。当固定</w:t>
      </w:r>
      <w:r>
        <w:rPr>
          <w:spacing w:val="-66"/>
        </w:rPr>
        <w:t> </w:t>
      </w:r>
      <w:r>
        <w:rPr>
          <w:spacing w:val="-66"/>
        </w:rPr>
      </w:r>
      <w:r>
        <w:rPr>
          <w:spacing w:val="-2"/>
        </w:rPr>
        <w:t>资产被处置、或者预期通过使用或处置不能产生经济利益时，终止确认该固定资产。固定资产出售、转让、报废或毁损的处</w:t>
      </w:r>
      <w:r>
        <w:rPr>
          <w:spacing w:val="-66"/>
        </w:rPr>
        <w:t> </w:t>
      </w:r>
      <w:r>
        <w:rPr>
          <w:spacing w:val="-66"/>
        </w:rPr>
      </w:r>
      <w:r>
        <w:rPr/>
        <w:t>置收入扣除其账面价值和相关税费后的金额计入当期损益。</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3）融资租入固定资产的认定依据、计价和折旧方法" w:id="189"/>
      <w:bookmarkEnd w:id="189"/>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right="1131" w:firstLine="360"/>
        <w:jc w:val="both"/>
      </w:pPr>
      <w:r>
        <w:rPr>
          <w:spacing w:val="-2"/>
        </w:rPr>
        <w:t>融资租入固定资产以租赁资产的公允价值与最低租赁付款额的现值两者中的较低者作为租入资产的入账价值。租入资产</w:t>
      </w:r>
      <w:r>
        <w:rPr/>
        <w:t> 的入账价值与最低租赁付款额之间的差额作为未确认融资费用。</w:t>
      </w:r>
    </w:p>
    <w:p>
      <w:pPr>
        <w:pStyle w:val="BodyText"/>
        <w:spacing w:line="237" w:lineRule="auto" w:before="39"/>
        <w:ind w:right="1132" w:firstLine="360"/>
        <w:jc w:val="both"/>
      </w:pPr>
      <w:r>
        <w:rPr>
          <w:spacing w:val="-2"/>
        </w:rPr>
        <w:t>融资租入的固定资产采用与自有固定资产相一致的折旧政策。能够合理确定租赁期届满时将取得租入资产所有权的，租</w:t>
      </w:r>
      <w:r>
        <w:rPr/>
        <w:t> </w:t>
      </w:r>
      <w:r>
        <w:rPr>
          <w:spacing w:val="-2"/>
        </w:rPr>
        <w:t>入固定资产在其预计使用寿命内计提折旧；否则，租入固定资产在租赁期与该资产预计使用寿命两者中较短的期间内计提折</w:t>
      </w:r>
      <w:r>
        <w:rPr>
          <w:spacing w:val="-64"/>
        </w:rPr>
        <w:t> </w:t>
      </w:r>
      <w:r>
        <w:rPr>
          <w:spacing w:val="-64"/>
        </w:rPr>
      </w:r>
      <w:r>
        <w:rPr/>
        <w:t>旧。</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bookmarkStart w:name="17、在建工程" w:id="190"/>
      <w:bookmarkEnd w:id="190"/>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0"/>
        <w:rPr>
          <w:rFonts w:ascii="宋体" w:hAnsi="宋体" w:cs="宋体" w:eastAsia="宋体" w:hint="default"/>
          <w:b/>
          <w:bCs/>
          <w:sz w:val="22"/>
          <w:szCs w:val="22"/>
        </w:rPr>
      </w:pPr>
    </w:p>
    <w:p>
      <w:pPr>
        <w:pStyle w:val="BodyText"/>
        <w:spacing w:line="278" w:lineRule="auto"/>
        <w:ind w:right="7692"/>
        <w:jc w:val="left"/>
      </w:pPr>
      <w:r>
        <w:rPr/>
        <w:t>公司是否需要遵守特殊行业的披露要求 否</w:t>
      </w:r>
    </w:p>
    <w:p>
      <w:pPr>
        <w:pStyle w:val="BodyText"/>
        <w:spacing w:line="237" w:lineRule="auto" w:before="11"/>
        <w:ind w:right="1131" w:firstLine="360"/>
        <w:jc w:val="both"/>
      </w:pPr>
      <w:r>
        <w:rPr>
          <w:spacing w:val="-2"/>
        </w:rPr>
        <w:t>在建工程包括在建期间发生的各项工程支出、工程达到预定可使用状态前的资本化的借款费用以及其他相关费用等。在</w:t>
      </w:r>
      <w:r>
        <w:rPr/>
        <w:t> </w:t>
      </w:r>
      <w:r>
        <w:rPr>
          <w:spacing w:val="-2"/>
        </w:rPr>
        <w:t>建工程在达到预定可使用状态之日起，根据工程预算、造价或工程实际成本等，按估计的价值结转固定资产，次月起开始计</w:t>
      </w:r>
      <w:r>
        <w:rPr>
          <w:spacing w:val="-66"/>
        </w:rPr>
        <w:t> </w:t>
      </w:r>
      <w:r>
        <w:rPr>
          <w:spacing w:val="-66"/>
        </w:rPr>
      </w:r>
      <w:r>
        <w:rPr/>
        <w:t>提折旧，待办理了竣工决算手续后再对固定资产原值差异进行调整。</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18、借款费用" w:id="191"/>
      <w:bookmarkEnd w:id="191"/>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8"/>
        <w:rPr>
          <w:rFonts w:ascii="宋体" w:hAnsi="宋体" w:cs="宋体" w:eastAsia="宋体" w:hint="default"/>
          <w:b/>
          <w:bCs/>
          <w:sz w:val="22"/>
          <w:szCs w:val="22"/>
        </w:rPr>
      </w:pPr>
    </w:p>
    <w:p>
      <w:pPr>
        <w:pStyle w:val="BodyText"/>
        <w:spacing w:line="230" w:lineRule="auto"/>
        <w:ind w:right="1129" w:firstLine="360"/>
        <w:jc w:val="both"/>
      </w:pPr>
      <w:r>
        <w:rPr/>
        <w:t>发生的可直接归属于需要经过</w:t>
      </w:r>
      <w:r>
        <w:rPr>
          <w:rFonts w:ascii="Times New Roman" w:hAnsi="Times New Roman" w:cs="Times New Roman" w:eastAsia="Times New Roman" w:hint="default"/>
        </w:rPr>
        <w:t>1</w:t>
      </w:r>
      <w:r>
        <w:rPr/>
        <w:t>年以上的购建或者生产活动才能达到预定可使用或者可销售状态的固定资产和存货等的 </w:t>
      </w:r>
      <w:r>
        <w:rPr>
          <w:spacing w:val="-2"/>
        </w:rPr>
        <w:t>借款费用，在资产支出已经发生、借款费用已经发生、为使资产达到预定可使用或可销售状态所必要的购建或生产活动已经</w:t>
      </w:r>
      <w:r>
        <w:rPr>
          <w:spacing w:val="-66"/>
        </w:rPr>
        <w:t> </w:t>
      </w:r>
      <w:r>
        <w:rPr>
          <w:spacing w:val="-66"/>
        </w:rPr>
      </w:r>
      <w:r>
        <w:rPr>
          <w:spacing w:val="-2"/>
        </w:rPr>
        <w:t>开始时，开始资本化；当购建或生产符合资本化条件的资产达到预定可使用或可销售状态时，停止资本化，其后发生的借款</w:t>
      </w:r>
      <w:r>
        <w:rPr>
          <w:spacing w:val="-66"/>
        </w:rPr>
        <w:t> </w:t>
      </w:r>
      <w:r>
        <w:rPr>
          <w:spacing w:val="-66"/>
        </w:rPr>
      </w:r>
      <w:r>
        <w:rPr/>
        <w:t>费用计入当期损益。如果符合资本化条件的资产在购建或者生产过程中发生非正常中断、且中断时间连续超过</w:t>
      </w:r>
      <w:r>
        <w:rPr>
          <w:rFonts w:ascii="Times New Roman" w:hAnsi="Times New Roman" w:cs="Times New Roman" w:eastAsia="Times New Roman" w:hint="default"/>
        </w:rPr>
        <w:t>3</w:t>
      </w:r>
      <w:r>
        <w:rPr/>
        <w:t>个月，暂停</w:t>
      </w:r>
      <w:r>
        <w:rPr>
          <w:spacing w:val="-81"/>
        </w:rPr>
        <w:t> </w:t>
      </w:r>
      <w:r>
        <w:rPr/>
        <w:t>借款费用的资本化，直至资产的购建或生产活动重新开始。</w:t>
      </w:r>
    </w:p>
    <w:p>
      <w:pPr>
        <w:pStyle w:val="BodyText"/>
        <w:spacing w:line="237" w:lineRule="auto" w:before="1"/>
        <w:ind w:right="1131" w:firstLine="290"/>
        <w:jc w:val="both"/>
      </w:pPr>
      <w:r>
        <w:rPr>
          <w:spacing w:val="-1"/>
        </w:rPr>
        <w:t>专门借款当期实际发生的利息费用，扣除尚未动用的借款资金存入银行取得的利息收入或进行暂时性投资取得的投资收</w:t>
      </w:r>
      <w:r>
        <w:rPr/>
        <w:t> </w:t>
      </w:r>
      <w:r>
        <w:rPr>
          <w:spacing w:val="-2"/>
        </w:rPr>
        <w:t>益后的金额予以资本化；一般借款根据累计资产支出超过专门借款部分的资产支出加权平均数乘以所占用一般借款的资本化</w:t>
      </w:r>
      <w:r>
        <w:rPr>
          <w:spacing w:val="-64"/>
        </w:rPr>
        <w:t> </w:t>
      </w:r>
      <w:r>
        <w:rPr>
          <w:spacing w:val="-64"/>
        </w:rPr>
      </w:r>
      <w:r>
        <w:rPr/>
        <w:t>率，确定资本化金额。资本化率根据一般借款加权平均利率计算确定。</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19、无形资产" w:id="192"/>
      <w:bookmarkEnd w:id="192"/>
      <w:r>
        <w:rPr>
          <w:b w:val="0"/>
          <w:bCs w:val="0"/>
        </w:rPr>
      </w:r>
      <w:r>
        <w:rPr>
          <w:rFonts w:ascii="Times New Roman" w:hAnsi="Times New Roman" w:cs="Times New Roman" w:eastAsia="Times New Roman" w:hint="default"/>
        </w:rPr>
        <w:t>19</w:t>
      </w:r>
      <w:r>
        <w:rPr/>
        <w:t>、无形资产</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bookmarkStart w:name="（1）计价方法、使用寿命、减值测试" w:id="193"/>
      <w:bookmarkEnd w:id="193"/>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2"/>
        <w:rPr>
          <w:rFonts w:ascii="宋体" w:hAnsi="宋体" w:cs="宋体" w:eastAsia="宋体" w:hint="default"/>
          <w:b/>
          <w:bCs/>
          <w:sz w:val="22"/>
          <w:szCs w:val="22"/>
        </w:rPr>
      </w:pPr>
    </w:p>
    <w:p>
      <w:pPr>
        <w:pStyle w:val="BodyText"/>
        <w:spacing w:line="237" w:lineRule="auto"/>
        <w:ind w:right="0" w:firstLine="360"/>
        <w:jc w:val="left"/>
      </w:pPr>
      <w:r>
        <w:rPr>
          <w:spacing w:val="-4"/>
        </w:rPr>
        <w:t>本集团无形资产包括土地使用权、软件技术、非同一控制下合并中取得被购买方拥有的但在其财务报表中未确认的商标、</w:t>
      </w:r>
      <w:r>
        <w:rPr/>
        <w:t> </w:t>
      </w:r>
      <w:r>
        <w:rPr>
          <w:spacing w:val="-2"/>
        </w:rPr>
        <w:t>软件著作权、专利、域名及非专利技术等，按取得时的实际成本计量，其中，购入的无形资产，按实际支付的价款和相关的</w:t>
      </w:r>
      <w:r>
        <w:rPr>
          <w:spacing w:val="-68"/>
        </w:rPr>
        <w:t> </w:t>
      </w:r>
      <w:r>
        <w:rPr>
          <w:spacing w:val="-68"/>
        </w:rPr>
      </w:r>
      <w:r>
        <w:rPr>
          <w:spacing w:val="-2"/>
        </w:rPr>
        <w:t>其他支出作为实际成本；投资者投入的无形资产，按投资合同或协议约定的价值确定实际成本，但合同或协议约定价值不公</w:t>
      </w:r>
      <w:r>
        <w:rPr>
          <w:spacing w:val="-66"/>
        </w:rPr>
        <w:t> </w:t>
      </w:r>
      <w:r>
        <w:rPr>
          <w:spacing w:val="-66"/>
        </w:rPr>
      </w:r>
      <w:r>
        <w:rPr>
          <w:spacing w:val="-5"/>
        </w:rPr>
        <w:t>允的，按公允价值确定实际成本；对非同一控制下合并中取得被购买方拥有的但在其财务报表中未确认的商标、软件著作权、</w:t>
      </w:r>
      <w:r>
        <w:rPr>
          <w:spacing w:val="-78"/>
        </w:rPr>
        <w:t> </w:t>
      </w:r>
      <w:r>
        <w:rPr>
          <w:spacing w:val="-78"/>
        </w:rPr>
      </w:r>
      <w:r>
        <w:rPr/>
        <w:t>专利、域名等无形资产，在对被购买方资产进行初始确认时，按公允价值确认为无形资产。</w:t>
      </w:r>
    </w:p>
    <w:p>
      <w:pPr>
        <w:pStyle w:val="BodyText"/>
        <w:spacing w:line="237" w:lineRule="auto" w:before="1"/>
        <w:ind w:right="1131" w:firstLine="360"/>
        <w:jc w:val="both"/>
      </w:pPr>
      <w:r>
        <w:rPr>
          <w:spacing w:val="-2"/>
        </w:rPr>
        <w:t>土地使用权从出让起始日起，按其出让年限平均摊销；软件技术、商标使用权等无形资产按预计使用年限、合同规定的</w:t>
      </w:r>
      <w:r>
        <w:rPr/>
        <w:t> </w:t>
      </w:r>
      <w:r>
        <w:rPr>
          <w:spacing w:val="-2"/>
        </w:rPr>
        <w:t>受益年限和法律规定的有效年限三者中最短者分期平均摊销。对使用寿命有限的无形资产的预计使用寿命及摊销方法于每年</w:t>
      </w:r>
      <w:r>
        <w:rPr>
          <w:spacing w:val="-64"/>
        </w:rPr>
        <w:t> </w:t>
      </w:r>
      <w:r>
        <w:rPr>
          <w:spacing w:val="-64"/>
        </w:rPr>
      </w:r>
      <w:r>
        <w:rPr/>
        <w:t>年度终了进行复核，如发生改变，则作为会计估计变更处理。</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2）内部研究开发支出会计政策" w:id="194"/>
      <w:bookmarkEnd w:id="194"/>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right="1131" w:firstLine="360"/>
        <w:jc w:val="both"/>
      </w:pPr>
      <w:r>
        <w:rPr>
          <w:spacing w:val="-2"/>
        </w:rPr>
        <w:t>本集团内部研究开发项目支出根据其性质以及研发活动最终形成无形资产是否具有较大不确定性，分为研究阶段支出和</w:t>
      </w:r>
      <w:r>
        <w:rPr/>
        <w:t> 开发阶段支出。</w:t>
      </w:r>
    </w:p>
    <w:p>
      <w:pPr>
        <w:pStyle w:val="BodyText"/>
        <w:spacing w:line="234" w:lineRule="exact" w:before="20"/>
        <w:ind w:right="1133" w:firstLine="360"/>
        <w:jc w:val="both"/>
      </w:pPr>
      <w:r>
        <w:rPr>
          <w:spacing w:val="-2"/>
        </w:rPr>
        <w:t>自行研究开发的无形资产，其研究阶段的支出，于发生时计入当期损益；其开发阶段的支出，同时满足下列条件的，确</w:t>
      </w:r>
      <w:r>
        <w:rPr/>
        <w:t> 认为无形资产：</w:t>
      </w:r>
    </w:p>
    <w:p>
      <w:pPr>
        <w:pStyle w:val="BodyText"/>
        <w:spacing w:line="217" w:lineRule="exact"/>
        <w:ind w:left="514"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34" w:lineRule="exact"/>
        <w:ind w:left="514" w:right="0"/>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233" w:lineRule="exact"/>
        <w:ind w:left="514" w:right="0"/>
        <w:jc w:val="left"/>
      </w:pPr>
      <w:r>
        <w:rPr/>
        <w:t>（</w:t>
      </w:r>
      <w:r>
        <w:rPr>
          <w:rFonts w:ascii="Times New Roman" w:hAnsi="Times New Roman" w:cs="Times New Roman" w:eastAsia="Times New Roman" w:hint="default"/>
        </w:rPr>
        <w:t>3</w:t>
      </w:r>
      <w:r>
        <w:rPr/>
        <w:t>）运用该无形资产生产的产品存在市场或无形资产自身存在市场；</w:t>
      </w:r>
    </w:p>
    <w:p>
      <w:pPr>
        <w:pStyle w:val="BodyText"/>
        <w:spacing w:line="241" w:lineRule="exact"/>
        <w:ind w:left="514" w:right="0"/>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spacing w:after="0" w:line="241" w:lineRule="exact"/>
        <w:jc w:val="left"/>
        <w:sectPr>
          <w:pgSz w:w="11910" w:h="16840"/>
          <w:pgMar w:header="877" w:footer="979" w:top="1100" w:bottom="1160" w:left="980" w:right="0"/>
        </w:sectPr>
      </w:pPr>
    </w:p>
    <w:p>
      <w:pPr>
        <w:spacing w:line="240" w:lineRule="auto" w:before="10"/>
        <w:rPr>
          <w:rFonts w:ascii="宋体" w:hAnsi="宋体" w:cs="宋体" w:eastAsia="宋体" w:hint="default"/>
          <w:sz w:val="18"/>
          <w:szCs w:val="18"/>
        </w:rPr>
      </w:pPr>
    </w:p>
    <w:p>
      <w:pPr>
        <w:pStyle w:val="BodyText"/>
        <w:spacing w:line="234" w:lineRule="exact" w:before="67"/>
        <w:ind w:left="514" w:right="0"/>
        <w:jc w:val="left"/>
      </w:pPr>
      <w:r>
        <w:rPr/>
        <w:t>（</w:t>
      </w:r>
      <w:r>
        <w:rPr>
          <w:rFonts w:ascii="Times New Roman" w:hAnsi="Times New Roman" w:cs="Times New Roman" w:eastAsia="Times New Roman" w:hint="default"/>
        </w:rPr>
        <w:t>5</w:t>
      </w:r>
      <w:r>
        <w:rPr/>
        <w:t>）归属于该无形资产开发阶段的支出能够可靠地计量。 </w:t>
      </w:r>
      <w:r>
        <w:rPr>
          <w:spacing w:val="-2"/>
        </w:rPr>
        <w:t>不满足上述条件的开发阶段的支出，于发生时计入当期损益。前期已计入损益的开发支出不在以后期间确认为资产。已</w:t>
      </w:r>
    </w:p>
    <w:p>
      <w:pPr>
        <w:pStyle w:val="BodyText"/>
        <w:spacing w:line="211" w:lineRule="exact"/>
        <w:ind w:right="0"/>
        <w:jc w:val="left"/>
      </w:pPr>
      <w:r>
        <w:rPr/>
        <w:t>资本化的开发阶段的支出在资产负债表上列示为开发支出，自该项目达到预定可使用状态之日起转为无形资产。</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bookmarkStart w:name="20、长期资产减值" w:id="195"/>
      <w:bookmarkEnd w:id="195"/>
      <w:r>
        <w:rPr>
          <w:b w:val="0"/>
          <w:bCs w:val="0"/>
        </w:rPr>
      </w:r>
      <w:r>
        <w:rPr>
          <w:rFonts w:ascii="Times New Roman" w:hAnsi="Times New Roman" w:cs="Times New Roman" w:eastAsia="Times New Roman" w:hint="default"/>
        </w:rPr>
        <w:t>20</w:t>
      </w:r>
      <w:r>
        <w:rPr/>
        <w:t>、长期资产减值</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right="1131" w:firstLine="360"/>
        <w:jc w:val="both"/>
      </w:pPr>
      <w:r>
        <w:rPr>
          <w:spacing w:val="-2"/>
        </w:rPr>
        <w:t>本集团于每一资产负债表日对长期股权投资、采用成本模式计量的投资性房地产、固定资产、在建工程、使用寿命有限</w:t>
      </w:r>
      <w:r>
        <w:rPr/>
        <w:t> </w:t>
      </w:r>
      <w:r>
        <w:rPr>
          <w:spacing w:val="-2"/>
        </w:rPr>
        <w:t>的无形资产等项目进行检查，当存在减值迹象时，本集团将估计其可收回金额，进行减值测试。对商誉，无论是否存在减值</w:t>
      </w:r>
      <w:r>
        <w:rPr>
          <w:spacing w:val="-66"/>
        </w:rPr>
        <w:t> </w:t>
      </w:r>
      <w:r>
        <w:rPr>
          <w:spacing w:val="-66"/>
        </w:rPr>
      </w:r>
      <w:r>
        <w:rPr/>
        <w:t>迹象，每年末均进行减值测试。</w:t>
      </w:r>
    </w:p>
    <w:p>
      <w:pPr>
        <w:pStyle w:val="BodyText"/>
        <w:spacing w:line="237" w:lineRule="auto"/>
        <w:ind w:right="1131" w:firstLine="360"/>
        <w:jc w:val="both"/>
      </w:pPr>
      <w:r>
        <w:rPr>
          <w:spacing w:val="-2"/>
        </w:rPr>
        <w:t>可收回金额根据资产的公允价值减去处置费用后的净额与资产预计未来现金流量的现值两者之间较高者确定。本集团以</w:t>
      </w:r>
      <w:r>
        <w:rPr/>
        <w:t> </w:t>
      </w:r>
      <w:r>
        <w:rPr>
          <w:spacing w:val="-2"/>
        </w:rPr>
        <w:t>单项资产为基础估计其可收回金额；难以对单项资产的可收回金额进行估计的，以该资产所属的资产组为基础确定资产组的</w:t>
      </w:r>
      <w:r>
        <w:rPr>
          <w:spacing w:val="-64"/>
        </w:rPr>
        <w:t> </w:t>
      </w:r>
      <w:r>
        <w:rPr>
          <w:spacing w:val="-64"/>
        </w:rPr>
      </w:r>
      <w:r>
        <w:rPr/>
        <w:t>可收回金额。资产组的认定，以资产组产生的主要现金流入是否独立于其他资产或者资产组的现金流入为依据。</w:t>
      </w:r>
    </w:p>
    <w:p>
      <w:pPr>
        <w:pStyle w:val="BodyText"/>
        <w:spacing w:line="232" w:lineRule="exact" w:before="23"/>
        <w:ind w:right="1043" w:firstLine="360"/>
        <w:jc w:val="both"/>
      </w:pPr>
      <w:r>
        <w:rPr>
          <w:spacing w:val="-4"/>
        </w:rPr>
        <w:t>当资产或者资产组的可收回金额低于其账面价值时，本集团将其账面价值减记至可收回金额，减记的金额计入当期损益，</w:t>
      </w:r>
      <w:r>
        <w:rPr/>
        <w:t> 同时计提相应的资产减值准备。上述资产减值损失一经确认，在以后会计期间不再转回。</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bookmarkStart w:name="21、长期待摊费用" w:id="196"/>
      <w:bookmarkEnd w:id="196"/>
      <w:r>
        <w:rPr>
          <w:b w:val="0"/>
          <w:bCs w:val="0"/>
        </w:rPr>
      </w:r>
      <w:r>
        <w:rPr>
          <w:rFonts w:ascii="Times New Roman" w:hAnsi="Times New Roman" w:cs="Times New Roman" w:eastAsia="Times New Roman" w:hint="default"/>
        </w:rPr>
        <w:t>21</w:t>
      </w:r>
      <w:r>
        <w:rPr/>
        <w:t>、长期待摊费用</w:t>
      </w:r>
      <w:r>
        <w:rPr>
          <w:b w:val="0"/>
          <w:bCs w:val="0"/>
        </w:rPr>
      </w:r>
    </w:p>
    <w:p>
      <w:pPr>
        <w:spacing w:line="240" w:lineRule="auto" w:before="12"/>
        <w:rPr>
          <w:rFonts w:ascii="宋体" w:hAnsi="宋体" w:cs="宋体" w:eastAsia="宋体" w:hint="default"/>
          <w:b/>
          <w:bCs/>
          <w:sz w:val="23"/>
          <w:szCs w:val="23"/>
        </w:rPr>
      </w:pPr>
    </w:p>
    <w:p>
      <w:pPr>
        <w:pStyle w:val="BodyText"/>
        <w:spacing w:line="232" w:lineRule="exact"/>
        <w:ind w:right="1132" w:firstLine="360"/>
        <w:jc w:val="both"/>
      </w:pPr>
      <w:r>
        <w:rPr>
          <w:spacing w:val="-2"/>
        </w:rPr>
        <w:t>本集团的长期待摊费用包括装修费及办公设备。该等费用在受益期内平均摊销，如果长期待摊费用项目不能使以后会计</w:t>
      </w:r>
      <w:r>
        <w:rPr/>
        <w:t> 期间受益，则将尚未摊销的该项目的摊余价值全部转入当期损益。</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bookmarkStart w:name="22、职工薪酬" w:id="197"/>
      <w:bookmarkEnd w:id="197"/>
      <w:r>
        <w:rPr>
          <w:b w:val="0"/>
          <w:bCs w:val="0"/>
        </w:rPr>
      </w:r>
      <w:r>
        <w:rPr>
          <w:rFonts w:ascii="Times New Roman" w:hAnsi="Times New Roman" w:cs="Times New Roman" w:eastAsia="Times New Roman" w:hint="default"/>
        </w:rPr>
        <w:t>22</w:t>
      </w:r>
      <w:r>
        <w:rPr/>
        <w:t>、职工薪酬</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bookmarkStart w:name="（1）短期薪酬的会计处理方法" w:id="198"/>
      <w:bookmarkEnd w:id="198"/>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right="1133" w:firstLine="360"/>
        <w:jc w:val="both"/>
      </w:pPr>
      <w:r>
        <w:rPr>
          <w:spacing w:val="-2"/>
        </w:rPr>
        <w:t>短期薪酬主要包括工资、奖金、津贴和补贴、职工福利费、社会保险费及住房公积金、工会经费和职工教育经费等与获</w:t>
      </w:r>
      <w:r>
        <w:rPr/>
        <w:t> </w:t>
      </w:r>
      <w:r>
        <w:rPr>
          <w:spacing w:val="-2"/>
        </w:rPr>
        <w:t>得职工提供的服务相关的支出，在职工提供服务的会计期间，将实际发生的短期薪酬确认为负债，并按照受益对象计入当期</w:t>
      </w:r>
      <w:r>
        <w:rPr>
          <w:spacing w:val="-66"/>
        </w:rPr>
        <w:t> </w:t>
      </w:r>
      <w:r>
        <w:rPr>
          <w:spacing w:val="-66"/>
        </w:rPr>
      </w:r>
      <w:r>
        <w:rPr/>
        <w:t>损益或相关资产成本。</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2）离职后福利的会计处理方法" w:id="199"/>
      <w:bookmarkEnd w:id="199"/>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2"/>
        <w:rPr>
          <w:rFonts w:ascii="宋体" w:hAnsi="宋体" w:cs="宋体" w:eastAsia="宋体" w:hint="default"/>
          <w:b/>
          <w:bCs/>
          <w:sz w:val="22"/>
          <w:szCs w:val="22"/>
        </w:rPr>
      </w:pPr>
    </w:p>
    <w:p>
      <w:pPr>
        <w:pStyle w:val="BodyText"/>
        <w:spacing w:line="237" w:lineRule="auto"/>
        <w:ind w:right="1032" w:firstLine="360"/>
        <w:jc w:val="left"/>
      </w:pPr>
      <w:r>
        <w:rPr/>
        <w:t>离职后福利主要包括基本养老保险、失业保险、补充养老保险等，按照公司承担的风险和义务，分类为设定提存计划。 </w:t>
      </w:r>
      <w:r>
        <w:rPr>
          <w:spacing w:val="-2"/>
        </w:rPr>
        <w:t>对于设定提存计划在根据在资产负债表日为换取职工在会计期间提供的服务而向单独主体缴存的提存金确认为负债，并按照</w:t>
      </w:r>
      <w:r>
        <w:rPr>
          <w:spacing w:val="-64"/>
        </w:rPr>
        <w:t> </w:t>
      </w:r>
      <w:r>
        <w:rPr>
          <w:spacing w:val="-64"/>
        </w:rPr>
      </w:r>
      <w:r>
        <w:rPr/>
        <w:t>受益对象计入当期损益或相关资产成本。</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bookmarkStart w:name="（3）辞退福利的会计处理方法" w:id="200"/>
      <w:bookmarkEnd w:id="200"/>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right="1133" w:firstLine="360"/>
        <w:jc w:val="both"/>
      </w:pPr>
      <w:r>
        <w:rPr>
          <w:spacing w:val="-2"/>
        </w:rPr>
        <w:t>本集团向职工提供辞退福利的，在下列两者孰早日确认辞退福利产生的职工薪酬负债，并计入当期损益：企业不能单方</w:t>
      </w:r>
      <w:r>
        <w:rPr/>
        <w:t> 面撤回因解除劳动关系计划或裁减建议所提供的辞退福利时；企业确认与涉及支付辞退福利的重组相关的成本或费用时。</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bookmarkStart w:name="23、预计负债" w:id="201"/>
      <w:bookmarkEnd w:id="201"/>
      <w:r>
        <w:rPr>
          <w:b w:val="0"/>
          <w:bCs w:val="0"/>
        </w:rPr>
      </w:r>
      <w:r>
        <w:rPr>
          <w:rFonts w:ascii="Times New Roman" w:hAnsi="Times New Roman" w:cs="Times New Roman" w:eastAsia="Times New Roman" w:hint="default"/>
        </w:rPr>
        <w:t>23</w:t>
      </w:r>
      <w:r>
        <w:rPr/>
        <w:t>、预计负债</w:t>
      </w:r>
      <w:r>
        <w:rPr>
          <w:b w:val="0"/>
          <w:bCs w:val="0"/>
        </w:rPr>
      </w:r>
    </w:p>
    <w:p>
      <w:pPr>
        <w:spacing w:line="240" w:lineRule="auto" w:before="1"/>
        <w:rPr>
          <w:rFonts w:ascii="宋体" w:hAnsi="宋体" w:cs="宋体" w:eastAsia="宋体" w:hint="default"/>
          <w:b/>
          <w:bCs/>
          <w:sz w:val="22"/>
          <w:szCs w:val="22"/>
        </w:rPr>
      </w:pPr>
    </w:p>
    <w:p>
      <w:pPr>
        <w:pStyle w:val="BodyText"/>
        <w:spacing w:line="237" w:lineRule="auto"/>
        <w:ind w:right="1132" w:firstLine="360"/>
        <w:jc w:val="both"/>
      </w:pPr>
      <w:r>
        <w:rPr>
          <w:spacing w:val="-2"/>
        </w:rPr>
        <w:t>除了非同一控制下企业合并中的或有对价及承担的或有负债之外，当与或有事项相关的义务同时符合以下条件，本集团</w:t>
      </w:r>
      <w:r>
        <w:rPr/>
        <w:t> </w:t>
      </w:r>
      <w:r>
        <w:rPr>
          <w:spacing w:val="-2"/>
        </w:rPr>
        <w:t>将其确认为负债：该义务是本集团承担的现时义务；该义务的履行很可能导致经济利益流出企业；该义务的金额能够可靠地</w:t>
      </w:r>
      <w:r>
        <w:rPr>
          <w:spacing w:val="-66"/>
        </w:rPr>
        <w:t> </w:t>
      </w:r>
      <w:r>
        <w:rPr>
          <w:spacing w:val="-66"/>
        </w:rPr>
      </w:r>
      <w:r>
        <w:rPr/>
        <w:t>计量。</w:t>
      </w:r>
    </w:p>
    <w:p>
      <w:pPr>
        <w:pStyle w:val="BodyText"/>
        <w:spacing w:line="237" w:lineRule="auto" w:before="1"/>
        <w:ind w:right="1132" w:firstLine="360"/>
        <w:jc w:val="both"/>
      </w:pPr>
      <w:r>
        <w:rPr>
          <w:spacing w:val="-2"/>
        </w:rPr>
        <w:t>预计负债按照履行相关现时义务所需支出的最佳估计数进行初始计量，并综合考虑与或有事项有关的风险、不确定性和</w:t>
      </w:r>
      <w:r>
        <w:rPr/>
        <w:t> </w:t>
      </w:r>
      <w:r>
        <w:rPr>
          <w:spacing w:val="-2"/>
        </w:rPr>
        <w:t>货币时间价值等因素。每个资产负债表日对预计负债的账面价值进行复核。有确凿证据表明该账面价值不能反映当前最佳估</w:t>
      </w:r>
      <w:r>
        <w:rPr>
          <w:spacing w:val="-64"/>
        </w:rPr>
        <w:t> </w:t>
      </w:r>
      <w:r>
        <w:rPr>
          <w:spacing w:val="-64"/>
        </w:rPr>
      </w:r>
      <w:r>
        <w:rPr/>
        <w:t>计数的，按照当前最佳估计数对该账面价值进行调整。</w:t>
      </w:r>
    </w:p>
    <w:p>
      <w:pPr>
        <w:pStyle w:val="BodyText"/>
        <w:spacing w:line="232" w:lineRule="exact" w:before="23"/>
        <w:ind w:right="1132" w:firstLine="360"/>
        <w:jc w:val="both"/>
      </w:pPr>
      <w:r>
        <w:rPr>
          <w:spacing w:val="-2"/>
        </w:rPr>
        <w:t>企业合并中取得的被购买方或有负债在初始确认时按照公允价值计量，在初始确认后，按照预计负债确认的金额，和初</w:t>
      </w:r>
      <w:r>
        <w:rPr/>
        <w:t> 始确认金额扣除收入确认原则确定的累计摊销额后的余额，以两者之中的较高者进行后续计量。</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bookmarkStart w:name="24、股份支付" w:id="202"/>
      <w:bookmarkEnd w:id="202"/>
      <w:r>
        <w:rPr>
          <w:b w:val="0"/>
          <w:bCs w:val="0"/>
        </w:rPr>
      </w:r>
      <w:r>
        <w:rPr>
          <w:rFonts w:ascii="Times New Roman" w:hAnsi="Times New Roman" w:cs="Times New Roman" w:eastAsia="Times New Roman" w:hint="default"/>
        </w:rPr>
        <w:t>24</w:t>
      </w:r>
      <w:r>
        <w:rPr/>
        <w:t>、股份支付</w:t>
      </w:r>
      <w:r>
        <w:rPr>
          <w:b w:val="0"/>
          <w:bCs w:val="0"/>
        </w:rPr>
      </w:r>
    </w:p>
    <w:p>
      <w:pPr>
        <w:spacing w:line="240" w:lineRule="auto" w:before="12"/>
        <w:rPr>
          <w:rFonts w:ascii="宋体" w:hAnsi="宋体" w:cs="宋体" w:eastAsia="宋体" w:hint="default"/>
          <w:b/>
          <w:bCs/>
          <w:sz w:val="23"/>
          <w:szCs w:val="23"/>
        </w:rPr>
      </w:pPr>
    </w:p>
    <w:p>
      <w:pPr>
        <w:pStyle w:val="BodyText"/>
        <w:spacing w:line="232" w:lineRule="exact"/>
        <w:ind w:right="1131" w:firstLine="360"/>
        <w:jc w:val="both"/>
      </w:pPr>
      <w:r>
        <w:rPr>
          <w:spacing w:val="-2"/>
        </w:rPr>
        <w:t>股份支付，分为以权益结算的股份支付和以现金结算的股份支付。本集团参加神州控股的股份支付计划。神州控股的股</w:t>
      </w:r>
      <w:r>
        <w:rPr/>
        <w:t> </w:t>
      </w:r>
      <w:r>
        <w:rPr>
          <w:spacing w:val="-2"/>
        </w:rPr>
        <w:t>份支付为以权益结算的股份支付，是指神州控股为获取本集团某些员工服务以其股份或其他权益工具作为对价进行结算的交</w:t>
      </w:r>
    </w:p>
    <w:p>
      <w:pPr>
        <w:spacing w:after="0" w:line="232" w:lineRule="exact"/>
        <w:jc w:val="both"/>
        <w:sectPr>
          <w:pgSz w:w="11910" w:h="16840"/>
          <w:pgMar w:header="877" w:footer="979" w:top="1100" w:bottom="1160" w:left="980" w:right="0"/>
        </w:sectPr>
      </w:pPr>
    </w:p>
    <w:p>
      <w:pPr>
        <w:spacing w:line="240" w:lineRule="auto" w:before="10"/>
        <w:rPr>
          <w:rFonts w:ascii="宋体" w:hAnsi="宋体" w:cs="宋体" w:eastAsia="宋体" w:hint="default"/>
          <w:sz w:val="18"/>
          <w:szCs w:val="18"/>
        </w:rPr>
      </w:pPr>
    </w:p>
    <w:p>
      <w:pPr>
        <w:pStyle w:val="BodyText"/>
        <w:spacing w:line="235" w:lineRule="exact" w:before="44"/>
        <w:ind w:right="0"/>
        <w:jc w:val="left"/>
      </w:pPr>
      <w:r>
        <w:rPr/>
        <w:t>易。</w:t>
      </w:r>
    </w:p>
    <w:p>
      <w:pPr>
        <w:pStyle w:val="BodyText"/>
        <w:spacing w:line="237" w:lineRule="auto" w:before="1"/>
        <w:ind w:right="1132" w:firstLine="360"/>
        <w:jc w:val="both"/>
      </w:pPr>
      <w:r>
        <w:rPr>
          <w:spacing w:val="-2"/>
        </w:rPr>
        <w:t>以权益结算的股份支付换取职工提供服务的，以授予职工权益工具的公允价值计量。授予后立即可行权的，在授予日按</w:t>
      </w:r>
      <w:r>
        <w:rPr/>
        <w:t> </w:t>
      </w:r>
      <w:r>
        <w:rPr>
          <w:spacing w:val="-2"/>
        </w:rPr>
        <w:t>照公允价值计入相关成本或费用，相应增加资本公积；完成等待期内的服务或达到规定业绩条件才可行权的，在等待期内每</w:t>
      </w:r>
      <w:r>
        <w:rPr>
          <w:spacing w:val="-66"/>
        </w:rPr>
        <w:t> </w:t>
      </w:r>
      <w:r>
        <w:rPr>
          <w:spacing w:val="-66"/>
        </w:rPr>
      </w:r>
      <w:r>
        <w:rPr>
          <w:spacing w:val="-2"/>
        </w:rPr>
        <w:t>个资产负债表日，本公司根据最新取得的可行权职工人数变动、是否达到规定业绩条件等后续信息对可行权权益工具数量作</w:t>
      </w:r>
      <w:r>
        <w:rPr>
          <w:spacing w:val="-64"/>
        </w:rPr>
        <w:t> </w:t>
      </w:r>
      <w:r>
        <w:rPr>
          <w:spacing w:val="-64"/>
        </w:rPr>
      </w:r>
      <w:r>
        <w:rPr/>
        <w:t>出最佳估计，以此为基础，按照授予日的公允价值，将当期取得的服务计入相关成本或费用，相应增加资本公积。</w:t>
      </w:r>
    </w:p>
    <w:p>
      <w:pPr>
        <w:pStyle w:val="BodyText"/>
        <w:spacing w:line="237" w:lineRule="auto" w:before="1"/>
        <w:ind w:right="1133" w:firstLine="360"/>
        <w:jc w:val="both"/>
      </w:pPr>
      <w:r>
        <w:rPr>
          <w:spacing w:val="-2"/>
        </w:rPr>
        <w:t>神州控股实施两个购股权计划，以对神州控股业务成功作出贡献之合资格参与者提供激励与奖励。神州控股雇员（包括</w:t>
      </w:r>
      <w:r>
        <w:rPr/>
        <w:t> </w:t>
      </w:r>
      <w:r>
        <w:rPr>
          <w:spacing w:val="-2"/>
        </w:rPr>
        <w:t>董事）以股份支付的方式收取报酬，据此，雇员提供服务作为收取权益工具之代价。进一步详情参见本报告第十一节、附注</w:t>
      </w:r>
      <w:r>
        <w:rPr>
          <w:spacing w:val="-66"/>
        </w:rPr>
        <w:t> </w:t>
      </w:r>
      <w:r>
        <w:rPr>
          <w:spacing w:val="-66"/>
        </w:rPr>
      </w:r>
      <w:r>
        <w:rPr/>
        <w:t>十三、股份支付。</w:t>
      </w:r>
    </w:p>
    <w:p>
      <w:pPr>
        <w:pStyle w:val="BodyText"/>
        <w:spacing w:line="234" w:lineRule="exact" w:before="20"/>
        <w:ind w:right="1132" w:firstLine="360"/>
        <w:jc w:val="both"/>
      </w:pPr>
      <w:r>
        <w:rPr>
          <w:spacing w:val="-2"/>
        </w:rPr>
        <w:t>神州控股授予本集团的以权益结算的股份期权于授予日的公允价值，由外聘估值师采用二项式模型确定，已授予受限制</w:t>
      </w:r>
      <w:r>
        <w:rPr/>
        <w:t> 股份的公允价值根据神州控股股份于各授出日期的市价计算，参见本报告第十一节、附注十三、股份支付。</w:t>
      </w:r>
    </w:p>
    <w:p>
      <w:pPr>
        <w:pStyle w:val="BodyText"/>
        <w:spacing w:line="211" w:lineRule="exact"/>
        <w:ind w:right="0" w:firstLine="360"/>
        <w:jc w:val="both"/>
      </w:pPr>
      <w:r>
        <w:rPr/>
        <w:t>在满足业绩条件和服务期限条件的期间，应确认以权益结算的股份支付的成本或费用，并相应增加资本公积。可行权日</w:t>
      </w:r>
    </w:p>
    <w:p>
      <w:pPr>
        <w:pStyle w:val="BodyText"/>
        <w:spacing w:line="232" w:lineRule="exact" w:before="24"/>
        <w:ind w:right="0"/>
        <w:jc w:val="left"/>
      </w:pPr>
      <w:r>
        <w:rPr>
          <w:spacing w:val="-2"/>
        </w:rPr>
        <w:t>之前，于每个资产负债表日为以权益结算的股份支付确认的累计金额反映了等待期已届满的部分以及神州控股对本集团最终</w:t>
      </w:r>
      <w:r>
        <w:rPr>
          <w:spacing w:val="-64"/>
        </w:rPr>
        <w:t> </w:t>
      </w:r>
      <w:r>
        <w:rPr>
          <w:spacing w:val="-64"/>
        </w:rPr>
      </w:r>
      <w:r>
        <w:rPr/>
        <w:t>可行权的权益工具数量的最佳估计。</w:t>
      </w:r>
    </w:p>
    <w:p>
      <w:pPr>
        <w:pStyle w:val="BodyText"/>
        <w:spacing w:line="232" w:lineRule="exact" w:before="2"/>
        <w:ind w:right="1133" w:firstLine="360"/>
        <w:jc w:val="both"/>
      </w:pPr>
      <w:r>
        <w:rPr>
          <w:spacing w:val="-2"/>
        </w:rPr>
        <w:t>对于最终未能行权的股份支付，不确认成本或费用，除非行权条件是市场条件或非可行权条件，此时无论是否满足市场</w:t>
      </w:r>
      <w:r>
        <w:rPr/>
        <w:t> 条件或非可行权条件，只要满足所有可行权条件中的非市场条件，即视为可行权。</w:t>
      </w:r>
    </w:p>
    <w:p>
      <w:pPr>
        <w:pStyle w:val="BodyText"/>
        <w:spacing w:line="234" w:lineRule="exact"/>
        <w:ind w:right="1133" w:firstLine="360"/>
        <w:jc w:val="both"/>
      </w:pPr>
      <w:r>
        <w:rPr>
          <w:spacing w:val="-2"/>
        </w:rPr>
        <w:t>如果修改了以权益结算的股份支付的条款，至少按照未修改条款的情况确认取得的服务。此外，增加所授予权益工具公</w:t>
      </w:r>
      <w:r>
        <w:rPr/>
        <w:t> 允价值的修改，或在修改日对职工有利的变更，均确认取得服务的增加。</w:t>
      </w:r>
    </w:p>
    <w:p>
      <w:pPr>
        <w:pStyle w:val="BodyText"/>
        <w:spacing w:line="211" w:lineRule="exact"/>
        <w:ind w:right="0" w:firstLine="360"/>
        <w:jc w:val="both"/>
      </w:pPr>
      <w:r>
        <w:rPr/>
        <w:t>如果取消了以权益结算的股份支付，则于取消日作为加速行权处理，立即确认尚未确认的金额。职工或其他方能够选择</w:t>
      </w:r>
    </w:p>
    <w:p>
      <w:pPr>
        <w:pStyle w:val="BodyText"/>
        <w:spacing w:line="237" w:lineRule="auto" w:before="1"/>
        <w:ind w:right="0"/>
        <w:jc w:val="left"/>
      </w:pPr>
      <w:r>
        <w:rPr/>
        <w:t>满足非可行权条件但在等待期内未满足的，作为取消以权益结算的股份支付处理。但是，如果授予新的权益工具，并在新权 </w:t>
      </w:r>
      <w:r>
        <w:rPr>
          <w:spacing w:val="-2"/>
        </w:rPr>
        <w:t>益工具授予日认定所授予的新权益工具是用于替代被取消的权益工具的，则以与处理原权益工具条款和条件修改相同的方式，</w:t>
      </w:r>
      <w:r>
        <w:rPr>
          <w:spacing w:val="-62"/>
        </w:rPr>
        <w:t> </w:t>
      </w:r>
      <w:r>
        <w:rPr>
          <w:spacing w:val="-62"/>
        </w:rPr>
      </w:r>
      <w:r>
        <w:rPr/>
        <w:t>对所授予的替代权益工具进行处理。</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25、收入" w:id="203"/>
      <w:bookmarkEnd w:id="203"/>
      <w:r>
        <w:rPr>
          <w:b w:val="0"/>
          <w:bCs w:val="0"/>
        </w:rPr>
      </w:r>
      <w:r>
        <w:rPr>
          <w:rFonts w:ascii="Times New Roman" w:hAnsi="Times New Roman" w:cs="Times New Roman" w:eastAsia="Times New Roman" w:hint="default"/>
        </w:rPr>
        <w:t>25</w:t>
      </w:r>
      <w:r>
        <w:rPr/>
        <w:t>、收入</w:t>
      </w:r>
      <w:r>
        <w:rPr>
          <w:b w:val="0"/>
          <w:bCs w:val="0"/>
        </w:rPr>
      </w:r>
    </w:p>
    <w:p>
      <w:pPr>
        <w:spacing w:line="240" w:lineRule="auto" w:before="0"/>
        <w:rPr>
          <w:rFonts w:ascii="宋体" w:hAnsi="宋体" w:cs="宋体" w:eastAsia="宋体" w:hint="default"/>
          <w:b/>
          <w:bCs/>
          <w:sz w:val="22"/>
          <w:szCs w:val="22"/>
        </w:rPr>
      </w:pPr>
    </w:p>
    <w:p>
      <w:pPr>
        <w:pStyle w:val="BodyText"/>
        <w:spacing w:line="278" w:lineRule="auto"/>
        <w:ind w:right="7692"/>
        <w:jc w:val="left"/>
      </w:pPr>
      <w:r>
        <w:rPr/>
        <w:t>公司是否需要遵守特殊行业的披露要求 否</w:t>
      </w:r>
    </w:p>
    <w:p>
      <w:pPr>
        <w:pStyle w:val="BodyText"/>
        <w:spacing w:line="232" w:lineRule="exact" w:before="34"/>
        <w:ind w:right="0" w:firstLine="360"/>
        <w:jc w:val="left"/>
      </w:pPr>
      <w:r>
        <w:rPr>
          <w:spacing w:val="-2"/>
        </w:rPr>
        <w:t>本集团的营业收入主要包括销售商品收入、提供劳务收入、利息收入、股利收入及物业出租收入等，收入在经济利益很</w:t>
      </w:r>
      <w:r>
        <w:rPr/>
        <w:t> 可能流入本公司、且金额能够可靠计量，并同时满足下列条件时予以确认：</w:t>
      </w:r>
    </w:p>
    <w:p>
      <w:pPr>
        <w:pStyle w:val="BodyText"/>
        <w:spacing w:line="234" w:lineRule="exact"/>
        <w:ind w:left="514" w:right="0" w:firstLine="1"/>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）销售商品收入</w:t>
      </w:r>
      <w:r>
        <w:rPr>
          <w:rFonts w:ascii="宋体" w:hAnsi="宋体" w:cs="宋体" w:eastAsia="宋体" w:hint="default"/>
          <w:b/>
          <w:bCs/>
          <w:w w:val="99"/>
        </w:rPr>
        <w:t> </w:t>
      </w:r>
      <w:r>
        <w:rPr>
          <w:spacing w:val="-2"/>
        </w:rPr>
        <w:t>本集团已将商品所有权上的主要风险和报酬转移给购货方，并不再对该商品保留通常与所有权相联系的继续管理权和实</w:t>
      </w:r>
    </w:p>
    <w:p>
      <w:pPr>
        <w:pStyle w:val="BodyText"/>
        <w:spacing w:line="232" w:lineRule="exact" w:before="1"/>
        <w:ind w:right="0"/>
        <w:jc w:val="left"/>
      </w:pPr>
      <w:r>
        <w:rPr>
          <w:spacing w:val="-2"/>
        </w:rPr>
        <w:t>施有效控制，且相关的已发生或将发生的成本能够可靠地计量，确认为收入的实现。销售商品收入金额，按照从购货方已收</w:t>
      </w:r>
      <w:r>
        <w:rPr>
          <w:spacing w:val="-66"/>
        </w:rPr>
        <w:t> </w:t>
      </w:r>
      <w:r>
        <w:rPr>
          <w:spacing w:val="-66"/>
        </w:rPr>
      </w:r>
      <w:r>
        <w:rPr>
          <w:spacing w:val="-2"/>
        </w:rPr>
        <w:t>或应收的合同或协议价款确定，但已收或应收的合同或协议价款不公允的除外；合同或协议价款的收取采用递延方式，实质</w:t>
      </w:r>
    </w:p>
    <w:p>
      <w:pPr>
        <w:pStyle w:val="BodyText"/>
        <w:spacing w:line="212" w:lineRule="exact"/>
        <w:ind w:right="0"/>
        <w:jc w:val="left"/>
      </w:pPr>
      <w:r>
        <w:rPr/>
        <w:t>上具有融资性质的，按照应收的合同或协议价款的公允价值确定。</w:t>
      </w:r>
    </w:p>
    <w:p>
      <w:pPr>
        <w:pStyle w:val="BodyText"/>
        <w:spacing w:line="232" w:lineRule="exact" w:before="24"/>
        <w:ind w:left="514" w:right="0" w:firstLine="1"/>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）提供劳务收入</w:t>
      </w:r>
      <w:r>
        <w:rPr>
          <w:rFonts w:ascii="宋体" w:hAnsi="宋体" w:cs="宋体" w:eastAsia="宋体" w:hint="default"/>
          <w:b/>
          <w:bCs/>
          <w:w w:val="99"/>
        </w:rPr>
        <w:t> </w:t>
      </w:r>
      <w:r>
        <w:rPr>
          <w:spacing w:val="-2"/>
        </w:rPr>
        <w:t>于资产负债表日，在提供劳务交易的结果能够可靠估计的情况下，按完工百分比法确认提供劳务收入；否则按已经发生</w:t>
      </w:r>
    </w:p>
    <w:p>
      <w:pPr>
        <w:pStyle w:val="BodyText"/>
        <w:spacing w:line="232" w:lineRule="exact" w:before="2"/>
        <w:ind w:right="0"/>
        <w:jc w:val="left"/>
      </w:pPr>
      <w:r>
        <w:rPr>
          <w:spacing w:val="-2"/>
        </w:rPr>
        <w:t>并预计能够得到补偿的劳务成本金额确认收入。提供劳务交易的结果能够可靠估计，是指同时满足下列条件：收入的金额能</w:t>
      </w:r>
      <w:r>
        <w:rPr>
          <w:spacing w:val="-66"/>
        </w:rPr>
        <w:t> </w:t>
      </w:r>
      <w:r>
        <w:rPr>
          <w:spacing w:val="-66"/>
        </w:rPr>
      </w:r>
      <w:r>
        <w:rPr>
          <w:spacing w:val="-2"/>
        </w:rPr>
        <w:t>够可靠地计量，相关的经济利益很可能流入本公司，交易的完工进度能够可靠地确定，交易中已发生和将发生的成本能够可</w:t>
      </w:r>
    </w:p>
    <w:p>
      <w:pPr>
        <w:pStyle w:val="BodyText"/>
        <w:spacing w:line="232" w:lineRule="exact" w:before="2"/>
        <w:ind w:right="0"/>
        <w:jc w:val="left"/>
      </w:pPr>
      <w:r>
        <w:rPr/>
        <w:t>靠地计量。本集团以已完工作的测量</w:t>
      </w:r>
      <w:r>
        <w:rPr>
          <w:rFonts w:ascii="Times New Roman" w:hAnsi="Times New Roman" w:cs="Times New Roman" w:eastAsia="Times New Roman" w:hint="default"/>
        </w:rPr>
        <w:t>/</w:t>
      </w:r>
      <w:r>
        <w:rPr/>
        <w:t>已经提供的劳务占应提供劳务总量的比例确定提供劳务交易的完工进度。提供劳务收</w:t>
      </w:r>
      <w:r>
        <w:rPr>
          <w:spacing w:val="-50"/>
        </w:rPr>
        <w:t> </w:t>
      </w:r>
      <w:r>
        <w:rPr>
          <w:spacing w:val="-50"/>
        </w:rPr>
      </w:r>
      <w:r>
        <w:rPr/>
        <w:t>入总额，按照从接受劳务方已收或应收的合同或协议价款确定，但已收或应收的合同或协议价款不公允的除外。</w:t>
      </w:r>
    </w:p>
    <w:p>
      <w:pPr>
        <w:pStyle w:val="BodyText"/>
        <w:spacing w:line="232" w:lineRule="exact" w:before="2"/>
        <w:ind w:right="0" w:firstLine="360"/>
        <w:jc w:val="left"/>
      </w:pPr>
      <w:r>
        <w:rPr>
          <w:spacing w:val="-2"/>
        </w:rPr>
        <w:t>本集团与其他企业签订的合同或协议包括销售商品和提供劳务时，如销售商品部分和提供劳务部分能够区分并单独计量</w:t>
      </w:r>
      <w:r>
        <w:rPr/>
        <w:t> </w:t>
      </w:r>
      <w:r>
        <w:rPr>
          <w:spacing w:val="-2"/>
        </w:rPr>
        <w:t>的，将销售商品部分和提供劳务部分分别处理；如销售商品部分和提供劳务部分不能够区分，或虽能区分但不能够单独计量</w:t>
      </w:r>
    </w:p>
    <w:p>
      <w:pPr>
        <w:pStyle w:val="BodyText"/>
        <w:spacing w:line="212" w:lineRule="exact"/>
        <w:ind w:right="0"/>
        <w:jc w:val="left"/>
      </w:pPr>
      <w:r>
        <w:rPr/>
        <w:t>的，将该合同全部作为销售商品处理。</w:t>
      </w:r>
    </w:p>
    <w:p>
      <w:pPr>
        <w:spacing w:line="234" w:lineRule="exact" w:before="21"/>
        <w:ind w:left="514" w:right="5712"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）利息收入</w:t>
      </w:r>
      <w:r>
        <w:rPr>
          <w:rFonts w:ascii="宋体" w:hAnsi="宋体" w:cs="宋体" w:eastAsia="宋体" w:hint="default"/>
          <w:b/>
          <w:bCs/>
          <w:w w:val="99"/>
          <w:sz w:val="18"/>
          <w:szCs w:val="18"/>
        </w:rPr>
        <w:t> </w:t>
      </w:r>
      <w:r>
        <w:rPr>
          <w:rFonts w:ascii="宋体" w:hAnsi="宋体" w:cs="宋体" w:eastAsia="宋体" w:hint="default"/>
          <w:sz w:val="18"/>
          <w:szCs w:val="18"/>
        </w:rPr>
        <w:t>按照他人使用本集团货币资金的时间和实际利率计算确定。</w:t>
      </w:r>
    </w:p>
    <w:p>
      <w:pPr>
        <w:pStyle w:val="Heading5"/>
        <w:spacing w:line="217" w:lineRule="exact" w:before="0"/>
        <w:ind w:left="515" w:right="0"/>
        <w:jc w:val="left"/>
        <w:rPr>
          <w:b w:val="0"/>
          <w:bCs w:val="0"/>
        </w:rPr>
      </w:pPr>
      <w:r>
        <w:rPr/>
        <w:t>（</w:t>
      </w:r>
      <w:r>
        <w:rPr>
          <w:rFonts w:ascii="Times New Roman" w:hAnsi="Times New Roman" w:cs="Times New Roman" w:eastAsia="Times New Roman" w:hint="default"/>
        </w:rPr>
        <w:t>4</w:t>
      </w:r>
      <w:r>
        <w:rPr/>
        <w:t>）股利收入</w:t>
      </w:r>
      <w:r>
        <w:rPr>
          <w:b w:val="0"/>
          <w:bCs w:val="0"/>
        </w:rPr>
      </w:r>
    </w:p>
    <w:p>
      <w:pPr>
        <w:pStyle w:val="BodyText"/>
        <w:spacing w:line="227" w:lineRule="exact"/>
        <w:ind w:left="514" w:right="0"/>
        <w:jc w:val="left"/>
      </w:pPr>
      <w:r>
        <w:rPr/>
        <w:t>股利收入在确定股东收款权利时确认。</w:t>
      </w:r>
    </w:p>
    <w:p>
      <w:pPr>
        <w:spacing w:line="234" w:lineRule="exact" w:before="21"/>
        <w:ind w:left="514" w:right="4812"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）物业出租收入</w:t>
      </w:r>
      <w:r>
        <w:rPr>
          <w:rFonts w:ascii="宋体" w:hAnsi="宋体" w:cs="宋体" w:eastAsia="宋体" w:hint="default"/>
          <w:b/>
          <w:bCs/>
          <w:w w:val="99"/>
          <w:sz w:val="18"/>
          <w:szCs w:val="18"/>
        </w:rPr>
        <w:t> </w:t>
      </w:r>
      <w:r>
        <w:rPr>
          <w:rFonts w:ascii="宋体" w:hAnsi="宋体" w:cs="宋体" w:eastAsia="宋体" w:hint="default"/>
          <w:sz w:val="18"/>
          <w:szCs w:val="18"/>
        </w:rPr>
        <w:t>经营租赁的租金收入在租赁期内的各个期间按直线法确认为当期损益。</w:t>
      </w: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26、政府补助" w:id="204"/>
      <w:bookmarkEnd w:id="204"/>
      <w:r>
        <w:rPr>
          <w:b w:val="0"/>
          <w:bCs w:val="0"/>
        </w:rPr>
      </w:r>
      <w:r>
        <w:rPr>
          <w:rFonts w:ascii="Times New Roman" w:hAnsi="Times New Roman" w:cs="Times New Roman" w:eastAsia="Times New Roman" w:hint="default"/>
        </w:rPr>
        <w:t>26</w:t>
      </w:r>
      <w:r>
        <w:rPr/>
        <w:t>、政府补助</w:t>
      </w:r>
      <w:r>
        <w:rPr>
          <w:b w:val="0"/>
          <w:bCs w:val="0"/>
        </w:rPr>
      </w:r>
    </w:p>
    <w:p>
      <w:pPr>
        <w:spacing w:line="240" w:lineRule="auto" w:before="2"/>
        <w:rPr>
          <w:rFonts w:ascii="宋体" w:hAnsi="宋体" w:cs="宋体" w:eastAsia="宋体" w:hint="default"/>
          <w:b/>
          <w:bCs/>
          <w:sz w:val="22"/>
          <w:szCs w:val="22"/>
        </w:rPr>
      </w:pPr>
    </w:p>
    <w:p>
      <w:pPr>
        <w:pStyle w:val="BodyText"/>
        <w:spacing w:line="237" w:lineRule="auto"/>
        <w:ind w:right="1043" w:firstLine="360"/>
        <w:jc w:val="both"/>
      </w:pPr>
      <w:r>
        <w:rPr>
          <w:spacing w:val="-2"/>
        </w:rPr>
        <w:t>政府补助包括与资产相关的政府补助及与收益相关的政府补助。其中，与资产相关的政府补助，是指本公司取得的、用</w:t>
      </w:r>
      <w:r>
        <w:rPr/>
        <w:t> </w:t>
      </w:r>
      <w:r>
        <w:rPr>
          <w:spacing w:val="-2"/>
        </w:rPr>
        <w:t>于购建或以其他方式形成长期资产的政府补助；与收益相关的政府补助，是指除与资产相关的政府补助之外的政府补助。如</w:t>
      </w:r>
      <w:r>
        <w:rPr>
          <w:spacing w:val="-66"/>
        </w:rPr>
        <w:t> </w:t>
      </w:r>
      <w:r>
        <w:rPr>
          <w:spacing w:val="-66"/>
        </w:rPr>
      </w:r>
      <w:r>
        <w:rPr/>
        <w:t>果政府文件中未明确规定补助对象，本集团按照上述区分原则进行判断，难以区分的，整体归类为与收益相关的政府补助。</w:t>
      </w:r>
    </w:p>
    <w:p>
      <w:pPr>
        <w:pStyle w:val="BodyText"/>
        <w:spacing w:line="237" w:lineRule="auto" w:before="1"/>
        <w:ind w:right="0" w:firstLine="360"/>
        <w:jc w:val="left"/>
      </w:pPr>
      <w:r>
        <w:rPr>
          <w:spacing w:val="-2"/>
        </w:rPr>
        <w:t>政府补助为货币性资产的，按照实际收到的金额计量，对于按照固定的定额标准拨付的补助，或对年末有确凿证据表明</w:t>
      </w:r>
      <w:r>
        <w:rPr/>
        <w:t> </w:t>
      </w:r>
      <w:r>
        <w:rPr>
          <w:spacing w:val="-4"/>
        </w:rPr>
        <w:t>能够符合财政扶持政策规定的相关条件且预计能够收到财政扶持资金时，按照应收的金额计量；政府补助为非货币性资产的，</w:t>
      </w:r>
      <w:r>
        <w:rPr>
          <w:spacing w:val="-43"/>
        </w:rPr>
        <w:t> </w:t>
      </w:r>
      <w:r>
        <w:rPr>
          <w:spacing w:val="-43"/>
        </w:rPr>
      </w:r>
      <w:r>
        <w:rPr/>
        <w:t>按照公允价值计量，公允价值不能可靠取得的，按照名义金额</w:t>
      </w:r>
      <w:r>
        <w:rPr>
          <w:rFonts w:ascii="Times New Roman" w:hAnsi="Times New Roman" w:cs="Times New Roman" w:eastAsia="Times New Roman" w:hint="default"/>
        </w:rPr>
        <w:t>(1</w:t>
      </w:r>
      <w:r>
        <w:rPr/>
        <w:t>元</w:t>
      </w:r>
      <w:r>
        <w:rPr>
          <w:rFonts w:ascii="Times New Roman" w:hAnsi="Times New Roman" w:cs="Times New Roman" w:eastAsia="Times New Roman" w:hint="default"/>
        </w:rPr>
        <w:t>)</w:t>
      </w:r>
      <w:r>
        <w:rPr/>
        <w:t>计量。</w:t>
      </w:r>
    </w:p>
    <w:p>
      <w:pPr>
        <w:spacing w:after="0" w:line="237" w:lineRule="auto"/>
        <w:jc w:val="left"/>
        <w:sectPr>
          <w:pgSz w:w="11910" w:h="16840"/>
          <w:pgMar w:header="877" w:footer="979" w:top="1100" w:bottom="1160" w:left="980" w:right="0"/>
        </w:sectPr>
      </w:pPr>
    </w:p>
    <w:p>
      <w:pPr>
        <w:spacing w:line="240" w:lineRule="auto" w:before="10"/>
        <w:rPr>
          <w:rFonts w:ascii="宋体" w:hAnsi="宋体" w:cs="宋体" w:eastAsia="宋体" w:hint="default"/>
          <w:sz w:val="18"/>
          <w:szCs w:val="18"/>
        </w:rPr>
      </w:pPr>
    </w:p>
    <w:p>
      <w:pPr>
        <w:pStyle w:val="BodyText"/>
        <w:spacing w:line="240" w:lineRule="auto" w:before="44"/>
        <w:ind w:right="0" w:firstLine="360"/>
        <w:jc w:val="left"/>
      </w:pPr>
      <w:r>
        <w:rPr>
          <w:spacing w:val="-2"/>
        </w:rPr>
        <w:t>与资产相关的政府补助，冲减相关资产的账面价值或确认为递延收益，确认为递延收益的与资产相关的政府补助，在相</w:t>
      </w:r>
      <w:r>
        <w:rPr/>
        <w:t> 关资产使用寿命内平均分配计入损益。</w:t>
      </w:r>
    </w:p>
    <w:p>
      <w:pPr>
        <w:pStyle w:val="BodyText"/>
        <w:spacing w:line="234" w:lineRule="exact" w:before="20"/>
        <w:ind w:right="1118" w:firstLine="360"/>
        <w:jc w:val="left"/>
      </w:pPr>
      <w:r>
        <w:rPr>
          <w:spacing w:val="-2"/>
        </w:rPr>
        <w:t>相关资产在使用寿命结束前被出售、转让、报废或发生毁损的，将尚未分配的相关递延收益余额转入资产处置当期的损</w:t>
      </w:r>
      <w:r>
        <w:rPr/>
        <w:t> 益。</w:t>
      </w:r>
    </w:p>
    <w:p>
      <w:pPr>
        <w:pStyle w:val="BodyText"/>
        <w:spacing w:line="211" w:lineRule="exact"/>
        <w:ind w:right="0" w:firstLine="360"/>
        <w:jc w:val="left"/>
      </w:pPr>
      <w:r>
        <w:rPr/>
        <w:t>与收益相关的政府补助，用于补偿以后期间的相关成本费用或损失的，确认为递延收益，并在确认相关成本费用或损失</w:t>
      </w:r>
    </w:p>
    <w:p>
      <w:pPr>
        <w:pStyle w:val="BodyText"/>
        <w:spacing w:line="234" w:lineRule="exact" w:before="22"/>
        <w:ind w:right="1127"/>
        <w:jc w:val="left"/>
      </w:pPr>
      <w:r>
        <w:rPr>
          <w:spacing w:val="-5"/>
        </w:rPr>
        <w:t>的期间计入当期损益或冲减相关成本。与日常活动相关的政府补助，按照经济业务实质，计入其他收益或冲减相关成本费用。</w:t>
      </w:r>
      <w:r>
        <w:rPr>
          <w:spacing w:val="-79"/>
        </w:rPr>
        <w:t> </w:t>
      </w:r>
      <w:r>
        <w:rPr>
          <w:spacing w:val="-79"/>
        </w:rPr>
      </w:r>
      <w:r>
        <w:rPr/>
        <w:t>与日常活动无关的政府补助，计入营业外收支。</w:t>
      </w: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27、递延所得税资产/递延所得税负债" w:id="205"/>
      <w:bookmarkEnd w:id="205"/>
      <w:r>
        <w:rPr>
          <w:b w:val="0"/>
          <w:bCs w:val="0"/>
        </w:rPr>
      </w:r>
      <w:r>
        <w:rPr>
          <w:rFonts w:ascii="Times New Roman" w:hAnsi="Times New Roman" w:cs="Times New Roman" w:eastAsia="Times New Roman" w:hint="default"/>
        </w:rPr>
        <w:t>27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2"/>
          <w:szCs w:val="22"/>
        </w:rPr>
      </w:pPr>
    </w:p>
    <w:p>
      <w:pPr>
        <w:pStyle w:val="BodyText"/>
        <w:spacing w:line="230" w:lineRule="auto"/>
        <w:ind w:right="1032" w:firstLine="360"/>
        <w:jc w:val="left"/>
      </w:pPr>
      <w:r>
        <w:rPr/>
        <w:t>本集团递延所得税资产和递延所得税负债根据资产和负债的计税基础与其账面价值的差额</w:t>
      </w:r>
      <w:r>
        <w:rPr>
          <w:rFonts w:ascii="Times New Roman" w:hAnsi="Times New Roman" w:cs="Times New Roman" w:eastAsia="Times New Roman" w:hint="default"/>
        </w:rPr>
        <w:t>(</w:t>
      </w:r>
      <w:r>
        <w:rPr/>
        <w:t>暂时性差异</w:t>
      </w:r>
      <w:r>
        <w:rPr>
          <w:rFonts w:ascii="Times New Roman" w:hAnsi="Times New Roman" w:cs="Times New Roman" w:eastAsia="Times New Roman" w:hint="default"/>
        </w:rPr>
        <w:t>)</w:t>
      </w:r>
      <w:r>
        <w:rPr/>
        <w:t>计算确认。对于 </w:t>
      </w:r>
      <w:r>
        <w:rPr>
          <w:spacing w:val="-2"/>
        </w:rPr>
        <w:t>按照税法规定能够于以后年度抵减应纳税所得额的可抵扣亏损，确认相应的递延所得税资产。对于商誉的初始确认产生的暂</w:t>
      </w:r>
      <w:r>
        <w:rPr>
          <w:spacing w:val="-64"/>
        </w:rPr>
        <w:t> </w:t>
      </w:r>
      <w:r>
        <w:rPr>
          <w:spacing w:val="-64"/>
        </w:rPr>
      </w:r>
      <w:r>
        <w:rPr/>
        <w:t>时性差异，不确认相应的递延所得税负债。对于既不影响会计利润也不影响应纳税所得额</w:t>
      </w:r>
      <w:r>
        <w:rPr>
          <w:rFonts w:ascii="Times New Roman" w:hAnsi="Times New Roman" w:cs="Times New Roman" w:eastAsia="Times New Roman" w:hint="default"/>
        </w:rPr>
        <w:t>(</w:t>
      </w:r>
      <w:r>
        <w:rPr/>
        <w:t>或可抵扣亏损</w:t>
      </w:r>
      <w:r>
        <w:rPr>
          <w:rFonts w:ascii="Times New Roman" w:hAnsi="Times New Roman" w:cs="Times New Roman" w:eastAsia="Times New Roman" w:hint="default"/>
        </w:rPr>
        <w:t>)</w:t>
      </w:r>
      <w:r>
        <w:rPr/>
        <w:t>的非企业合并的交 易中产生的资产或负债的初始确认形成的暂时性差异，不确认相应的递延所得税资产和递延所得税负债。于资产负债表日，</w:t>
      </w:r>
      <w:r>
        <w:rPr>
          <w:spacing w:val="-85"/>
        </w:rPr>
        <w:t> </w:t>
      </w:r>
      <w:r>
        <w:rPr>
          <w:spacing w:val="-85"/>
        </w:rPr>
      </w:r>
      <w:r>
        <w:rPr/>
        <w:t>递延所得税资产和递延所得税负债，按照预期收回该资产或清偿该负债期间的适用税率计量。</w:t>
      </w:r>
    </w:p>
    <w:p>
      <w:pPr>
        <w:pStyle w:val="BodyText"/>
        <w:spacing w:line="240" w:lineRule="auto"/>
        <w:ind w:right="1118" w:firstLine="360"/>
        <w:jc w:val="left"/>
      </w:pPr>
      <w:r>
        <w:rPr>
          <w:spacing w:val="-2"/>
        </w:rPr>
        <w:t>本集团以很可能取得用来抵扣可抵扣暂时性差异、可抵扣亏损和税款抵减的未来应纳税所得额为限，确认递延所得税资</w:t>
      </w:r>
      <w:r>
        <w:rPr/>
        <w:t> 产。</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28、 终止经营" w:id="206"/>
      <w:bookmarkEnd w:id="206"/>
      <w:r>
        <w:rPr>
          <w:b w:val="0"/>
          <w:bCs w:val="0"/>
        </w:rPr>
      </w:r>
      <w:r>
        <w:rPr>
          <w:rFonts w:ascii="Times New Roman" w:hAnsi="Times New Roman" w:cs="Times New Roman" w:eastAsia="Times New Roman" w:hint="default"/>
        </w:rPr>
        <w:t>28</w:t>
      </w:r>
      <w:r>
        <w:rPr/>
        <w:t>、</w:t>
      </w:r>
      <w:r>
        <w:rPr>
          <w:spacing w:val="-3"/>
        </w:rPr>
        <w:t> </w:t>
      </w:r>
      <w:r>
        <w:rPr/>
        <w:t>终止经营</w:t>
      </w:r>
      <w:r>
        <w:rPr>
          <w:b w:val="0"/>
          <w:bCs w:val="0"/>
        </w:rPr>
      </w:r>
    </w:p>
    <w:p>
      <w:pPr>
        <w:spacing w:line="240" w:lineRule="auto" w:before="0"/>
        <w:rPr>
          <w:rFonts w:ascii="宋体" w:hAnsi="宋体" w:cs="宋体" w:eastAsia="宋体" w:hint="default"/>
          <w:b/>
          <w:bCs/>
          <w:sz w:val="22"/>
          <w:szCs w:val="22"/>
        </w:rPr>
      </w:pPr>
    </w:p>
    <w:p>
      <w:pPr>
        <w:pStyle w:val="BodyText"/>
        <w:spacing w:line="235" w:lineRule="exact"/>
        <w:ind w:left="514" w:right="0"/>
        <w:jc w:val="left"/>
      </w:pPr>
      <w:r>
        <w:rPr/>
        <w:t>终止经营</w:t>
      </w:r>
      <w:r>
        <w:rPr>
          <w:spacing w:val="-88"/>
        </w:rPr>
        <w:t>，</w:t>
      </w:r>
      <w:r>
        <w:rPr/>
        <w:t>是指本集团满足下列条件之一的</w:t>
      </w:r>
      <w:r>
        <w:rPr>
          <w:spacing w:val="-88"/>
        </w:rPr>
        <w:t>、</w:t>
      </w:r>
      <w:r>
        <w:rPr/>
        <w:t>能够单独区分的组成部分</w:t>
      </w:r>
      <w:r>
        <w:rPr>
          <w:spacing w:val="-88"/>
        </w:rPr>
        <w:t>，</w:t>
      </w:r>
      <w:r>
        <w:rPr/>
        <w:t>且该组成部分已经处置或划分为持有待售类别：</w:t>
      </w:r>
    </w:p>
    <w:p>
      <w:pPr>
        <w:pStyle w:val="BodyText"/>
        <w:spacing w:line="232" w:lineRule="exact" w:before="24"/>
        <w:ind w:right="0"/>
        <w:jc w:val="left"/>
      </w:pPr>
      <w:r>
        <w:rPr>
          <w:spacing w:val="-2"/>
        </w:rPr>
        <w:t>（</w:t>
      </w:r>
      <w:r>
        <w:rPr>
          <w:rFonts w:ascii="Times New Roman" w:hAnsi="Times New Roman" w:cs="Times New Roman" w:eastAsia="Times New Roman" w:hint="default"/>
          <w:spacing w:val="-2"/>
        </w:rPr>
        <w:t>1</w:t>
      </w:r>
      <w:r>
        <w:rPr>
          <w:spacing w:val="-2"/>
        </w:rPr>
        <w:t>）该组成部分代表一项独立的主要业务或一个单独的主要经营地区；（</w:t>
      </w:r>
      <w:r>
        <w:rPr>
          <w:rFonts w:ascii="Times New Roman" w:hAnsi="Times New Roman" w:cs="Times New Roman" w:eastAsia="Times New Roman" w:hint="default"/>
          <w:spacing w:val="-2"/>
        </w:rPr>
        <w:t>2</w:t>
      </w:r>
      <w:r>
        <w:rPr>
          <w:spacing w:val="-2"/>
        </w:rPr>
        <w:t>）该组成部分是拟对一项独立的主要业务或一个</w:t>
      </w:r>
      <w:r>
        <w:rPr>
          <w:spacing w:val="-63"/>
        </w:rPr>
        <w:t> </w:t>
      </w:r>
      <w:r>
        <w:rPr>
          <w:spacing w:val="-63"/>
        </w:rPr>
      </w:r>
      <w:r>
        <w:rPr/>
        <w:t>单独的主要经营地区进行处置的一项相关联计划的一部分；（</w:t>
      </w:r>
      <w:r>
        <w:rPr>
          <w:rFonts w:ascii="Times New Roman" w:hAnsi="Times New Roman" w:cs="Times New Roman" w:eastAsia="Times New Roman" w:hint="default"/>
        </w:rPr>
        <w:t>3</w:t>
      </w:r>
      <w:r>
        <w:rPr/>
        <w:t>）该组成部分是专为转售而取得的子公司。</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bookmarkStart w:name="29、租赁" w:id="207"/>
      <w:bookmarkEnd w:id="207"/>
      <w:r>
        <w:rPr>
          <w:b w:val="0"/>
          <w:bCs w:val="0"/>
        </w:rPr>
      </w:r>
      <w:r>
        <w:rPr>
          <w:rFonts w:ascii="Times New Roman" w:hAnsi="Times New Roman" w:cs="Times New Roman" w:eastAsia="Times New Roman" w:hint="default"/>
        </w:rPr>
        <w:t>29</w:t>
      </w:r>
      <w:r>
        <w:rPr/>
        <w:t>、租赁</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514" w:right="0"/>
        <w:jc w:val="left"/>
      </w:pPr>
      <w:r>
        <w:rPr/>
        <w:t>本集团的租赁业务包括经营租赁和融资租赁。</w:t>
      </w:r>
    </w:p>
    <w:p>
      <w:pPr>
        <w:spacing w:line="261" w:lineRule="auto" w:before="38"/>
        <w:ind w:left="514" w:right="2652"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）经营租赁的会计处理方法</w:t>
      </w:r>
      <w:r>
        <w:rPr>
          <w:rFonts w:ascii="宋体" w:hAnsi="宋体" w:cs="宋体" w:eastAsia="宋体" w:hint="default"/>
          <w:b/>
          <w:bCs/>
          <w:w w:val="99"/>
          <w:sz w:val="18"/>
          <w:szCs w:val="18"/>
        </w:rPr>
        <w:t> </w:t>
      </w:r>
      <w:r>
        <w:rPr>
          <w:rFonts w:ascii="宋体" w:hAnsi="宋体" w:cs="宋体" w:eastAsia="宋体" w:hint="default"/>
          <w:sz w:val="18"/>
          <w:szCs w:val="18"/>
        </w:rPr>
        <w:t>本集团作为经营租赁承租方的租金在租赁期内的各个期间按直线法计入相关资产成本或当期损益。</w:t>
      </w:r>
    </w:p>
    <w:p>
      <w:pPr>
        <w:spacing w:line="264" w:lineRule="auto" w:before="22"/>
        <w:ind w:left="514" w:right="0"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）融资租赁的会计处理方法</w:t>
      </w:r>
      <w:r>
        <w:rPr>
          <w:rFonts w:ascii="宋体" w:hAnsi="宋体" w:cs="宋体" w:eastAsia="宋体" w:hint="default"/>
          <w:b/>
          <w:bCs/>
          <w:w w:val="99"/>
          <w:sz w:val="18"/>
          <w:szCs w:val="18"/>
        </w:rPr>
        <w:t> </w:t>
      </w:r>
      <w:r>
        <w:rPr>
          <w:rFonts w:ascii="宋体" w:hAnsi="宋体" w:cs="宋体" w:eastAsia="宋体" w:hint="default"/>
          <w:spacing w:val="-2"/>
          <w:sz w:val="18"/>
          <w:szCs w:val="18"/>
        </w:rPr>
        <w:t>本集团作为融资租赁承租方时，在租赁开始日，按租赁开始日租赁资产的公允价值与最低租赁付款额的现值两者中较低</w:t>
      </w:r>
    </w:p>
    <w:p>
      <w:pPr>
        <w:pStyle w:val="BodyText"/>
        <w:spacing w:line="232" w:lineRule="exact" w:before="5"/>
        <w:ind w:right="1118"/>
        <w:jc w:val="left"/>
      </w:pPr>
      <w:r>
        <w:rPr>
          <w:spacing w:val="-2"/>
        </w:rPr>
        <w:t>者，作为融资租入固定资产的入账价值，将最低租赁付款额作为长期应付款的入账价值，将两者的差额记录为未确认融资费</w:t>
      </w:r>
      <w:r>
        <w:rPr>
          <w:spacing w:val="-66"/>
        </w:rPr>
        <w:t> </w:t>
      </w:r>
      <w:r>
        <w:rPr>
          <w:spacing w:val="-66"/>
        </w:rPr>
      </w:r>
      <w:r>
        <w:rPr/>
        <w:t>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bookmarkStart w:name="30、其他重要的会计政策和会计估计" w:id="208"/>
      <w:bookmarkEnd w:id="208"/>
      <w:r>
        <w:rPr>
          <w:b w:val="0"/>
          <w:bCs w:val="0"/>
        </w:rPr>
      </w:r>
      <w:r>
        <w:rPr>
          <w:rFonts w:ascii="Times New Roman" w:hAnsi="Times New Roman" w:cs="Times New Roman" w:eastAsia="Times New Roman" w:hint="default"/>
        </w:rPr>
        <w:t>30</w:t>
      </w:r>
      <w:r>
        <w:rPr/>
        <w:t>、其他重要的会计政策和会计估计</w:t>
      </w:r>
      <w:r>
        <w:rPr>
          <w:b w:val="0"/>
          <w:bCs w:val="0"/>
        </w:rPr>
      </w:r>
    </w:p>
    <w:p>
      <w:pPr>
        <w:spacing w:line="240" w:lineRule="auto" w:before="2"/>
        <w:rPr>
          <w:rFonts w:ascii="宋体" w:hAnsi="宋体" w:cs="宋体" w:eastAsia="宋体" w:hint="default"/>
          <w:b/>
          <w:bCs/>
          <w:sz w:val="22"/>
          <w:szCs w:val="22"/>
        </w:rPr>
      </w:pPr>
    </w:p>
    <w:p>
      <w:pPr>
        <w:pStyle w:val="BodyText"/>
        <w:spacing w:line="237" w:lineRule="auto"/>
        <w:ind w:right="1133" w:firstLine="360"/>
        <w:jc w:val="both"/>
      </w:pPr>
      <w:r>
        <w:rPr>
          <w:spacing w:val="-2"/>
        </w:rPr>
        <w:t>编制合并财务报表要求管理层作出判断、估计和假设，这些判断、估计和假设会影响收入、费用、资产和负债的列报金</w:t>
      </w:r>
      <w:r>
        <w:rPr/>
        <w:t> </w:t>
      </w:r>
      <w:r>
        <w:rPr>
          <w:spacing w:val="-2"/>
        </w:rPr>
        <w:t>额及其披露，以及资产负债表日或有负债的披露。然而，这些假设和估计的不确定性所导致的结果可能造成对未来受影响的</w:t>
      </w:r>
      <w:r>
        <w:rPr>
          <w:spacing w:val="-66"/>
        </w:rPr>
        <w:t> </w:t>
      </w:r>
      <w:r>
        <w:rPr>
          <w:spacing w:val="-66"/>
        </w:rPr>
      </w:r>
      <w:r>
        <w:rPr/>
        <w:t>资产或负债的账面金额进行重大调整。</w:t>
      </w:r>
    </w:p>
    <w:p>
      <w:pPr>
        <w:pStyle w:val="BodyText"/>
        <w:spacing w:line="234" w:lineRule="exact" w:before="20"/>
        <w:ind w:right="0" w:firstLine="360"/>
        <w:jc w:val="left"/>
      </w:pPr>
      <w:r>
        <w:rPr>
          <w:spacing w:val="-2"/>
        </w:rPr>
        <w:t>以下为于资产负债表日有关未来的关键假设以及估计不确定性的其他关键来源，可能会导致未来会计期间资产和负债账</w:t>
      </w:r>
      <w:r>
        <w:rPr/>
        <w:t> 面金额重大调整。</w:t>
      </w:r>
    </w:p>
    <w:p>
      <w:pPr>
        <w:pStyle w:val="BodyText"/>
        <w:spacing w:line="217" w:lineRule="exact"/>
        <w:ind w:left="514" w:right="0"/>
        <w:jc w:val="left"/>
      </w:pPr>
      <w:r>
        <w:rPr/>
        <w:t>（</w:t>
      </w:r>
      <w:r>
        <w:rPr>
          <w:rFonts w:ascii="Times New Roman" w:hAnsi="Times New Roman" w:cs="Times New Roman" w:eastAsia="Times New Roman" w:hint="default"/>
        </w:rPr>
        <w:t>1</w:t>
      </w:r>
      <w:r>
        <w:rPr/>
        <w:t>）坏账准备</w:t>
      </w:r>
    </w:p>
    <w:p>
      <w:pPr>
        <w:pStyle w:val="BodyText"/>
        <w:spacing w:line="237" w:lineRule="auto"/>
        <w:ind w:right="1132" w:firstLine="360"/>
        <w:jc w:val="both"/>
      </w:pPr>
      <w:r>
        <w:rPr>
          <w:spacing w:val="-2"/>
        </w:rPr>
        <w:t>本集团以应收款项的可收回性为判断基础确认坏账准备。当存在迹象表明应收款项无法收回时需要确认坏账准备。坏账</w:t>
      </w:r>
      <w:r>
        <w:rPr/>
        <w:t> </w:t>
      </w:r>
      <w:r>
        <w:rPr>
          <w:spacing w:val="-2"/>
        </w:rPr>
        <w:t>准备的确认需要运用判断和估计，包括每位客户现在的信誉以及过往的收款记录，以确定应收款项的未来回收时间和可回收</w:t>
      </w:r>
      <w:r>
        <w:rPr>
          <w:spacing w:val="-64"/>
        </w:rPr>
        <w:t> </w:t>
      </w:r>
      <w:r>
        <w:rPr>
          <w:spacing w:val="-64"/>
        </w:rPr>
      </w:r>
      <w:r>
        <w:rPr>
          <w:spacing w:val="-2"/>
        </w:rPr>
        <w:t>金额。如果实际结果或未来预期与原始估计存在差异，则该等差异将影响于该估计变动期间应收款项的账面价值及坏账准备</w:t>
      </w:r>
      <w:r>
        <w:rPr>
          <w:spacing w:val="-64"/>
        </w:rPr>
        <w:t> </w:t>
      </w:r>
      <w:r>
        <w:rPr>
          <w:spacing w:val="-64"/>
        </w:rPr>
      </w:r>
      <w:r>
        <w:rPr/>
        <w:t>的计提</w:t>
      </w:r>
      <w:r>
        <w:rPr>
          <w:rFonts w:ascii="Times New Roman" w:hAnsi="Times New Roman" w:cs="Times New Roman" w:eastAsia="Times New Roman" w:hint="default"/>
        </w:rPr>
        <w:t>/</w:t>
      </w:r>
      <w:r>
        <w:rPr/>
        <w:t>转回。</w:t>
      </w:r>
    </w:p>
    <w:p>
      <w:pPr>
        <w:pStyle w:val="BodyText"/>
        <w:spacing w:line="234" w:lineRule="exact" w:before="8"/>
        <w:ind w:left="514" w:right="0"/>
        <w:jc w:val="left"/>
      </w:pPr>
      <w:r>
        <w:rPr/>
        <w:t>（</w:t>
      </w:r>
      <w:r>
        <w:rPr>
          <w:rFonts w:ascii="Times New Roman" w:hAnsi="Times New Roman" w:cs="Times New Roman" w:eastAsia="Times New Roman" w:hint="default"/>
        </w:rPr>
        <w:t>2</w:t>
      </w:r>
      <w:r>
        <w:rPr/>
        <w:t>）存货跌价准备 </w:t>
      </w:r>
      <w:r>
        <w:rPr>
          <w:spacing w:val="-2"/>
        </w:rPr>
        <w:t>本集团根据存货会计政策，按照成本与可变现净值孰低计量，对成本高于可变现净值及陈旧和滞销的存货，计提存货跌</w:t>
      </w:r>
    </w:p>
    <w:p>
      <w:pPr>
        <w:pStyle w:val="BodyText"/>
        <w:spacing w:line="211" w:lineRule="exact"/>
        <w:ind w:right="0"/>
        <w:jc w:val="left"/>
      </w:pPr>
      <w:r>
        <w:rPr/>
        <w:t>价准备。存货的可变现净值是指存货的估计售价减去估计的销售费用以及相关税费后的金额。管理层对存货的可变现净值计</w:t>
      </w:r>
    </w:p>
    <w:p>
      <w:pPr>
        <w:pStyle w:val="BodyText"/>
        <w:spacing w:line="234" w:lineRule="exact" w:before="22"/>
        <w:ind w:right="1032"/>
        <w:jc w:val="left"/>
      </w:pPr>
      <w:r>
        <w:rPr>
          <w:spacing w:val="-2"/>
        </w:rPr>
        <w:t>算涉及到对售价、销售费用以及相关税费的估计。本集团于每个资产负债表日对不同类别的存货是否陈旧和滞销、可变现净</w:t>
      </w:r>
      <w:r>
        <w:rPr>
          <w:spacing w:val="-66"/>
        </w:rPr>
        <w:t> </w:t>
      </w:r>
      <w:r>
        <w:rPr>
          <w:spacing w:val="-66"/>
        </w:rPr>
      </w:r>
      <w:r>
        <w:rPr/>
        <w:t>值是否低于存货成本进行重新估计。如重新估计结果与现有估计存在差异，该差异将会影响估计改变期间的存货账面价值。</w:t>
      </w:r>
    </w:p>
    <w:p>
      <w:pPr>
        <w:pStyle w:val="BodyText"/>
        <w:spacing w:line="232" w:lineRule="exact" w:before="1"/>
        <w:ind w:left="514" w:right="1032"/>
        <w:jc w:val="left"/>
      </w:pPr>
      <w:r>
        <w:rPr/>
        <w:t>（</w:t>
      </w:r>
      <w:r>
        <w:rPr>
          <w:rFonts w:ascii="Times New Roman" w:hAnsi="Times New Roman" w:cs="Times New Roman" w:eastAsia="Times New Roman" w:hint="default"/>
        </w:rPr>
        <w:t>3</w:t>
      </w:r>
      <w:r>
        <w:rPr/>
        <w:t>）递延所得税资产 在很可能有足够的应纳税所得额用以抵扣可抵扣亏损的限度内，应就所有尚未利用的可抵扣亏损确认递延所得税资产。</w:t>
      </w:r>
    </w:p>
    <w:p>
      <w:pPr>
        <w:pStyle w:val="BodyText"/>
        <w:spacing w:line="232" w:lineRule="exact" w:before="2"/>
        <w:ind w:right="1118"/>
        <w:jc w:val="left"/>
      </w:pPr>
      <w:r>
        <w:rPr>
          <w:spacing w:val="-2"/>
        </w:rPr>
        <w:t>这需要管理层运用大量的判断来估计未来取得应纳税所得额的时间和金额，结合纳税筹划策略，以决定应确认的递延所得税</w:t>
      </w:r>
      <w:r>
        <w:rPr>
          <w:spacing w:val="-64"/>
        </w:rPr>
        <w:t> </w:t>
      </w:r>
      <w:r>
        <w:rPr>
          <w:spacing w:val="-64"/>
        </w:rPr>
      </w:r>
      <w:r>
        <w:rPr/>
        <w:t>资产的金额。</w:t>
      </w:r>
    </w:p>
    <w:p>
      <w:pPr>
        <w:pStyle w:val="BodyText"/>
        <w:spacing w:line="227" w:lineRule="exact"/>
        <w:ind w:left="514" w:right="0"/>
        <w:jc w:val="left"/>
      </w:pPr>
      <w:r>
        <w:rPr/>
        <w:t>（</w:t>
      </w:r>
      <w:r>
        <w:rPr>
          <w:rFonts w:ascii="Times New Roman" w:hAnsi="Times New Roman" w:cs="Times New Roman" w:eastAsia="Times New Roman" w:hint="default"/>
        </w:rPr>
        <w:t>4</w:t>
      </w:r>
      <w:r>
        <w:rPr/>
        <w:t>）所得税</w:t>
      </w:r>
    </w:p>
    <w:p>
      <w:pPr>
        <w:spacing w:after="0" w:line="227" w:lineRule="exact"/>
        <w:jc w:val="left"/>
        <w:sectPr>
          <w:pgSz w:w="11910" w:h="16840"/>
          <w:pgMar w:header="877" w:footer="979" w:top="1100" w:bottom="1160" w:left="980" w:right="0"/>
        </w:sectPr>
      </w:pPr>
    </w:p>
    <w:p>
      <w:pPr>
        <w:spacing w:line="240" w:lineRule="auto" w:before="10"/>
        <w:rPr>
          <w:rFonts w:ascii="宋体" w:hAnsi="宋体" w:cs="宋体" w:eastAsia="宋体" w:hint="default"/>
          <w:sz w:val="18"/>
          <w:szCs w:val="18"/>
        </w:rPr>
      </w:pPr>
    </w:p>
    <w:p>
      <w:pPr>
        <w:pStyle w:val="BodyText"/>
        <w:spacing w:line="240" w:lineRule="auto" w:before="44"/>
        <w:ind w:right="0" w:firstLine="360"/>
        <w:jc w:val="left"/>
      </w:pPr>
      <w:r>
        <w:rPr>
          <w:spacing w:val="-2"/>
        </w:rPr>
        <w:t>本集团因分布在多个区域而需分别在其所在地缴纳企业所得税。若有关事项的最终税务结果有别于已确认金额时，该些</w:t>
      </w:r>
      <w:r>
        <w:rPr/>
        <w:t> 差额将对当期的所得税造成影响。</w:t>
      </w:r>
    </w:p>
    <w:p>
      <w:pPr>
        <w:pStyle w:val="BodyText"/>
        <w:spacing w:line="234" w:lineRule="exact" w:before="20"/>
        <w:ind w:left="514" w:right="0"/>
        <w:jc w:val="left"/>
      </w:pPr>
      <w:r>
        <w:rPr/>
        <w:t>（</w:t>
      </w:r>
      <w:r>
        <w:rPr>
          <w:rFonts w:ascii="Times New Roman" w:hAnsi="Times New Roman" w:cs="Times New Roman" w:eastAsia="Times New Roman" w:hint="default"/>
        </w:rPr>
        <w:t>5</w:t>
      </w:r>
      <w:r>
        <w:rPr/>
        <w:t>）衍生金融工具的公允价值 </w:t>
      </w:r>
      <w:r>
        <w:rPr>
          <w:spacing w:val="-2"/>
        </w:rPr>
        <w:t>当资产负债表中的衍生金融工具的公允价值无法从活跃市场获得时，公允价值采用估值技术确定。估值模型使用的参数</w:t>
      </w:r>
    </w:p>
    <w:p>
      <w:pPr>
        <w:pStyle w:val="BodyText"/>
        <w:spacing w:line="211" w:lineRule="exact"/>
        <w:ind w:right="0"/>
        <w:jc w:val="left"/>
      </w:pPr>
      <w:r>
        <w:rPr/>
        <w:t>根据市场中可观察的输入值，结合一定的判断得到。判断包括对流动性风险、信用风险及波动性的考虑。对参数的不同假设</w:t>
      </w:r>
    </w:p>
    <w:p>
      <w:pPr>
        <w:pStyle w:val="BodyText"/>
        <w:spacing w:line="234" w:lineRule="exact"/>
        <w:ind w:right="0"/>
        <w:jc w:val="left"/>
      </w:pPr>
      <w:r>
        <w:rPr/>
        <w:t>可能会影响衍生金融工具公允价值的金额。</w:t>
      </w:r>
    </w:p>
    <w:p>
      <w:pPr>
        <w:pStyle w:val="BodyText"/>
        <w:spacing w:line="234" w:lineRule="exact" w:before="22"/>
        <w:ind w:left="514" w:right="0"/>
        <w:jc w:val="left"/>
      </w:pPr>
      <w:r>
        <w:rPr/>
        <w:t>（</w:t>
      </w:r>
      <w:r>
        <w:rPr>
          <w:rFonts w:ascii="Times New Roman" w:hAnsi="Times New Roman" w:cs="Times New Roman" w:eastAsia="Times New Roman" w:hint="default"/>
        </w:rPr>
        <w:t>6</w:t>
      </w:r>
      <w:r>
        <w:rPr/>
        <w:t>）商誉减值准备的会计估计 </w:t>
      </w:r>
      <w:r>
        <w:rPr>
          <w:spacing w:val="-2"/>
        </w:rPr>
        <w:t>本集团每年对商誉进行减值测试。包含商誉的资产组和资产组组合的可收回金额为其预计未来现金流量的现值，其计算</w:t>
      </w:r>
    </w:p>
    <w:p>
      <w:pPr>
        <w:pStyle w:val="BodyText"/>
        <w:spacing w:line="211" w:lineRule="exact"/>
        <w:ind w:right="0"/>
        <w:jc w:val="left"/>
      </w:pPr>
      <w:r>
        <w:rPr/>
        <w:t>需要采用会计估计。</w:t>
      </w:r>
    </w:p>
    <w:p>
      <w:pPr>
        <w:pStyle w:val="BodyText"/>
        <w:spacing w:line="232" w:lineRule="exact" w:before="24"/>
        <w:ind w:right="0" w:firstLine="360"/>
        <w:jc w:val="left"/>
      </w:pPr>
      <w:r>
        <w:rPr>
          <w:spacing w:val="-2"/>
        </w:rPr>
        <w:t>如果管理层对资产组和资产组组合未来现金流量计算中采用的毛利率进行修订，修订后的毛利率低于目前采用的毛利率，</w:t>
      </w:r>
      <w:r>
        <w:rPr/>
        <w:t> 本集团需对商誉增加计提减值准备。</w:t>
      </w:r>
    </w:p>
    <w:p>
      <w:pPr>
        <w:pStyle w:val="BodyText"/>
        <w:spacing w:line="232" w:lineRule="exact" w:before="2"/>
        <w:ind w:right="0" w:firstLine="360"/>
        <w:jc w:val="left"/>
      </w:pPr>
      <w:r>
        <w:rPr>
          <w:spacing w:val="-2"/>
        </w:rPr>
        <w:t>如果管理层对应用于现金流量折现的折现率进行重新修订，修订后的折现率高于目前采用的折现率，本集团需对商誉增</w:t>
      </w:r>
      <w:r>
        <w:rPr/>
        <w:t> 加计提减值准备。</w:t>
      </w:r>
    </w:p>
    <w:p>
      <w:pPr>
        <w:pStyle w:val="BodyText"/>
        <w:spacing w:line="213" w:lineRule="exact"/>
        <w:ind w:left="514" w:right="0"/>
        <w:jc w:val="left"/>
      </w:pPr>
      <w:r>
        <w:rPr/>
        <w:t>如果实际毛利率或折现率高于或低于管理层的估计，本集团不能转回原已计提的商誉减值损失。</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31、重要会计政策和会计估计变更" w:id="209"/>
      <w:bookmarkEnd w:id="209"/>
      <w:r>
        <w:rPr>
          <w:b w:val="0"/>
          <w:bCs w:val="0"/>
        </w:rPr>
      </w:r>
      <w:r>
        <w:rPr>
          <w:rFonts w:ascii="Times New Roman" w:hAnsi="Times New Roman" w:cs="Times New Roman" w:eastAsia="Times New Roman" w:hint="default"/>
        </w:rPr>
        <w:t>31</w:t>
      </w:r>
      <w:r>
        <w:rPr/>
        <w:t>、重要会计政策和会计估计变更</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bookmarkStart w:name="（1）重要会计政策变更" w:id="210"/>
      <w:bookmarkEnd w:id="210"/>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2"/>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6064"/>
        <w:gridCol w:w="1701"/>
        <w:gridCol w:w="1805"/>
      </w:tblGrid>
      <w:tr>
        <w:trPr>
          <w:trHeight w:val="324" w:hRule="exact"/>
        </w:trPr>
        <w:tc>
          <w:tcPr>
            <w:tcW w:w="6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946"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84"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024" w:hRule="exact"/>
        </w:trPr>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7"/>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pacing w:val="-5"/>
                <w:sz w:val="18"/>
                <w:szCs w:val="18"/>
              </w:rPr>
              <w:t>日，财政部印发《关于修订印发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年度一般企业财务报表格 </w:t>
            </w:r>
            <w:r>
              <w:rPr>
                <w:rFonts w:ascii="宋体" w:hAnsi="宋体" w:cs="宋体" w:eastAsia="宋体" w:hint="default"/>
                <w:spacing w:val="-6"/>
                <w:sz w:val="18"/>
                <w:szCs w:val="18"/>
              </w:rPr>
              <w:t>式的通知》（财会【</w:t>
            </w:r>
            <w:r>
              <w:rPr>
                <w:rFonts w:ascii="Times New Roman" w:hAnsi="Times New Roman" w:cs="Times New Roman" w:eastAsia="Times New Roman" w:hint="default"/>
                <w:spacing w:val="-6"/>
                <w:sz w:val="18"/>
                <w:szCs w:val="18"/>
              </w:rPr>
              <w:t>2018</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15</w:t>
            </w:r>
            <w:r>
              <w:rPr>
                <w:rFonts w:ascii="Times New Roman" w:hAnsi="Times New Roman" w:cs="Times New Roman" w:eastAsia="Times New Roman" w:hint="default"/>
                <w:sz w:val="18"/>
                <w:szCs w:val="18"/>
              </w:rPr>
              <w:t> </w:t>
            </w:r>
            <w:r>
              <w:rPr>
                <w:rFonts w:ascii="宋体" w:hAnsi="宋体" w:cs="宋体" w:eastAsia="宋体" w:hint="default"/>
                <w:spacing w:val="-5"/>
                <w:sz w:val="18"/>
                <w:szCs w:val="18"/>
              </w:rPr>
              <w:t>号），要求执行企业会计准则的非金融企业中，</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尚未执行新金融工具准则和新收入准则的企业应当按照企业会计准则和通知 的要求编制财务报表</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23"/>
              <w:jc w:val="both"/>
              <w:rPr>
                <w:rFonts w:ascii="宋体" w:hAnsi="宋体" w:cs="宋体" w:eastAsia="宋体" w:hint="default"/>
                <w:sz w:val="18"/>
                <w:szCs w:val="18"/>
              </w:rPr>
            </w:pPr>
            <w:r>
              <w:rPr>
                <w:rFonts w:ascii="宋体" w:hAnsi="宋体" w:cs="宋体" w:eastAsia="宋体" w:hint="default"/>
                <w:spacing w:val="13"/>
                <w:sz w:val="18"/>
                <w:szCs w:val="18"/>
              </w:rPr>
              <w:t>对合并财务报表及母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公司报表的影响见下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表。</w:t>
            </w:r>
          </w:p>
        </w:tc>
      </w:tr>
    </w:tbl>
    <w:p>
      <w:pPr>
        <w:spacing w:line="240" w:lineRule="auto" w:before="2"/>
        <w:rPr>
          <w:rFonts w:ascii="宋体" w:hAnsi="宋体" w:cs="宋体" w:eastAsia="宋体" w:hint="default"/>
          <w:sz w:val="12"/>
          <w:szCs w:val="12"/>
        </w:rPr>
      </w:pPr>
    </w:p>
    <w:p>
      <w:pPr>
        <w:pStyle w:val="BodyText"/>
        <w:spacing w:line="240" w:lineRule="auto" w:before="44"/>
        <w:ind w:right="0"/>
        <w:jc w:val="left"/>
      </w:pPr>
      <w:r>
        <w:rPr/>
        <w:t>对合并财务报表的影响列示如下：</w:t>
      </w:r>
    </w:p>
    <w:p>
      <w:pPr>
        <w:spacing w:line="240" w:lineRule="auto" w:before="11"/>
        <w:rPr>
          <w:rFonts w:ascii="宋体" w:hAnsi="宋体" w:cs="宋体" w:eastAsia="宋体" w:hint="default"/>
          <w:sz w:val="4"/>
          <w:szCs w:val="4"/>
        </w:rPr>
      </w:pPr>
    </w:p>
    <w:tbl>
      <w:tblPr>
        <w:tblW w:w="0" w:type="auto"/>
        <w:jc w:val="left"/>
        <w:tblInd w:w="137" w:type="dxa"/>
        <w:tblLayout w:type="fixed"/>
        <w:tblCellMar>
          <w:top w:w="0" w:type="dxa"/>
          <w:left w:w="0" w:type="dxa"/>
          <w:bottom w:w="0" w:type="dxa"/>
          <w:right w:w="0" w:type="dxa"/>
        </w:tblCellMar>
        <w:tblLook w:val="01E0"/>
      </w:tblPr>
      <w:tblGrid>
        <w:gridCol w:w="2144"/>
        <w:gridCol w:w="2118"/>
        <w:gridCol w:w="1812"/>
        <w:gridCol w:w="2030"/>
        <w:gridCol w:w="1555"/>
      </w:tblGrid>
      <w:tr>
        <w:trPr>
          <w:trHeight w:val="347" w:hRule="exact"/>
        </w:trPr>
        <w:tc>
          <w:tcPr>
            <w:tcW w:w="2144"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76"/>
              <w:ind w:left="974" w:right="72" w:hanging="901"/>
              <w:jc w:val="left"/>
              <w:rPr>
                <w:rFonts w:ascii="宋体" w:hAnsi="宋体" w:cs="宋体" w:eastAsia="宋体" w:hint="default"/>
                <w:sz w:val="18"/>
                <w:szCs w:val="18"/>
              </w:rPr>
            </w:pPr>
            <w:r>
              <w:rPr>
                <w:rFonts w:ascii="宋体" w:hAnsi="宋体" w:cs="宋体" w:eastAsia="宋体" w:hint="default"/>
                <w:sz w:val="18"/>
                <w:szCs w:val="18"/>
              </w:rPr>
              <w:t>会计政策变更的内容和原 因</w:t>
            </w:r>
          </w:p>
        </w:tc>
        <w:tc>
          <w:tcPr>
            <w:tcW w:w="3930"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27" w:right="0"/>
              <w:jc w:val="left"/>
              <w:rPr>
                <w:rFonts w:ascii="宋体" w:hAnsi="宋体" w:cs="宋体" w:eastAsia="宋体" w:hint="default"/>
                <w:sz w:val="18"/>
                <w:szCs w:val="18"/>
              </w:rPr>
            </w:pPr>
            <w:r>
              <w:rPr>
                <w:rFonts w:ascii="宋体" w:hAnsi="宋体" w:cs="宋体" w:eastAsia="宋体" w:hint="default"/>
                <w:sz w:val="18"/>
                <w:szCs w:val="18"/>
              </w:rPr>
              <w:t>变更前</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日报表项目及金额</w:t>
            </w:r>
          </w:p>
        </w:tc>
        <w:tc>
          <w:tcPr>
            <w:tcW w:w="3585"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54" w:right="0"/>
              <w:jc w:val="left"/>
              <w:rPr>
                <w:rFonts w:ascii="宋体" w:hAnsi="宋体" w:cs="宋体" w:eastAsia="宋体" w:hint="default"/>
                <w:sz w:val="18"/>
                <w:szCs w:val="18"/>
              </w:rPr>
            </w:pPr>
            <w:r>
              <w:rPr>
                <w:rFonts w:ascii="宋体" w:hAnsi="宋体" w:cs="宋体" w:eastAsia="宋体" w:hint="default"/>
                <w:sz w:val="18"/>
                <w:szCs w:val="18"/>
              </w:rPr>
              <w:t>变更后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日报表项目及金额</w:t>
            </w:r>
          </w:p>
        </w:tc>
      </w:tr>
      <w:tr>
        <w:trPr>
          <w:trHeight w:val="347" w:hRule="exact"/>
        </w:trPr>
        <w:tc>
          <w:tcPr>
            <w:tcW w:w="2144" w:type="dxa"/>
            <w:vMerge/>
            <w:tcBorders>
              <w:left w:val="single" w:sz="6" w:space="0" w:color="000000"/>
              <w:bottom w:val="single" w:sz="6" w:space="0" w:color="000000"/>
              <w:right w:val="single" w:sz="6" w:space="0" w:color="000000"/>
            </w:tcBorders>
            <w:shd w:val="clear" w:color="auto" w:fill="D9D9D9"/>
          </w:tcPr>
          <w:p>
            <w:pPr/>
          </w:p>
        </w:tc>
        <w:tc>
          <w:tcPr>
            <w:tcW w:w="21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left="152" w:right="0"/>
              <w:jc w:val="left"/>
              <w:rPr>
                <w:rFonts w:ascii="宋体" w:hAnsi="宋体" w:cs="宋体" w:eastAsia="宋体" w:hint="default"/>
                <w:sz w:val="18"/>
                <w:szCs w:val="18"/>
              </w:rPr>
            </w:pPr>
            <w:r>
              <w:rPr>
                <w:rFonts w:ascii="宋体" w:hAnsi="宋体" w:cs="宋体" w:eastAsia="宋体" w:hint="default"/>
                <w:sz w:val="18"/>
                <w:szCs w:val="18"/>
              </w:rPr>
              <w:t>受影响的报表项目名称</w:t>
            </w:r>
          </w:p>
        </w:tc>
        <w:tc>
          <w:tcPr>
            <w:tcW w:w="181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0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left="106" w:right="0"/>
              <w:jc w:val="left"/>
              <w:rPr>
                <w:rFonts w:ascii="宋体" w:hAnsi="宋体" w:cs="宋体" w:eastAsia="宋体" w:hint="default"/>
                <w:sz w:val="18"/>
                <w:szCs w:val="18"/>
              </w:rPr>
            </w:pPr>
            <w:r>
              <w:rPr>
                <w:rFonts w:ascii="宋体" w:hAnsi="宋体" w:cs="宋体" w:eastAsia="宋体" w:hint="default"/>
                <w:sz w:val="18"/>
                <w:szCs w:val="18"/>
              </w:rPr>
              <w:t>受影响的报表项目名称</w:t>
            </w:r>
          </w:p>
        </w:tc>
        <w:tc>
          <w:tcPr>
            <w:tcW w:w="155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47" w:hRule="exact"/>
        </w:trPr>
        <w:tc>
          <w:tcPr>
            <w:tcW w:w="2144" w:type="dxa"/>
            <w:vMerge w:val="restart"/>
            <w:tcBorders>
              <w:top w:val="single" w:sz="6" w:space="0" w:color="000000"/>
              <w:left w:val="single" w:sz="6" w:space="0" w:color="000000"/>
              <w:right w:val="single" w:sz="6" w:space="0" w:color="000000"/>
            </w:tcBorders>
          </w:tcPr>
          <w:p>
            <w:pPr>
              <w:pStyle w:val="TableParagraph"/>
              <w:spacing w:line="222" w:lineRule="exact"/>
              <w:ind w:left="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日，财政部印发</w:t>
            </w:r>
          </w:p>
          <w:p>
            <w:pPr>
              <w:pStyle w:val="TableParagraph"/>
              <w:spacing w:line="235" w:lineRule="auto"/>
              <w:ind w:left="2" w:right="-19"/>
              <w:jc w:val="left"/>
              <w:rPr>
                <w:rFonts w:ascii="宋体" w:hAnsi="宋体" w:cs="宋体" w:eastAsia="宋体" w:hint="default"/>
                <w:sz w:val="18"/>
                <w:szCs w:val="18"/>
              </w:rPr>
            </w:pPr>
            <w:r>
              <w:rPr>
                <w:rFonts w:ascii="宋体" w:hAnsi="宋体" w:cs="宋体" w:eastAsia="宋体" w:hint="default"/>
                <w:sz w:val="18"/>
                <w:szCs w:val="18"/>
              </w:rPr>
              <w:t>《关于修订印发</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 一般企业财务报表格式的 </w:t>
            </w:r>
            <w:r>
              <w:rPr>
                <w:rFonts w:ascii="宋体" w:hAnsi="宋体" w:cs="宋体" w:eastAsia="宋体" w:hint="default"/>
                <w:spacing w:val="-23"/>
                <w:sz w:val="18"/>
                <w:szCs w:val="18"/>
              </w:rPr>
              <w:t>通知》（财会【</w:t>
            </w:r>
            <w:r>
              <w:rPr>
                <w:rFonts w:ascii="Times New Roman" w:hAnsi="Times New Roman" w:cs="Times New Roman" w:eastAsia="Times New Roman" w:hint="default"/>
                <w:spacing w:val="-23"/>
                <w:sz w:val="18"/>
                <w:szCs w:val="18"/>
              </w:rPr>
              <w:t>2018</w:t>
            </w:r>
            <w:r>
              <w:rPr>
                <w:rFonts w:ascii="宋体" w:hAnsi="宋体" w:cs="宋体" w:eastAsia="宋体" w:hint="default"/>
                <w:spacing w:val="-23"/>
                <w:sz w:val="18"/>
                <w:szCs w:val="18"/>
              </w:rPr>
              <w:t>】</w:t>
            </w:r>
            <w:r>
              <w:rPr>
                <w:rFonts w:ascii="Times New Roman" w:hAnsi="Times New Roman" w:cs="Times New Roman" w:eastAsia="Times New Roman" w:hint="default"/>
                <w:spacing w:val="-23"/>
                <w:sz w:val="18"/>
                <w:szCs w:val="18"/>
              </w:rPr>
              <w:t>15</w:t>
            </w:r>
            <w:r>
              <w:rPr>
                <w:rFonts w:ascii="宋体" w:hAnsi="宋体" w:cs="宋体" w:eastAsia="宋体" w:hint="default"/>
                <w:spacing w:val="-23"/>
                <w:sz w:val="18"/>
                <w:szCs w:val="18"/>
              </w:rPr>
              <w:t>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要求执行企业会计准则的</w:t>
            </w:r>
            <w:r>
              <w:rPr>
                <w:rFonts w:ascii="宋体" w:hAnsi="宋体" w:cs="宋体" w:eastAsia="宋体" w:hint="default"/>
                <w:sz w:val="18"/>
                <w:szCs w:val="18"/>
              </w:rPr>
              <w:t> </w:t>
            </w:r>
            <w:r>
              <w:rPr>
                <w:rFonts w:ascii="宋体" w:hAnsi="宋体" w:cs="宋体" w:eastAsia="宋体" w:hint="default"/>
                <w:spacing w:val="-3"/>
                <w:sz w:val="18"/>
                <w:szCs w:val="18"/>
              </w:rPr>
              <w:t>非金融企业中，尚未执行新</w:t>
            </w:r>
            <w:r>
              <w:rPr>
                <w:rFonts w:ascii="宋体" w:hAnsi="宋体" w:cs="宋体" w:eastAsia="宋体" w:hint="default"/>
                <w:sz w:val="18"/>
                <w:szCs w:val="18"/>
              </w:rPr>
              <w:t> 金融工具准则和新收入准 则的企业应当按照企业会 计准则和通知的要求编制 财务报表</w:t>
            </w: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Times New Roman" w:hAnsi="Times New Roman" w:cs="Times New Roman" w:eastAsia="Times New Roman" w:hint="default"/>
                <w:sz w:val="18"/>
                <w:szCs w:val="18"/>
              </w:rPr>
            </w:pPr>
            <w:r>
              <w:rPr>
                <w:rFonts w:ascii="Times New Roman"/>
                <w:spacing w:val="-1"/>
                <w:sz w:val="18"/>
              </w:rPr>
              <w:t>931,617,440.61</w:t>
            </w:r>
          </w:p>
        </w:tc>
        <w:tc>
          <w:tcPr>
            <w:tcW w:w="2030"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555"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77" w:right="0"/>
              <w:jc w:val="left"/>
              <w:rPr>
                <w:rFonts w:ascii="Times New Roman" w:hAnsi="Times New Roman" w:cs="Times New Roman" w:eastAsia="Times New Roman" w:hint="default"/>
                <w:sz w:val="18"/>
                <w:szCs w:val="18"/>
              </w:rPr>
            </w:pPr>
            <w:r>
              <w:rPr>
                <w:rFonts w:ascii="Times New Roman"/>
                <w:sz w:val="18"/>
              </w:rPr>
              <w:t>8,370,246,168.01</w:t>
            </w:r>
          </w:p>
        </w:tc>
      </w:tr>
      <w:tr>
        <w:trPr>
          <w:trHeight w:val="347" w:hRule="exact"/>
        </w:trPr>
        <w:tc>
          <w:tcPr>
            <w:tcW w:w="2144" w:type="dxa"/>
            <w:vMerge/>
            <w:tcBorders>
              <w:left w:val="single" w:sz="6" w:space="0" w:color="000000"/>
              <w:right w:val="single" w:sz="6" w:space="0" w:color="000000"/>
            </w:tcBorders>
          </w:tcPr>
          <w:p>
            <w:pP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pacing w:val="-1"/>
                <w:sz w:val="18"/>
              </w:rPr>
              <w:t>7,438,628,727.40</w:t>
            </w:r>
          </w:p>
        </w:tc>
        <w:tc>
          <w:tcPr>
            <w:tcW w:w="2030" w:type="dxa"/>
            <w:vMerge/>
            <w:tcBorders>
              <w:left w:val="single" w:sz="6" w:space="0" w:color="000000"/>
              <w:bottom w:val="single" w:sz="6" w:space="0" w:color="000000"/>
              <w:right w:val="single" w:sz="6" w:space="0" w:color="000000"/>
            </w:tcBorders>
          </w:tcPr>
          <w:p>
            <w:pPr/>
          </w:p>
        </w:tc>
        <w:tc>
          <w:tcPr>
            <w:tcW w:w="1555" w:type="dxa"/>
            <w:vMerge/>
            <w:tcBorders>
              <w:left w:val="single" w:sz="6" w:space="0" w:color="000000"/>
              <w:bottom w:val="single" w:sz="6" w:space="0" w:color="000000"/>
              <w:right w:val="single" w:sz="6" w:space="0" w:color="000000"/>
            </w:tcBorders>
          </w:tcPr>
          <w:p>
            <w:pPr/>
          </w:p>
        </w:tc>
      </w:tr>
      <w:tr>
        <w:trPr>
          <w:trHeight w:val="347" w:hRule="exact"/>
        </w:trPr>
        <w:tc>
          <w:tcPr>
            <w:tcW w:w="2144" w:type="dxa"/>
            <w:vMerge/>
            <w:tcBorders>
              <w:left w:val="single" w:sz="6" w:space="0" w:color="000000"/>
              <w:right w:val="single" w:sz="6" w:space="0" w:color="000000"/>
            </w:tcBorders>
          </w:tcPr>
          <w:p>
            <w:pP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Times New Roman" w:hAnsi="Times New Roman" w:cs="Times New Roman" w:eastAsia="Times New Roman" w:hint="default"/>
                <w:sz w:val="18"/>
                <w:szCs w:val="18"/>
              </w:rPr>
            </w:pPr>
            <w:r>
              <w:rPr>
                <w:rFonts w:ascii="Times New Roman"/>
                <w:spacing w:val="-1"/>
                <w:sz w:val="18"/>
              </w:rPr>
              <w:t>15,370,933.11</w:t>
            </w:r>
          </w:p>
        </w:tc>
        <w:tc>
          <w:tcPr>
            <w:tcW w:w="2030"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55"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12" w:right="0"/>
              <w:jc w:val="left"/>
              <w:rPr>
                <w:rFonts w:ascii="Times New Roman" w:hAnsi="Times New Roman" w:cs="Times New Roman" w:eastAsia="Times New Roman" w:hint="default"/>
                <w:sz w:val="18"/>
                <w:szCs w:val="18"/>
              </w:rPr>
            </w:pPr>
            <w:r>
              <w:rPr>
                <w:rFonts w:ascii="Times New Roman"/>
                <w:sz w:val="18"/>
              </w:rPr>
              <w:t>228,007,686.95</w:t>
            </w:r>
          </w:p>
        </w:tc>
      </w:tr>
      <w:tr>
        <w:trPr>
          <w:trHeight w:val="347" w:hRule="exact"/>
        </w:trPr>
        <w:tc>
          <w:tcPr>
            <w:tcW w:w="2144" w:type="dxa"/>
            <w:vMerge/>
            <w:tcBorders>
              <w:left w:val="single" w:sz="6" w:space="0" w:color="000000"/>
              <w:right w:val="single" w:sz="6" w:space="0" w:color="000000"/>
            </w:tcBorders>
          </w:tcPr>
          <w:p>
            <w:pP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Times New Roman" w:hAnsi="Times New Roman" w:cs="Times New Roman" w:eastAsia="Times New Roman" w:hint="default"/>
                <w:sz w:val="18"/>
                <w:szCs w:val="18"/>
              </w:rPr>
            </w:pPr>
            <w:r>
              <w:rPr>
                <w:rFonts w:ascii="Times New Roman"/>
                <w:spacing w:val="-1"/>
                <w:sz w:val="18"/>
              </w:rPr>
              <w:t>212,636,753.84</w:t>
            </w:r>
          </w:p>
        </w:tc>
        <w:tc>
          <w:tcPr>
            <w:tcW w:w="2030" w:type="dxa"/>
            <w:vMerge/>
            <w:tcBorders>
              <w:left w:val="single" w:sz="6" w:space="0" w:color="000000"/>
              <w:bottom w:val="single" w:sz="6" w:space="0" w:color="000000"/>
              <w:right w:val="single" w:sz="6" w:space="0" w:color="000000"/>
            </w:tcBorders>
          </w:tcPr>
          <w:p>
            <w:pPr/>
          </w:p>
        </w:tc>
        <w:tc>
          <w:tcPr>
            <w:tcW w:w="1555" w:type="dxa"/>
            <w:vMerge/>
            <w:tcBorders>
              <w:left w:val="single" w:sz="6" w:space="0" w:color="000000"/>
              <w:bottom w:val="single" w:sz="6" w:space="0" w:color="000000"/>
              <w:right w:val="single" w:sz="6" w:space="0" w:color="000000"/>
            </w:tcBorders>
          </w:tcPr>
          <w:p>
            <w:pPr/>
          </w:p>
        </w:tc>
      </w:tr>
      <w:tr>
        <w:trPr>
          <w:trHeight w:val="348" w:hRule="exact"/>
        </w:trPr>
        <w:tc>
          <w:tcPr>
            <w:tcW w:w="2144" w:type="dxa"/>
            <w:vMerge/>
            <w:tcBorders>
              <w:left w:val="single" w:sz="6" w:space="0" w:color="000000"/>
              <w:right w:val="single" w:sz="6" w:space="0" w:color="000000"/>
            </w:tcBorders>
          </w:tcPr>
          <w:p>
            <w:pP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right"/>
              <w:rPr>
                <w:rFonts w:ascii="Times New Roman" w:hAnsi="Times New Roman" w:cs="Times New Roman" w:eastAsia="Times New Roman" w:hint="default"/>
                <w:sz w:val="18"/>
                <w:szCs w:val="18"/>
              </w:rPr>
            </w:pPr>
            <w:r>
              <w:rPr>
                <w:rFonts w:ascii="Times New Roman"/>
                <w:spacing w:val="-1"/>
                <w:sz w:val="18"/>
              </w:rPr>
              <w:t>2,239,637,904.20</w:t>
            </w:r>
          </w:p>
        </w:tc>
        <w:tc>
          <w:tcPr>
            <w:tcW w:w="2030"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555"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77" w:right="0"/>
              <w:jc w:val="left"/>
              <w:rPr>
                <w:rFonts w:ascii="Times New Roman" w:hAnsi="Times New Roman" w:cs="Times New Roman" w:eastAsia="Times New Roman" w:hint="default"/>
                <w:sz w:val="18"/>
                <w:szCs w:val="18"/>
              </w:rPr>
            </w:pPr>
            <w:r>
              <w:rPr>
                <w:rFonts w:ascii="Times New Roman"/>
                <w:sz w:val="18"/>
              </w:rPr>
              <w:t>7,419,100,754.98</w:t>
            </w:r>
          </w:p>
        </w:tc>
      </w:tr>
      <w:tr>
        <w:trPr>
          <w:trHeight w:val="347" w:hRule="exact"/>
        </w:trPr>
        <w:tc>
          <w:tcPr>
            <w:tcW w:w="2144" w:type="dxa"/>
            <w:vMerge/>
            <w:tcBorders>
              <w:left w:val="single" w:sz="6" w:space="0" w:color="000000"/>
              <w:right w:val="single" w:sz="6" w:space="0" w:color="000000"/>
            </w:tcBorders>
          </w:tcPr>
          <w:p>
            <w:pP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pacing w:val="-1"/>
                <w:sz w:val="18"/>
              </w:rPr>
              <w:t>5,179,462,850.78</w:t>
            </w:r>
          </w:p>
        </w:tc>
        <w:tc>
          <w:tcPr>
            <w:tcW w:w="2030" w:type="dxa"/>
            <w:vMerge/>
            <w:tcBorders>
              <w:left w:val="single" w:sz="6" w:space="0" w:color="000000"/>
              <w:bottom w:val="single" w:sz="6" w:space="0" w:color="000000"/>
              <w:right w:val="single" w:sz="6" w:space="0" w:color="000000"/>
            </w:tcBorders>
          </w:tcPr>
          <w:p>
            <w:pPr/>
          </w:p>
        </w:tc>
        <w:tc>
          <w:tcPr>
            <w:tcW w:w="1555" w:type="dxa"/>
            <w:vMerge/>
            <w:tcBorders>
              <w:left w:val="single" w:sz="6" w:space="0" w:color="000000"/>
              <w:bottom w:val="single" w:sz="6" w:space="0" w:color="000000"/>
              <w:right w:val="single" w:sz="6" w:space="0" w:color="000000"/>
            </w:tcBorders>
          </w:tcPr>
          <w:p>
            <w:pPr/>
          </w:p>
        </w:tc>
      </w:tr>
      <w:tr>
        <w:trPr>
          <w:trHeight w:val="347" w:hRule="exact"/>
        </w:trPr>
        <w:tc>
          <w:tcPr>
            <w:tcW w:w="2144" w:type="dxa"/>
            <w:vMerge/>
            <w:tcBorders>
              <w:left w:val="single" w:sz="6" w:space="0" w:color="000000"/>
              <w:right w:val="single" w:sz="6" w:space="0" w:color="000000"/>
            </w:tcBorders>
          </w:tcPr>
          <w:p>
            <w:pP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pacing w:val="-1"/>
                <w:sz w:val="18"/>
              </w:rPr>
              <w:t>24,320,542.71</w:t>
            </w:r>
          </w:p>
        </w:tc>
        <w:tc>
          <w:tcPr>
            <w:tcW w:w="2030"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55"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77" w:right="0"/>
              <w:jc w:val="left"/>
              <w:rPr>
                <w:rFonts w:ascii="Times New Roman" w:hAnsi="Times New Roman" w:cs="Times New Roman" w:eastAsia="Times New Roman" w:hint="default"/>
                <w:sz w:val="18"/>
                <w:szCs w:val="18"/>
              </w:rPr>
            </w:pPr>
            <w:r>
              <w:rPr>
                <w:rFonts w:ascii="Times New Roman"/>
                <w:sz w:val="18"/>
              </w:rPr>
              <w:t>2,047,415,091.31</w:t>
            </w:r>
          </w:p>
        </w:tc>
      </w:tr>
      <w:tr>
        <w:trPr>
          <w:trHeight w:val="347" w:hRule="exact"/>
        </w:trPr>
        <w:tc>
          <w:tcPr>
            <w:tcW w:w="2144" w:type="dxa"/>
            <w:vMerge/>
            <w:tcBorders>
              <w:left w:val="single" w:sz="6" w:space="0" w:color="000000"/>
              <w:right w:val="single" w:sz="6" w:space="0" w:color="000000"/>
            </w:tcBorders>
          </w:tcPr>
          <w:p>
            <w:pP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pacing w:val="-1"/>
                <w:sz w:val="18"/>
              </w:rPr>
              <w:t>2,023,094,548.60</w:t>
            </w:r>
          </w:p>
        </w:tc>
        <w:tc>
          <w:tcPr>
            <w:tcW w:w="2030" w:type="dxa"/>
            <w:vMerge/>
            <w:tcBorders>
              <w:left w:val="single" w:sz="6" w:space="0" w:color="000000"/>
              <w:bottom w:val="single" w:sz="6" w:space="0" w:color="000000"/>
              <w:right w:val="single" w:sz="6" w:space="0" w:color="000000"/>
            </w:tcBorders>
          </w:tcPr>
          <w:p>
            <w:pPr/>
          </w:p>
        </w:tc>
        <w:tc>
          <w:tcPr>
            <w:tcW w:w="1555" w:type="dxa"/>
            <w:vMerge/>
            <w:tcBorders>
              <w:left w:val="single" w:sz="6" w:space="0" w:color="000000"/>
              <w:bottom w:val="single" w:sz="6" w:space="0" w:color="000000"/>
              <w:right w:val="single" w:sz="6" w:space="0" w:color="000000"/>
            </w:tcBorders>
          </w:tcPr>
          <w:p>
            <w:pPr/>
          </w:p>
        </w:tc>
      </w:tr>
      <w:tr>
        <w:trPr>
          <w:trHeight w:val="724" w:hRule="exact"/>
        </w:trPr>
        <w:tc>
          <w:tcPr>
            <w:tcW w:w="2144" w:type="dxa"/>
            <w:vMerge/>
            <w:tcBorders>
              <w:left w:val="single" w:sz="6" w:space="0" w:color="000000"/>
              <w:right w:val="single" w:sz="6" w:space="0" w:color="000000"/>
            </w:tcBorders>
          </w:tcPr>
          <w:p>
            <w:pP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367,663,898.79</w:t>
            </w:r>
          </w:p>
        </w:tc>
        <w:tc>
          <w:tcPr>
            <w:tcW w:w="2030" w:type="dxa"/>
            <w:vMerge w:val="restart"/>
            <w:tcBorders>
              <w:top w:val="single" w:sz="6" w:space="0" w:color="000000"/>
              <w:left w:val="single" w:sz="6" w:space="0" w:color="000000"/>
              <w:right w:val="single" w:sz="6"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管理费用</w:t>
            </w:r>
          </w:p>
          <w:p>
            <w:pPr>
              <w:pStyle w:val="TableParagraph"/>
              <w:spacing w:line="460" w:lineRule="atLeast" w:before="7"/>
              <w:ind w:left="2" w:right="1290"/>
              <w:jc w:val="left"/>
              <w:rPr>
                <w:rFonts w:ascii="宋体" w:hAnsi="宋体" w:cs="宋体" w:eastAsia="宋体" w:hint="default"/>
                <w:sz w:val="18"/>
                <w:szCs w:val="18"/>
              </w:rPr>
            </w:pPr>
            <w:r>
              <w:rPr>
                <w:rFonts w:ascii="宋体" w:hAnsi="宋体" w:cs="宋体" w:eastAsia="宋体" w:hint="default"/>
                <w:sz w:val="18"/>
                <w:szCs w:val="18"/>
              </w:rPr>
              <w:t>研发费用 其他收益</w:t>
            </w:r>
          </w:p>
        </w:tc>
        <w:tc>
          <w:tcPr>
            <w:tcW w:w="1555" w:type="dxa"/>
            <w:vMerge w:val="restart"/>
            <w:tcBorders>
              <w:top w:val="single" w:sz="6" w:space="0" w:color="000000"/>
              <w:left w:val="single" w:sz="6" w:space="0" w:color="000000"/>
              <w:right w:val="single" w:sz="6" w:space="0" w:color="000000"/>
            </w:tcBorders>
          </w:tcPr>
          <w:p>
            <w:pPr>
              <w:pStyle w:val="TableParagraph"/>
              <w:spacing w:line="240" w:lineRule="auto" w:before="72"/>
              <w:ind w:left="412" w:right="0"/>
              <w:jc w:val="left"/>
              <w:rPr>
                <w:rFonts w:ascii="Times New Roman" w:hAnsi="Times New Roman" w:cs="Times New Roman" w:eastAsia="Times New Roman" w:hint="default"/>
                <w:sz w:val="18"/>
                <w:szCs w:val="18"/>
              </w:rPr>
            </w:pPr>
            <w:r>
              <w:rPr>
                <w:rFonts w:ascii="Times New Roman"/>
                <w:sz w:val="18"/>
              </w:rPr>
              <w:t>279,227,717.59</w:t>
            </w: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2" w:right="0"/>
              <w:jc w:val="left"/>
              <w:rPr>
                <w:rFonts w:ascii="Times New Roman" w:hAnsi="Times New Roman" w:cs="Times New Roman" w:eastAsia="Times New Roman" w:hint="default"/>
                <w:sz w:val="18"/>
                <w:szCs w:val="18"/>
              </w:rPr>
            </w:pPr>
            <w:r>
              <w:rPr>
                <w:rFonts w:ascii="Times New Roman"/>
                <w:sz w:val="18"/>
              </w:rPr>
              <w:t>88,729,229.48</w:t>
            </w: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2" w:right="0"/>
              <w:jc w:val="left"/>
              <w:rPr>
                <w:rFonts w:ascii="Times New Roman" w:hAnsi="Times New Roman" w:cs="Times New Roman" w:eastAsia="Times New Roman" w:hint="default"/>
                <w:sz w:val="18"/>
                <w:szCs w:val="18"/>
              </w:rPr>
            </w:pPr>
            <w:r>
              <w:rPr>
                <w:rFonts w:ascii="Times New Roman"/>
                <w:sz w:val="18"/>
              </w:rPr>
              <w:t>46,580,429.15</w:t>
            </w:r>
          </w:p>
        </w:tc>
      </w:tr>
      <w:tr>
        <w:trPr>
          <w:trHeight w:val="479" w:hRule="exact"/>
        </w:trPr>
        <w:tc>
          <w:tcPr>
            <w:tcW w:w="2144" w:type="dxa"/>
            <w:vMerge/>
            <w:tcBorders>
              <w:left w:val="single" w:sz="6" w:space="0" w:color="000000"/>
              <w:bottom w:val="single" w:sz="6" w:space="0" w:color="000000"/>
              <w:right w:val="single" w:sz="6" w:space="0" w:color="000000"/>
            </w:tcBorders>
          </w:tcPr>
          <w:p>
            <w:pP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
              <w:jc w:val="right"/>
              <w:rPr>
                <w:rFonts w:ascii="Times New Roman" w:hAnsi="Times New Roman" w:cs="Times New Roman" w:eastAsia="Times New Roman" w:hint="default"/>
                <w:sz w:val="18"/>
                <w:szCs w:val="18"/>
              </w:rPr>
            </w:pPr>
            <w:r>
              <w:rPr>
                <w:rFonts w:ascii="Times New Roman"/>
                <w:spacing w:val="-1"/>
                <w:sz w:val="18"/>
              </w:rPr>
              <w:t>46,287,380.87</w:t>
            </w:r>
          </w:p>
        </w:tc>
        <w:tc>
          <w:tcPr>
            <w:tcW w:w="2030" w:type="dxa"/>
            <w:vMerge/>
            <w:tcBorders>
              <w:left w:val="single" w:sz="6" w:space="0" w:color="000000"/>
              <w:bottom w:val="single" w:sz="6" w:space="0" w:color="000000"/>
              <w:right w:val="single" w:sz="6" w:space="0" w:color="000000"/>
            </w:tcBorders>
          </w:tcPr>
          <w:p>
            <w:pPr/>
          </w:p>
        </w:tc>
        <w:tc>
          <w:tcPr>
            <w:tcW w:w="1555" w:type="dxa"/>
            <w:vMerge/>
            <w:tcBorders>
              <w:left w:val="single" w:sz="6" w:space="0" w:color="000000"/>
              <w:bottom w:val="single" w:sz="6" w:space="0" w:color="000000"/>
              <w:right w:val="single" w:sz="6" w:space="0" w:color="000000"/>
            </w:tcBorders>
          </w:tcPr>
          <w:p>
            <w:pPr/>
          </w:p>
        </w:tc>
      </w:tr>
    </w:tbl>
    <w:p>
      <w:pPr>
        <w:pStyle w:val="BodyText"/>
        <w:spacing w:line="240" w:lineRule="auto" w:before="10"/>
        <w:ind w:right="0"/>
        <w:jc w:val="left"/>
      </w:pPr>
      <w:r>
        <w:rPr/>
        <w:t>对母公司财务报表的影响列示如下：</w:t>
      </w:r>
    </w:p>
    <w:p>
      <w:pPr>
        <w:spacing w:line="240" w:lineRule="auto" w:before="11"/>
        <w:rPr>
          <w:rFonts w:ascii="宋体" w:hAnsi="宋体" w:cs="宋体" w:eastAsia="宋体"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2676"/>
        <w:gridCol w:w="2127"/>
        <w:gridCol w:w="1417"/>
        <w:gridCol w:w="1985"/>
        <w:gridCol w:w="1417"/>
      </w:tblGrid>
      <w:tr>
        <w:trPr>
          <w:trHeight w:val="347" w:hRule="exact"/>
        </w:trPr>
        <w:tc>
          <w:tcPr>
            <w:tcW w:w="2676"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544"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left="234" w:right="0"/>
              <w:jc w:val="left"/>
              <w:rPr>
                <w:rFonts w:ascii="宋体" w:hAnsi="宋体" w:cs="宋体" w:eastAsia="宋体" w:hint="default"/>
                <w:sz w:val="18"/>
                <w:szCs w:val="18"/>
              </w:rPr>
            </w:pPr>
            <w:r>
              <w:rPr>
                <w:rFonts w:ascii="宋体" w:hAnsi="宋体" w:cs="宋体" w:eastAsia="宋体" w:hint="default"/>
                <w:sz w:val="18"/>
                <w:szCs w:val="18"/>
              </w:rPr>
              <w:t>变更前</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日报表项目及金额</w:t>
            </w:r>
          </w:p>
        </w:tc>
        <w:tc>
          <w:tcPr>
            <w:tcW w:w="3402"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left="163" w:right="0"/>
              <w:jc w:val="left"/>
              <w:rPr>
                <w:rFonts w:ascii="宋体" w:hAnsi="宋体" w:cs="宋体" w:eastAsia="宋体" w:hint="default"/>
                <w:sz w:val="18"/>
                <w:szCs w:val="18"/>
              </w:rPr>
            </w:pPr>
            <w:r>
              <w:rPr>
                <w:rFonts w:ascii="宋体" w:hAnsi="宋体" w:cs="宋体" w:eastAsia="宋体" w:hint="default"/>
                <w:sz w:val="18"/>
                <w:szCs w:val="18"/>
              </w:rPr>
              <w:t>变更后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日报表项目及金额</w:t>
            </w:r>
          </w:p>
        </w:tc>
      </w:tr>
      <w:tr>
        <w:trPr>
          <w:trHeight w:val="347" w:hRule="exact"/>
        </w:trPr>
        <w:tc>
          <w:tcPr>
            <w:tcW w:w="2676" w:type="dxa"/>
            <w:vMerge/>
            <w:tcBorders>
              <w:left w:val="single" w:sz="6" w:space="0" w:color="000000"/>
              <w:bottom w:val="single" w:sz="6" w:space="0" w:color="000000"/>
              <w:right w:val="single" w:sz="6" w:space="0" w:color="000000"/>
            </w:tcBorders>
            <w:shd w:val="clear" w:color="auto" w:fill="D9D9D9"/>
          </w:tcPr>
          <w:p>
            <w:pPr/>
          </w:p>
        </w:tc>
        <w:tc>
          <w:tcPr>
            <w:tcW w:w="21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受影响的报表项目名称</w:t>
            </w:r>
          </w:p>
        </w:tc>
        <w:tc>
          <w:tcPr>
            <w:tcW w:w="14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left="85" w:right="0"/>
              <w:jc w:val="left"/>
              <w:rPr>
                <w:rFonts w:ascii="宋体" w:hAnsi="宋体" w:cs="宋体" w:eastAsia="宋体" w:hint="default"/>
                <w:sz w:val="18"/>
                <w:szCs w:val="18"/>
              </w:rPr>
            </w:pPr>
            <w:r>
              <w:rPr>
                <w:rFonts w:ascii="宋体" w:hAnsi="宋体" w:cs="宋体" w:eastAsia="宋体" w:hint="default"/>
                <w:sz w:val="18"/>
                <w:szCs w:val="18"/>
              </w:rPr>
              <w:t>受影响的报表项目名称</w:t>
            </w:r>
          </w:p>
        </w:tc>
        <w:tc>
          <w:tcPr>
            <w:tcW w:w="14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48" w:hRule="exact"/>
        </w:trPr>
        <w:tc>
          <w:tcPr>
            <w:tcW w:w="2676" w:type="dxa"/>
            <w:vMerge w:val="restart"/>
            <w:tcBorders>
              <w:top w:val="single" w:sz="6" w:space="0" w:color="000000"/>
              <w:left w:val="single" w:sz="6" w:space="0" w:color="000000"/>
              <w:right w:val="single" w:sz="6" w:space="0" w:color="000000"/>
            </w:tcBorders>
          </w:tcPr>
          <w:p>
            <w:pPr>
              <w:pStyle w:val="TableParagraph"/>
              <w:spacing w:line="225" w:lineRule="auto"/>
              <w:ind w:left="2" w:right="-41"/>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日，财政部印发《关于</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7"/>
                <w:sz w:val="18"/>
                <w:szCs w:val="18"/>
              </w:rPr>
              <w:t>修订印发</w:t>
            </w:r>
            <w:r>
              <w:rPr>
                <w:rFonts w:ascii="Times New Roman" w:hAnsi="Times New Roman" w:cs="Times New Roman" w:eastAsia="Times New Roman" w:hint="default"/>
                <w:spacing w:val="7"/>
                <w:sz w:val="18"/>
                <w:szCs w:val="18"/>
              </w:rPr>
              <w:t>2018</w:t>
            </w:r>
            <w:r>
              <w:rPr>
                <w:rFonts w:ascii="宋体" w:hAnsi="宋体" w:cs="宋体" w:eastAsia="宋体" w:hint="default"/>
                <w:spacing w:val="7"/>
                <w:sz w:val="18"/>
                <w:szCs w:val="18"/>
              </w:rPr>
              <w:t>年度一般企业财务</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报表格式的通知》（财会【</w:t>
            </w:r>
            <w:r>
              <w:rPr>
                <w:rFonts w:ascii="Times New Roman" w:hAnsi="Times New Roman" w:cs="Times New Roman" w:eastAsia="Times New Roman" w:hint="default"/>
                <w:sz w:val="18"/>
                <w:szCs w:val="18"/>
              </w:rPr>
              <w:t>2018</w:t>
            </w:r>
            <w:r>
              <w:rPr>
                <w:rFonts w:ascii="宋体" w:hAnsi="宋体" w:cs="宋体" w:eastAsia="宋体" w:hint="default"/>
                <w:sz w:val="18"/>
                <w:szCs w:val="18"/>
              </w:rPr>
              <w:t>】 </w:t>
            </w:r>
            <w:r>
              <w:rPr>
                <w:rFonts w:ascii="Times New Roman" w:hAnsi="Times New Roman" w:cs="Times New Roman" w:eastAsia="Times New Roman" w:hint="default"/>
                <w:spacing w:val="-3"/>
                <w:sz w:val="18"/>
                <w:szCs w:val="18"/>
              </w:rPr>
              <w:t>15</w:t>
            </w:r>
            <w:r>
              <w:rPr>
                <w:rFonts w:ascii="宋体" w:hAnsi="宋体" w:cs="宋体" w:eastAsia="宋体" w:hint="default"/>
                <w:spacing w:val="-3"/>
                <w:sz w:val="18"/>
                <w:szCs w:val="18"/>
              </w:rPr>
              <w:t>号），要求执行企业会计准则的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非金融企业中，尚未执行新金融工</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应付利息</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Times New Roman" w:hAnsi="Times New Roman" w:cs="Times New Roman" w:eastAsia="Times New Roman" w:hint="default"/>
                <w:sz w:val="18"/>
                <w:szCs w:val="18"/>
              </w:rPr>
            </w:pPr>
            <w:r>
              <w:rPr>
                <w:rFonts w:ascii="Times New Roman"/>
                <w:spacing w:val="-1"/>
                <w:sz w:val="18"/>
              </w:rPr>
              <w:t>1,984,097.22</w:t>
            </w:r>
          </w:p>
        </w:tc>
        <w:tc>
          <w:tcPr>
            <w:tcW w:w="198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1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1,825,133,998.05</w:t>
            </w:r>
          </w:p>
        </w:tc>
      </w:tr>
      <w:tr>
        <w:trPr>
          <w:trHeight w:val="856" w:hRule="exact"/>
        </w:trPr>
        <w:tc>
          <w:tcPr>
            <w:tcW w:w="2676" w:type="dxa"/>
            <w:vMerge/>
            <w:tcBorders>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1,823,149,900.83</w:t>
            </w:r>
          </w:p>
        </w:tc>
        <w:tc>
          <w:tcPr>
            <w:tcW w:w="1985" w:type="dxa"/>
            <w:vMerge/>
            <w:tcBorders>
              <w:left w:val="single" w:sz="6" w:space="0" w:color="000000"/>
              <w:bottom w:val="single" w:sz="6" w:space="0" w:color="000000"/>
              <w:right w:val="single" w:sz="6" w:space="0" w:color="000000"/>
            </w:tcBorders>
          </w:tcPr>
          <w:p>
            <w:pPr/>
          </w:p>
        </w:tc>
        <w:tc>
          <w:tcPr>
            <w:tcW w:w="1417" w:type="dxa"/>
            <w:vMerge/>
            <w:tcBorders>
              <w:left w:val="single" w:sz="6" w:space="0" w:color="000000"/>
              <w:bottom w:val="single" w:sz="6" w:space="0" w:color="000000"/>
              <w:right w:val="single" w:sz="6" w:space="0" w:color="000000"/>
            </w:tcBorders>
          </w:tcPr>
          <w:p>
            <w:pPr/>
          </w:p>
        </w:tc>
      </w:tr>
    </w:tbl>
    <w:p>
      <w:pPr>
        <w:spacing w:after="0"/>
        <w:sectPr>
          <w:pgSz w:w="11910" w:h="16840"/>
          <w:pgMar w:header="877" w:footer="979" w:top="1100" w:bottom="1160" w:left="980" w:right="0"/>
        </w:sectPr>
      </w:pPr>
    </w:p>
    <w:p>
      <w:pPr>
        <w:spacing w:line="240" w:lineRule="auto" w:before="7"/>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2676"/>
        <w:gridCol w:w="2127"/>
        <w:gridCol w:w="1417"/>
        <w:gridCol w:w="1985"/>
        <w:gridCol w:w="1417"/>
      </w:tblGrid>
      <w:tr>
        <w:trPr>
          <w:trHeight w:val="347" w:hRule="exact"/>
        </w:trPr>
        <w:tc>
          <w:tcPr>
            <w:tcW w:w="2676"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544"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left="234" w:right="0"/>
              <w:jc w:val="left"/>
              <w:rPr>
                <w:rFonts w:ascii="宋体" w:hAnsi="宋体" w:cs="宋体" w:eastAsia="宋体" w:hint="default"/>
                <w:sz w:val="18"/>
                <w:szCs w:val="18"/>
              </w:rPr>
            </w:pPr>
            <w:r>
              <w:rPr>
                <w:rFonts w:ascii="宋体" w:hAnsi="宋体" w:cs="宋体" w:eastAsia="宋体" w:hint="default"/>
                <w:sz w:val="18"/>
                <w:szCs w:val="18"/>
              </w:rPr>
              <w:t>变更前</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日报表项目及金额</w:t>
            </w:r>
          </w:p>
        </w:tc>
        <w:tc>
          <w:tcPr>
            <w:tcW w:w="3402"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left="163" w:right="0"/>
              <w:jc w:val="left"/>
              <w:rPr>
                <w:rFonts w:ascii="宋体" w:hAnsi="宋体" w:cs="宋体" w:eastAsia="宋体" w:hint="default"/>
                <w:sz w:val="18"/>
                <w:szCs w:val="18"/>
              </w:rPr>
            </w:pPr>
            <w:r>
              <w:rPr>
                <w:rFonts w:ascii="宋体" w:hAnsi="宋体" w:cs="宋体" w:eastAsia="宋体" w:hint="default"/>
                <w:sz w:val="18"/>
                <w:szCs w:val="18"/>
              </w:rPr>
              <w:t>变更后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日报表项目及金额</w:t>
            </w:r>
          </w:p>
        </w:tc>
      </w:tr>
      <w:tr>
        <w:trPr>
          <w:trHeight w:val="346" w:hRule="exact"/>
        </w:trPr>
        <w:tc>
          <w:tcPr>
            <w:tcW w:w="2676" w:type="dxa"/>
            <w:vMerge/>
            <w:tcBorders>
              <w:left w:val="single" w:sz="6" w:space="0" w:color="000000"/>
              <w:bottom w:val="nil" w:sz="6" w:space="0" w:color="auto"/>
              <w:right w:val="single" w:sz="6" w:space="0" w:color="000000"/>
            </w:tcBorders>
            <w:shd w:val="clear" w:color="auto" w:fill="D9D9D9"/>
          </w:tcPr>
          <w:p>
            <w:pPr/>
          </w:p>
        </w:tc>
        <w:tc>
          <w:tcPr>
            <w:tcW w:w="21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left="154" w:right="0"/>
              <w:jc w:val="left"/>
              <w:rPr>
                <w:rFonts w:ascii="宋体" w:hAnsi="宋体" w:cs="宋体" w:eastAsia="宋体" w:hint="default"/>
                <w:sz w:val="18"/>
                <w:szCs w:val="18"/>
              </w:rPr>
            </w:pPr>
            <w:r>
              <w:rPr>
                <w:rFonts w:ascii="宋体" w:hAnsi="宋体" w:cs="宋体" w:eastAsia="宋体" w:hint="default"/>
                <w:sz w:val="18"/>
                <w:szCs w:val="18"/>
              </w:rPr>
              <w:t>受影响的报表项目名称</w:t>
            </w:r>
          </w:p>
        </w:tc>
        <w:tc>
          <w:tcPr>
            <w:tcW w:w="14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left="85" w:right="0"/>
              <w:jc w:val="left"/>
              <w:rPr>
                <w:rFonts w:ascii="宋体" w:hAnsi="宋体" w:cs="宋体" w:eastAsia="宋体" w:hint="default"/>
                <w:sz w:val="18"/>
                <w:szCs w:val="18"/>
              </w:rPr>
            </w:pPr>
            <w:r>
              <w:rPr>
                <w:rFonts w:ascii="宋体" w:hAnsi="宋体" w:cs="宋体" w:eastAsia="宋体" w:hint="default"/>
                <w:sz w:val="18"/>
                <w:szCs w:val="18"/>
              </w:rPr>
              <w:t>受影响的报表项目名称</w:t>
            </w:r>
          </w:p>
        </w:tc>
        <w:tc>
          <w:tcPr>
            <w:tcW w:w="14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737" w:hRule="exact"/>
        </w:trPr>
        <w:tc>
          <w:tcPr>
            <w:tcW w:w="2676" w:type="dxa"/>
            <w:tcBorders>
              <w:top w:val="nil" w:sz="6" w:space="0" w:color="auto"/>
              <w:left w:val="single" w:sz="6" w:space="0" w:color="000000"/>
              <w:bottom w:val="single" w:sz="6" w:space="0" w:color="000000"/>
              <w:right w:val="single" w:sz="6" w:space="0" w:color="000000"/>
            </w:tcBorders>
          </w:tcPr>
          <w:p>
            <w:pPr>
              <w:pStyle w:val="TableParagraph"/>
              <w:spacing w:line="237" w:lineRule="auto"/>
              <w:ind w:left="2" w:right="4"/>
              <w:jc w:val="both"/>
              <w:rPr>
                <w:rFonts w:ascii="宋体" w:hAnsi="宋体" w:cs="宋体" w:eastAsia="宋体" w:hint="default"/>
                <w:sz w:val="18"/>
                <w:szCs w:val="18"/>
              </w:rPr>
            </w:pPr>
            <w:r>
              <w:rPr>
                <w:rFonts w:ascii="宋体" w:hAnsi="宋体" w:cs="宋体" w:eastAsia="宋体" w:hint="default"/>
                <w:spacing w:val="9"/>
                <w:sz w:val="18"/>
                <w:szCs w:val="18"/>
              </w:rPr>
              <w:t>具准则和新收入准则的企业应当</w:t>
            </w:r>
            <w:r>
              <w:rPr>
                <w:rFonts w:ascii="宋体" w:hAnsi="宋体" w:cs="宋体" w:eastAsia="宋体" w:hint="default"/>
                <w:sz w:val="18"/>
                <w:szCs w:val="18"/>
              </w:rPr>
              <w:t> </w:t>
            </w:r>
            <w:r>
              <w:rPr>
                <w:rFonts w:ascii="宋体" w:hAnsi="宋体" w:cs="宋体" w:eastAsia="宋体" w:hint="default"/>
                <w:spacing w:val="9"/>
                <w:sz w:val="18"/>
                <w:szCs w:val="18"/>
              </w:rPr>
              <w:t>按照企业会计准则和通知的要求</w:t>
            </w:r>
            <w:r>
              <w:rPr>
                <w:rFonts w:ascii="宋体" w:hAnsi="宋体" w:cs="宋体" w:eastAsia="宋体" w:hint="default"/>
                <w:sz w:val="18"/>
                <w:szCs w:val="18"/>
              </w:rPr>
              <w:t> 编制财务报表</w:t>
            </w:r>
          </w:p>
        </w:tc>
        <w:tc>
          <w:tcPr>
            <w:tcW w:w="212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2）重要会计估计变更" w:id="211"/>
      <w:bookmarkEnd w:id="211"/>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1"/>
          <w:szCs w:val="21"/>
        </w:rPr>
      </w:pPr>
    </w:p>
    <w:p>
      <w:pPr>
        <w:pStyle w:val="Heading2"/>
        <w:spacing w:line="240" w:lineRule="auto"/>
        <w:ind w:right="0"/>
        <w:jc w:val="left"/>
        <w:rPr>
          <w:b w:val="0"/>
          <w:bCs w:val="0"/>
        </w:rPr>
      </w:pPr>
      <w:bookmarkStart w:name="六、税项" w:id="212"/>
      <w:bookmarkEnd w:id="212"/>
      <w:r>
        <w:rPr>
          <w:b w:val="0"/>
          <w:bCs w:val="0"/>
        </w:rPr>
      </w:r>
      <w:r>
        <w:rPr/>
        <w:t>六、税项</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right="0"/>
        <w:jc w:val="left"/>
        <w:rPr>
          <w:b w:val="0"/>
          <w:bCs w:val="0"/>
        </w:rPr>
      </w:pPr>
      <w:bookmarkStart w:name="1、主要税种及税率" w:id="213"/>
      <w:bookmarkEnd w:id="213"/>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4"/>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953"/>
        <w:gridCol w:w="4427"/>
        <w:gridCol w:w="3190"/>
      </w:tblGrid>
      <w:tr>
        <w:trPr>
          <w:trHeight w:val="324" w:hRule="exact"/>
        </w:trPr>
        <w:tc>
          <w:tcPr>
            <w:tcW w:w="1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4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22" w:hRule="exact"/>
        </w:trPr>
        <w:tc>
          <w:tcPr>
            <w:tcW w:w="1953" w:type="dxa"/>
            <w:tcBorders>
              <w:top w:val="single" w:sz="4" w:space="0" w:color="000000"/>
              <w:left w:val="single" w:sz="4" w:space="0" w:color="000000"/>
              <w:bottom w:val="nil" w:sz="6" w:space="0" w:color="auto"/>
              <w:right w:val="single" w:sz="4" w:space="0" w:color="000000"/>
            </w:tcBorders>
            <w:shd w:val="clear" w:color="auto" w:fill="D2D2D2"/>
          </w:tcPr>
          <w:p>
            <w:pPr/>
          </w:p>
        </w:tc>
        <w:tc>
          <w:tcPr>
            <w:tcW w:w="4427" w:type="dxa"/>
            <w:vMerge w:val="restart"/>
            <w:tcBorders>
              <w:top w:val="single" w:sz="4" w:space="0" w:color="000000"/>
              <w:left w:val="single" w:sz="13" w:space="0" w:color="D2D2D2"/>
              <w:right w:val="single" w:sz="4" w:space="0" w:color="000000"/>
            </w:tcBorders>
          </w:tcPr>
          <w:p>
            <w:pPr>
              <w:pStyle w:val="TableParagraph"/>
              <w:spacing w:line="240" w:lineRule="auto" w:before="9"/>
              <w:ind w:left="10" w:right="72"/>
              <w:jc w:val="left"/>
              <w:rPr>
                <w:rFonts w:ascii="宋体" w:hAnsi="宋体" w:cs="宋体" w:eastAsia="宋体" w:hint="default"/>
                <w:sz w:val="18"/>
                <w:szCs w:val="18"/>
              </w:rPr>
            </w:pPr>
            <w:r>
              <w:rPr>
                <w:rFonts w:ascii="宋体" w:hAnsi="宋体" w:cs="宋体" w:eastAsia="宋体" w:hint="default"/>
                <w:sz w:val="18"/>
                <w:szCs w:val="18"/>
              </w:rPr>
              <w:t>应纳税增值额（应纳税额按应纳税销售额乘以适用税率 扣除当期允许抵扣的进项税后的余额计算）</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34" w:hRule="exact"/>
        </w:trPr>
        <w:tc>
          <w:tcPr>
            <w:tcW w:w="195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4427" w:type="dxa"/>
            <w:vMerge/>
            <w:tcBorders>
              <w:left w:val="single" w:sz="13"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324" w:hRule="exact"/>
        </w:trPr>
        <w:tc>
          <w:tcPr>
            <w:tcW w:w="1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44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323" w:hRule="exact"/>
        </w:trPr>
        <w:tc>
          <w:tcPr>
            <w:tcW w:w="1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4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324" w:hRule="exact"/>
        </w:trPr>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323" w:hRule="exact"/>
        </w:trPr>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10"/>
        <w:ind w:right="0"/>
        <w:jc w:val="left"/>
      </w:pPr>
      <w:r>
        <w:rPr/>
        <w:t>存在不同企业所得税税率纳税主体的，披露情况说明</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5497"/>
        <w:gridCol w:w="4072"/>
      </w:tblGrid>
      <w:tr>
        <w:trPr>
          <w:trHeight w:val="323" w:hRule="exact"/>
        </w:trPr>
        <w:tc>
          <w:tcPr>
            <w:tcW w:w="5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324"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神州数码（香港）有限公司</w:t>
            </w:r>
          </w:p>
        </w:tc>
        <w:tc>
          <w:tcPr>
            <w:tcW w:w="4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16.5%</w:t>
            </w:r>
          </w:p>
        </w:tc>
      </w:tr>
      <w:tr>
        <w:trPr>
          <w:trHeight w:val="32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神州数码数据服务（香港）有限公司</w:t>
            </w:r>
          </w:p>
        </w:tc>
        <w:tc>
          <w:tcPr>
            <w:tcW w:w="4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16.5%</w:t>
            </w:r>
          </w:p>
        </w:tc>
      </w:tr>
      <w:tr>
        <w:trPr>
          <w:trHeight w:val="324"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神州数码科技服务有限公司</w:t>
            </w:r>
          </w:p>
        </w:tc>
        <w:tc>
          <w:tcPr>
            <w:tcW w:w="4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16.5%</w:t>
            </w:r>
          </w:p>
        </w:tc>
      </w:tr>
      <w:tr>
        <w:trPr>
          <w:trHeight w:val="32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系统信息科技（香港）有限公司</w:t>
            </w:r>
          </w:p>
        </w:tc>
        <w:tc>
          <w:tcPr>
            <w:tcW w:w="4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16.5%</w:t>
            </w:r>
          </w:p>
        </w:tc>
      </w:tr>
      <w:tr>
        <w:trPr>
          <w:trHeight w:val="324"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上海云角信息技术（香港）有限公司</w:t>
            </w:r>
          </w:p>
        </w:tc>
        <w:tc>
          <w:tcPr>
            <w:tcW w:w="4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16.5%</w:t>
            </w:r>
          </w:p>
        </w:tc>
      </w:tr>
      <w:tr>
        <w:trPr>
          <w:trHeight w:val="32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神州数码澳门有限公司</w:t>
            </w:r>
          </w:p>
        </w:tc>
        <w:tc>
          <w:tcPr>
            <w:tcW w:w="4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12%</w:t>
            </w:r>
          </w:p>
        </w:tc>
      </w:tr>
      <w:tr>
        <w:trPr>
          <w:trHeight w:val="324"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北京神州数码云科信息技术有限公司</w:t>
            </w:r>
          </w:p>
        </w:tc>
        <w:tc>
          <w:tcPr>
            <w:tcW w:w="4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32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上海云角信息技术（美国）有限公司</w:t>
            </w:r>
          </w:p>
        </w:tc>
        <w:tc>
          <w:tcPr>
            <w:tcW w:w="4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324"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上海云角信息技术有限公司</w:t>
            </w:r>
          </w:p>
        </w:tc>
        <w:tc>
          <w:tcPr>
            <w:tcW w:w="4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298"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2" w:right="0"/>
              <w:jc w:val="left"/>
              <w:rPr>
                <w:rFonts w:ascii="Times New Roman" w:hAnsi="Times New Roman" w:cs="Times New Roman" w:eastAsia="Times New Roman" w:hint="default"/>
                <w:sz w:val="18"/>
                <w:szCs w:val="18"/>
              </w:rPr>
            </w:pPr>
            <w:r>
              <w:rPr>
                <w:rFonts w:ascii="Times New Roman"/>
                <w:sz w:val="18"/>
              </w:rPr>
              <w:t>Digital China Technology International (Sin) PTE</w:t>
            </w:r>
            <w:r>
              <w:rPr>
                <w:rFonts w:ascii="Times New Roman"/>
                <w:spacing w:val="-27"/>
                <w:sz w:val="18"/>
              </w:rPr>
              <w:t> </w:t>
            </w:r>
            <w:r>
              <w:rPr>
                <w:rFonts w:ascii="Times New Roman"/>
                <w:spacing w:val="-6"/>
                <w:sz w:val="18"/>
              </w:rPr>
              <w:t>LTD</w:t>
            </w:r>
          </w:p>
        </w:tc>
        <w:tc>
          <w:tcPr>
            <w:tcW w:w="4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2" w:right="0"/>
              <w:jc w:val="left"/>
              <w:rPr>
                <w:rFonts w:ascii="Times New Roman" w:hAnsi="Times New Roman" w:cs="Times New Roman" w:eastAsia="Times New Roman" w:hint="default"/>
                <w:sz w:val="18"/>
                <w:szCs w:val="18"/>
              </w:rPr>
            </w:pPr>
            <w:r>
              <w:rPr>
                <w:rFonts w:ascii="Times New Roman"/>
                <w:sz w:val="18"/>
              </w:rPr>
              <w:t>17%</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2、税收优惠" w:id="214"/>
      <w:bookmarkEnd w:id="214"/>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0"/>
        <w:rPr>
          <w:rFonts w:ascii="宋体" w:hAnsi="宋体" w:cs="宋体" w:eastAsia="宋体" w:hint="default"/>
          <w:b/>
          <w:bCs/>
          <w:sz w:val="22"/>
          <w:szCs w:val="22"/>
        </w:rPr>
      </w:pPr>
    </w:p>
    <w:p>
      <w:pPr>
        <w:pStyle w:val="BodyText"/>
        <w:spacing w:line="234" w:lineRule="exact"/>
        <w:ind w:left="514" w:right="0"/>
        <w:jc w:val="left"/>
      </w:pPr>
      <w:r>
        <w:rPr/>
        <w:t>本公司之子公司神州数码（中国）有限公司、北京神州数码云科信息技术有限公司、上海云角信息技术有限公司，根据</w:t>
      </w:r>
    </w:p>
    <w:p>
      <w:pPr>
        <w:pStyle w:val="BodyText"/>
        <w:spacing w:line="234" w:lineRule="exact" w:before="21"/>
        <w:ind w:right="1182"/>
        <w:jc w:val="left"/>
      </w:pPr>
      <w:r>
        <w:rPr/>
        <w:t>《财政部、国家税务总局关于软件产品增值税退税政策的通知》（财税</w:t>
      </w:r>
      <w:r>
        <w:rPr>
          <w:rFonts w:ascii="Times New Roman" w:hAnsi="Times New Roman" w:cs="Times New Roman" w:eastAsia="Times New Roman" w:hint="default"/>
        </w:rPr>
        <w:t>[2011]100</w:t>
      </w:r>
      <w:r>
        <w:rPr/>
        <w:t>号，以下简称《通知》），因软件产品符 合《通知》规定，于各报告期享受增值税即征即退的政策。</w:t>
      </w:r>
    </w:p>
    <w:p>
      <w:pPr>
        <w:pStyle w:val="BodyText"/>
        <w:spacing w:line="211" w:lineRule="exact"/>
        <w:ind w:left="514" w:right="0"/>
        <w:jc w:val="left"/>
      </w:pPr>
      <w:r>
        <w:rPr/>
        <w:t>本公司之子公司神州数码（中国）有限公司、北京神州数码有限公司，根据《财政部、国家税务总局关于将铁路运输和</w:t>
      </w:r>
    </w:p>
    <w:p>
      <w:pPr>
        <w:pStyle w:val="BodyText"/>
        <w:spacing w:line="232" w:lineRule="exact" w:before="24"/>
        <w:ind w:left="514" w:right="0" w:hanging="360"/>
        <w:jc w:val="left"/>
      </w:pPr>
      <w:r>
        <w:rPr/>
        <w:t>邮政业纳入营业税改征增值税试点的通知》（财税</w:t>
      </w:r>
      <w:r>
        <w:rPr>
          <w:rFonts w:ascii="Times New Roman" w:hAnsi="Times New Roman" w:cs="Times New Roman" w:eastAsia="Times New Roman" w:hint="default"/>
        </w:rPr>
        <w:t>[2013]106</w:t>
      </w:r>
      <w:r>
        <w:rPr/>
        <w:t>号），技术转让、技术开发收入免征增值税。 </w:t>
      </w:r>
      <w:r>
        <w:rPr>
          <w:spacing w:val="-2"/>
        </w:rPr>
        <w:t>本公司之子公司北京神州数码云科信息技术有限公司于</w:t>
      </w:r>
      <w:r>
        <w:rPr>
          <w:rFonts w:ascii="Times New Roman" w:hAnsi="Times New Roman" w:cs="Times New Roman" w:eastAsia="Times New Roman" w:hint="default"/>
          <w:spacing w:val="-2"/>
        </w:rPr>
        <w:t>2008</w:t>
      </w:r>
      <w:r>
        <w:rPr>
          <w:spacing w:val="-2"/>
        </w:rPr>
        <w:t>年申报通过高新技术企业资格认定，并于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2014</w:t>
      </w:r>
      <w:r>
        <w:rPr>
          <w:spacing w:val="-2"/>
        </w:rPr>
        <w:t>年和</w:t>
      </w:r>
    </w:p>
    <w:p>
      <w:pPr>
        <w:pStyle w:val="BodyText"/>
        <w:spacing w:line="234" w:lineRule="exact"/>
        <w:ind w:left="514" w:right="1122" w:hanging="360"/>
        <w:jc w:val="left"/>
      </w:pPr>
      <w:r>
        <w:rPr>
          <w:rFonts w:ascii="Times New Roman" w:hAnsi="Times New Roman" w:cs="Times New Roman" w:eastAsia="Times New Roman" w:hint="default"/>
        </w:rPr>
        <w:t>2017</w:t>
      </w:r>
      <w:r>
        <w:rPr/>
        <w:t>年资格复审合格，因此，作为国家需要重点扶持的高新技术企业在</w:t>
      </w:r>
      <w:r>
        <w:rPr>
          <w:rFonts w:ascii="Times New Roman" w:hAnsi="Times New Roman" w:cs="Times New Roman" w:eastAsia="Times New Roman" w:hint="default"/>
        </w:rPr>
        <w:t>2018</w:t>
      </w:r>
      <w:r>
        <w:rPr/>
        <w:t>年度减按</w:t>
      </w:r>
      <w:r>
        <w:rPr>
          <w:rFonts w:ascii="Times New Roman" w:hAnsi="Times New Roman" w:cs="Times New Roman" w:eastAsia="Times New Roman" w:hint="default"/>
        </w:rPr>
        <w:t>15%</w:t>
      </w:r>
      <w:r>
        <w:rPr/>
        <w:t>的税率征收企业所得税。 上海云角信息技术有限公司于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24</w:t>
      </w:r>
      <w:r>
        <w:rPr/>
        <w:t>日申报通过高新技术企业资格认定，于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21</w:t>
      </w:r>
      <w:r>
        <w:rPr/>
        <w:t>日进行所得税优惠事项</w:t>
      </w:r>
    </w:p>
    <w:p>
      <w:pPr>
        <w:pStyle w:val="BodyText"/>
        <w:spacing w:line="226" w:lineRule="exact"/>
        <w:ind w:right="0"/>
        <w:jc w:val="left"/>
      </w:pPr>
      <w:r>
        <w:rPr/>
        <w:t>备案，上海市闵行区国家税务局第一税务所于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日通过。因此，</w:t>
      </w:r>
      <w:r>
        <w:rPr>
          <w:rFonts w:ascii="Times New Roman" w:hAnsi="Times New Roman" w:cs="Times New Roman" w:eastAsia="Times New Roman" w:hint="default"/>
        </w:rPr>
        <w:t>2018</w:t>
      </w:r>
      <w:r>
        <w:rPr/>
        <w:t>年按</w:t>
      </w:r>
      <w:r>
        <w:rPr>
          <w:rFonts w:ascii="Times New Roman" w:hAnsi="Times New Roman" w:cs="Times New Roman" w:eastAsia="Times New Roman" w:hint="default"/>
        </w:rPr>
        <w:t>15%</w:t>
      </w:r>
      <w:r>
        <w:rPr/>
        <w:t>的税率征收企业所得税。</w:t>
      </w:r>
    </w:p>
    <w:p>
      <w:pPr>
        <w:spacing w:after="0" w:line="226" w:lineRule="exact"/>
        <w:jc w:val="left"/>
        <w:sectPr>
          <w:pgSz w:w="11910" w:h="16840"/>
          <w:pgMar w:header="877" w:footer="979" w:top="1100" w:bottom="1160" w:left="980" w:right="0"/>
        </w:sectPr>
      </w:pPr>
    </w:p>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3、其他" w:id="215"/>
      <w:bookmarkEnd w:id="215"/>
      <w:r>
        <w:rPr>
          <w:b w:val="0"/>
          <w:bCs w:val="0"/>
        </w:rPr>
      </w:r>
      <w:r>
        <w:rPr>
          <w:rFonts w:ascii="Times New Roman" w:hAnsi="Times New Roman" w:cs="Times New Roman" w:eastAsia="Times New Roman" w:hint="default"/>
        </w:rPr>
        <w:t>3</w:t>
      </w:r>
      <w:r>
        <w:rPr/>
        <w:t>、其他</w:t>
      </w:r>
      <w:r>
        <w:rPr>
          <w:b w:val="0"/>
          <w:bCs w:val="0"/>
        </w:rPr>
      </w:r>
    </w:p>
    <w:p>
      <w:pPr>
        <w:spacing w:line="240" w:lineRule="auto" w:before="12"/>
        <w:rPr>
          <w:rFonts w:ascii="宋体" w:hAnsi="宋体" w:cs="宋体" w:eastAsia="宋体" w:hint="default"/>
          <w:b/>
          <w:bCs/>
          <w:sz w:val="23"/>
          <w:szCs w:val="23"/>
        </w:rPr>
      </w:pPr>
    </w:p>
    <w:p>
      <w:pPr>
        <w:pStyle w:val="BodyText"/>
        <w:spacing w:line="232" w:lineRule="exact"/>
        <w:ind w:right="0" w:firstLine="360"/>
        <w:jc w:val="left"/>
      </w:pPr>
      <w:r>
        <w:rPr>
          <w:spacing w:val="-2"/>
        </w:rPr>
        <w:t>神州数码澳门离岸商业服务有限公司由于满足中国澳门离岸业务法令规定的或许可在澳门地区营运的离岸机构规定，从</w:t>
      </w:r>
      <w:r>
        <w:rPr/>
        <w:t> 事离岸业务时获得收益不缴纳澳门所得补充税，收益派息回到国内需要缴纳</w:t>
      </w:r>
      <w:r>
        <w:rPr>
          <w:rFonts w:ascii="Times New Roman" w:hAnsi="Times New Roman" w:cs="Times New Roman" w:eastAsia="Times New Roman" w:hint="default"/>
        </w:rPr>
        <w:t>25%</w:t>
      </w:r>
      <w:r>
        <w:rPr/>
        <w:t>的中国企业所得税。</w:t>
      </w:r>
    </w:p>
    <w:p>
      <w:pPr>
        <w:pStyle w:val="BodyText"/>
        <w:spacing w:line="234" w:lineRule="exact"/>
        <w:ind w:right="0" w:firstLine="360"/>
        <w:jc w:val="left"/>
      </w:pPr>
      <w:r>
        <w:rPr>
          <w:spacing w:val="-2"/>
        </w:rPr>
        <w:t>神州数码科技发展有限公司、神州数码网络（香港）有限公司由于满足中国香港离岸业务法令规定的或许可在香港地区</w:t>
      </w:r>
      <w:r>
        <w:rPr/>
        <w:t> 营运的离岸机构规定，从事离岸业务获得收益不缴纳香港利得税，收益派息回到国内需要缴纳</w:t>
      </w:r>
      <w:r>
        <w:rPr>
          <w:rFonts w:ascii="Times New Roman" w:hAnsi="Times New Roman" w:cs="Times New Roman" w:eastAsia="Times New Roman" w:hint="default"/>
        </w:rPr>
        <w:t>25%</w:t>
      </w:r>
      <w:r>
        <w:rPr/>
        <w:t>的中国企业所得税。</w:t>
      </w:r>
    </w:p>
    <w:p>
      <w:pPr>
        <w:spacing w:line="240" w:lineRule="auto" w:before="6"/>
        <w:rPr>
          <w:rFonts w:ascii="宋体" w:hAnsi="宋体" w:cs="宋体" w:eastAsia="宋体" w:hint="default"/>
          <w:sz w:val="20"/>
          <w:szCs w:val="20"/>
        </w:rPr>
      </w:pPr>
    </w:p>
    <w:p>
      <w:pPr>
        <w:pStyle w:val="Heading2"/>
        <w:spacing w:line="240" w:lineRule="auto"/>
        <w:ind w:right="0"/>
        <w:jc w:val="left"/>
        <w:rPr>
          <w:b w:val="0"/>
          <w:bCs w:val="0"/>
        </w:rPr>
      </w:pPr>
      <w:bookmarkStart w:name="七、合并财务报表项目注释" w:id="216"/>
      <w:bookmarkEnd w:id="216"/>
      <w:r>
        <w:rPr>
          <w:b w:val="0"/>
          <w:bCs w:val="0"/>
        </w:rPr>
      </w:r>
      <w:r>
        <w:rPr/>
        <w:t>七、合并财务报表项目注释</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right="0"/>
        <w:jc w:val="left"/>
        <w:rPr>
          <w:b w:val="0"/>
          <w:bCs w:val="0"/>
        </w:rPr>
      </w:pPr>
      <w:bookmarkStart w:name="1、货币资金" w:id="217"/>
      <w:bookmarkEnd w:id="217"/>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45,922.24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47,018.49</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1,142,986,882.96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1,302,917,477.19</w:t>
            </w:r>
          </w:p>
        </w:tc>
      </w:tr>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475,123,406.29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371,106,627.85</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1,618,156,211.49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1,674,071,123.53</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110,774,897.20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58,219,694.06</w:t>
            </w:r>
          </w:p>
        </w:tc>
      </w:tr>
    </w:tbl>
    <w:p>
      <w:pPr>
        <w:pStyle w:val="BodyText"/>
        <w:spacing w:line="240" w:lineRule="auto" w:before="10"/>
        <w:ind w:right="0"/>
        <w:jc w:val="left"/>
      </w:pPr>
      <w:r>
        <w:rPr/>
        <w:t>其他说明</w:t>
      </w:r>
    </w:p>
    <w:p>
      <w:pPr>
        <w:pStyle w:val="BodyText"/>
        <w:spacing w:line="241" w:lineRule="exact" w:before="37"/>
        <w:ind w:left="514" w:right="0"/>
        <w:jc w:val="left"/>
      </w:pPr>
      <w:r>
        <w:rPr/>
        <w:t>年末银行存款余额中包括受限金额</w:t>
      </w:r>
      <w:r>
        <w:rPr>
          <w:rFonts w:ascii="Times New Roman" w:hAnsi="Times New Roman" w:cs="Times New Roman" w:eastAsia="Times New Roman" w:hint="default"/>
        </w:rPr>
        <w:t>174,535,509.32</w:t>
      </w:r>
      <w:r>
        <w:rPr/>
        <w:t>元</w:t>
      </w:r>
      <w:r>
        <w:rPr>
          <w:rFonts w:ascii="Times New Roman" w:hAnsi="Times New Roman" w:cs="Times New Roman" w:eastAsia="Times New Roman" w:hint="default"/>
        </w:rPr>
        <w:t>,</w:t>
      </w:r>
      <w:r>
        <w:rPr/>
        <w:t>其中因未决诉讼被冻结的资金</w:t>
      </w:r>
      <w:r>
        <w:rPr>
          <w:rFonts w:ascii="Times New Roman" w:hAnsi="Times New Roman" w:cs="Times New Roman" w:eastAsia="Times New Roman" w:hint="default"/>
        </w:rPr>
        <w:t>4,535,509.32</w:t>
      </w:r>
      <w:r>
        <w:rPr/>
        <w:t>元，受限制定期存款</w:t>
      </w:r>
    </w:p>
    <w:p>
      <w:pPr>
        <w:pStyle w:val="BodyText"/>
        <w:spacing w:line="233" w:lineRule="exact"/>
        <w:ind w:right="0"/>
        <w:jc w:val="left"/>
      </w:pPr>
      <w:r>
        <w:rPr>
          <w:rFonts w:ascii="Times New Roman" w:hAnsi="Times New Roman" w:cs="Times New Roman" w:eastAsia="Times New Roman" w:hint="default"/>
        </w:rPr>
        <w:t>170,000,000.00</w:t>
      </w:r>
      <w:r>
        <w:rPr/>
        <w:t>元。</w:t>
      </w:r>
    </w:p>
    <w:p>
      <w:pPr>
        <w:pStyle w:val="BodyText"/>
        <w:spacing w:line="225" w:lineRule="auto" w:before="5"/>
        <w:ind w:right="0" w:firstLine="360"/>
        <w:jc w:val="left"/>
      </w:pPr>
      <w:r>
        <w:rPr/>
        <w:t>年末其他货币资金余额中包括受限金额</w:t>
      </w:r>
      <w:r>
        <w:rPr>
          <w:rFonts w:ascii="Times New Roman" w:hAnsi="Times New Roman" w:cs="Times New Roman" w:eastAsia="Times New Roman" w:hint="default"/>
        </w:rPr>
        <w:t>473,999,264.31</w:t>
      </w:r>
      <w:r>
        <w:rPr/>
        <w:t>元，其中，保函保证金</w:t>
      </w:r>
      <w:r>
        <w:rPr>
          <w:rFonts w:ascii="Times New Roman" w:hAnsi="Times New Roman" w:cs="Times New Roman" w:eastAsia="Times New Roman" w:hint="default"/>
        </w:rPr>
        <w:t>245,990,843.49</w:t>
      </w:r>
      <w:r>
        <w:rPr/>
        <w:t>元，信用证保证金 </w:t>
      </w:r>
      <w:r>
        <w:rPr>
          <w:rFonts w:ascii="Times New Roman" w:hAnsi="Times New Roman" w:cs="Times New Roman" w:eastAsia="Times New Roman" w:hint="default"/>
          <w:spacing w:val="-5"/>
        </w:rPr>
        <w:t>178,424,902.44</w:t>
      </w:r>
      <w:r>
        <w:rPr>
          <w:spacing w:val="-5"/>
        </w:rPr>
        <w:t>元，银行承兑汇票保证金</w:t>
      </w:r>
      <w:r>
        <w:rPr>
          <w:rFonts w:ascii="Times New Roman" w:hAnsi="Times New Roman" w:cs="Times New Roman" w:eastAsia="Times New Roman" w:hint="default"/>
          <w:spacing w:val="-5"/>
        </w:rPr>
        <w:t>49,583,518.38</w:t>
      </w:r>
      <w:r>
        <w:rPr>
          <w:spacing w:val="-5"/>
        </w:rPr>
        <w:t>元；包括非受限金额</w:t>
      </w:r>
      <w:r>
        <w:rPr>
          <w:rFonts w:ascii="Times New Roman" w:hAnsi="Times New Roman" w:cs="Times New Roman" w:eastAsia="Times New Roman" w:hint="default"/>
          <w:spacing w:val="-5"/>
        </w:rPr>
        <w:t>1,124,141.98</w:t>
      </w:r>
      <w:r>
        <w:rPr>
          <w:spacing w:val="-5"/>
        </w:rPr>
        <w:t>元，其中，金鹰货币理财产品</w:t>
      </w:r>
      <w:r>
        <w:rPr>
          <w:rFonts w:ascii="Times New Roman" w:hAnsi="Times New Roman" w:cs="Times New Roman" w:eastAsia="Times New Roman" w:hint="default"/>
          <w:spacing w:val="-5"/>
        </w:rPr>
        <w:t>1,000,000.00</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1"/>
        </w:rPr>
      </w:r>
      <w:r>
        <w:rPr/>
        <w:t>元，系本公司购买的本金可随时支取的金鹰货币理财产品，预期收益率</w:t>
      </w:r>
      <w:r>
        <w:rPr>
          <w:rFonts w:ascii="Times New Roman" w:hAnsi="Times New Roman" w:cs="Times New Roman" w:eastAsia="Times New Roman" w:hint="default"/>
        </w:rPr>
        <w:t>3.17%</w:t>
      </w:r>
      <w:r>
        <w:rPr/>
        <w:t>。该理财产品为保本理财产品；支付宝余额 </w:t>
      </w:r>
      <w:r>
        <w:rPr>
          <w:rFonts w:ascii="Times New Roman" w:hAnsi="Times New Roman" w:cs="Times New Roman" w:eastAsia="Times New Roman" w:hint="default"/>
        </w:rPr>
        <w:t>105,500.90</w:t>
      </w:r>
      <w:r>
        <w:rPr/>
        <w:t>元；</w:t>
      </w:r>
      <w:r>
        <w:rPr>
          <w:rFonts w:ascii="Times New Roman" w:hAnsi="Times New Roman" w:cs="Times New Roman" w:eastAsia="Times New Roman" w:hint="default"/>
        </w:rPr>
        <w:t>Paypal</w:t>
      </w:r>
      <w:r>
        <w:rPr/>
        <w:t>余额</w:t>
      </w:r>
      <w:r>
        <w:rPr>
          <w:rFonts w:ascii="Times New Roman" w:hAnsi="Times New Roman" w:cs="Times New Roman" w:eastAsia="Times New Roman" w:hint="default"/>
        </w:rPr>
        <w:t>18,641.08</w:t>
      </w:r>
      <w:r>
        <w:rPr/>
        <w:t>元。</w:t>
      </w:r>
    </w:p>
    <w:p>
      <w:pPr>
        <w:pStyle w:val="BodyText"/>
        <w:spacing w:line="234" w:lineRule="exact" w:before="9"/>
        <w:ind w:right="0" w:firstLine="360"/>
        <w:jc w:val="left"/>
      </w:pPr>
      <w:r>
        <w:rPr>
          <w:spacing w:val="-1"/>
        </w:rPr>
        <w:t>现金流量表中的现金及现金等价物，不包括上述受限资金。年末其他流动资产</w:t>
      </w:r>
      <w:r>
        <w:rPr>
          <w:rFonts w:ascii="Times New Roman" w:hAnsi="Times New Roman" w:cs="Times New Roman" w:eastAsia="Times New Roman" w:hint="default"/>
          <w:spacing w:val="-1"/>
        </w:rPr>
        <w:t>-</w:t>
      </w:r>
      <w:r>
        <w:rPr>
          <w:spacing w:val="-1"/>
        </w:rPr>
        <w:t>理财产品</w:t>
      </w:r>
      <w:r>
        <w:rPr>
          <w:rFonts w:ascii="Times New Roman" w:hAnsi="Times New Roman" w:cs="Times New Roman" w:eastAsia="Times New Roman" w:hint="default"/>
          <w:spacing w:val="-1"/>
        </w:rPr>
        <w:t>9,000,000.00</w:t>
      </w:r>
      <w:r>
        <w:rPr>
          <w:spacing w:val="-1"/>
        </w:rPr>
        <w:t>元因随时可赎回且</w:t>
      </w:r>
      <w:r>
        <w:rPr/>
        <w:t> 价值变动风险很小，作为现金及现金等价物。</w:t>
      </w: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2、以公允价值计量且其变动计入当期损益的金融资产" w:id="218"/>
      <w:bookmarkEnd w:id="218"/>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397,002.56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其中：衍生金融资产</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397,002.56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397,002.56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8" w:lineRule="auto" w:before="10"/>
        <w:ind w:right="985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应收票据及应收账款" w:id="219"/>
      <w:bookmarkEnd w:id="219"/>
      <w:r>
        <w:rPr>
          <w:b w:val="0"/>
          <w:bCs w:val="0"/>
        </w:rPr>
      </w:r>
      <w:r>
        <w:rPr>
          <w:rFonts w:ascii="Times New Roman" w:hAnsi="Times New Roman" w:cs="Times New Roman" w:eastAsia="Times New Roman" w:hint="default"/>
        </w:rPr>
        <w:t>3</w:t>
      </w:r>
      <w:r>
        <w:rPr/>
        <w:t>、应收票据及应收账款</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1,203,934,982.01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931,617,440.61</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8,604,664,663.56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7,438,628,727.40</w:t>
            </w:r>
          </w:p>
        </w:tc>
      </w:tr>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9,808,599,645.57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8,370,246,168.01</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1）应收票据" w:id="220"/>
      <w:bookmarkEnd w:id="220"/>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0"/>
        <w:rPr>
          <w:rFonts w:ascii="宋体" w:hAnsi="宋体" w:cs="宋体" w:eastAsia="宋体" w:hint="default"/>
          <w:b/>
          <w:bCs/>
          <w:sz w:val="22"/>
          <w:szCs w:val="22"/>
        </w:rPr>
      </w:pPr>
    </w:p>
    <w:p>
      <w:pPr>
        <w:pStyle w:val="Heading5"/>
        <w:spacing w:line="240" w:lineRule="auto" w:before="0"/>
        <w:ind w:right="0"/>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t>应收票据分类列示</w:t>
      </w:r>
      <w:r>
        <w:rPr>
          <w:b w:val="0"/>
          <w:bCs w:val="0"/>
        </w:rPr>
      </w:r>
    </w:p>
    <w:p>
      <w:pPr>
        <w:spacing w:after="0" w:line="240" w:lineRule="auto"/>
        <w:jc w:val="left"/>
        <w:sectPr>
          <w:pgSz w:w="11910" w:h="16840"/>
          <w:pgMar w:header="877" w:footer="979" w:top="1100" w:bottom="1160" w:left="980" w:right="0"/>
        </w:sectPr>
      </w:pPr>
    </w:p>
    <w:p>
      <w:pPr>
        <w:spacing w:line="240" w:lineRule="auto" w:before="10"/>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303,074,695.22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794,109,646.98</w:t>
            </w:r>
          </w:p>
        </w:tc>
      </w:tr>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900,860,286.79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137,507,793.63</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1,203,934,982.01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931,617,440.61</w:t>
            </w:r>
          </w:p>
        </w:tc>
      </w:tr>
    </w:tbl>
    <w:p>
      <w:pPr>
        <w:pStyle w:val="Heading5"/>
        <w:spacing w:line="240" w:lineRule="auto" w:before="10"/>
        <w:ind w:right="0"/>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39"/>
        </w:rPr>
        <w:t> </w:t>
      </w:r>
      <w:r>
        <w:rPr/>
        <w:t>期末公司已背书或贴现且在资产负债表日尚未到期的应收票据</w:t>
      </w:r>
      <w:r>
        <w:rPr>
          <w:b w:val="0"/>
          <w:bCs w:val="0"/>
        </w:rPr>
      </w:r>
    </w:p>
    <w:p>
      <w:pPr>
        <w:pStyle w:val="BodyText"/>
        <w:spacing w:line="240" w:lineRule="auto" w:before="24"/>
        <w:ind w:left="0" w:right="1130"/>
        <w:jc w:val="right"/>
      </w:pPr>
      <w:r>
        <w:rPr/>
        <w:t>单位： 元</w:t>
      </w:r>
    </w:p>
    <w:p>
      <w:pPr>
        <w:spacing w:line="240" w:lineRule="auto" w:before="2"/>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1,175,656,875.61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1,175,656,875.61</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6"/>
          <w:szCs w:val="16"/>
        </w:rPr>
      </w:pPr>
    </w:p>
    <w:p>
      <w:pPr>
        <w:pStyle w:val="Heading5"/>
        <w:spacing w:line="264" w:lineRule="auto"/>
        <w:ind w:right="6506"/>
        <w:jc w:val="left"/>
        <w:rPr>
          <w:rFonts w:ascii="宋体" w:hAnsi="宋体" w:cs="宋体" w:eastAsia="宋体" w:hint="default"/>
          <w:b w:val="0"/>
          <w:bCs w:val="0"/>
        </w:rPr>
      </w:pPr>
      <w:r>
        <w:rPr>
          <w:rFonts w:ascii="Times New Roman" w:hAnsi="Times New Roman" w:cs="Times New Roman" w:eastAsia="Times New Roman" w:hint="default"/>
        </w:rPr>
        <w:t>3</w:t>
      </w:r>
      <w:r>
        <w:rPr/>
        <w:t>）期末公司因出票人未履约而将其转应收账款的票据</w:t>
      </w:r>
      <w:r>
        <w:rPr>
          <w:w w:val="99"/>
        </w:rPr>
        <w:t> </w:t>
      </w:r>
      <w:r>
        <w:rPr>
          <w:rFonts w:ascii="宋体" w:hAnsi="宋体" w:cs="宋体" w:eastAsia="宋体" w:hint="default"/>
          <w:b w:val="0"/>
          <w:bCs w:val="0"/>
        </w:rPr>
        <w:t>无</w:t>
      </w:r>
    </w:p>
    <w:p>
      <w:pPr>
        <w:spacing w:line="240" w:lineRule="auto" w:before="6"/>
        <w:rPr>
          <w:rFonts w:ascii="宋体" w:hAnsi="宋体" w:cs="宋体" w:eastAsia="宋体" w:hint="default"/>
          <w:sz w:val="20"/>
          <w:szCs w:val="20"/>
        </w:rPr>
      </w:pPr>
    </w:p>
    <w:p>
      <w:pPr>
        <w:pStyle w:val="BodyText"/>
        <w:spacing w:line="240" w:lineRule="auto"/>
        <w:ind w:right="0"/>
        <w:jc w:val="left"/>
      </w:pPr>
      <w:r>
        <w:rPr/>
        <w:t>其他说明</w:t>
      </w:r>
    </w:p>
    <w:p>
      <w:pPr>
        <w:pStyle w:val="BodyText"/>
        <w:spacing w:line="232" w:lineRule="exact" w:before="62"/>
        <w:ind w:right="0" w:firstLine="360"/>
        <w:jc w:val="left"/>
      </w:pPr>
      <w:r>
        <w:rPr>
          <w:spacing w:val="-2"/>
        </w:rPr>
        <w:t>本集团认为背书或不附追索权贴现的应收票据全部系银行承兑汇票且承兑银行信誉较好，该等票据未被偿还而导致本集</w:t>
      </w:r>
      <w:r>
        <w:rPr/>
        <w:t> 团被追索的情况可能性很小，因此本集团在票据背书或不附追索权贴现时即终止确认应收票据。</w:t>
      </w:r>
    </w:p>
    <w:p>
      <w:pPr>
        <w:spacing w:after="0" w:line="232" w:lineRule="exact"/>
        <w:jc w:val="left"/>
        <w:sectPr>
          <w:pgSz w:w="11910" w:h="16840"/>
          <w:pgMar w:header="877" w:footer="979" w:top="1100" w:bottom="1160" w:left="980" w:right="0"/>
        </w:sectPr>
      </w:pPr>
    </w:p>
    <w:p>
      <w:pPr>
        <w:spacing w:line="240" w:lineRule="auto" w:before="4"/>
        <w:rPr>
          <w:rFonts w:ascii="宋体" w:hAnsi="宋体" w:cs="宋体" w:eastAsia="宋体" w:hint="default"/>
          <w:sz w:val="22"/>
          <w:szCs w:val="22"/>
        </w:rPr>
      </w:pPr>
    </w:p>
    <w:p>
      <w:pPr>
        <w:pStyle w:val="Heading3"/>
        <w:spacing w:line="240" w:lineRule="auto"/>
        <w:ind w:left="140" w:right="-20"/>
        <w:jc w:val="left"/>
        <w:rPr>
          <w:b w:val="0"/>
          <w:bCs w:val="0"/>
        </w:rPr>
      </w:pPr>
      <w:bookmarkStart w:name="（2）应收账款" w:id="221"/>
      <w:bookmarkEnd w:id="221"/>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0"/>
        <w:rPr>
          <w:rFonts w:ascii="宋体" w:hAnsi="宋体" w:cs="宋体" w:eastAsia="宋体" w:hint="default"/>
          <w:b/>
          <w:bCs/>
          <w:sz w:val="22"/>
          <w:szCs w:val="22"/>
        </w:rPr>
      </w:pPr>
    </w:p>
    <w:p>
      <w:pPr>
        <w:pStyle w:val="Heading5"/>
        <w:spacing w:line="240" w:lineRule="auto" w:before="0"/>
        <w:ind w:left="140" w:right="-20"/>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t>应收账款分类披露</w:t>
      </w:r>
      <w:r>
        <w:rPr>
          <w:b w:val="0"/>
          <w:bCs w:val="0"/>
        </w:rPr>
      </w:r>
    </w:p>
    <w:p>
      <w:pPr>
        <w:pStyle w:val="BodyText"/>
        <w:spacing w:line="240" w:lineRule="auto" w:before="15"/>
        <w:ind w:left="0" w:right="136"/>
        <w:jc w:val="right"/>
      </w:pPr>
      <w:r>
        <w:rPr/>
        <w:br w:type="column"/>
      </w:r>
      <w:r>
        <w:rPr/>
        <w:t>神州数码集团股份有限公司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240" w:lineRule="auto"/>
        <w:ind w:left="0" w:right="136"/>
        <w:jc w:val="right"/>
      </w:pPr>
      <w:r>
        <w:rPr/>
        <w:pict>
          <v:group style="position:absolute;margin-left:70.5pt;margin-top:-41.948292pt;width:701pt;height:.1pt;mso-position-horizontal-relative:page;mso-position-vertical-relative:paragraph;z-index:-1464976" coordorigin="1410,-839" coordsize="14020,2">
            <v:shape style="position:absolute;left:1410;top:-839;width:14020;height:2" coordorigin="1410,-839" coordsize="14020,0" path="m1410,-839l15430,-839e" filled="false" stroked="true" strokeweight=".72pt" strokecolor="#000000">
              <v:path arrowok="t"/>
            </v:shape>
            <w10:wrap type="none"/>
          </v:group>
        </w:pict>
      </w:r>
      <w:r>
        <w:rPr/>
        <w:t>单位： 元</w:t>
      </w:r>
    </w:p>
    <w:p>
      <w:pPr>
        <w:spacing w:after="0" w:line="240" w:lineRule="auto"/>
        <w:jc w:val="right"/>
        <w:sectPr>
          <w:headerReference w:type="default" r:id="rId34"/>
          <w:footerReference w:type="default" r:id="rId35"/>
          <w:pgSz w:w="16840" w:h="11910" w:orient="landscape"/>
          <w:pgMar w:header="0" w:footer="0" w:top="800" w:bottom="0" w:left="1300" w:right="1300"/>
          <w:cols w:num="2" w:equalWidth="0">
            <w:col w:w="1826" w:space="8264"/>
            <w:col w:w="4150"/>
          </w:cols>
        </w:sectPr>
      </w:pPr>
    </w:p>
    <w:p>
      <w:pPr>
        <w:spacing w:line="240" w:lineRule="auto" w:before="1"/>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2193"/>
        <w:gridCol w:w="1379"/>
        <w:gridCol w:w="1098"/>
        <w:gridCol w:w="1238"/>
        <w:gridCol w:w="964"/>
        <w:gridCol w:w="1377"/>
        <w:gridCol w:w="1379"/>
        <w:gridCol w:w="913"/>
        <w:gridCol w:w="1181"/>
        <w:gridCol w:w="965"/>
        <w:gridCol w:w="1316"/>
      </w:tblGrid>
      <w:tr>
        <w:trPr>
          <w:trHeight w:val="368" w:hRule="exact"/>
        </w:trPr>
        <w:tc>
          <w:tcPr>
            <w:tcW w:w="2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605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75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05" w:hRule="exact"/>
        </w:trPr>
        <w:tc>
          <w:tcPr>
            <w:tcW w:w="2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3"/>
              <w:ind w:right="12"/>
              <w:jc w:val="center"/>
              <w:rPr>
                <w:rFonts w:ascii="宋体" w:hAnsi="宋体" w:cs="宋体" w:eastAsia="宋体" w:hint="default"/>
                <w:sz w:val="18"/>
                <w:szCs w:val="18"/>
              </w:rPr>
            </w:pPr>
            <w:r>
              <w:rPr>
                <w:rFonts w:ascii="宋体" w:hAnsi="宋体" w:cs="宋体" w:eastAsia="宋体" w:hint="default"/>
                <w:sz w:val="18"/>
                <w:szCs w:val="18"/>
              </w:rPr>
              <w:t>类别</w:t>
            </w:r>
          </w:p>
        </w:tc>
        <w:tc>
          <w:tcPr>
            <w:tcW w:w="247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0"/>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0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0"/>
              <w:ind w:left="1"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377" w:type="dxa"/>
            <w:tcBorders>
              <w:top w:val="single" w:sz="4" w:space="0" w:color="000000"/>
              <w:left w:val="single" w:sz="4" w:space="0" w:color="000000"/>
              <w:bottom w:val="nil" w:sz="6" w:space="0" w:color="auto"/>
              <w:right w:val="single" w:sz="4" w:space="0" w:color="000000"/>
            </w:tcBorders>
            <w:shd w:val="clear" w:color="auto" w:fill="D2D2D2"/>
          </w:tcPr>
          <w:p>
            <w:pPr/>
          </w:p>
        </w:tc>
        <w:tc>
          <w:tcPr>
            <w:tcW w:w="22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4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0"/>
              <w:ind w:left="7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2193" w:type="dxa"/>
            <w:vMerge/>
            <w:tcBorders>
              <w:left w:val="single" w:sz="4" w:space="0" w:color="000000"/>
              <w:bottom w:val="nil" w:sz="6" w:space="0" w:color="auto"/>
              <w:right w:val="single" w:sz="4" w:space="0" w:color="000000"/>
            </w:tcBorders>
            <w:shd w:val="clear" w:color="auto" w:fill="D2D2D2"/>
          </w:tcPr>
          <w:p>
            <w:pPr/>
          </w:p>
        </w:tc>
        <w:tc>
          <w:tcPr>
            <w:tcW w:w="2477" w:type="dxa"/>
            <w:gridSpan w:val="2"/>
            <w:vMerge/>
            <w:tcBorders>
              <w:left w:val="single" w:sz="4" w:space="0" w:color="000000"/>
              <w:bottom w:val="single" w:sz="4" w:space="0" w:color="000000"/>
              <w:right w:val="single" w:sz="4" w:space="0" w:color="000000"/>
            </w:tcBorders>
            <w:shd w:val="clear" w:color="auto" w:fill="D2D2D2"/>
          </w:tcPr>
          <w:p>
            <w:pPr/>
          </w:p>
        </w:tc>
        <w:tc>
          <w:tcPr>
            <w:tcW w:w="2202" w:type="dxa"/>
            <w:gridSpan w:val="2"/>
            <w:vMerge/>
            <w:tcBorders>
              <w:left w:val="single" w:sz="4" w:space="0" w:color="000000"/>
              <w:bottom w:val="single" w:sz="4" w:space="0" w:color="000000"/>
              <w:right w:val="single" w:sz="4" w:space="0" w:color="000000"/>
            </w:tcBorders>
            <w:shd w:val="clear" w:color="auto" w:fill="D2D2D2"/>
          </w:tcPr>
          <w:p>
            <w:pPr/>
          </w:p>
        </w:tc>
        <w:tc>
          <w:tcPr>
            <w:tcW w:w="13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2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292" w:type="dxa"/>
            <w:gridSpan w:val="2"/>
            <w:vMerge/>
            <w:tcBorders>
              <w:left w:val="single" w:sz="4" w:space="0" w:color="000000"/>
              <w:bottom w:val="single" w:sz="4" w:space="0" w:color="000000"/>
              <w:right w:val="single" w:sz="4" w:space="0" w:color="000000"/>
            </w:tcBorders>
            <w:shd w:val="clear" w:color="auto" w:fill="D2D2D2"/>
          </w:tcPr>
          <w:p>
            <w:pPr/>
          </w:p>
        </w:tc>
        <w:tc>
          <w:tcPr>
            <w:tcW w:w="2146" w:type="dxa"/>
            <w:gridSpan w:val="2"/>
            <w:vMerge/>
            <w:tcBorders>
              <w:left w:val="single" w:sz="4" w:space="0" w:color="000000"/>
              <w:bottom w:val="single" w:sz="4" w:space="0" w:color="000000"/>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9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52" w:hRule="exact"/>
        </w:trPr>
        <w:tc>
          <w:tcPr>
            <w:tcW w:w="2193" w:type="dxa"/>
            <w:vMerge w:val="restart"/>
            <w:tcBorders>
              <w:top w:val="nil" w:sz="6" w:space="0" w:color="auto"/>
              <w:left w:val="single" w:sz="4" w:space="0" w:color="000000"/>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5"/>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5"/>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2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5"/>
              <w:ind w:left="11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377"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5"/>
              <w:ind w:left="27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5"/>
              <w:ind w:left="11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250" w:hRule="exact"/>
        </w:trPr>
        <w:tc>
          <w:tcPr>
            <w:tcW w:w="2193" w:type="dxa"/>
            <w:vMerge/>
            <w:tcBorders>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098" w:type="dxa"/>
            <w:vMerge/>
            <w:tcBorders>
              <w:left w:val="single" w:sz="4" w:space="0" w:color="000000"/>
              <w:bottom w:val="single" w:sz="4" w:space="0" w:color="000000"/>
              <w:right w:val="single" w:sz="4" w:space="0" w:color="000000"/>
            </w:tcBorders>
            <w:shd w:val="clear" w:color="auto" w:fill="D2D2D2"/>
          </w:tcPr>
          <w:p>
            <w:pPr/>
          </w:p>
        </w:tc>
        <w:tc>
          <w:tcPr>
            <w:tcW w:w="1238" w:type="dxa"/>
            <w:vMerge/>
            <w:tcBorders>
              <w:left w:val="single" w:sz="4" w:space="0" w:color="000000"/>
              <w:bottom w:val="single" w:sz="4" w:space="0" w:color="000000"/>
              <w:right w:val="single" w:sz="4" w:space="0" w:color="000000"/>
            </w:tcBorders>
            <w:shd w:val="clear" w:color="auto" w:fill="D2D2D2"/>
          </w:tcPr>
          <w:p>
            <w:pPr/>
          </w:p>
        </w:tc>
        <w:tc>
          <w:tcPr>
            <w:tcW w:w="964" w:type="dxa"/>
            <w:vMerge/>
            <w:tcBorders>
              <w:left w:val="single" w:sz="4" w:space="0" w:color="000000"/>
              <w:bottom w:val="single" w:sz="4" w:space="0" w:color="000000"/>
              <w:right w:val="single" w:sz="4" w:space="0" w:color="000000"/>
            </w:tcBorders>
            <w:shd w:val="clear" w:color="auto" w:fill="D2D2D2"/>
          </w:tcPr>
          <w:p>
            <w:pPr/>
          </w:p>
        </w:tc>
        <w:tc>
          <w:tcPr>
            <w:tcW w:w="13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913"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965" w:type="dxa"/>
            <w:vMerge/>
            <w:tcBorders>
              <w:left w:val="single" w:sz="4" w:space="0" w:color="000000"/>
              <w:bottom w:val="single" w:sz="4" w:space="0" w:color="000000"/>
              <w:right w:val="single" w:sz="4" w:space="0" w:color="000000"/>
            </w:tcBorders>
            <w:shd w:val="clear" w:color="auto" w:fill="D2D2D2"/>
          </w:tcPr>
          <w:p>
            <w:pPr/>
          </w:p>
        </w:tc>
        <w:tc>
          <w:tcPr>
            <w:tcW w:w="13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581"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11" w:right="190"/>
              <w:jc w:val="left"/>
              <w:rPr>
                <w:rFonts w:ascii="宋体" w:hAnsi="宋体" w:cs="宋体" w:eastAsia="宋体" w:hint="default"/>
                <w:sz w:val="18"/>
                <w:szCs w:val="18"/>
              </w:rPr>
            </w:pPr>
            <w:r>
              <w:rPr>
                <w:rFonts w:ascii="宋体" w:hAnsi="宋体" w:cs="宋体" w:eastAsia="宋体" w:hint="default"/>
                <w:sz w:val="18"/>
                <w:szCs w:val="18"/>
              </w:rPr>
              <w:t>按信用风险特征组合计提 坏账准备的应收账款</w:t>
            </w:r>
          </w:p>
        </w:tc>
        <w:tc>
          <w:tcPr>
            <w:tcW w:w="1379" w:type="dxa"/>
            <w:tcBorders>
              <w:top w:val="single" w:sz="24" w:space="0" w:color="D2D2D2"/>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9,008,730,751.26</w:t>
            </w:r>
          </w:p>
        </w:tc>
        <w:tc>
          <w:tcPr>
            <w:tcW w:w="1098" w:type="dxa"/>
            <w:tcBorders>
              <w:top w:val="single" w:sz="24" w:space="0" w:color="D2D2D2"/>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38" w:type="dxa"/>
            <w:tcBorders>
              <w:top w:val="single" w:sz="24" w:space="0" w:color="D2D2D2"/>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404,066,087.70</w:t>
            </w:r>
          </w:p>
        </w:tc>
        <w:tc>
          <w:tcPr>
            <w:tcW w:w="964" w:type="dxa"/>
            <w:tcBorders>
              <w:top w:val="single" w:sz="24" w:space="0" w:color="D2D2D2"/>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4.49%</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8,604,664,663.56</w:t>
            </w:r>
          </w:p>
        </w:tc>
        <w:tc>
          <w:tcPr>
            <w:tcW w:w="1379" w:type="dxa"/>
            <w:tcBorders>
              <w:top w:val="single" w:sz="24" w:space="0" w:color="D2D2D2"/>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7,864,438,099.38</w:t>
            </w:r>
          </w:p>
        </w:tc>
        <w:tc>
          <w:tcPr>
            <w:tcW w:w="913" w:type="dxa"/>
            <w:tcBorders>
              <w:top w:val="single" w:sz="24" w:space="0" w:color="D2D2D2"/>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181" w:type="dxa"/>
            <w:tcBorders>
              <w:top w:val="single" w:sz="24" w:space="0" w:color="D2D2D2"/>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425,809,371.98</w:t>
            </w:r>
          </w:p>
        </w:tc>
        <w:tc>
          <w:tcPr>
            <w:tcW w:w="965" w:type="dxa"/>
            <w:tcBorders>
              <w:top w:val="single" w:sz="24" w:space="0" w:color="D2D2D2"/>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7,438,628,727.40</w:t>
            </w:r>
          </w:p>
        </w:tc>
      </w:tr>
      <w:tr>
        <w:trPr>
          <w:trHeight w:val="324"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9,008,730,751.26</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100.00%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9" w:right="0"/>
              <w:jc w:val="center"/>
              <w:rPr>
                <w:rFonts w:ascii="Times New Roman" w:hAnsi="Times New Roman" w:cs="Times New Roman" w:eastAsia="Times New Roman" w:hint="default"/>
                <w:sz w:val="18"/>
                <w:szCs w:val="18"/>
              </w:rPr>
            </w:pPr>
            <w:r>
              <w:rPr>
                <w:rFonts w:ascii="Times New Roman"/>
                <w:sz w:val="18"/>
              </w:rPr>
              <w:t>404,066,087.70</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4.49%</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8,604,664,663.56</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7,864,438,099.38</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425,809,371.98</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5.41%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7,438,628,727.40</w:t>
            </w:r>
          </w:p>
        </w:tc>
      </w:tr>
    </w:tbl>
    <w:p>
      <w:pPr>
        <w:pStyle w:val="BodyText"/>
        <w:spacing w:line="240" w:lineRule="auto" w:before="10"/>
        <w:ind w:left="140" w:right="0"/>
        <w:jc w:val="left"/>
      </w:pPr>
      <w:r>
        <w:rPr/>
        <w:t>期末单项金额重大并单项计提坏账准备的应收账款：</w:t>
      </w:r>
    </w:p>
    <w:p>
      <w:pPr>
        <w:pStyle w:val="BodyText"/>
        <w:spacing w:line="264" w:lineRule="auto" w:before="37"/>
        <w:ind w:left="140" w:right="10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64" w:lineRule="auto" w:before="20"/>
        <w:ind w:left="140" w:right="97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组合中，采用余额百分比法计提坏账准备的应收账款：</w:t>
      </w:r>
    </w:p>
    <w:p>
      <w:pPr>
        <w:pStyle w:val="BodyText"/>
        <w:spacing w:line="240" w:lineRule="auto" w:before="20"/>
        <w:ind w:left="140" w:right="1137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before="76"/>
        <w:ind w:left="0" w:right="136"/>
        <w:jc w:val="right"/>
        <w:rPr>
          <w:rFonts w:ascii="Times New Roman" w:hAnsi="Times New Roman" w:cs="Times New Roman" w:eastAsia="Times New Roman" w:hint="default"/>
        </w:rPr>
      </w:pPr>
      <w:r>
        <w:rPr>
          <w:rFonts w:ascii="Times New Roman"/>
        </w:rPr>
        <w:t>131</w:t>
      </w: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3"/>
          <w:szCs w:val="23"/>
        </w:rPr>
      </w:pPr>
    </w:p>
    <w:p>
      <w:pPr>
        <w:spacing w:line="371" w:lineRule="exact"/>
        <w:ind w:left="104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11" name="image1.jpeg" descr=""/>
            <wp:cNvGraphicFramePr>
              <a:graphicFrameLocks noChangeAspect="1"/>
            </wp:cNvGraphicFramePr>
            <a:graphic>
              <a:graphicData uri="http://schemas.openxmlformats.org/drawingml/2006/picture">
                <pic:pic>
                  <pic:nvPicPr>
                    <pic:cNvPr id="12" name="image1.jpeg"/>
                    <pic:cNvPicPr/>
                  </pic:nvPicPr>
                  <pic:blipFill>
                    <a:blip r:embed="rId14"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10" w:orient="landscape"/>
          <w:pgMar w:top="1580" w:bottom="700" w:left="1300" w:right="1300"/>
        </w:sectPr>
      </w:pPr>
    </w:p>
    <w:p>
      <w:pPr>
        <w:spacing w:line="240" w:lineRule="auto" w:before="4"/>
        <w:rPr>
          <w:rFonts w:ascii="Times New Roman" w:hAnsi="Times New Roman" w:cs="Times New Roman" w:eastAsia="Times New Roman" w:hint="default"/>
          <w:sz w:val="21"/>
          <w:szCs w:val="21"/>
        </w:rPr>
      </w:pPr>
    </w:p>
    <w:p>
      <w:pPr>
        <w:pStyle w:val="BodyText"/>
        <w:spacing w:line="240" w:lineRule="auto" w:before="44"/>
        <w:ind w:right="0"/>
        <w:jc w:val="left"/>
      </w:pPr>
      <w:r>
        <w:rPr/>
        <w:t>组合中，采用其他方法计提坏账准备的应收账款：</w:t>
      </w:r>
    </w:p>
    <w:p>
      <w:pPr>
        <w:pStyle w:val="BodyText"/>
        <w:spacing w:line="240" w:lineRule="auto" w:before="38"/>
        <w:ind w:right="0"/>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25"/>
        </w:rPr>
        <w:t> </w:t>
      </w:r>
      <w:r>
        <w:rPr/>
        <w:t>组合中，按账期组合</w:t>
      </w:r>
      <w:r>
        <w:rPr>
          <w:rFonts w:ascii="Times New Roman" w:hAnsi="Times New Roman" w:cs="Times New Roman" w:eastAsia="Times New Roman" w:hint="default"/>
        </w:rPr>
        <w:t>I</w:t>
      </w:r>
      <w:r>
        <w:rPr/>
        <w:t>计提坏账准备的应收账款</w:t>
      </w:r>
    </w:p>
    <w:tbl>
      <w:tblPr>
        <w:tblW w:w="0" w:type="auto"/>
        <w:jc w:val="left"/>
        <w:tblInd w:w="137" w:type="dxa"/>
        <w:tblLayout w:type="fixed"/>
        <w:tblCellMar>
          <w:top w:w="0" w:type="dxa"/>
          <w:left w:w="0" w:type="dxa"/>
          <w:bottom w:w="0" w:type="dxa"/>
          <w:right w:w="0" w:type="dxa"/>
        </w:tblCellMar>
        <w:tblLook w:val="01E0"/>
      </w:tblPr>
      <w:tblGrid>
        <w:gridCol w:w="3692"/>
        <w:gridCol w:w="2132"/>
        <w:gridCol w:w="1847"/>
        <w:gridCol w:w="1988"/>
      </w:tblGrid>
      <w:tr>
        <w:trPr>
          <w:trHeight w:val="349" w:hRule="exact"/>
        </w:trPr>
        <w:tc>
          <w:tcPr>
            <w:tcW w:w="3692" w:type="dxa"/>
            <w:vMerge w:val="restart"/>
            <w:tcBorders>
              <w:top w:val="single" w:sz="6" w:space="0" w:color="000000"/>
              <w:left w:val="single" w:sz="6" w:space="0" w:color="000000"/>
              <w:right w:val="single" w:sz="6" w:space="0" w:color="000000"/>
            </w:tcBorders>
            <w:shd w:val="clear" w:color="auto" w:fill="D0CECE"/>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客户名称</w:t>
            </w:r>
            <w:r>
              <w:rPr>
                <w:rFonts w:ascii="宋体" w:hAnsi="宋体" w:cs="宋体" w:eastAsia="宋体" w:hint="default"/>
                <w:sz w:val="18"/>
                <w:szCs w:val="18"/>
              </w:rPr>
            </w:r>
          </w:p>
        </w:tc>
        <w:tc>
          <w:tcPr>
            <w:tcW w:w="5967" w:type="dxa"/>
            <w:gridSpan w:val="3"/>
            <w:tcBorders>
              <w:top w:val="single" w:sz="6" w:space="0" w:color="000000"/>
              <w:left w:val="single" w:sz="6" w:space="0" w:color="000000"/>
              <w:bottom w:val="single" w:sz="8" w:space="0" w:color="000000"/>
              <w:right w:val="single" w:sz="6" w:space="0" w:color="000000"/>
            </w:tcBorders>
            <w:shd w:val="clear" w:color="auto" w:fill="D0CECE"/>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47" w:hRule="exact"/>
        </w:trPr>
        <w:tc>
          <w:tcPr>
            <w:tcW w:w="3692" w:type="dxa"/>
            <w:vMerge/>
            <w:tcBorders>
              <w:left w:val="single" w:sz="6" w:space="0" w:color="000000"/>
              <w:bottom w:val="single" w:sz="8" w:space="0" w:color="000000"/>
              <w:right w:val="single" w:sz="6" w:space="0" w:color="000000"/>
            </w:tcBorders>
            <w:shd w:val="clear" w:color="auto" w:fill="D0CECE"/>
          </w:tcPr>
          <w:p>
            <w:pPr/>
          </w:p>
        </w:tc>
        <w:tc>
          <w:tcPr>
            <w:tcW w:w="2132" w:type="dxa"/>
            <w:tcBorders>
              <w:top w:val="single" w:sz="8" w:space="0" w:color="000000"/>
              <w:left w:val="single" w:sz="6" w:space="0" w:color="000000"/>
              <w:bottom w:val="single" w:sz="8" w:space="0" w:color="000000"/>
              <w:right w:val="single" w:sz="6" w:space="0" w:color="000000"/>
            </w:tcBorders>
            <w:shd w:val="clear" w:color="auto" w:fill="D0CECE"/>
          </w:tcPr>
          <w:p>
            <w:pPr>
              <w:pStyle w:val="TableParagraph"/>
              <w:spacing w:line="240" w:lineRule="auto" w:before="14"/>
              <w:ind w:left="697"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1847" w:type="dxa"/>
            <w:tcBorders>
              <w:top w:val="single" w:sz="8" w:space="0" w:color="000000"/>
              <w:left w:val="single" w:sz="6" w:space="0" w:color="000000"/>
              <w:bottom w:val="single" w:sz="8" w:space="0" w:color="000000"/>
              <w:right w:val="single" w:sz="6" w:space="0" w:color="000000"/>
            </w:tcBorders>
            <w:shd w:val="clear" w:color="auto" w:fill="D0CECE"/>
          </w:tcPr>
          <w:p>
            <w:pPr>
              <w:pStyle w:val="TableParagraph"/>
              <w:spacing w:line="240" w:lineRule="auto" w:before="14"/>
              <w:ind w:left="554"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988" w:type="dxa"/>
            <w:tcBorders>
              <w:top w:val="single" w:sz="8" w:space="0" w:color="000000"/>
              <w:left w:val="single" w:sz="6" w:space="0" w:color="000000"/>
              <w:bottom w:val="single" w:sz="8" w:space="0" w:color="000000"/>
              <w:right w:val="single" w:sz="6" w:space="0" w:color="000000"/>
            </w:tcBorders>
            <w:shd w:val="clear" w:color="auto" w:fill="D0CECE"/>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48" w:hRule="exact"/>
        </w:trPr>
        <w:tc>
          <w:tcPr>
            <w:tcW w:w="36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2" w:right="0"/>
              <w:jc w:val="left"/>
              <w:rPr>
                <w:rFonts w:ascii="宋体" w:hAnsi="宋体" w:cs="宋体" w:eastAsia="宋体" w:hint="default"/>
                <w:sz w:val="18"/>
                <w:szCs w:val="18"/>
              </w:rPr>
            </w:pPr>
            <w:r>
              <w:rPr>
                <w:rFonts w:ascii="宋体" w:hAnsi="宋体" w:cs="宋体" w:eastAsia="宋体" w:hint="default"/>
                <w:sz w:val="18"/>
                <w:szCs w:val="18"/>
              </w:rPr>
              <w:t>中民新能平定光伏发电有限公司</w:t>
            </w:r>
          </w:p>
        </w:tc>
        <w:tc>
          <w:tcPr>
            <w:tcW w:w="213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right="1"/>
              <w:jc w:val="right"/>
              <w:rPr>
                <w:rFonts w:ascii="Times New Roman" w:hAnsi="Times New Roman" w:cs="Times New Roman" w:eastAsia="Times New Roman" w:hint="default"/>
                <w:sz w:val="18"/>
                <w:szCs w:val="18"/>
              </w:rPr>
            </w:pPr>
            <w:r>
              <w:rPr>
                <w:rFonts w:ascii="Times New Roman"/>
                <w:spacing w:val="-1"/>
                <w:sz w:val="18"/>
              </w:rPr>
              <w:t>14,425,050.00</w:t>
            </w:r>
          </w:p>
        </w:tc>
        <w:tc>
          <w:tcPr>
            <w:tcW w:w="184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spacing w:val="-1"/>
                <w:sz w:val="18"/>
              </w:rPr>
              <w:t>14,425,050.00</w:t>
            </w:r>
          </w:p>
        </w:tc>
        <w:tc>
          <w:tcPr>
            <w:tcW w:w="19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100</w:t>
            </w:r>
          </w:p>
        </w:tc>
      </w:tr>
      <w:tr>
        <w:trPr>
          <w:trHeight w:val="347" w:hRule="exact"/>
        </w:trPr>
        <w:tc>
          <w:tcPr>
            <w:tcW w:w="36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4"/>
              <w:ind w:left="2" w:right="0"/>
              <w:jc w:val="left"/>
              <w:rPr>
                <w:rFonts w:ascii="宋体" w:hAnsi="宋体" w:cs="宋体" w:eastAsia="宋体" w:hint="default"/>
                <w:sz w:val="18"/>
                <w:szCs w:val="18"/>
              </w:rPr>
            </w:pPr>
            <w:r>
              <w:rPr>
                <w:rFonts w:ascii="宋体" w:hAnsi="宋体" w:cs="宋体" w:eastAsia="宋体" w:hint="default"/>
                <w:sz w:val="18"/>
                <w:szCs w:val="18"/>
              </w:rPr>
              <w:t>山西合力新创科技有限公司</w:t>
            </w:r>
          </w:p>
        </w:tc>
        <w:tc>
          <w:tcPr>
            <w:tcW w:w="213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12,875,481.00</w:t>
            </w:r>
          </w:p>
        </w:tc>
        <w:tc>
          <w:tcPr>
            <w:tcW w:w="184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12,875,481.00</w:t>
            </w:r>
          </w:p>
        </w:tc>
        <w:tc>
          <w:tcPr>
            <w:tcW w:w="19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100</w:t>
            </w:r>
          </w:p>
        </w:tc>
      </w:tr>
      <w:tr>
        <w:trPr>
          <w:trHeight w:val="347" w:hRule="exact"/>
        </w:trPr>
        <w:tc>
          <w:tcPr>
            <w:tcW w:w="36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2" w:right="0"/>
              <w:jc w:val="left"/>
              <w:rPr>
                <w:rFonts w:ascii="宋体" w:hAnsi="宋体" w:cs="宋体" w:eastAsia="宋体" w:hint="default"/>
                <w:sz w:val="18"/>
                <w:szCs w:val="18"/>
              </w:rPr>
            </w:pPr>
            <w:r>
              <w:rPr>
                <w:rFonts w:ascii="宋体" w:hAnsi="宋体" w:cs="宋体" w:eastAsia="宋体" w:hint="default"/>
                <w:sz w:val="18"/>
                <w:szCs w:val="18"/>
              </w:rPr>
              <w:t>深圳前海益高科技有限公司</w:t>
            </w:r>
          </w:p>
        </w:tc>
        <w:tc>
          <w:tcPr>
            <w:tcW w:w="213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4"/>
              <w:ind w:right="1"/>
              <w:jc w:val="right"/>
              <w:rPr>
                <w:rFonts w:ascii="Times New Roman" w:hAnsi="Times New Roman" w:cs="Times New Roman" w:eastAsia="Times New Roman" w:hint="default"/>
                <w:sz w:val="18"/>
                <w:szCs w:val="18"/>
              </w:rPr>
            </w:pPr>
            <w:r>
              <w:rPr>
                <w:rFonts w:ascii="Times New Roman"/>
                <w:spacing w:val="-1"/>
                <w:sz w:val="18"/>
              </w:rPr>
              <w:t>8,975,000.00</w:t>
            </w:r>
          </w:p>
        </w:tc>
        <w:tc>
          <w:tcPr>
            <w:tcW w:w="184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4"/>
              <w:ind w:right="0"/>
              <w:jc w:val="right"/>
              <w:rPr>
                <w:rFonts w:ascii="Times New Roman" w:hAnsi="Times New Roman" w:cs="Times New Roman" w:eastAsia="Times New Roman" w:hint="default"/>
                <w:sz w:val="18"/>
                <w:szCs w:val="18"/>
              </w:rPr>
            </w:pPr>
            <w:r>
              <w:rPr>
                <w:rFonts w:ascii="Times New Roman"/>
                <w:spacing w:val="-1"/>
                <w:sz w:val="18"/>
              </w:rPr>
              <w:t>8,975,000.00</w:t>
            </w:r>
          </w:p>
        </w:tc>
        <w:tc>
          <w:tcPr>
            <w:tcW w:w="19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4"/>
              <w:ind w:right="0"/>
              <w:jc w:val="center"/>
              <w:rPr>
                <w:rFonts w:ascii="Times New Roman" w:hAnsi="Times New Roman" w:cs="Times New Roman" w:eastAsia="Times New Roman" w:hint="default"/>
                <w:sz w:val="18"/>
                <w:szCs w:val="18"/>
              </w:rPr>
            </w:pPr>
            <w:r>
              <w:rPr>
                <w:rFonts w:ascii="Times New Roman"/>
                <w:sz w:val="18"/>
              </w:rPr>
              <w:t>100</w:t>
            </w:r>
          </w:p>
        </w:tc>
      </w:tr>
      <w:tr>
        <w:trPr>
          <w:trHeight w:val="347" w:hRule="exact"/>
        </w:trPr>
        <w:tc>
          <w:tcPr>
            <w:tcW w:w="36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2" w:right="0"/>
              <w:jc w:val="left"/>
              <w:rPr>
                <w:rFonts w:ascii="宋体" w:hAnsi="宋体" w:cs="宋体" w:eastAsia="宋体" w:hint="default"/>
                <w:sz w:val="18"/>
                <w:szCs w:val="18"/>
              </w:rPr>
            </w:pPr>
            <w:r>
              <w:rPr>
                <w:rFonts w:ascii="宋体" w:hAnsi="宋体" w:cs="宋体" w:eastAsia="宋体" w:hint="default"/>
                <w:sz w:val="18"/>
                <w:szCs w:val="18"/>
              </w:rPr>
              <w:t>江西电广科技有限公司</w:t>
            </w:r>
          </w:p>
        </w:tc>
        <w:tc>
          <w:tcPr>
            <w:tcW w:w="213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4"/>
              <w:ind w:right="1"/>
              <w:jc w:val="right"/>
              <w:rPr>
                <w:rFonts w:ascii="Times New Roman" w:hAnsi="Times New Roman" w:cs="Times New Roman" w:eastAsia="Times New Roman" w:hint="default"/>
                <w:sz w:val="18"/>
                <w:szCs w:val="18"/>
              </w:rPr>
            </w:pPr>
            <w:r>
              <w:rPr>
                <w:rFonts w:ascii="Times New Roman"/>
                <w:spacing w:val="-1"/>
                <w:sz w:val="18"/>
              </w:rPr>
              <w:t>7,052,429.00</w:t>
            </w:r>
          </w:p>
        </w:tc>
        <w:tc>
          <w:tcPr>
            <w:tcW w:w="184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4"/>
              <w:ind w:right="0"/>
              <w:jc w:val="right"/>
              <w:rPr>
                <w:rFonts w:ascii="Times New Roman" w:hAnsi="Times New Roman" w:cs="Times New Roman" w:eastAsia="Times New Roman" w:hint="default"/>
                <w:sz w:val="18"/>
                <w:szCs w:val="18"/>
              </w:rPr>
            </w:pPr>
            <w:r>
              <w:rPr>
                <w:rFonts w:ascii="Times New Roman"/>
                <w:spacing w:val="-1"/>
                <w:sz w:val="18"/>
              </w:rPr>
              <w:t>7,052,429.00</w:t>
            </w:r>
          </w:p>
        </w:tc>
        <w:tc>
          <w:tcPr>
            <w:tcW w:w="19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4"/>
              <w:ind w:right="0"/>
              <w:jc w:val="center"/>
              <w:rPr>
                <w:rFonts w:ascii="Times New Roman" w:hAnsi="Times New Roman" w:cs="Times New Roman" w:eastAsia="Times New Roman" w:hint="default"/>
                <w:sz w:val="18"/>
                <w:szCs w:val="18"/>
              </w:rPr>
            </w:pPr>
            <w:r>
              <w:rPr>
                <w:rFonts w:ascii="Times New Roman"/>
                <w:sz w:val="18"/>
              </w:rPr>
              <w:t>100</w:t>
            </w:r>
          </w:p>
        </w:tc>
      </w:tr>
      <w:tr>
        <w:trPr>
          <w:trHeight w:val="353" w:hRule="exact"/>
        </w:trPr>
        <w:tc>
          <w:tcPr>
            <w:tcW w:w="3692"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right="-1"/>
              <w:jc w:val="right"/>
              <w:rPr>
                <w:rFonts w:ascii="Times New Roman" w:hAnsi="Times New Roman" w:cs="Times New Roman" w:eastAsia="Times New Roman" w:hint="default"/>
                <w:sz w:val="18"/>
                <w:szCs w:val="18"/>
              </w:rPr>
            </w:pPr>
            <w:r>
              <w:rPr>
                <w:rFonts w:ascii="Times New Roman"/>
                <w:spacing w:val="-1"/>
                <w:sz w:val="18"/>
              </w:rPr>
              <w:t>43,327,960.00</w:t>
            </w:r>
          </w:p>
        </w:tc>
        <w:tc>
          <w:tcPr>
            <w:tcW w:w="18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right="-1"/>
              <w:jc w:val="right"/>
              <w:rPr>
                <w:rFonts w:ascii="Times New Roman" w:hAnsi="Times New Roman" w:cs="Times New Roman" w:eastAsia="Times New Roman" w:hint="default"/>
                <w:sz w:val="18"/>
                <w:szCs w:val="18"/>
              </w:rPr>
            </w:pPr>
            <w:r>
              <w:rPr>
                <w:rFonts w:ascii="Times New Roman"/>
                <w:spacing w:val="-1"/>
                <w:sz w:val="18"/>
              </w:rPr>
              <w:t>43,327,960.00</w:t>
            </w:r>
          </w:p>
        </w:tc>
        <w:tc>
          <w:tcPr>
            <w:tcW w:w="1988" w:type="dxa"/>
            <w:tcBorders>
              <w:top w:val="single" w:sz="8" w:space="0" w:color="000000"/>
              <w:left w:val="single" w:sz="8" w:space="0" w:color="000000"/>
              <w:bottom w:val="single" w:sz="8" w:space="0" w:color="000000"/>
              <w:right w:val="single" w:sz="6" w:space="0" w:color="000000"/>
            </w:tcBorders>
          </w:tcPr>
          <w:p>
            <w:pPr>
              <w:pStyle w:val="TableParagraph"/>
              <w:spacing w:line="240" w:lineRule="auto" w:before="58"/>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sz w:val="11"/>
          <w:szCs w:val="11"/>
        </w:rPr>
      </w:pPr>
    </w:p>
    <w:p>
      <w:pPr>
        <w:pStyle w:val="BodyText"/>
        <w:spacing w:line="240" w:lineRule="auto" w:before="44"/>
        <w:ind w:right="0"/>
        <w:jc w:val="left"/>
      </w:pPr>
      <w:r>
        <w:rPr>
          <w:rFonts w:ascii="Times New Roman" w:hAnsi="Times New Roman" w:cs="Times New Roman" w:eastAsia="Times New Roman" w:hint="default"/>
        </w:rPr>
        <w:t>B</w:t>
      </w:r>
      <w:r>
        <w:rPr/>
        <w:t>组合中，按账期组合</w:t>
      </w:r>
      <w:r>
        <w:rPr>
          <w:rFonts w:ascii="Times New Roman" w:hAnsi="Times New Roman" w:cs="Times New Roman" w:eastAsia="Times New Roman" w:hint="default"/>
        </w:rPr>
        <w:t>II</w:t>
      </w:r>
      <w:r>
        <w:rPr/>
        <w:t>计提坏账准备的应收账款</w:t>
      </w:r>
    </w:p>
    <w:tbl>
      <w:tblPr>
        <w:tblW w:w="0" w:type="auto"/>
        <w:jc w:val="left"/>
        <w:tblInd w:w="137" w:type="dxa"/>
        <w:tblLayout w:type="fixed"/>
        <w:tblCellMar>
          <w:top w:w="0" w:type="dxa"/>
          <w:left w:w="0" w:type="dxa"/>
          <w:bottom w:w="0" w:type="dxa"/>
          <w:right w:w="0" w:type="dxa"/>
        </w:tblCellMar>
        <w:tblLook w:val="01E0"/>
      </w:tblPr>
      <w:tblGrid>
        <w:gridCol w:w="3276"/>
        <w:gridCol w:w="2336"/>
        <w:gridCol w:w="2198"/>
        <w:gridCol w:w="1849"/>
      </w:tblGrid>
      <w:tr>
        <w:trPr>
          <w:trHeight w:val="352" w:hRule="exact"/>
        </w:trPr>
        <w:tc>
          <w:tcPr>
            <w:tcW w:w="3276" w:type="dxa"/>
            <w:vMerge w:val="restart"/>
            <w:tcBorders>
              <w:top w:val="single" w:sz="6" w:space="0" w:color="000000"/>
              <w:left w:val="single" w:sz="6" w:space="0" w:color="000000"/>
              <w:right w:val="single" w:sz="6" w:space="0" w:color="000000"/>
            </w:tcBorders>
            <w:shd w:val="clear" w:color="auto" w:fill="D0CECE"/>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6382" w:type="dxa"/>
            <w:gridSpan w:val="3"/>
            <w:tcBorders>
              <w:top w:val="single" w:sz="6" w:space="0" w:color="000000"/>
              <w:left w:val="single" w:sz="6" w:space="0" w:color="000000"/>
              <w:bottom w:val="single" w:sz="8" w:space="0" w:color="000000"/>
              <w:right w:val="single" w:sz="6" w:space="0" w:color="000000"/>
            </w:tcBorders>
            <w:shd w:val="clear" w:color="auto" w:fill="D0CECE"/>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44" w:hRule="exact"/>
        </w:trPr>
        <w:tc>
          <w:tcPr>
            <w:tcW w:w="3276" w:type="dxa"/>
            <w:vMerge/>
            <w:tcBorders>
              <w:left w:val="single" w:sz="6" w:space="0" w:color="000000"/>
              <w:bottom w:val="single" w:sz="8" w:space="0" w:color="000000"/>
              <w:right w:val="single" w:sz="6" w:space="0" w:color="000000"/>
            </w:tcBorders>
            <w:shd w:val="clear" w:color="auto" w:fill="D0CECE"/>
          </w:tcPr>
          <w:p>
            <w:pPr/>
          </w:p>
        </w:tc>
        <w:tc>
          <w:tcPr>
            <w:tcW w:w="2336" w:type="dxa"/>
            <w:tcBorders>
              <w:top w:val="single" w:sz="8" w:space="0" w:color="000000"/>
              <w:left w:val="single" w:sz="6" w:space="0" w:color="000000"/>
              <w:bottom w:val="single" w:sz="8" w:space="0" w:color="000000"/>
              <w:right w:val="single" w:sz="6" w:space="0" w:color="000000"/>
            </w:tcBorders>
            <w:shd w:val="clear" w:color="auto" w:fill="D0CECE"/>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2198" w:type="dxa"/>
            <w:tcBorders>
              <w:top w:val="single" w:sz="8" w:space="0" w:color="000000"/>
              <w:left w:val="single" w:sz="6" w:space="0" w:color="000000"/>
              <w:bottom w:val="single" w:sz="8" w:space="0" w:color="000000"/>
              <w:right w:val="single" w:sz="6" w:space="0" w:color="000000"/>
            </w:tcBorders>
            <w:shd w:val="clear" w:color="auto" w:fill="D0CECE"/>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849" w:type="dxa"/>
            <w:tcBorders>
              <w:top w:val="single" w:sz="8" w:space="0" w:color="000000"/>
              <w:left w:val="single" w:sz="6" w:space="0" w:color="000000"/>
              <w:bottom w:val="single" w:sz="8" w:space="0" w:color="000000"/>
              <w:right w:val="single" w:sz="6" w:space="0" w:color="000000"/>
            </w:tcBorders>
            <w:shd w:val="clear" w:color="auto" w:fill="D0CECE"/>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47" w:hRule="exact"/>
        </w:trPr>
        <w:tc>
          <w:tcPr>
            <w:tcW w:w="3276" w:type="dxa"/>
            <w:tcBorders>
              <w:top w:val="single" w:sz="8" w:space="0" w:color="000000"/>
              <w:left w:val="single" w:sz="6" w:space="0" w:color="000000"/>
              <w:bottom w:val="single" w:sz="8" w:space="0" w:color="000000"/>
              <w:right w:val="single" w:sz="6" w:space="0" w:color="000000"/>
            </w:tcBorders>
          </w:tcPr>
          <w:p>
            <w:pPr>
              <w:pStyle w:val="TableParagraph"/>
              <w:spacing w:line="212" w:lineRule="exact"/>
              <w:ind w:left="2" w:right="0"/>
              <w:jc w:val="left"/>
              <w:rPr>
                <w:rFonts w:ascii="宋体" w:hAnsi="宋体" w:cs="宋体" w:eastAsia="宋体" w:hint="default"/>
                <w:sz w:val="18"/>
                <w:szCs w:val="18"/>
              </w:rPr>
            </w:pPr>
            <w:r>
              <w:rPr>
                <w:rFonts w:ascii="宋体" w:hAnsi="宋体" w:cs="宋体" w:eastAsia="宋体" w:hint="default"/>
                <w:sz w:val="18"/>
                <w:szCs w:val="18"/>
              </w:rPr>
              <w:t>未超期</w:t>
            </w:r>
          </w:p>
        </w:tc>
        <w:tc>
          <w:tcPr>
            <w:tcW w:w="23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
              <w:ind w:right="2"/>
              <w:jc w:val="right"/>
              <w:rPr>
                <w:rFonts w:ascii="Times New Roman" w:hAnsi="Times New Roman" w:cs="Times New Roman" w:eastAsia="Times New Roman" w:hint="default"/>
                <w:sz w:val="18"/>
                <w:szCs w:val="18"/>
              </w:rPr>
            </w:pPr>
            <w:r>
              <w:rPr>
                <w:rFonts w:ascii="Times New Roman"/>
                <w:spacing w:val="-1"/>
                <w:sz w:val="18"/>
              </w:rPr>
              <w:t>7,906,435,218.80</w:t>
            </w:r>
          </w:p>
        </w:tc>
        <w:tc>
          <w:tcPr>
            <w:tcW w:w="2198" w:type="dxa"/>
            <w:tcBorders>
              <w:top w:val="single" w:sz="8" w:space="0" w:color="000000"/>
              <w:left w:val="single" w:sz="6" w:space="0" w:color="000000"/>
              <w:bottom w:val="single" w:sz="8" w:space="0" w:color="000000"/>
              <w:right w:val="single" w:sz="6" w:space="0" w:color="000000"/>
            </w:tcBorders>
          </w:tcPr>
          <w:p>
            <w:pPr/>
          </w:p>
        </w:tc>
        <w:tc>
          <w:tcPr>
            <w:tcW w:w="1849" w:type="dxa"/>
            <w:tcBorders>
              <w:top w:val="single" w:sz="8" w:space="0" w:color="000000"/>
              <w:left w:val="single" w:sz="6" w:space="0" w:color="000000"/>
              <w:bottom w:val="single" w:sz="8" w:space="0" w:color="000000"/>
              <w:right w:val="single" w:sz="6" w:space="0" w:color="000000"/>
            </w:tcBorders>
          </w:tcPr>
          <w:p>
            <w:pPr/>
          </w:p>
        </w:tc>
      </w:tr>
      <w:tr>
        <w:trPr>
          <w:trHeight w:val="347" w:hRule="exact"/>
        </w:trPr>
        <w:tc>
          <w:tcPr>
            <w:tcW w:w="3276" w:type="dxa"/>
            <w:tcBorders>
              <w:top w:val="single" w:sz="8" w:space="0" w:color="000000"/>
              <w:left w:val="single" w:sz="6" w:space="0" w:color="000000"/>
              <w:bottom w:val="single" w:sz="8" w:space="0" w:color="000000"/>
              <w:right w:val="single" w:sz="6" w:space="0" w:color="000000"/>
            </w:tcBorders>
          </w:tcPr>
          <w:p>
            <w:pPr>
              <w:pStyle w:val="TableParagraph"/>
              <w:spacing w:line="225" w:lineRule="exact"/>
              <w:ind w:left="2" w:right="0"/>
              <w:jc w:val="left"/>
              <w:rPr>
                <w:rFonts w:ascii="宋体" w:hAnsi="宋体" w:cs="宋体" w:eastAsia="宋体" w:hint="default"/>
                <w:sz w:val="18"/>
                <w:szCs w:val="18"/>
              </w:rPr>
            </w:pPr>
            <w:r>
              <w:rPr>
                <w:rFonts w:ascii="宋体" w:hAnsi="宋体" w:cs="宋体" w:eastAsia="宋体" w:hint="default"/>
                <w:sz w:val="18"/>
                <w:szCs w:val="18"/>
              </w:rPr>
              <w:t>超期</w:t>
            </w:r>
            <w:r>
              <w:rPr>
                <w:rFonts w:ascii="Times New Roman" w:hAnsi="Times New Roman" w:cs="Times New Roman" w:eastAsia="Times New Roman" w:hint="default"/>
                <w:sz w:val="18"/>
                <w:szCs w:val="18"/>
              </w:rPr>
              <w:t>1-30</w:t>
            </w:r>
            <w:r>
              <w:rPr>
                <w:rFonts w:ascii="宋体" w:hAnsi="宋体" w:cs="宋体" w:eastAsia="宋体" w:hint="default"/>
                <w:sz w:val="18"/>
                <w:szCs w:val="18"/>
              </w:rPr>
              <w:t>天</w:t>
            </w:r>
          </w:p>
        </w:tc>
        <w:tc>
          <w:tcPr>
            <w:tcW w:w="23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
              <w:ind w:right="1"/>
              <w:jc w:val="right"/>
              <w:rPr>
                <w:rFonts w:ascii="Times New Roman" w:hAnsi="Times New Roman" w:cs="Times New Roman" w:eastAsia="Times New Roman" w:hint="default"/>
                <w:sz w:val="18"/>
                <w:szCs w:val="18"/>
              </w:rPr>
            </w:pPr>
            <w:r>
              <w:rPr>
                <w:rFonts w:ascii="Times New Roman"/>
                <w:spacing w:val="-1"/>
                <w:sz w:val="18"/>
              </w:rPr>
              <w:t>448,893,516.04</w:t>
            </w:r>
          </w:p>
        </w:tc>
        <w:tc>
          <w:tcPr>
            <w:tcW w:w="2198" w:type="dxa"/>
            <w:tcBorders>
              <w:top w:val="single" w:sz="8" w:space="0" w:color="000000"/>
              <w:left w:val="single" w:sz="6" w:space="0" w:color="000000"/>
              <w:bottom w:val="single" w:sz="8" w:space="0" w:color="000000"/>
              <w:right w:val="single" w:sz="6" w:space="0" w:color="000000"/>
            </w:tcBorders>
          </w:tcPr>
          <w:p>
            <w:pPr/>
          </w:p>
        </w:tc>
        <w:tc>
          <w:tcPr>
            <w:tcW w:w="1849" w:type="dxa"/>
            <w:tcBorders>
              <w:top w:val="single" w:sz="8" w:space="0" w:color="000000"/>
              <w:left w:val="single" w:sz="6" w:space="0" w:color="000000"/>
              <w:bottom w:val="single" w:sz="8" w:space="0" w:color="000000"/>
              <w:right w:val="single" w:sz="6" w:space="0" w:color="000000"/>
            </w:tcBorders>
          </w:tcPr>
          <w:p>
            <w:pPr/>
          </w:p>
        </w:tc>
      </w:tr>
      <w:tr>
        <w:trPr>
          <w:trHeight w:val="347" w:hRule="exact"/>
        </w:trPr>
        <w:tc>
          <w:tcPr>
            <w:tcW w:w="3276" w:type="dxa"/>
            <w:tcBorders>
              <w:top w:val="single" w:sz="8" w:space="0" w:color="000000"/>
              <w:left w:val="single" w:sz="6" w:space="0" w:color="000000"/>
              <w:bottom w:val="single" w:sz="8" w:space="0" w:color="000000"/>
              <w:right w:val="single" w:sz="6" w:space="0" w:color="000000"/>
            </w:tcBorders>
          </w:tcPr>
          <w:p>
            <w:pPr>
              <w:pStyle w:val="TableParagraph"/>
              <w:spacing w:line="225" w:lineRule="exact"/>
              <w:ind w:left="2" w:right="0"/>
              <w:jc w:val="left"/>
              <w:rPr>
                <w:rFonts w:ascii="宋体" w:hAnsi="宋体" w:cs="宋体" w:eastAsia="宋体" w:hint="default"/>
                <w:sz w:val="18"/>
                <w:szCs w:val="18"/>
              </w:rPr>
            </w:pPr>
            <w:r>
              <w:rPr>
                <w:rFonts w:ascii="宋体" w:hAnsi="宋体" w:cs="宋体" w:eastAsia="宋体" w:hint="default"/>
                <w:sz w:val="18"/>
                <w:szCs w:val="18"/>
              </w:rPr>
              <w:t>超期</w:t>
            </w:r>
            <w:r>
              <w:rPr>
                <w:rFonts w:ascii="Times New Roman" w:hAnsi="Times New Roman" w:cs="Times New Roman" w:eastAsia="Times New Roman" w:hint="default"/>
                <w:sz w:val="18"/>
                <w:szCs w:val="18"/>
              </w:rPr>
              <w:t>31-60</w:t>
            </w:r>
            <w:r>
              <w:rPr>
                <w:rFonts w:ascii="宋体" w:hAnsi="宋体" w:cs="宋体" w:eastAsia="宋体" w:hint="default"/>
                <w:sz w:val="18"/>
                <w:szCs w:val="18"/>
              </w:rPr>
              <w:t>天</w:t>
            </w:r>
          </w:p>
        </w:tc>
        <w:tc>
          <w:tcPr>
            <w:tcW w:w="23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
              <w:ind w:right="1"/>
              <w:jc w:val="right"/>
              <w:rPr>
                <w:rFonts w:ascii="Times New Roman" w:hAnsi="Times New Roman" w:cs="Times New Roman" w:eastAsia="Times New Roman" w:hint="default"/>
                <w:sz w:val="18"/>
                <w:szCs w:val="18"/>
              </w:rPr>
            </w:pPr>
            <w:r>
              <w:rPr>
                <w:rFonts w:ascii="Times New Roman"/>
                <w:spacing w:val="-1"/>
                <w:sz w:val="18"/>
              </w:rPr>
              <w:t>137,774,549.45</w:t>
            </w:r>
          </w:p>
        </w:tc>
        <w:tc>
          <w:tcPr>
            <w:tcW w:w="219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
              <w:ind w:right="0"/>
              <w:jc w:val="right"/>
              <w:rPr>
                <w:rFonts w:ascii="Times New Roman" w:hAnsi="Times New Roman" w:cs="Times New Roman" w:eastAsia="Times New Roman" w:hint="default"/>
                <w:sz w:val="18"/>
                <w:szCs w:val="18"/>
              </w:rPr>
            </w:pPr>
            <w:r>
              <w:rPr>
                <w:rFonts w:ascii="Times New Roman"/>
                <w:spacing w:val="-1"/>
                <w:sz w:val="18"/>
              </w:rPr>
              <w:t>13,777,454.94</w:t>
            </w:r>
          </w:p>
        </w:tc>
        <w:tc>
          <w:tcPr>
            <w:tcW w:w="184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
              <w:ind w:right="1"/>
              <w:jc w:val="center"/>
              <w:rPr>
                <w:rFonts w:ascii="Times New Roman" w:hAnsi="Times New Roman" w:cs="Times New Roman" w:eastAsia="Times New Roman" w:hint="default"/>
                <w:sz w:val="18"/>
                <w:szCs w:val="18"/>
              </w:rPr>
            </w:pPr>
            <w:r>
              <w:rPr>
                <w:rFonts w:ascii="Times New Roman"/>
                <w:sz w:val="18"/>
              </w:rPr>
              <w:t>10</w:t>
            </w:r>
          </w:p>
        </w:tc>
      </w:tr>
      <w:tr>
        <w:trPr>
          <w:trHeight w:val="347" w:hRule="exact"/>
        </w:trPr>
        <w:tc>
          <w:tcPr>
            <w:tcW w:w="3276" w:type="dxa"/>
            <w:tcBorders>
              <w:top w:val="single" w:sz="8" w:space="0" w:color="000000"/>
              <w:left w:val="single" w:sz="6" w:space="0" w:color="000000"/>
              <w:bottom w:val="single" w:sz="8" w:space="0" w:color="000000"/>
              <w:right w:val="single" w:sz="6" w:space="0" w:color="000000"/>
            </w:tcBorders>
          </w:tcPr>
          <w:p>
            <w:pPr>
              <w:pStyle w:val="TableParagraph"/>
              <w:spacing w:line="225" w:lineRule="exact"/>
              <w:ind w:left="2" w:right="0"/>
              <w:jc w:val="left"/>
              <w:rPr>
                <w:rFonts w:ascii="宋体" w:hAnsi="宋体" w:cs="宋体" w:eastAsia="宋体" w:hint="default"/>
                <w:sz w:val="18"/>
                <w:szCs w:val="18"/>
              </w:rPr>
            </w:pPr>
            <w:r>
              <w:rPr>
                <w:rFonts w:ascii="宋体" w:hAnsi="宋体" w:cs="宋体" w:eastAsia="宋体" w:hint="default"/>
                <w:sz w:val="18"/>
                <w:szCs w:val="18"/>
              </w:rPr>
              <w:t>超期</w:t>
            </w:r>
            <w:r>
              <w:rPr>
                <w:rFonts w:ascii="Times New Roman" w:hAnsi="Times New Roman" w:cs="Times New Roman" w:eastAsia="Times New Roman" w:hint="default"/>
                <w:sz w:val="18"/>
                <w:szCs w:val="18"/>
              </w:rPr>
              <w:t>61-90</w:t>
            </w:r>
            <w:r>
              <w:rPr>
                <w:rFonts w:ascii="宋体" w:hAnsi="宋体" w:cs="宋体" w:eastAsia="宋体" w:hint="default"/>
                <w:sz w:val="18"/>
                <w:szCs w:val="18"/>
              </w:rPr>
              <w:t>天</w:t>
            </w:r>
          </w:p>
        </w:tc>
        <w:tc>
          <w:tcPr>
            <w:tcW w:w="23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
              <w:ind w:right="1"/>
              <w:jc w:val="right"/>
              <w:rPr>
                <w:rFonts w:ascii="Times New Roman" w:hAnsi="Times New Roman" w:cs="Times New Roman" w:eastAsia="Times New Roman" w:hint="default"/>
                <w:sz w:val="18"/>
                <w:szCs w:val="18"/>
              </w:rPr>
            </w:pPr>
            <w:r>
              <w:rPr>
                <w:rFonts w:ascii="Times New Roman"/>
                <w:spacing w:val="-1"/>
                <w:sz w:val="18"/>
              </w:rPr>
              <w:t>52,315,175.78</w:t>
            </w:r>
          </w:p>
        </w:tc>
        <w:tc>
          <w:tcPr>
            <w:tcW w:w="219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
              <w:ind w:right="0"/>
              <w:jc w:val="right"/>
              <w:rPr>
                <w:rFonts w:ascii="Times New Roman" w:hAnsi="Times New Roman" w:cs="Times New Roman" w:eastAsia="Times New Roman" w:hint="default"/>
                <w:sz w:val="18"/>
                <w:szCs w:val="18"/>
              </w:rPr>
            </w:pPr>
            <w:r>
              <w:rPr>
                <w:rFonts w:ascii="Times New Roman"/>
                <w:spacing w:val="-1"/>
                <w:sz w:val="18"/>
              </w:rPr>
              <w:t>10,463,035.16</w:t>
            </w:r>
          </w:p>
        </w:tc>
        <w:tc>
          <w:tcPr>
            <w:tcW w:w="184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
              <w:ind w:right="1"/>
              <w:jc w:val="center"/>
              <w:rPr>
                <w:rFonts w:ascii="Times New Roman" w:hAnsi="Times New Roman" w:cs="Times New Roman" w:eastAsia="Times New Roman" w:hint="default"/>
                <w:sz w:val="18"/>
                <w:szCs w:val="18"/>
              </w:rPr>
            </w:pPr>
            <w:r>
              <w:rPr>
                <w:rFonts w:ascii="Times New Roman"/>
                <w:sz w:val="18"/>
              </w:rPr>
              <w:t>20</w:t>
            </w:r>
          </w:p>
        </w:tc>
      </w:tr>
      <w:tr>
        <w:trPr>
          <w:trHeight w:val="348" w:hRule="exact"/>
        </w:trPr>
        <w:tc>
          <w:tcPr>
            <w:tcW w:w="3276" w:type="dxa"/>
            <w:tcBorders>
              <w:top w:val="single" w:sz="8" w:space="0" w:color="000000"/>
              <w:left w:val="single" w:sz="6" w:space="0" w:color="000000"/>
              <w:bottom w:val="single" w:sz="8" w:space="0" w:color="000000"/>
              <w:right w:val="single" w:sz="6" w:space="0" w:color="000000"/>
            </w:tcBorders>
          </w:tcPr>
          <w:p>
            <w:pPr>
              <w:pStyle w:val="TableParagraph"/>
              <w:spacing w:line="225" w:lineRule="exact"/>
              <w:ind w:left="2" w:right="0"/>
              <w:jc w:val="left"/>
              <w:rPr>
                <w:rFonts w:ascii="宋体" w:hAnsi="宋体" w:cs="宋体" w:eastAsia="宋体" w:hint="default"/>
                <w:sz w:val="18"/>
                <w:szCs w:val="18"/>
              </w:rPr>
            </w:pPr>
            <w:r>
              <w:rPr>
                <w:rFonts w:ascii="宋体" w:hAnsi="宋体" w:cs="宋体" w:eastAsia="宋体" w:hint="default"/>
                <w:sz w:val="18"/>
                <w:szCs w:val="18"/>
              </w:rPr>
              <w:t>超期</w:t>
            </w:r>
            <w:r>
              <w:rPr>
                <w:rFonts w:ascii="Times New Roman" w:hAnsi="Times New Roman" w:cs="Times New Roman" w:eastAsia="Times New Roman" w:hint="default"/>
                <w:sz w:val="18"/>
                <w:szCs w:val="18"/>
              </w:rPr>
              <w:t>91-120</w:t>
            </w:r>
            <w:r>
              <w:rPr>
                <w:rFonts w:ascii="宋体" w:hAnsi="宋体" w:cs="宋体" w:eastAsia="宋体" w:hint="default"/>
                <w:sz w:val="18"/>
                <w:szCs w:val="18"/>
              </w:rPr>
              <w:t>天</w:t>
            </w:r>
          </w:p>
        </w:tc>
        <w:tc>
          <w:tcPr>
            <w:tcW w:w="23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
              <w:ind w:right="1"/>
              <w:jc w:val="right"/>
              <w:rPr>
                <w:rFonts w:ascii="Times New Roman" w:hAnsi="Times New Roman" w:cs="Times New Roman" w:eastAsia="Times New Roman" w:hint="default"/>
                <w:sz w:val="18"/>
                <w:szCs w:val="18"/>
              </w:rPr>
            </w:pPr>
            <w:r>
              <w:rPr>
                <w:rFonts w:ascii="Times New Roman"/>
                <w:spacing w:val="-1"/>
                <w:sz w:val="18"/>
              </w:rPr>
              <w:t>42,791,159.83</w:t>
            </w:r>
          </w:p>
        </w:tc>
        <w:tc>
          <w:tcPr>
            <w:tcW w:w="219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
              <w:ind w:right="0"/>
              <w:jc w:val="right"/>
              <w:rPr>
                <w:rFonts w:ascii="Times New Roman" w:hAnsi="Times New Roman" w:cs="Times New Roman" w:eastAsia="Times New Roman" w:hint="default"/>
                <w:sz w:val="18"/>
                <w:szCs w:val="18"/>
              </w:rPr>
            </w:pPr>
            <w:r>
              <w:rPr>
                <w:rFonts w:ascii="Times New Roman"/>
                <w:spacing w:val="-1"/>
                <w:sz w:val="18"/>
              </w:rPr>
              <w:t>12,837,347.95</w:t>
            </w:r>
          </w:p>
        </w:tc>
        <w:tc>
          <w:tcPr>
            <w:tcW w:w="184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
              <w:ind w:right="1"/>
              <w:jc w:val="center"/>
              <w:rPr>
                <w:rFonts w:ascii="Times New Roman" w:hAnsi="Times New Roman" w:cs="Times New Roman" w:eastAsia="Times New Roman" w:hint="default"/>
                <w:sz w:val="18"/>
                <w:szCs w:val="18"/>
              </w:rPr>
            </w:pPr>
            <w:r>
              <w:rPr>
                <w:rFonts w:ascii="Times New Roman"/>
                <w:sz w:val="18"/>
              </w:rPr>
              <w:t>30</w:t>
            </w:r>
          </w:p>
        </w:tc>
      </w:tr>
      <w:tr>
        <w:trPr>
          <w:trHeight w:val="347" w:hRule="exact"/>
        </w:trPr>
        <w:tc>
          <w:tcPr>
            <w:tcW w:w="3276" w:type="dxa"/>
            <w:tcBorders>
              <w:top w:val="single" w:sz="8" w:space="0" w:color="000000"/>
              <w:left w:val="single" w:sz="6" w:space="0" w:color="000000"/>
              <w:bottom w:val="single" w:sz="8" w:space="0" w:color="000000"/>
              <w:right w:val="single" w:sz="6" w:space="0" w:color="000000"/>
            </w:tcBorders>
          </w:tcPr>
          <w:p>
            <w:pPr>
              <w:pStyle w:val="TableParagraph"/>
              <w:spacing w:line="224" w:lineRule="exact"/>
              <w:ind w:left="2" w:right="0"/>
              <w:jc w:val="left"/>
              <w:rPr>
                <w:rFonts w:ascii="宋体" w:hAnsi="宋体" w:cs="宋体" w:eastAsia="宋体" w:hint="default"/>
                <w:sz w:val="18"/>
                <w:szCs w:val="18"/>
              </w:rPr>
            </w:pPr>
            <w:r>
              <w:rPr>
                <w:rFonts w:ascii="宋体" w:hAnsi="宋体" w:cs="宋体" w:eastAsia="宋体" w:hint="default"/>
                <w:sz w:val="18"/>
                <w:szCs w:val="18"/>
              </w:rPr>
              <w:t>超期</w:t>
            </w:r>
            <w:r>
              <w:rPr>
                <w:rFonts w:ascii="Times New Roman" w:hAnsi="Times New Roman" w:cs="Times New Roman" w:eastAsia="Times New Roman" w:hint="default"/>
                <w:sz w:val="18"/>
                <w:szCs w:val="18"/>
              </w:rPr>
              <w:t>121-150</w:t>
            </w:r>
            <w:r>
              <w:rPr>
                <w:rFonts w:ascii="宋体" w:hAnsi="宋体" w:cs="宋体" w:eastAsia="宋体" w:hint="default"/>
                <w:sz w:val="18"/>
                <w:szCs w:val="18"/>
              </w:rPr>
              <w:t>天</w:t>
            </w:r>
          </w:p>
        </w:tc>
        <w:tc>
          <w:tcPr>
            <w:tcW w:w="23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25,380,704.05</w:t>
            </w:r>
          </w:p>
        </w:tc>
        <w:tc>
          <w:tcPr>
            <w:tcW w:w="219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10,152,281.62</w:t>
            </w:r>
          </w:p>
        </w:tc>
        <w:tc>
          <w:tcPr>
            <w:tcW w:w="184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40</w:t>
            </w:r>
          </w:p>
        </w:tc>
      </w:tr>
      <w:tr>
        <w:trPr>
          <w:trHeight w:val="347" w:hRule="exact"/>
        </w:trPr>
        <w:tc>
          <w:tcPr>
            <w:tcW w:w="3276" w:type="dxa"/>
            <w:tcBorders>
              <w:top w:val="single" w:sz="8" w:space="0" w:color="000000"/>
              <w:left w:val="single" w:sz="6" w:space="0" w:color="000000"/>
              <w:bottom w:val="single" w:sz="8" w:space="0" w:color="000000"/>
              <w:right w:val="single" w:sz="6" w:space="0" w:color="000000"/>
            </w:tcBorders>
          </w:tcPr>
          <w:p>
            <w:pPr>
              <w:pStyle w:val="TableParagraph"/>
              <w:spacing w:line="225" w:lineRule="exact"/>
              <w:ind w:left="2" w:right="0"/>
              <w:jc w:val="left"/>
              <w:rPr>
                <w:rFonts w:ascii="宋体" w:hAnsi="宋体" w:cs="宋体" w:eastAsia="宋体" w:hint="default"/>
                <w:sz w:val="18"/>
                <w:szCs w:val="18"/>
              </w:rPr>
            </w:pPr>
            <w:r>
              <w:rPr>
                <w:rFonts w:ascii="宋体" w:hAnsi="宋体" w:cs="宋体" w:eastAsia="宋体" w:hint="default"/>
                <w:sz w:val="18"/>
                <w:szCs w:val="18"/>
              </w:rPr>
              <w:t>超期</w:t>
            </w:r>
            <w:r>
              <w:rPr>
                <w:rFonts w:ascii="Times New Roman" w:hAnsi="Times New Roman" w:cs="Times New Roman" w:eastAsia="Times New Roman" w:hint="default"/>
                <w:sz w:val="18"/>
                <w:szCs w:val="18"/>
              </w:rPr>
              <w:t>151-180</w:t>
            </w:r>
            <w:r>
              <w:rPr>
                <w:rFonts w:ascii="宋体" w:hAnsi="宋体" w:cs="宋体" w:eastAsia="宋体" w:hint="default"/>
                <w:sz w:val="18"/>
                <w:szCs w:val="18"/>
              </w:rPr>
              <w:t>天</w:t>
            </w:r>
          </w:p>
        </w:tc>
        <w:tc>
          <w:tcPr>
            <w:tcW w:w="23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
              <w:ind w:right="1"/>
              <w:jc w:val="right"/>
              <w:rPr>
                <w:rFonts w:ascii="Times New Roman" w:hAnsi="Times New Roman" w:cs="Times New Roman" w:eastAsia="Times New Roman" w:hint="default"/>
                <w:sz w:val="18"/>
                <w:szCs w:val="18"/>
              </w:rPr>
            </w:pPr>
            <w:r>
              <w:rPr>
                <w:rFonts w:ascii="Times New Roman"/>
                <w:spacing w:val="-1"/>
                <w:sz w:val="18"/>
              </w:rPr>
              <w:t>16,135,574.70</w:t>
            </w:r>
          </w:p>
        </w:tc>
        <w:tc>
          <w:tcPr>
            <w:tcW w:w="219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
              <w:ind w:right="0"/>
              <w:jc w:val="right"/>
              <w:rPr>
                <w:rFonts w:ascii="Times New Roman" w:hAnsi="Times New Roman" w:cs="Times New Roman" w:eastAsia="Times New Roman" w:hint="default"/>
                <w:sz w:val="18"/>
                <w:szCs w:val="18"/>
              </w:rPr>
            </w:pPr>
            <w:r>
              <w:rPr>
                <w:rFonts w:ascii="Times New Roman"/>
                <w:spacing w:val="-1"/>
                <w:sz w:val="18"/>
              </w:rPr>
              <w:t>11,294,902.29</w:t>
            </w:r>
          </w:p>
        </w:tc>
        <w:tc>
          <w:tcPr>
            <w:tcW w:w="184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
              <w:ind w:right="1"/>
              <w:jc w:val="center"/>
              <w:rPr>
                <w:rFonts w:ascii="Times New Roman" w:hAnsi="Times New Roman" w:cs="Times New Roman" w:eastAsia="Times New Roman" w:hint="default"/>
                <w:sz w:val="18"/>
                <w:szCs w:val="18"/>
              </w:rPr>
            </w:pPr>
            <w:r>
              <w:rPr>
                <w:rFonts w:ascii="Times New Roman"/>
                <w:sz w:val="18"/>
              </w:rPr>
              <w:t>70</w:t>
            </w:r>
          </w:p>
        </w:tc>
      </w:tr>
      <w:tr>
        <w:trPr>
          <w:trHeight w:val="347" w:hRule="exact"/>
        </w:trPr>
        <w:tc>
          <w:tcPr>
            <w:tcW w:w="3276" w:type="dxa"/>
            <w:tcBorders>
              <w:top w:val="single" w:sz="8" w:space="0" w:color="000000"/>
              <w:left w:val="single" w:sz="6" w:space="0" w:color="000000"/>
              <w:bottom w:val="single" w:sz="8" w:space="0" w:color="000000"/>
              <w:right w:val="single" w:sz="6" w:space="0" w:color="000000"/>
            </w:tcBorders>
          </w:tcPr>
          <w:p>
            <w:pPr>
              <w:pStyle w:val="TableParagraph"/>
              <w:spacing w:line="225" w:lineRule="exact"/>
              <w:ind w:left="2" w:right="0"/>
              <w:jc w:val="left"/>
              <w:rPr>
                <w:rFonts w:ascii="宋体" w:hAnsi="宋体" w:cs="宋体" w:eastAsia="宋体" w:hint="default"/>
                <w:sz w:val="18"/>
                <w:szCs w:val="18"/>
              </w:rPr>
            </w:pPr>
            <w:r>
              <w:rPr>
                <w:rFonts w:ascii="宋体" w:hAnsi="宋体" w:cs="宋体" w:eastAsia="宋体" w:hint="default"/>
                <w:sz w:val="18"/>
                <w:szCs w:val="18"/>
              </w:rPr>
              <w:t>超期</w:t>
            </w:r>
            <w:r>
              <w:rPr>
                <w:rFonts w:ascii="Times New Roman" w:hAnsi="Times New Roman" w:cs="Times New Roman" w:eastAsia="Times New Roman" w:hint="default"/>
                <w:sz w:val="18"/>
                <w:szCs w:val="18"/>
              </w:rPr>
              <w:t>181</w:t>
            </w:r>
            <w:r>
              <w:rPr>
                <w:rFonts w:ascii="宋体" w:hAnsi="宋体" w:cs="宋体" w:eastAsia="宋体" w:hint="default"/>
                <w:sz w:val="18"/>
                <w:szCs w:val="18"/>
              </w:rPr>
              <w:t>天及以上</w:t>
            </w:r>
          </w:p>
        </w:tc>
        <w:tc>
          <w:tcPr>
            <w:tcW w:w="23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
              <w:ind w:right="1"/>
              <w:jc w:val="right"/>
              <w:rPr>
                <w:rFonts w:ascii="Times New Roman" w:hAnsi="Times New Roman" w:cs="Times New Roman" w:eastAsia="Times New Roman" w:hint="default"/>
                <w:sz w:val="18"/>
                <w:szCs w:val="18"/>
              </w:rPr>
            </w:pPr>
            <w:r>
              <w:rPr>
                <w:rFonts w:ascii="Times New Roman"/>
                <w:spacing w:val="-1"/>
                <w:sz w:val="18"/>
              </w:rPr>
              <w:t>302,213,105.74</w:t>
            </w:r>
          </w:p>
        </w:tc>
        <w:tc>
          <w:tcPr>
            <w:tcW w:w="219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
              <w:ind w:right="0"/>
              <w:jc w:val="right"/>
              <w:rPr>
                <w:rFonts w:ascii="Times New Roman" w:hAnsi="Times New Roman" w:cs="Times New Roman" w:eastAsia="Times New Roman" w:hint="default"/>
                <w:sz w:val="18"/>
                <w:szCs w:val="18"/>
              </w:rPr>
            </w:pPr>
            <w:r>
              <w:rPr>
                <w:rFonts w:ascii="Times New Roman"/>
                <w:spacing w:val="-1"/>
                <w:sz w:val="18"/>
              </w:rPr>
              <w:t>302,213,105.74</w:t>
            </w:r>
          </w:p>
        </w:tc>
        <w:tc>
          <w:tcPr>
            <w:tcW w:w="184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
              <w:ind w:right="0"/>
              <w:jc w:val="center"/>
              <w:rPr>
                <w:rFonts w:ascii="Times New Roman" w:hAnsi="Times New Roman" w:cs="Times New Roman" w:eastAsia="Times New Roman" w:hint="default"/>
                <w:sz w:val="18"/>
                <w:szCs w:val="18"/>
              </w:rPr>
            </w:pPr>
            <w:r>
              <w:rPr>
                <w:rFonts w:ascii="Times New Roman"/>
                <w:sz w:val="18"/>
              </w:rPr>
              <w:t>100</w:t>
            </w:r>
          </w:p>
        </w:tc>
      </w:tr>
      <w:tr>
        <w:trPr>
          <w:trHeight w:val="348" w:hRule="exact"/>
        </w:trPr>
        <w:tc>
          <w:tcPr>
            <w:tcW w:w="3276" w:type="dxa"/>
            <w:tcBorders>
              <w:top w:val="single" w:sz="8" w:space="0" w:color="000000"/>
              <w:left w:val="single" w:sz="6" w:space="0" w:color="000000"/>
              <w:bottom w:val="single" w:sz="8" w:space="0" w:color="000000"/>
              <w:right w:val="single" w:sz="6" w:space="0" w:color="000000"/>
            </w:tcBorders>
          </w:tcPr>
          <w:p>
            <w:pPr>
              <w:pStyle w:val="TableParagraph"/>
              <w:spacing w:line="212" w:lineRule="exact"/>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
              <w:ind w:right="2"/>
              <w:jc w:val="right"/>
              <w:rPr>
                <w:rFonts w:ascii="Times New Roman" w:hAnsi="Times New Roman" w:cs="Times New Roman" w:eastAsia="Times New Roman" w:hint="default"/>
                <w:sz w:val="18"/>
                <w:szCs w:val="18"/>
              </w:rPr>
            </w:pPr>
            <w:r>
              <w:rPr>
                <w:rFonts w:ascii="Times New Roman"/>
                <w:spacing w:val="-1"/>
                <w:sz w:val="18"/>
              </w:rPr>
              <w:t>8,931,939,004.39</w:t>
            </w:r>
          </w:p>
        </w:tc>
        <w:tc>
          <w:tcPr>
            <w:tcW w:w="219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
              <w:ind w:right="0"/>
              <w:jc w:val="right"/>
              <w:rPr>
                <w:rFonts w:ascii="Times New Roman" w:hAnsi="Times New Roman" w:cs="Times New Roman" w:eastAsia="Times New Roman" w:hint="default"/>
                <w:sz w:val="18"/>
                <w:szCs w:val="18"/>
              </w:rPr>
            </w:pPr>
            <w:r>
              <w:rPr>
                <w:rFonts w:ascii="Times New Roman"/>
                <w:spacing w:val="-1"/>
                <w:sz w:val="18"/>
              </w:rPr>
              <w:t>360,738,127.70</w:t>
            </w:r>
          </w:p>
        </w:tc>
        <w:tc>
          <w:tcPr>
            <w:tcW w:w="184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2"/>
        <w:rPr>
          <w:rFonts w:ascii="宋体" w:hAnsi="宋体" w:cs="宋体" w:eastAsia="宋体" w:hint="default"/>
          <w:sz w:val="11"/>
          <w:szCs w:val="11"/>
        </w:rPr>
      </w:pPr>
    </w:p>
    <w:p>
      <w:pPr>
        <w:pStyle w:val="BodyText"/>
        <w:spacing w:line="240" w:lineRule="auto" w:before="44"/>
        <w:ind w:right="0"/>
        <w:jc w:val="left"/>
      </w:pPr>
      <w:r>
        <w:rPr>
          <w:rFonts w:ascii="Times New Roman" w:hAnsi="Times New Roman" w:cs="Times New Roman" w:eastAsia="Times New Roman" w:hint="default"/>
        </w:rPr>
        <w:t>C</w:t>
      </w:r>
      <w:r>
        <w:rPr>
          <w:rFonts w:ascii="Times New Roman" w:hAnsi="Times New Roman" w:cs="Times New Roman" w:eastAsia="Times New Roman" w:hint="default"/>
          <w:spacing w:val="26"/>
        </w:rPr>
        <w:t> </w:t>
      </w:r>
      <w:r>
        <w:rPr/>
        <w:t>组合中，采用其他方法计提坏账准备的应收账款</w:t>
      </w:r>
    </w:p>
    <w:tbl>
      <w:tblPr>
        <w:tblW w:w="0" w:type="auto"/>
        <w:jc w:val="left"/>
        <w:tblInd w:w="137" w:type="dxa"/>
        <w:tblLayout w:type="fixed"/>
        <w:tblCellMar>
          <w:top w:w="0" w:type="dxa"/>
          <w:left w:w="0" w:type="dxa"/>
          <w:bottom w:w="0" w:type="dxa"/>
          <w:right w:w="0" w:type="dxa"/>
        </w:tblCellMar>
        <w:tblLook w:val="01E0"/>
      </w:tblPr>
      <w:tblGrid>
        <w:gridCol w:w="3224"/>
        <w:gridCol w:w="2247"/>
        <w:gridCol w:w="2086"/>
        <w:gridCol w:w="2102"/>
      </w:tblGrid>
      <w:tr>
        <w:trPr>
          <w:trHeight w:val="352" w:hRule="exact"/>
        </w:trPr>
        <w:tc>
          <w:tcPr>
            <w:tcW w:w="3224" w:type="dxa"/>
            <w:vMerge w:val="restart"/>
            <w:tcBorders>
              <w:top w:val="single" w:sz="6" w:space="0" w:color="000000"/>
              <w:left w:val="single" w:sz="6" w:space="0" w:color="000000"/>
              <w:right w:val="single" w:sz="6" w:space="0" w:color="000000"/>
            </w:tcBorders>
            <w:shd w:val="clear" w:color="auto" w:fill="D0CECE"/>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组合名称</w:t>
            </w:r>
            <w:r>
              <w:rPr>
                <w:rFonts w:ascii="宋体" w:hAnsi="宋体" w:cs="宋体" w:eastAsia="宋体" w:hint="default"/>
                <w:sz w:val="18"/>
                <w:szCs w:val="18"/>
              </w:rPr>
            </w:r>
          </w:p>
        </w:tc>
        <w:tc>
          <w:tcPr>
            <w:tcW w:w="6435" w:type="dxa"/>
            <w:gridSpan w:val="3"/>
            <w:tcBorders>
              <w:top w:val="single" w:sz="6" w:space="0" w:color="000000"/>
              <w:left w:val="single" w:sz="6" w:space="0" w:color="000000"/>
              <w:bottom w:val="single" w:sz="8" w:space="0" w:color="000000"/>
              <w:right w:val="single" w:sz="6" w:space="0" w:color="000000"/>
            </w:tcBorders>
            <w:shd w:val="clear" w:color="auto" w:fill="D0CECE"/>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44" w:hRule="exact"/>
        </w:trPr>
        <w:tc>
          <w:tcPr>
            <w:tcW w:w="3224" w:type="dxa"/>
            <w:vMerge/>
            <w:tcBorders>
              <w:left w:val="single" w:sz="6" w:space="0" w:color="000000"/>
              <w:bottom w:val="single" w:sz="8" w:space="0" w:color="000000"/>
              <w:right w:val="single" w:sz="6" w:space="0" w:color="000000"/>
            </w:tcBorders>
            <w:shd w:val="clear" w:color="auto" w:fill="D0CECE"/>
          </w:tcPr>
          <w:p>
            <w:pPr/>
          </w:p>
        </w:tc>
        <w:tc>
          <w:tcPr>
            <w:tcW w:w="2247" w:type="dxa"/>
            <w:tcBorders>
              <w:top w:val="single" w:sz="8" w:space="0" w:color="000000"/>
              <w:left w:val="single" w:sz="6" w:space="0" w:color="000000"/>
              <w:bottom w:val="single" w:sz="8" w:space="0" w:color="000000"/>
              <w:right w:val="single" w:sz="6" w:space="0" w:color="000000"/>
            </w:tcBorders>
            <w:shd w:val="clear" w:color="auto" w:fill="D0CECE"/>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2086" w:type="dxa"/>
            <w:tcBorders>
              <w:top w:val="single" w:sz="8" w:space="0" w:color="000000"/>
              <w:left w:val="single" w:sz="6" w:space="0" w:color="000000"/>
              <w:bottom w:val="single" w:sz="8" w:space="0" w:color="000000"/>
              <w:right w:val="single" w:sz="6" w:space="0" w:color="000000"/>
            </w:tcBorders>
            <w:shd w:val="clear" w:color="auto" w:fill="D0CECE"/>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102" w:type="dxa"/>
            <w:tcBorders>
              <w:top w:val="single" w:sz="8" w:space="0" w:color="000000"/>
              <w:left w:val="single" w:sz="6" w:space="0" w:color="000000"/>
              <w:bottom w:val="single" w:sz="8" w:space="0" w:color="000000"/>
              <w:right w:val="single" w:sz="6" w:space="0" w:color="000000"/>
            </w:tcBorders>
            <w:shd w:val="clear" w:color="auto" w:fill="D0CECE"/>
          </w:tcPr>
          <w:p>
            <w:pPr>
              <w:pStyle w:val="TableParagraph"/>
              <w:spacing w:line="222" w:lineRule="exact"/>
              <w:ind w:right="1"/>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48" w:hRule="exact"/>
        </w:trPr>
        <w:tc>
          <w:tcPr>
            <w:tcW w:w="322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2" w:right="0"/>
              <w:jc w:val="left"/>
              <w:rPr>
                <w:rFonts w:ascii="宋体" w:hAnsi="宋体" w:cs="宋体" w:eastAsia="宋体" w:hint="default"/>
                <w:sz w:val="18"/>
                <w:szCs w:val="18"/>
              </w:rPr>
            </w:pPr>
            <w:r>
              <w:rPr>
                <w:rFonts w:ascii="宋体" w:hAnsi="宋体" w:cs="宋体" w:eastAsia="宋体" w:hint="default"/>
                <w:sz w:val="18"/>
                <w:szCs w:val="18"/>
              </w:rPr>
              <w:t>与交易对象关系组合</w:t>
            </w:r>
          </w:p>
        </w:tc>
        <w:tc>
          <w:tcPr>
            <w:tcW w:w="224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4"/>
              <w:ind w:left="1195" w:right="0"/>
              <w:jc w:val="left"/>
              <w:rPr>
                <w:rFonts w:ascii="Times New Roman" w:hAnsi="Times New Roman" w:cs="Times New Roman" w:eastAsia="Times New Roman" w:hint="default"/>
                <w:sz w:val="18"/>
                <w:szCs w:val="18"/>
              </w:rPr>
            </w:pPr>
            <w:r>
              <w:rPr>
                <w:rFonts w:ascii="Times New Roman"/>
                <w:sz w:val="18"/>
              </w:rPr>
              <w:t>33,463,786.87</w:t>
            </w:r>
          </w:p>
        </w:tc>
        <w:tc>
          <w:tcPr>
            <w:tcW w:w="20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4"/>
              <w:ind w:right="1"/>
              <w:jc w:val="center"/>
              <w:rPr>
                <w:rFonts w:ascii="Times New Roman" w:hAnsi="Times New Roman" w:cs="Times New Roman" w:eastAsia="Times New Roman" w:hint="default"/>
                <w:sz w:val="18"/>
                <w:szCs w:val="18"/>
              </w:rPr>
            </w:pPr>
            <w:r>
              <w:rPr>
                <w:rFonts w:ascii="Times New Roman"/>
                <w:sz w:val="18"/>
              </w:rPr>
              <w:t>0</w:t>
            </w:r>
          </w:p>
        </w:tc>
        <w:tc>
          <w:tcPr>
            <w:tcW w:w="21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4"/>
              <w:ind w:left="1" w:right="0"/>
              <w:jc w:val="center"/>
              <w:rPr>
                <w:rFonts w:ascii="Times New Roman" w:hAnsi="Times New Roman" w:cs="Times New Roman" w:eastAsia="Times New Roman" w:hint="default"/>
                <w:sz w:val="18"/>
                <w:szCs w:val="18"/>
              </w:rPr>
            </w:pPr>
            <w:r>
              <w:rPr>
                <w:rFonts w:ascii="Times New Roman"/>
                <w:sz w:val="18"/>
              </w:rPr>
              <w:t>0</w:t>
            </w:r>
          </w:p>
        </w:tc>
      </w:tr>
    </w:tbl>
    <w:p>
      <w:pPr>
        <w:spacing w:line="240" w:lineRule="auto" w:before="5"/>
        <w:rPr>
          <w:rFonts w:ascii="宋体" w:hAnsi="宋体" w:cs="宋体" w:eastAsia="宋体" w:hint="default"/>
          <w:sz w:val="17"/>
          <w:szCs w:val="17"/>
        </w:rPr>
      </w:pPr>
    </w:p>
    <w:p>
      <w:pPr>
        <w:pStyle w:val="Heading5"/>
        <w:spacing w:line="240" w:lineRule="auto"/>
        <w:ind w:right="0"/>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42"/>
        </w:rPr>
        <w:t> </w:t>
      </w:r>
      <w:r>
        <w:rPr/>
        <w:t>本期计提、收回或转回的坏账准备情况</w:t>
      </w:r>
      <w:r>
        <w:rPr>
          <w:b w:val="0"/>
          <w:bCs w:val="0"/>
        </w:rPr>
      </w:r>
    </w:p>
    <w:p>
      <w:pPr>
        <w:pStyle w:val="BodyText"/>
        <w:spacing w:line="264" w:lineRule="auto" w:before="24"/>
        <w:ind w:right="2151"/>
        <w:jc w:val="left"/>
      </w:pPr>
      <w:r>
        <w:rPr/>
        <w:t>本年度冲回坏账准备</w:t>
      </w:r>
      <w:r>
        <w:rPr>
          <w:spacing w:val="-48"/>
        </w:rPr>
        <w:t> </w:t>
      </w:r>
      <w:r>
        <w:rPr>
          <w:rFonts w:ascii="Times New Roman" w:hAnsi="Times New Roman" w:cs="Times New Roman" w:eastAsia="Times New Roman" w:hint="default"/>
        </w:rPr>
        <w:t>7,933,969.81</w:t>
      </w:r>
      <w:r>
        <w:rPr>
          <w:rFonts w:ascii="Times New Roman" w:hAnsi="Times New Roman" w:cs="Times New Roman" w:eastAsia="Times New Roman" w:hint="default"/>
          <w:spacing w:val="-10"/>
        </w:rPr>
        <w:t> </w:t>
      </w:r>
      <w:r>
        <w:rPr/>
        <w:t>元，汇兑影响增加坏账准备</w:t>
      </w:r>
      <w:r>
        <w:rPr>
          <w:spacing w:val="-48"/>
        </w:rPr>
        <w:t> </w:t>
      </w:r>
      <w:r>
        <w:rPr>
          <w:rFonts w:ascii="Times New Roman" w:hAnsi="Times New Roman" w:cs="Times New Roman" w:eastAsia="Times New Roman" w:hint="default"/>
        </w:rPr>
        <w:t>161,027.12</w:t>
      </w:r>
      <w:r>
        <w:rPr>
          <w:rFonts w:ascii="Times New Roman" w:hAnsi="Times New Roman" w:cs="Times New Roman" w:eastAsia="Times New Roman" w:hint="default"/>
          <w:spacing w:val="-10"/>
        </w:rPr>
        <w:t> </w:t>
      </w:r>
      <w:r>
        <w:rPr/>
        <w:t>元，核销坏账准备</w:t>
      </w:r>
      <w:r>
        <w:rPr>
          <w:spacing w:val="-48"/>
        </w:rPr>
        <w:t> </w:t>
      </w:r>
      <w:r>
        <w:rPr>
          <w:rFonts w:ascii="Times New Roman" w:hAnsi="Times New Roman" w:cs="Times New Roman" w:eastAsia="Times New Roman" w:hint="default"/>
        </w:rPr>
        <w:t>13,970,341.59</w:t>
      </w:r>
      <w:r>
        <w:rPr>
          <w:rFonts w:ascii="Times New Roman" w:hAnsi="Times New Roman" w:cs="Times New Roman" w:eastAsia="Times New Roman" w:hint="default"/>
          <w:spacing w:val="-10"/>
        </w:rPr>
        <w:t> </w:t>
      </w:r>
      <w:r>
        <w:rPr/>
        <w:t>元。 本期无重要坏账准备收回或转回金额。</w:t>
      </w:r>
    </w:p>
    <w:p>
      <w:pPr>
        <w:spacing w:line="240" w:lineRule="auto" w:before="0"/>
        <w:rPr>
          <w:rFonts w:ascii="宋体" w:hAnsi="宋体" w:cs="宋体" w:eastAsia="宋体" w:hint="default"/>
          <w:sz w:val="17"/>
          <w:szCs w:val="17"/>
        </w:rPr>
      </w:pPr>
    </w:p>
    <w:p>
      <w:pPr>
        <w:pStyle w:val="Heading5"/>
        <w:spacing w:line="240" w:lineRule="auto"/>
        <w:ind w:right="0"/>
        <w:jc w:val="left"/>
        <w:rPr>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42"/>
        </w:rPr>
        <w:t> </w:t>
      </w:r>
      <w:r>
        <w:rPr/>
        <w:t>本期实际核销的应收账款情况</w:t>
      </w:r>
      <w:r>
        <w:rPr>
          <w:b w:val="0"/>
          <w:bCs w:val="0"/>
        </w:rPr>
      </w:r>
    </w:p>
    <w:p>
      <w:pPr>
        <w:pStyle w:val="BodyText"/>
        <w:spacing w:line="240" w:lineRule="auto" w:before="24"/>
        <w:ind w:left="0" w:right="1130"/>
        <w:jc w:val="right"/>
      </w:pPr>
      <w:r>
        <w:rPr/>
        <w:t>单位： 元</w:t>
      </w:r>
    </w:p>
    <w:p>
      <w:pPr>
        <w:spacing w:line="240" w:lineRule="auto" w:before="2"/>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4848"/>
        <w:gridCol w:w="4847"/>
      </w:tblGrid>
      <w:tr>
        <w:trPr>
          <w:trHeight w:val="323" w:hRule="exact"/>
        </w:trPr>
        <w:tc>
          <w:tcPr>
            <w:tcW w:w="4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324" w:hRule="exact"/>
        </w:trPr>
        <w:tc>
          <w:tcPr>
            <w:tcW w:w="4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13,970,341.59</w:t>
            </w:r>
          </w:p>
        </w:tc>
      </w:tr>
    </w:tbl>
    <w:p>
      <w:pPr>
        <w:pStyle w:val="BodyText"/>
        <w:spacing w:line="240" w:lineRule="auto" w:before="10"/>
        <w:ind w:right="0"/>
        <w:jc w:val="left"/>
      </w:pPr>
      <w:r>
        <w:rPr/>
        <w:t>其中重要的应收账款核销情况：</w:t>
      </w:r>
    </w:p>
    <w:p>
      <w:pPr>
        <w:pStyle w:val="BodyText"/>
        <w:spacing w:line="240" w:lineRule="auto" w:before="37"/>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1618"/>
        <w:gridCol w:w="1616"/>
        <w:gridCol w:w="1616"/>
        <w:gridCol w:w="1614"/>
        <w:gridCol w:w="1616"/>
        <w:gridCol w:w="1615"/>
      </w:tblGrid>
      <w:tr>
        <w:trPr>
          <w:trHeight w:val="557" w:hRule="exact"/>
        </w:trPr>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4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6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4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4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531" w:right="83"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1491"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2" w:right="143"/>
              <w:jc w:val="left"/>
              <w:rPr>
                <w:rFonts w:ascii="宋体" w:hAnsi="宋体" w:cs="宋体" w:eastAsia="宋体" w:hint="default"/>
                <w:sz w:val="18"/>
                <w:szCs w:val="18"/>
              </w:rPr>
            </w:pPr>
            <w:r>
              <w:rPr>
                <w:rFonts w:ascii="宋体" w:hAnsi="宋体" w:cs="宋体" w:eastAsia="宋体" w:hint="default"/>
                <w:sz w:val="18"/>
                <w:szCs w:val="18"/>
              </w:rPr>
              <w:t>一丁集团股份有限 公司</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37" w:right="0"/>
              <w:jc w:val="left"/>
              <w:rPr>
                <w:rFonts w:ascii="Times New Roman" w:hAnsi="Times New Roman" w:cs="Times New Roman" w:eastAsia="Times New Roman" w:hint="default"/>
                <w:sz w:val="18"/>
                <w:szCs w:val="18"/>
              </w:rPr>
            </w:pPr>
            <w:r>
              <w:rPr>
                <w:rFonts w:ascii="Times New Roman"/>
                <w:sz w:val="18"/>
              </w:rPr>
              <w:t>2,927,040.00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37" w:lineRule="auto"/>
              <w:ind w:left="22" w:right="20"/>
              <w:jc w:val="left"/>
              <w:rPr>
                <w:rFonts w:ascii="宋体" w:hAnsi="宋体" w:cs="宋体" w:eastAsia="宋体" w:hint="default"/>
                <w:sz w:val="18"/>
                <w:szCs w:val="18"/>
              </w:rPr>
            </w:pPr>
            <w:r>
              <w:rPr>
                <w:rFonts w:ascii="宋体" w:hAnsi="宋体" w:cs="宋体" w:eastAsia="宋体" w:hint="default"/>
                <w:spacing w:val="-7"/>
                <w:sz w:val="18"/>
                <w:szCs w:val="18"/>
              </w:rPr>
              <w:t>诉讼案件胜诉，但客</w:t>
            </w:r>
            <w:r>
              <w:rPr>
                <w:rFonts w:ascii="宋体" w:hAnsi="宋体" w:cs="宋体" w:eastAsia="宋体" w:hint="default"/>
                <w:sz w:val="18"/>
                <w:szCs w:val="18"/>
              </w:rPr>
              <w:t> </w:t>
            </w:r>
            <w:r>
              <w:rPr>
                <w:rFonts w:ascii="宋体" w:hAnsi="宋体" w:cs="宋体" w:eastAsia="宋体" w:hint="default"/>
                <w:spacing w:val="-7"/>
                <w:sz w:val="18"/>
                <w:szCs w:val="18"/>
              </w:rPr>
              <w:t>户无可执行财产，应</w:t>
            </w:r>
            <w:r>
              <w:rPr>
                <w:rFonts w:ascii="宋体" w:hAnsi="宋体" w:cs="宋体" w:eastAsia="宋体" w:hint="default"/>
                <w:sz w:val="18"/>
                <w:szCs w:val="18"/>
              </w:rPr>
              <w:t> 收账款形成实际损 失</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4" w:right="21"/>
              <w:jc w:val="left"/>
              <w:rPr>
                <w:rFonts w:ascii="宋体" w:hAnsi="宋体" w:cs="宋体" w:eastAsia="宋体" w:hint="default"/>
                <w:sz w:val="18"/>
                <w:szCs w:val="18"/>
              </w:rPr>
            </w:pPr>
            <w:r>
              <w:rPr>
                <w:rFonts w:ascii="宋体" w:hAnsi="宋体" w:cs="宋体" w:eastAsia="宋体" w:hint="default"/>
                <w:sz w:val="18"/>
                <w:szCs w:val="18"/>
              </w:rPr>
              <w:t>核销申请由本公司 </w:t>
            </w:r>
            <w:r>
              <w:rPr>
                <w:rFonts w:ascii="宋体" w:hAnsi="宋体" w:cs="宋体" w:eastAsia="宋体" w:hint="default"/>
                <w:spacing w:val="-7"/>
                <w:sz w:val="18"/>
                <w:szCs w:val="18"/>
              </w:rPr>
              <w:t>事业部提出，经本公</w:t>
            </w:r>
            <w:r>
              <w:rPr>
                <w:rFonts w:ascii="宋体" w:hAnsi="宋体" w:cs="宋体" w:eastAsia="宋体" w:hint="default"/>
                <w:sz w:val="18"/>
                <w:szCs w:val="18"/>
              </w:rPr>
              <w:t> </w:t>
            </w:r>
            <w:r>
              <w:rPr>
                <w:rFonts w:ascii="宋体" w:hAnsi="宋体" w:cs="宋体" w:eastAsia="宋体" w:hint="default"/>
                <w:spacing w:val="-7"/>
                <w:sz w:val="18"/>
                <w:szCs w:val="18"/>
              </w:rPr>
              <w:t>司风险管理部、财务</w:t>
            </w:r>
            <w:r>
              <w:rPr>
                <w:rFonts w:ascii="宋体" w:hAnsi="宋体" w:cs="宋体" w:eastAsia="宋体" w:hint="default"/>
                <w:sz w:val="18"/>
                <w:szCs w:val="18"/>
              </w:rPr>
              <w:t> 部审批后进行账务 处理并进行备案登 记。</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footerReference w:type="default" r:id="rId36"/>
          <w:pgSz w:w="11910" w:h="16840"/>
          <w:pgMar w:footer="979" w:header="0" w:top="1100" w:bottom="1160" w:left="980" w:right="0"/>
          <w:pgNumType w:start="132"/>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618"/>
        <w:gridCol w:w="1616"/>
        <w:gridCol w:w="1616"/>
        <w:gridCol w:w="1614"/>
        <w:gridCol w:w="1616"/>
        <w:gridCol w:w="1615"/>
      </w:tblGrid>
      <w:tr>
        <w:trPr>
          <w:trHeight w:val="557" w:hRule="exact"/>
        </w:trPr>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4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6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4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531" w:right="83"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1491"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2" w:right="143"/>
              <w:jc w:val="left"/>
              <w:rPr>
                <w:rFonts w:ascii="宋体" w:hAnsi="宋体" w:cs="宋体" w:eastAsia="宋体" w:hint="default"/>
                <w:sz w:val="18"/>
                <w:szCs w:val="18"/>
              </w:rPr>
            </w:pPr>
            <w:r>
              <w:rPr>
                <w:rFonts w:ascii="宋体" w:hAnsi="宋体" w:cs="宋体" w:eastAsia="宋体" w:hint="default"/>
                <w:sz w:val="18"/>
                <w:szCs w:val="18"/>
              </w:rPr>
              <w:t>北京英图光彩置业 有限责任公司</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2,120,085.60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37" w:lineRule="auto"/>
              <w:ind w:left="22" w:right="20"/>
              <w:jc w:val="left"/>
              <w:rPr>
                <w:rFonts w:ascii="宋体" w:hAnsi="宋体" w:cs="宋体" w:eastAsia="宋体" w:hint="default"/>
                <w:sz w:val="18"/>
                <w:szCs w:val="18"/>
              </w:rPr>
            </w:pPr>
            <w:r>
              <w:rPr>
                <w:rFonts w:ascii="宋体" w:hAnsi="宋体" w:cs="宋体" w:eastAsia="宋体" w:hint="default"/>
                <w:spacing w:val="-7"/>
                <w:sz w:val="18"/>
                <w:szCs w:val="18"/>
              </w:rPr>
              <w:t>诉讼案件胜诉，但客</w:t>
            </w:r>
            <w:r>
              <w:rPr>
                <w:rFonts w:ascii="宋体" w:hAnsi="宋体" w:cs="宋体" w:eastAsia="宋体" w:hint="default"/>
                <w:sz w:val="18"/>
                <w:szCs w:val="18"/>
              </w:rPr>
              <w:t> </w:t>
            </w:r>
            <w:r>
              <w:rPr>
                <w:rFonts w:ascii="宋体" w:hAnsi="宋体" w:cs="宋体" w:eastAsia="宋体" w:hint="default"/>
                <w:spacing w:val="-7"/>
                <w:sz w:val="18"/>
                <w:szCs w:val="18"/>
              </w:rPr>
              <w:t>户无可执行财产，应</w:t>
            </w:r>
            <w:r>
              <w:rPr>
                <w:rFonts w:ascii="宋体" w:hAnsi="宋体" w:cs="宋体" w:eastAsia="宋体" w:hint="default"/>
                <w:sz w:val="18"/>
                <w:szCs w:val="18"/>
              </w:rPr>
              <w:t> 收账款形成实际损 失</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4" w:right="21"/>
              <w:jc w:val="left"/>
              <w:rPr>
                <w:rFonts w:ascii="宋体" w:hAnsi="宋体" w:cs="宋体" w:eastAsia="宋体" w:hint="default"/>
                <w:sz w:val="18"/>
                <w:szCs w:val="18"/>
              </w:rPr>
            </w:pPr>
            <w:r>
              <w:rPr>
                <w:rFonts w:ascii="宋体" w:hAnsi="宋体" w:cs="宋体" w:eastAsia="宋体" w:hint="default"/>
                <w:sz w:val="18"/>
                <w:szCs w:val="18"/>
              </w:rPr>
              <w:t>核销申请由本公司 </w:t>
            </w:r>
            <w:r>
              <w:rPr>
                <w:rFonts w:ascii="宋体" w:hAnsi="宋体" w:cs="宋体" w:eastAsia="宋体" w:hint="default"/>
                <w:spacing w:val="-7"/>
                <w:sz w:val="18"/>
                <w:szCs w:val="18"/>
              </w:rPr>
              <w:t>事业部提出，经本公</w:t>
            </w:r>
            <w:r>
              <w:rPr>
                <w:rFonts w:ascii="宋体" w:hAnsi="宋体" w:cs="宋体" w:eastAsia="宋体" w:hint="default"/>
                <w:sz w:val="18"/>
                <w:szCs w:val="18"/>
              </w:rPr>
              <w:t> </w:t>
            </w:r>
            <w:r>
              <w:rPr>
                <w:rFonts w:ascii="宋体" w:hAnsi="宋体" w:cs="宋体" w:eastAsia="宋体" w:hint="default"/>
                <w:spacing w:val="-7"/>
                <w:sz w:val="18"/>
                <w:szCs w:val="18"/>
              </w:rPr>
              <w:t>司风险管理部、财务</w:t>
            </w:r>
            <w:r>
              <w:rPr>
                <w:rFonts w:ascii="宋体" w:hAnsi="宋体" w:cs="宋体" w:eastAsia="宋体" w:hint="default"/>
                <w:sz w:val="18"/>
                <w:szCs w:val="18"/>
              </w:rPr>
              <w:t> 部审批后进行账务 处理并进行备案登 记。</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490"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2" w:right="143"/>
              <w:jc w:val="left"/>
              <w:rPr>
                <w:rFonts w:ascii="宋体" w:hAnsi="宋体" w:cs="宋体" w:eastAsia="宋体" w:hint="default"/>
                <w:sz w:val="18"/>
                <w:szCs w:val="18"/>
              </w:rPr>
            </w:pPr>
            <w:r>
              <w:rPr>
                <w:rFonts w:ascii="宋体" w:hAnsi="宋体" w:cs="宋体" w:eastAsia="宋体" w:hint="default"/>
                <w:sz w:val="18"/>
                <w:szCs w:val="18"/>
              </w:rPr>
              <w:t>厦门诚殷信息科技 有限公司</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1,495,563.75</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37" w:lineRule="auto"/>
              <w:ind w:left="22" w:right="20"/>
              <w:jc w:val="left"/>
              <w:rPr>
                <w:rFonts w:ascii="宋体" w:hAnsi="宋体" w:cs="宋体" w:eastAsia="宋体" w:hint="default"/>
                <w:sz w:val="18"/>
                <w:szCs w:val="18"/>
              </w:rPr>
            </w:pPr>
            <w:r>
              <w:rPr>
                <w:rFonts w:ascii="宋体" w:hAnsi="宋体" w:cs="宋体" w:eastAsia="宋体" w:hint="default"/>
                <w:spacing w:val="-7"/>
                <w:sz w:val="18"/>
                <w:szCs w:val="18"/>
              </w:rPr>
              <w:t>诉讼案件胜诉，但客</w:t>
            </w:r>
            <w:r>
              <w:rPr>
                <w:rFonts w:ascii="宋体" w:hAnsi="宋体" w:cs="宋体" w:eastAsia="宋体" w:hint="default"/>
                <w:sz w:val="18"/>
                <w:szCs w:val="18"/>
              </w:rPr>
              <w:t> </w:t>
            </w:r>
            <w:r>
              <w:rPr>
                <w:rFonts w:ascii="宋体" w:hAnsi="宋体" w:cs="宋体" w:eastAsia="宋体" w:hint="default"/>
                <w:spacing w:val="-7"/>
                <w:sz w:val="18"/>
                <w:szCs w:val="18"/>
              </w:rPr>
              <w:t>户无可执行财产，应</w:t>
            </w:r>
            <w:r>
              <w:rPr>
                <w:rFonts w:ascii="宋体" w:hAnsi="宋体" w:cs="宋体" w:eastAsia="宋体" w:hint="default"/>
                <w:sz w:val="18"/>
                <w:szCs w:val="18"/>
              </w:rPr>
              <w:t> 收账款形成实际损 失</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4" w:right="21"/>
              <w:jc w:val="left"/>
              <w:rPr>
                <w:rFonts w:ascii="宋体" w:hAnsi="宋体" w:cs="宋体" w:eastAsia="宋体" w:hint="default"/>
                <w:sz w:val="18"/>
                <w:szCs w:val="18"/>
              </w:rPr>
            </w:pPr>
            <w:r>
              <w:rPr>
                <w:rFonts w:ascii="宋体" w:hAnsi="宋体" w:cs="宋体" w:eastAsia="宋体" w:hint="default"/>
                <w:sz w:val="18"/>
                <w:szCs w:val="18"/>
              </w:rPr>
              <w:t>核销申请由本公司 </w:t>
            </w:r>
            <w:r>
              <w:rPr>
                <w:rFonts w:ascii="宋体" w:hAnsi="宋体" w:cs="宋体" w:eastAsia="宋体" w:hint="default"/>
                <w:spacing w:val="-7"/>
                <w:sz w:val="18"/>
                <w:szCs w:val="18"/>
              </w:rPr>
              <w:t>事业部提出，经本公</w:t>
            </w:r>
            <w:r>
              <w:rPr>
                <w:rFonts w:ascii="宋体" w:hAnsi="宋体" w:cs="宋体" w:eastAsia="宋体" w:hint="default"/>
                <w:sz w:val="18"/>
                <w:szCs w:val="18"/>
              </w:rPr>
              <w:t> </w:t>
            </w:r>
            <w:r>
              <w:rPr>
                <w:rFonts w:ascii="宋体" w:hAnsi="宋体" w:cs="宋体" w:eastAsia="宋体" w:hint="default"/>
                <w:spacing w:val="-7"/>
                <w:sz w:val="18"/>
                <w:szCs w:val="18"/>
              </w:rPr>
              <w:t>司风险管理部、财务</w:t>
            </w:r>
            <w:r>
              <w:rPr>
                <w:rFonts w:ascii="宋体" w:hAnsi="宋体" w:cs="宋体" w:eastAsia="宋体" w:hint="default"/>
                <w:sz w:val="18"/>
                <w:szCs w:val="18"/>
              </w:rPr>
              <w:t> 部审批后进行账务 处理并进行备案登 记。</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492"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2" w:right="143"/>
              <w:jc w:val="left"/>
              <w:rPr>
                <w:rFonts w:ascii="宋体" w:hAnsi="宋体" w:cs="宋体" w:eastAsia="宋体" w:hint="default"/>
                <w:sz w:val="18"/>
                <w:szCs w:val="18"/>
              </w:rPr>
            </w:pPr>
            <w:r>
              <w:rPr>
                <w:rFonts w:ascii="宋体" w:hAnsi="宋体" w:cs="宋体" w:eastAsia="宋体" w:hint="default"/>
                <w:sz w:val="18"/>
                <w:szCs w:val="18"/>
              </w:rPr>
              <w:t>北京神州数码索贝 科技有限公司</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1,475,700.88</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7"/>
              <w:ind w:left="22" w:right="20"/>
              <w:jc w:val="left"/>
              <w:rPr>
                <w:rFonts w:ascii="宋体" w:hAnsi="宋体" w:cs="宋体" w:eastAsia="宋体" w:hint="default"/>
                <w:sz w:val="18"/>
                <w:szCs w:val="18"/>
              </w:rPr>
            </w:pPr>
            <w:r>
              <w:rPr>
                <w:rFonts w:ascii="宋体" w:hAnsi="宋体" w:cs="宋体" w:eastAsia="宋体" w:hint="default"/>
                <w:spacing w:val="-7"/>
                <w:sz w:val="18"/>
                <w:szCs w:val="18"/>
              </w:rPr>
              <w:t>客户无能力偿还，应</w:t>
            </w:r>
            <w:r>
              <w:rPr>
                <w:rFonts w:ascii="宋体" w:hAnsi="宋体" w:cs="宋体" w:eastAsia="宋体" w:hint="default"/>
                <w:sz w:val="18"/>
                <w:szCs w:val="18"/>
              </w:rPr>
              <w:t> 收账款形成实际坏 账损失</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4" w:right="21"/>
              <w:jc w:val="left"/>
              <w:rPr>
                <w:rFonts w:ascii="宋体" w:hAnsi="宋体" w:cs="宋体" w:eastAsia="宋体" w:hint="default"/>
                <w:sz w:val="18"/>
                <w:szCs w:val="18"/>
              </w:rPr>
            </w:pPr>
            <w:r>
              <w:rPr>
                <w:rFonts w:ascii="宋体" w:hAnsi="宋体" w:cs="宋体" w:eastAsia="宋体" w:hint="default"/>
                <w:sz w:val="18"/>
                <w:szCs w:val="18"/>
              </w:rPr>
              <w:t>核销申请由本公司 </w:t>
            </w:r>
            <w:r>
              <w:rPr>
                <w:rFonts w:ascii="宋体" w:hAnsi="宋体" w:cs="宋体" w:eastAsia="宋体" w:hint="default"/>
                <w:spacing w:val="-7"/>
                <w:sz w:val="18"/>
                <w:szCs w:val="18"/>
              </w:rPr>
              <w:t>事业部提出，经本公</w:t>
            </w:r>
            <w:r>
              <w:rPr>
                <w:rFonts w:ascii="宋体" w:hAnsi="宋体" w:cs="宋体" w:eastAsia="宋体" w:hint="default"/>
                <w:sz w:val="18"/>
                <w:szCs w:val="18"/>
              </w:rPr>
              <w:t> </w:t>
            </w:r>
            <w:r>
              <w:rPr>
                <w:rFonts w:ascii="宋体" w:hAnsi="宋体" w:cs="宋体" w:eastAsia="宋体" w:hint="default"/>
                <w:spacing w:val="-7"/>
                <w:sz w:val="18"/>
                <w:szCs w:val="18"/>
              </w:rPr>
              <w:t>司风险管理部、财务</w:t>
            </w:r>
            <w:r>
              <w:rPr>
                <w:rFonts w:ascii="宋体" w:hAnsi="宋体" w:cs="宋体" w:eastAsia="宋体" w:hint="default"/>
                <w:sz w:val="18"/>
                <w:szCs w:val="18"/>
              </w:rPr>
              <w:t> 部审批后进行账务 处理并进行备案登 记。</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490"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2" w:right="143"/>
              <w:jc w:val="left"/>
              <w:rPr>
                <w:rFonts w:ascii="宋体" w:hAnsi="宋体" w:cs="宋体" w:eastAsia="宋体" w:hint="default"/>
                <w:sz w:val="18"/>
                <w:szCs w:val="18"/>
              </w:rPr>
            </w:pPr>
            <w:r>
              <w:rPr>
                <w:rFonts w:ascii="宋体" w:hAnsi="宋体" w:cs="宋体" w:eastAsia="宋体" w:hint="default"/>
                <w:sz w:val="18"/>
                <w:szCs w:val="18"/>
              </w:rPr>
              <w:t>上海中臣信息产业 有限公司</w:t>
            </w:r>
          </w:p>
        </w:tc>
        <w:tc>
          <w:tcPr>
            <w:tcW w:w="1616"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pacing w:val="-1"/>
                <w:sz w:val="18"/>
              </w:rPr>
              <w:t>1,063,992.25</w:t>
            </w:r>
          </w:p>
        </w:tc>
        <w:tc>
          <w:tcPr>
            <w:tcW w:w="1614"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37" w:lineRule="auto"/>
              <w:ind w:left="22" w:right="20"/>
              <w:jc w:val="left"/>
              <w:rPr>
                <w:rFonts w:ascii="宋体" w:hAnsi="宋体" w:cs="宋体" w:eastAsia="宋体" w:hint="default"/>
                <w:sz w:val="18"/>
                <w:szCs w:val="18"/>
              </w:rPr>
            </w:pPr>
            <w:r>
              <w:rPr>
                <w:rFonts w:ascii="宋体" w:hAnsi="宋体" w:cs="宋体" w:eastAsia="宋体" w:hint="default"/>
                <w:spacing w:val="-7"/>
                <w:sz w:val="18"/>
                <w:szCs w:val="18"/>
              </w:rPr>
              <w:t>诉讼案件胜诉，但客</w:t>
            </w:r>
            <w:r>
              <w:rPr>
                <w:rFonts w:ascii="宋体" w:hAnsi="宋体" w:cs="宋体" w:eastAsia="宋体" w:hint="default"/>
                <w:sz w:val="18"/>
                <w:szCs w:val="18"/>
              </w:rPr>
              <w:t> </w:t>
            </w:r>
            <w:r>
              <w:rPr>
                <w:rFonts w:ascii="宋体" w:hAnsi="宋体" w:cs="宋体" w:eastAsia="宋体" w:hint="default"/>
                <w:spacing w:val="-7"/>
                <w:sz w:val="18"/>
                <w:szCs w:val="18"/>
              </w:rPr>
              <w:t>户无可执行财产，应</w:t>
            </w:r>
            <w:r>
              <w:rPr>
                <w:rFonts w:ascii="宋体" w:hAnsi="宋体" w:cs="宋体" w:eastAsia="宋体" w:hint="default"/>
                <w:sz w:val="18"/>
                <w:szCs w:val="18"/>
              </w:rPr>
              <w:t> 收账款形成实际损 失</w:t>
            </w:r>
          </w:p>
        </w:tc>
        <w:tc>
          <w:tcPr>
            <w:tcW w:w="1616" w:type="dxa"/>
            <w:tcBorders>
              <w:top w:val="single" w:sz="4" w:space="0" w:color="000000"/>
              <w:left w:val="single" w:sz="4" w:space="0" w:color="000000"/>
              <w:bottom w:val="single" w:sz="5" w:space="0" w:color="D2D2D2"/>
              <w:right w:val="single" w:sz="4" w:space="0" w:color="000000"/>
            </w:tcBorders>
          </w:tcPr>
          <w:p>
            <w:pPr>
              <w:pStyle w:val="TableParagraph"/>
              <w:spacing w:line="237" w:lineRule="auto" w:before="11"/>
              <w:ind w:left="24" w:right="21"/>
              <w:jc w:val="left"/>
              <w:rPr>
                <w:rFonts w:ascii="宋体" w:hAnsi="宋体" w:cs="宋体" w:eastAsia="宋体" w:hint="default"/>
                <w:sz w:val="18"/>
                <w:szCs w:val="18"/>
              </w:rPr>
            </w:pPr>
            <w:r>
              <w:rPr>
                <w:rFonts w:ascii="宋体" w:hAnsi="宋体" w:cs="宋体" w:eastAsia="宋体" w:hint="default"/>
                <w:sz w:val="18"/>
                <w:szCs w:val="18"/>
              </w:rPr>
              <w:t>核销申请由本公司 </w:t>
            </w:r>
            <w:r>
              <w:rPr>
                <w:rFonts w:ascii="宋体" w:hAnsi="宋体" w:cs="宋体" w:eastAsia="宋体" w:hint="default"/>
                <w:spacing w:val="-7"/>
                <w:sz w:val="18"/>
                <w:szCs w:val="18"/>
              </w:rPr>
              <w:t>事业部提出，经本公</w:t>
            </w:r>
            <w:r>
              <w:rPr>
                <w:rFonts w:ascii="宋体" w:hAnsi="宋体" w:cs="宋体" w:eastAsia="宋体" w:hint="default"/>
                <w:sz w:val="18"/>
                <w:szCs w:val="18"/>
              </w:rPr>
              <w:t> </w:t>
            </w:r>
            <w:r>
              <w:rPr>
                <w:rFonts w:ascii="宋体" w:hAnsi="宋体" w:cs="宋体" w:eastAsia="宋体" w:hint="default"/>
                <w:spacing w:val="-7"/>
                <w:sz w:val="18"/>
                <w:szCs w:val="18"/>
              </w:rPr>
              <w:t>司风险管理部、财务</w:t>
            </w:r>
            <w:r>
              <w:rPr>
                <w:rFonts w:ascii="宋体" w:hAnsi="宋体" w:cs="宋体" w:eastAsia="宋体" w:hint="default"/>
                <w:sz w:val="18"/>
                <w:szCs w:val="18"/>
              </w:rPr>
              <w:t> 部审批后进行账务 处理并进行备案登 记。</w:t>
            </w:r>
          </w:p>
        </w:tc>
        <w:tc>
          <w:tcPr>
            <w:tcW w:w="1615"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9,082,382.48</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78" w:lineRule="auto" w:before="11"/>
        <w:ind w:right="6072"/>
        <w:jc w:val="left"/>
      </w:pPr>
      <w:r>
        <w:rPr/>
        <w:t>应收账款核销说明： 本次核销应收账款已全额计提坏账准备，不影响当期损益。</w:t>
      </w:r>
    </w:p>
    <w:p>
      <w:pPr>
        <w:spacing w:line="240" w:lineRule="auto" w:before="7"/>
        <w:rPr>
          <w:rFonts w:ascii="宋体" w:hAnsi="宋体" w:cs="宋体" w:eastAsia="宋体" w:hint="default"/>
          <w:sz w:val="16"/>
          <w:szCs w:val="16"/>
        </w:rPr>
      </w:pPr>
    </w:p>
    <w:p>
      <w:pPr>
        <w:pStyle w:val="Heading5"/>
        <w:spacing w:line="240" w:lineRule="auto" w:before="0"/>
        <w:ind w:right="0"/>
        <w:jc w:val="left"/>
        <w:rPr>
          <w:b w:val="0"/>
          <w:bCs w:val="0"/>
        </w:rPr>
      </w:pPr>
      <w:r>
        <w:rPr>
          <w:rFonts w:ascii="Times New Roman" w:hAnsi="Times New Roman" w:cs="Times New Roman" w:eastAsia="Times New Roman" w:hint="default"/>
        </w:rPr>
        <w:t>4)</w:t>
      </w:r>
      <w:r>
        <w:rPr>
          <w:rFonts w:ascii="Times New Roman" w:hAnsi="Times New Roman" w:cs="Times New Roman" w:eastAsia="Times New Roman" w:hint="default"/>
          <w:spacing w:val="41"/>
        </w:rPr>
        <w:t> </w:t>
      </w:r>
      <w:r>
        <w:rPr/>
        <w:t>按欠款方归集的期末余额前五名的应收账款情况</w:t>
      </w:r>
      <w:r>
        <w:rPr>
          <w:b w:val="0"/>
          <w:bCs w:val="0"/>
        </w:rPr>
      </w:r>
    </w:p>
    <w:p>
      <w:pPr>
        <w:spacing w:line="240" w:lineRule="auto" w:before="12"/>
        <w:rPr>
          <w:rFonts w:ascii="宋体" w:hAnsi="宋体" w:cs="宋体" w:eastAsia="宋体" w:hint="default"/>
          <w:b/>
          <w:bCs/>
          <w:sz w:val="8"/>
          <w:szCs w:val="8"/>
        </w:rPr>
      </w:pPr>
    </w:p>
    <w:tbl>
      <w:tblPr>
        <w:tblW w:w="0" w:type="auto"/>
        <w:jc w:val="left"/>
        <w:tblInd w:w="137" w:type="dxa"/>
        <w:tblLayout w:type="fixed"/>
        <w:tblCellMar>
          <w:top w:w="0" w:type="dxa"/>
          <w:left w:w="0" w:type="dxa"/>
          <w:bottom w:w="0" w:type="dxa"/>
          <w:right w:w="0" w:type="dxa"/>
        </w:tblCellMar>
        <w:tblLook w:val="01E0"/>
      </w:tblPr>
      <w:tblGrid>
        <w:gridCol w:w="1460"/>
        <w:gridCol w:w="1544"/>
        <w:gridCol w:w="3010"/>
        <w:gridCol w:w="2024"/>
        <w:gridCol w:w="1621"/>
      </w:tblGrid>
      <w:tr>
        <w:trPr>
          <w:trHeight w:val="440" w:hRule="exact"/>
        </w:trPr>
        <w:tc>
          <w:tcPr>
            <w:tcW w:w="1460" w:type="dxa"/>
            <w:tcBorders>
              <w:top w:val="single" w:sz="6" w:space="0" w:color="000000"/>
              <w:left w:val="single" w:sz="6" w:space="0" w:color="000000"/>
              <w:bottom w:val="single" w:sz="8" w:space="0" w:color="000000"/>
              <w:right w:val="single" w:sz="6" w:space="0" w:color="000000"/>
            </w:tcBorders>
            <w:shd w:val="clear" w:color="auto" w:fill="D0CECE"/>
          </w:tcPr>
          <w:p>
            <w:pPr>
              <w:pStyle w:val="TableParagraph"/>
              <w:spacing w:line="240" w:lineRule="auto" w:before="33"/>
              <w:ind w:left="360"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544" w:type="dxa"/>
            <w:tcBorders>
              <w:top w:val="single" w:sz="6" w:space="0" w:color="000000"/>
              <w:left w:val="single" w:sz="6" w:space="0" w:color="000000"/>
              <w:bottom w:val="single" w:sz="8" w:space="0" w:color="000000"/>
              <w:right w:val="single" w:sz="6" w:space="0" w:color="000000"/>
            </w:tcBorders>
            <w:shd w:val="clear" w:color="auto" w:fill="D0CECE"/>
          </w:tcPr>
          <w:p>
            <w:pPr>
              <w:pStyle w:val="TableParagraph"/>
              <w:spacing w:line="240" w:lineRule="auto" w:before="33"/>
              <w:ind w:left="403"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010" w:type="dxa"/>
            <w:tcBorders>
              <w:top w:val="single" w:sz="6" w:space="0" w:color="000000"/>
              <w:left w:val="single" w:sz="6" w:space="0" w:color="000000"/>
              <w:bottom w:val="single" w:sz="8" w:space="0" w:color="000000"/>
              <w:right w:val="single" w:sz="6" w:space="0" w:color="000000"/>
            </w:tcBorders>
            <w:shd w:val="clear" w:color="auto" w:fill="D0CECE"/>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2024" w:type="dxa"/>
            <w:tcBorders>
              <w:top w:val="single" w:sz="6" w:space="0" w:color="000000"/>
              <w:left w:val="single" w:sz="6" w:space="0" w:color="000000"/>
              <w:bottom w:val="single" w:sz="8" w:space="0" w:color="000000"/>
              <w:right w:val="single" w:sz="6" w:space="0" w:color="000000"/>
            </w:tcBorders>
            <w:shd w:val="clear" w:color="auto" w:fill="D0CECE"/>
          </w:tcPr>
          <w:p>
            <w:pPr>
              <w:pStyle w:val="TableParagraph"/>
              <w:spacing w:line="151" w:lineRule="exact"/>
              <w:ind w:right="1"/>
              <w:jc w:val="center"/>
              <w:rPr>
                <w:rFonts w:ascii="宋体" w:hAnsi="宋体" w:cs="宋体" w:eastAsia="宋体" w:hint="default"/>
                <w:sz w:val="18"/>
                <w:szCs w:val="18"/>
              </w:rPr>
            </w:pPr>
            <w:r>
              <w:rPr>
                <w:rFonts w:ascii="宋体" w:hAnsi="宋体" w:cs="宋体" w:eastAsia="宋体" w:hint="default"/>
                <w:b/>
                <w:bCs/>
                <w:sz w:val="18"/>
                <w:szCs w:val="18"/>
              </w:rPr>
              <w:t>占应收账款年末余额合计</w:t>
            </w:r>
            <w:r>
              <w:rPr>
                <w:rFonts w:ascii="宋体" w:hAnsi="宋体" w:cs="宋体" w:eastAsia="宋体" w:hint="default"/>
                <w:sz w:val="18"/>
                <w:szCs w:val="18"/>
              </w:rPr>
            </w:r>
          </w:p>
          <w:p>
            <w:pPr>
              <w:pStyle w:val="TableParagraph"/>
              <w:spacing w:line="248" w:lineRule="exact"/>
              <w:ind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数的比例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621" w:type="dxa"/>
            <w:tcBorders>
              <w:top w:val="single" w:sz="6" w:space="0" w:color="000000"/>
              <w:left w:val="single" w:sz="6" w:space="0" w:color="000000"/>
              <w:bottom w:val="single" w:sz="8" w:space="0" w:color="000000"/>
              <w:right w:val="single" w:sz="6" w:space="0" w:color="000000"/>
            </w:tcBorders>
            <w:shd w:val="clear" w:color="auto" w:fill="D0CECE"/>
          </w:tcPr>
          <w:p>
            <w:pPr>
              <w:pStyle w:val="TableParagraph"/>
              <w:spacing w:line="240" w:lineRule="auto" w:before="33"/>
              <w:ind w:left="81" w:right="0"/>
              <w:jc w:val="left"/>
              <w:rPr>
                <w:rFonts w:ascii="宋体" w:hAnsi="宋体" w:cs="宋体" w:eastAsia="宋体" w:hint="default"/>
                <w:sz w:val="18"/>
                <w:szCs w:val="18"/>
              </w:rPr>
            </w:pPr>
            <w:r>
              <w:rPr>
                <w:rFonts w:ascii="宋体" w:hAnsi="宋体" w:cs="宋体" w:eastAsia="宋体" w:hint="default"/>
                <w:b/>
                <w:bCs/>
                <w:sz w:val="18"/>
                <w:szCs w:val="18"/>
              </w:rPr>
              <w:t>坏账准备年末余额</w:t>
            </w:r>
            <w:r>
              <w:rPr>
                <w:rFonts w:ascii="宋体" w:hAnsi="宋体" w:cs="宋体" w:eastAsia="宋体" w:hint="default"/>
                <w:sz w:val="18"/>
                <w:szCs w:val="18"/>
              </w:rPr>
            </w:r>
          </w:p>
        </w:tc>
      </w:tr>
      <w:tr>
        <w:trPr>
          <w:trHeight w:val="740" w:hRule="exact"/>
        </w:trPr>
        <w:tc>
          <w:tcPr>
            <w:tcW w:w="1460" w:type="dxa"/>
            <w:tcBorders>
              <w:top w:val="single" w:sz="8" w:space="0" w:color="000000"/>
              <w:left w:val="single" w:sz="6" w:space="0" w:color="000000"/>
              <w:bottom w:val="single" w:sz="8" w:space="0" w:color="000000"/>
              <w:right w:val="single" w:sz="6" w:space="0" w:color="000000"/>
            </w:tcBorders>
            <w:shd w:val="clear" w:color="auto" w:fill="D0CECE"/>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5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1,690,959,500.65</w:t>
            </w:r>
          </w:p>
        </w:tc>
        <w:tc>
          <w:tcPr>
            <w:tcW w:w="3010" w:type="dxa"/>
            <w:tcBorders>
              <w:top w:val="single" w:sz="8" w:space="0" w:color="000000"/>
              <w:left w:val="single" w:sz="6" w:space="0" w:color="000000"/>
              <w:bottom w:val="single" w:sz="8" w:space="0" w:color="000000"/>
              <w:right w:val="single" w:sz="6" w:space="0" w:color="000000"/>
            </w:tcBorders>
          </w:tcPr>
          <w:p>
            <w:pPr>
              <w:pStyle w:val="TableParagraph"/>
              <w:spacing w:line="222" w:lineRule="exact"/>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1,690,709,500.65</w:t>
            </w:r>
            <w:r>
              <w:rPr>
                <w:rFonts w:ascii="宋体" w:hAnsi="宋体" w:cs="宋体" w:eastAsia="宋体" w:hint="default"/>
                <w:sz w:val="18"/>
                <w:szCs w:val="18"/>
              </w:rPr>
              <w:t>元；</w:t>
            </w:r>
          </w:p>
          <w:p>
            <w:pPr>
              <w:pStyle w:val="TableParagraph"/>
              <w:spacing w:line="233" w:lineRule="exact"/>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r>
              <w:rPr>
                <w:rFonts w:ascii="Times New Roman" w:hAnsi="Times New Roman" w:cs="Times New Roman" w:eastAsia="Times New Roman" w:hint="default"/>
                <w:sz w:val="18"/>
                <w:szCs w:val="18"/>
              </w:rPr>
              <w:t>200,000.00</w:t>
            </w:r>
            <w:r>
              <w:rPr>
                <w:rFonts w:ascii="宋体" w:hAnsi="宋体" w:cs="宋体" w:eastAsia="宋体" w:hint="default"/>
                <w:sz w:val="18"/>
                <w:szCs w:val="18"/>
              </w:rPr>
              <w:t>元；</w:t>
            </w:r>
          </w:p>
          <w:p>
            <w:pPr>
              <w:pStyle w:val="TableParagraph"/>
              <w:spacing w:line="241" w:lineRule="exact"/>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宋体" w:hAnsi="宋体" w:cs="宋体" w:eastAsia="宋体" w:hint="default"/>
                <w:sz w:val="18"/>
                <w:szCs w:val="18"/>
              </w:rPr>
              <w:t>年</w:t>
            </w:r>
            <w:r>
              <w:rPr>
                <w:rFonts w:ascii="Times New Roman" w:hAnsi="Times New Roman" w:cs="Times New Roman" w:eastAsia="Times New Roman" w:hint="default"/>
                <w:sz w:val="18"/>
                <w:szCs w:val="18"/>
              </w:rPr>
              <w:t>50,000.00</w:t>
            </w:r>
            <w:r>
              <w:rPr>
                <w:rFonts w:ascii="宋体" w:hAnsi="宋体" w:cs="宋体" w:eastAsia="宋体" w:hint="default"/>
                <w:sz w:val="18"/>
                <w:szCs w:val="18"/>
              </w:rPr>
              <w:t>元</w:t>
            </w:r>
          </w:p>
        </w:tc>
        <w:tc>
          <w:tcPr>
            <w:tcW w:w="202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801" w:right="0"/>
              <w:jc w:val="left"/>
              <w:rPr>
                <w:rFonts w:ascii="Times New Roman" w:hAnsi="Times New Roman" w:cs="Times New Roman" w:eastAsia="Times New Roman" w:hint="default"/>
                <w:sz w:val="18"/>
                <w:szCs w:val="18"/>
              </w:rPr>
            </w:pPr>
            <w:r>
              <w:rPr>
                <w:rFonts w:ascii="Times New Roman"/>
                <w:sz w:val="18"/>
              </w:rPr>
              <w:t>18.77</w:t>
            </w:r>
          </w:p>
        </w:tc>
        <w:tc>
          <w:tcPr>
            <w:tcW w:w="162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268,504.40</w:t>
            </w:r>
          </w:p>
        </w:tc>
      </w:tr>
      <w:tr>
        <w:trPr>
          <w:trHeight w:val="481" w:hRule="exact"/>
        </w:trPr>
        <w:tc>
          <w:tcPr>
            <w:tcW w:w="1460" w:type="dxa"/>
            <w:tcBorders>
              <w:top w:val="single" w:sz="8" w:space="0" w:color="000000"/>
              <w:left w:val="single" w:sz="6" w:space="0" w:color="000000"/>
              <w:bottom w:val="single" w:sz="8" w:space="0" w:color="000000"/>
              <w:right w:val="single" w:sz="6" w:space="0" w:color="000000"/>
            </w:tcBorders>
            <w:shd w:val="clear" w:color="auto" w:fill="D0CECE"/>
          </w:tcPr>
          <w:p>
            <w:pPr>
              <w:pStyle w:val="TableParagraph"/>
              <w:spacing w:line="240" w:lineRule="auto" w:before="85"/>
              <w:ind w:left="2"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5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23"/>
              <w:ind w:right="1"/>
              <w:jc w:val="right"/>
              <w:rPr>
                <w:rFonts w:ascii="Times New Roman" w:hAnsi="Times New Roman" w:cs="Times New Roman" w:eastAsia="Times New Roman" w:hint="default"/>
                <w:sz w:val="18"/>
                <w:szCs w:val="18"/>
              </w:rPr>
            </w:pPr>
            <w:r>
              <w:rPr>
                <w:rFonts w:ascii="Times New Roman"/>
                <w:spacing w:val="-1"/>
                <w:sz w:val="18"/>
              </w:rPr>
              <w:t>102,882,805.46</w:t>
            </w:r>
          </w:p>
        </w:tc>
        <w:tc>
          <w:tcPr>
            <w:tcW w:w="30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02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23"/>
              <w:ind w:left="847" w:right="0"/>
              <w:jc w:val="left"/>
              <w:rPr>
                <w:rFonts w:ascii="Times New Roman" w:hAnsi="Times New Roman" w:cs="Times New Roman" w:eastAsia="Times New Roman" w:hint="default"/>
                <w:sz w:val="18"/>
                <w:szCs w:val="18"/>
              </w:rPr>
            </w:pPr>
            <w:r>
              <w:rPr>
                <w:rFonts w:ascii="Times New Roman"/>
                <w:sz w:val="18"/>
              </w:rPr>
              <w:t>1.14</w:t>
            </w:r>
          </w:p>
        </w:tc>
        <w:tc>
          <w:tcPr>
            <w:tcW w:w="162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23"/>
              <w:ind w:right="1"/>
              <w:jc w:val="right"/>
              <w:rPr>
                <w:rFonts w:ascii="Times New Roman" w:hAnsi="Times New Roman" w:cs="Times New Roman" w:eastAsia="Times New Roman" w:hint="default"/>
                <w:sz w:val="18"/>
                <w:szCs w:val="18"/>
              </w:rPr>
            </w:pPr>
            <w:r>
              <w:rPr>
                <w:rFonts w:ascii="Times New Roman"/>
                <w:sz w:val="18"/>
              </w:rPr>
              <w:t>620,641.00</w:t>
            </w:r>
          </w:p>
        </w:tc>
      </w:tr>
      <w:tr>
        <w:trPr>
          <w:trHeight w:val="740" w:hRule="exact"/>
        </w:trPr>
        <w:tc>
          <w:tcPr>
            <w:tcW w:w="1460" w:type="dxa"/>
            <w:tcBorders>
              <w:top w:val="single" w:sz="8" w:space="0" w:color="000000"/>
              <w:left w:val="single" w:sz="6" w:space="0" w:color="000000"/>
              <w:bottom w:val="single" w:sz="8" w:space="0" w:color="000000"/>
              <w:right w:val="single" w:sz="6" w:space="0" w:color="000000"/>
            </w:tcBorders>
            <w:shd w:val="clear" w:color="auto" w:fill="D0CECE"/>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5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87,417,813.69</w:t>
            </w:r>
          </w:p>
        </w:tc>
        <w:tc>
          <w:tcPr>
            <w:tcW w:w="3010" w:type="dxa"/>
            <w:tcBorders>
              <w:top w:val="single" w:sz="8" w:space="0" w:color="000000"/>
              <w:left w:val="single" w:sz="6" w:space="0" w:color="000000"/>
              <w:bottom w:val="single" w:sz="8" w:space="0" w:color="000000"/>
              <w:right w:val="single" w:sz="6" w:space="0" w:color="000000"/>
            </w:tcBorders>
          </w:tcPr>
          <w:p>
            <w:pPr>
              <w:pStyle w:val="TableParagraph"/>
              <w:spacing w:line="222" w:lineRule="exact"/>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67,234,991.70</w:t>
            </w:r>
            <w:r>
              <w:rPr>
                <w:rFonts w:ascii="宋体" w:hAnsi="宋体" w:cs="宋体" w:eastAsia="宋体" w:hint="default"/>
                <w:sz w:val="18"/>
                <w:szCs w:val="18"/>
              </w:rPr>
              <w:t>元；</w:t>
            </w:r>
          </w:p>
          <w:p>
            <w:pPr>
              <w:pStyle w:val="TableParagraph"/>
              <w:spacing w:line="233" w:lineRule="exact"/>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r>
              <w:rPr>
                <w:rFonts w:ascii="Times New Roman" w:hAnsi="Times New Roman" w:cs="Times New Roman" w:eastAsia="Times New Roman" w:hint="default"/>
                <w:sz w:val="18"/>
                <w:szCs w:val="18"/>
              </w:rPr>
              <w:t>17,288,813.04</w:t>
            </w:r>
            <w:r>
              <w:rPr>
                <w:rFonts w:ascii="宋体" w:hAnsi="宋体" w:cs="宋体" w:eastAsia="宋体" w:hint="default"/>
                <w:sz w:val="18"/>
                <w:szCs w:val="18"/>
              </w:rPr>
              <w:t>元；</w:t>
            </w:r>
          </w:p>
          <w:p>
            <w:pPr>
              <w:pStyle w:val="TableParagraph"/>
              <w:spacing w:line="241" w:lineRule="exact"/>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r>
              <w:rPr>
                <w:rFonts w:ascii="Times New Roman" w:hAnsi="Times New Roman" w:cs="Times New Roman" w:eastAsia="Times New Roman" w:hint="default"/>
                <w:sz w:val="18"/>
                <w:szCs w:val="18"/>
              </w:rPr>
              <w:t>2,894,008.95</w:t>
            </w:r>
            <w:r>
              <w:rPr>
                <w:rFonts w:ascii="宋体" w:hAnsi="宋体" w:cs="宋体" w:eastAsia="宋体" w:hint="default"/>
                <w:sz w:val="18"/>
                <w:szCs w:val="18"/>
              </w:rPr>
              <w:t>元</w:t>
            </w:r>
          </w:p>
        </w:tc>
        <w:tc>
          <w:tcPr>
            <w:tcW w:w="202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847" w:right="0"/>
              <w:jc w:val="left"/>
              <w:rPr>
                <w:rFonts w:ascii="Times New Roman" w:hAnsi="Times New Roman" w:cs="Times New Roman" w:eastAsia="Times New Roman" w:hint="default"/>
                <w:sz w:val="18"/>
                <w:szCs w:val="18"/>
              </w:rPr>
            </w:pPr>
            <w:r>
              <w:rPr>
                <w:rFonts w:ascii="Times New Roman"/>
                <w:sz w:val="18"/>
              </w:rPr>
              <w:t>0.97</w:t>
            </w:r>
          </w:p>
        </w:tc>
        <w:tc>
          <w:tcPr>
            <w:tcW w:w="162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7,019,038.60</w:t>
            </w:r>
          </w:p>
        </w:tc>
      </w:tr>
      <w:tr>
        <w:trPr>
          <w:trHeight w:val="398" w:hRule="exact"/>
        </w:trPr>
        <w:tc>
          <w:tcPr>
            <w:tcW w:w="1460" w:type="dxa"/>
            <w:tcBorders>
              <w:top w:val="single" w:sz="8" w:space="0" w:color="000000"/>
              <w:left w:val="single" w:sz="6" w:space="0" w:color="000000"/>
              <w:bottom w:val="single" w:sz="8" w:space="0" w:color="000000"/>
              <w:right w:val="single" w:sz="6" w:space="0" w:color="000000"/>
            </w:tcBorders>
            <w:shd w:val="clear" w:color="auto" w:fill="D0CECE"/>
          </w:tcPr>
          <w:p>
            <w:pPr>
              <w:pStyle w:val="TableParagraph"/>
              <w:spacing w:line="240" w:lineRule="auto" w:before="43"/>
              <w:ind w:left="2"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5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1"/>
              <w:ind w:right="1"/>
              <w:jc w:val="right"/>
              <w:rPr>
                <w:rFonts w:ascii="Times New Roman" w:hAnsi="Times New Roman" w:cs="Times New Roman" w:eastAsia="Times New Roman" w:hint="default"/>
                <w:sz w:val="18"/>
                <w:szCs w:val="18"/>
              </w:rPr>
            </w:pPr>
            <w:r>
              <w:rPr>
                <w:rFonts w:ascii="Times New Roman"/>
                <w:spacing w:val="-1"/>
                <w:sz w:val="18"/>
              </w:rPr>
              <w:t>79,501,743.00</w:t>
            </w:r>
          </w:p>
        </w:tc>
        <w:tc>
          <w:tcPr>
            <w:tcW w:w="30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02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1"/>
              <w:ind w:left="847" w:right="0"/>
              <w:jc w:val="left"/>
              <w:rPr>
                <w:rFonts w:ascii="Times New Roman" w:hAnsi="Times New Roman" w:cs="Times New Roman" w:eastAsia="Times New Roman" w:hint="default"/>
                <w:sz w:val="18"/>
                <w:szCs w:val="18"/>
              </w:rPr>
            </w:pPr>
            <w:r>
              <w:rPr>
                <w:rFonts w:ascii="Times New Roman"/>
                <w:sz w:val="18"/>
              </w:rPr>
              <w:t>0.88</w:t>
            </w:r>
          </w:p>
        </w:tc>
        <w:tc>
          <w:tcPr>
            <w:tcW w:w="1621" w:type="dxa"/>
            <w:tcBorders>
              <w:top w:val="single" w:sz="8" w:space="0" w:color="000000"/>
              <w:left w:val="single" w:sz="6" w:space="0" w:color="000000"/>
              <w:bottom w:val="single" w:sz="8" w:space="0" w:color="000000"/>
              <w:right w:val="single" w:sz="6" w:space="0" w:color="000000"/>
            </w:tcBorders>
          </w:tcPr>
          <w:p>
            <w:pPr/>
          </w:p>
        </w:tc>
      </w:tr>
      <w:tr>
        <w:trPr>
          <w:trHeight w:val="433" w:hRule="exact"/>
        </w:trPr>
        <w:tc>
          <w:tcPr>
            <w:tcW w:w="1460" w:type="dxa"/>
            <w:tcBorders>
              <w:top w:val="single" w:sz="8" w:space="0" w:color="000000"/>
              <w:left w:val="single" w:sz="6" w:space="0" w:color="000000"/>
              <w:bottom w:val="single" w:sz="8" w:space="0" w:color="000000"/>
              <w:right w:val="single" w:sz="6" w:space="0" w:color="000000"/>
            </w:tcBorders>
            <w:shd w:val="clear" w:color="auto" w:fill="D0CECE"/>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15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8"/>
              <w:ind w:right="1"/>
              <w:jc w:val="right"/>
              <w:rPr>
                <w:rFonts w:ascii="Times New Roman" w:hAnsi="Times New Roman" w:cs="Times New Roman" w:eastAsia="Times New Roman" w:hint="default"/>
                <w:sz w:val="18"/>
                <w:szCs w:val="18"/>
              </w:rPr>
            </w:pPr>
            <w:r>
              <w:rPr>
                <w:rFonts w:ascii="Times New Roman"/>
                <w:spacing w:val="-1"/>
                <w:sz w:val="18"/>
              </w:rPr>
              <w:t>78,104,203.00</w:t>
            </w:r>
          </w:p>
        </w:tc>
        <w:tc>
          <w:tcPr>
            <w:tcW w:w="30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02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8"/>
              <w:ind w:left="847" w:right="0"/>
              <w:jc w:val="left"/>
              <w:rPr>
                <w:rFonts w:ascii="Times New Roman" w:hAnsi="Times New Roman" w:cs="Times New Roman" w:eastAsia="Times New Roman" w:hint="default"/>
                <w:sz w:val="18"/>
                <w:szCs w:val="18"/>
              </w:rPr>
            </w:pPr>
            <w:r>
              <w:rPr>
                <w:rFonts w:ascii="Times New Roman"/>
                <w:sz w:val="18"/>
              </w:rPr>
              <w:t>0.87</w:t>
            </w:r>
          </w:p>
        </w:tc>
        <w:tc>
          <w:tcPr>
            <w:tcW w:w="1621" w:type="dxa"/>
            <w:tcBorders>
              <w:top w:val="single" w:sz="8" w:space="0" w:color="000000"/>
              <w:left w:val="single" w:sz="6" w:space="0" w:color="000000"/>
              <w:bottom w:val="single" w:sz="8" w:space="0" w:color="000000"/>
              <w:right w:val="single" w:sz="6" w:space="0" w:color="000000"/>
            </w:tcBorders>
          </w:tcPr>
          <w:p>
            <w:pPr/>
          </w:p>
        </w:tc>
      </w:tr>
      <w:tr>
        <w:trPr>
          <w:trHeight w:val="425" w:hRule="exact"/>
        </w:trPr>
        <w:tc>
          <w:tcPr>
            <w:tcW w:w="1460" w:type="dxa"/>
            <w:tcBorders>
              <w:top w:val="single" w:sz="8" w:space="0" w:color="000000"/>
              <w:left w:val="single" w:sz="6" w:space="0" w:color="000000"/>
              <w:bottom w:val="single" w:sz="8" w:space="0" w:color="000000"/>
              <w:right w:val="single" w:sz="6" w:space="0" w:color="000000"/>
            </w:tcBorders>
            <w:shd w:val="clear" w:color="auto" w:fill="D0CECE"/>
          </w:tcPr>
          <w:p>
            <w:pPr>
              <w:pStyle w:val="TableParagraph"/>
              <w:spacing w:line="240" w:lineRule="auto" w:before="56"/>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4"/>
              <w:ind w:right="1"/>
              <w:jc w:val="right"/>
              <w:rPr>
                <w:rFonts w:ascii="Times New Roman" w:hAnsi="Times New Roman" w:cs="Times New Roman" w:eastAsia="Times New Roman" w:hint="default"/>
                <w:sz w:val="18"/>
                <w:szCs w:val="18"/>
              </w:rPr>
            </w:pPr>
            <w:r>
              <w:rPr>
                <w:rFonts w:ascii="Times New Roman"/>
                <w:spacing w:val="-1"/>
                <w:sz w:val="18"/>
              </w:rPr>
              <w:t>2,038,866,065.80</w:t>
            </w:r>
          </w:p>
        </w:tc>
        <w:tc>
          <w:tcPr>
            <w:tcW w:w="3010" w:type="dxa"/>
            <w:tcBorders>
              <w:top w:val="single" w:sz="8" w:space="0" w:color="000000"/>
              <w:left w:val="single" w:sz="6" w:space="0" w:color="000000"/>
              <w:bottom w:val="single" w:sz="8" w:space="0" w:color="000000"/>
              <w:right w:val="single" w:sz="6" w:space="0" w:color="000000"/>
            </w:tcBorders>
          </w:tcPr>
          <w:p>
            <w:pPr/>
          </w:p>
        </w:tc>
        <w:tc>
          <w:tcPr>
            <w:tcW w:w="202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4"/>
              <w:ind w:left="801" w:right="0"/>
              <w:jc w:val="left"/>
              <w:rPr>
                <w:rFonts w:ascii="Times New Roman" w:hAnsi="Times New Roman" w:cs="Times New Roman" w:eastAsia="Times New Roman" w:hint="default"/>
                <w:sz w:val="18"/>
                <w:szCs w:val="18"/>
              </w:rPr>
            </w:pPr>
            <w:r>
              <w:rPr>
                <w:rFonts w:ascii="Times New Roman"/>
                <w:sz w:val="18"/>
              </w:rPr>
              <w:t>22.63</w:t>
            </w:r>
          </w:p>
        </w:tc>
        <w:tc>
          <w:tcPr>
            <w:tcW w:w="162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4"/>
              <w:ind w:right="1"/>
              <w:jc w:val="right"/>
              <w:rPr>
                <w:rFonts w:ascii="Times New Roman" w:hAnsi="Times New Roman" w:cs="Times New Roman" w:eastAsia="Times New Roman" w:hint="default"/>
                <w:sz w:val="18"/>
                <w:szCs w:val="18"/>
              </w:rPr>
            </w:pPr>
            <w:r>
              <w:rPr>
                <w:rFonts w:ascii="Times New Roman"/>
                <w:spacing w:val="-1"/>
                <w:sz w:val="18"/>
              </w:rPr>
              <w:t>7,908,184.00</w:t>
            </w:r>
          </w:p>
        </w:tc>
      </w:tr>
    </w:tbl>
    <w:p>
      <w:pPr>
        <w:pStyle w:val="BodyText"/>
        <w:spacing w:line="205" w:lineRule="exact"/>
        <w:ind w:right="0"/>
        <w:jc w:val="left"/>
      </w:pPr>
      <w:r>
        <w:rPr/>
        <w:t>前五名的应收账款单位均为本公司非关联方公司。</w:t>
      </w:r>
    </w:p>
    <w:p>
      <w:pPr>
        <w:spacing w:line="244" w:lineRule="auto" w:before="39"/>
        <w:ind w:left="154"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 </w:t>
      </w:r>
      <w:r>
        <w:rPr>
          <w:rFonts w:ascii="宋体" w:hAnsi="宋体" w:cs="宋体" w:eastAsia="宋体" w:hint="default"/>
          <w:b/>
          <w:bCs/>
          <w:sz w:val="18"/>
          <w:szCs w:val="18"/>
        </w:rPr>
        <w:t>因金融资产转移而终止确认的应收账款</w:t>
      </w:r>
      <w:r>
        <w:rPr>
          <w:rFonts w:ascii="宋体" w:hAnsi="宋体" w:cs="宋体" w:eastAsia="宋体" w:hint="default"/>
          <w:b/>
          <w:bCs/>
          <w:w w:val="99"/>
          <w:sz w:val="18"/>
          <w:szCs w:val="18"/>
        </w:rPr>
        <w:t> </w:t>
      </w:r>
      <w:r>
        <w:rPr>
          <w:rFonts w:ascii="宋体" w:hAnsi="宋体" w:cs="宋体" w:eastAsia="宋体" w:hint="default"/>
          <w:spacing w:val="-2"/>
          <w:sz w:val="18"/>
          <w:szCs w:val="18"/>
        </w:rPr>
        <w:t>截至</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日，本公司的子公司因招商银行股份有限公司深圳分行提供的无追索权保理服务而终止确认的应收账款金</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额为</w:t>
      </w:r>
      <w:r>
        <w:rPr>
          <w:rFonts w:ascii="Times New Roman" w:hAnsi="Times New Roman" w:cs="Times New Roman" w:eastAsia="Times New Roman" w:hint="default"/>
          <w:sz w:val="18"/>
          <w:szCs w:val="18"/>
        </w:rPr>
        <w:t>400,000,000.00</w:t>
      </w:r>
      <w:r>
        <w:rPr>
          <w:rFonts w:ascii="宋体" w:hAnsi="宋体" w:cs="宋体" w:eastAsia="宋体" w:hint="default"/>
          <w:sz w:val="18"/>
          <w:szCs w:val="18"/>
        </w:rPr>
        <w:t>元。</w:t>
      </w:r>
    </w:p>
    <w:p>
      <w:pPr>
        <w:pStyle w:val="BodyText"/>
        <w:spacing w:line="234" w:lineRule="exact" w:before="2"/>
        <w:ind w:right="0"/>
        <w:jc w:val="left"/>
      </w:pPr>
      <w:r>
        <w:rPr>
          <w:spacing w:val="-2"/>
        </w:rPr>
        <w:t>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日，本公司的子公司因招商银行股份有限公司北京分行提供的无追索权保理服务而终止确认的应收账款金</w:t>
      </w:r>
      <w:r>
        <w:rPr>
          <w:spacing w:val="-56"/>
        </w:rPr>
        <w:t> </w:t>
      </w:r>
      <w:r>
        <w:rPr>
          <w:spacing w:val="-56"/>
        </w:rPr>
      </w:r>
      <w:r>
        <w:rPr/>
        <w:t>额为</w:t>
      </w:r>
      <w:r>
        <w:rPr>
          <w:rFonts w:ascii="Times New Roman" w:hAnsi="Times New Roman" w:cs="Times New Roman" w:eastAsia="Times New Roman" w:hint="default"/>
        </w:rPr>
        <w:t>366,000,000.00</w:t>
      </w:r>
      <w:r>
        <w:rPr/>
        <w:t>元。</w:t>
      </w:r>
    </w:p>
    <w:p>
      <w:pPr>
        <w:pStyle w:val="BodyText"/>
        <w:spacing w:line="217" w:lineRule="exact"/>
        <w:ind w:right="0"/>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spacing w:val="-82"/>
        </w:rPr>
        <w:t>，</w:t>
      </w:r>
      <w:r>
        <w:rPr/>
        <w:t>本公司的子公司因上海邦汇商业保理有限公司提供的无追索权保理服务而终止确认的应收账款金额为</w:t>
      </w:r>
    </w:p>
    <w:p>
      <w:pPr>
        <w:pStyle w:val="BodyText"/>
        <w:spacing w:line="233" w:lineRule="exact"/>
        <w:ind w:right="0"/>
        <w:jc w:val="left"/>
      </w:pPr>
      <w:r>
        <w:rPr>
          <w:rFonts w:ascii="Times New Roman" w:hAnsi="Times New Roman" w:cs="Times New Roman" w:eastAsia="Times New Roman" w:hint="default"/>
        </w:rPr>
        <w:t>627,899,928.00</w:t>
      </w:r>
      <w:r>
        <w:rPr/>
        <w:t>元。</w:t>
      </w:r>
    </w:p>
    <w:p>
      <w:pPr>
        <w:pStyle w:val="BodyText"/>
        <w:spacing w:line="241" w:lineRule="exact"/>
        <w:ind w:right="0"/>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日，本公司的子公司因汇丰银行有限公司</w:t>
      </w:r>
      <w:r>
        <w:rPr>
          <w:rFonts w:ascii="Times New Roman" w:hAnsi="Times New Roman" w:cs="Times New Roman" w:eastAsia="Times New Roman" w:hint="default"/>
        </w:rPr>
        <w:t>(</w:t>
      </w:r>
      <w:r>
        <w:rPr/>
        <w:t>中国</w:t>
      </w:r>
      <w:r>
        <w:rPr>
          <w:rFonts w:ascii="Times New Roman" w:hAnsi="Times New Roman" w:cs="Times New Roman" w:eastAsia="Times New Roman" w:hint="default"/>
        </w:rPr>
        <w:t>)</w:t>
      </w:r>
      <w:r>
        <w:rPr/>
        <w:t>有限公司提供的无追索权保理服务而终止确认的应收账款</w:t>
      </w:r>
    </w:p>
    <w:p>
      <w:pPr>
        <w:spacing w:after="0" w:line="241" w:lineRule="exact"/>
        <w:jc w:val="left"/>
        <w:sectPr>
          <w:pgSz w:w="11910" w:h="16840"/>
          <w:pgMar w:header="0" w:footer="979" w:top="1100" w:bottom="1160" w:left="980" w:right="0"/>
        </w:sectPr>
      </w:pPr>
    </w:p>
    <w:p>
      <w:pPr>
        <w:spacing w:line="240" w:lineRule="auto" w:before="10"/>
        <w:rPr>
          <w:rFonts w:ascii="宋体" w:hAnsi="宋体" w:cs="宋体" w:eastAsia="宋体" w:hint="default"/>
          <w:sz w:val="18"/>
          <w:szCs w:val="18"/>
        </w:rPr>
      </w:pPr>
    </w:p>
    <w:p>
      <w:pPr>
        <w:pStyle w:val="BodyText"/>
        <w:spacing w:line="242" w:lineRule="exact" w:before="44"/>
        <w:ind w:right="0"/>
        <w:jc w:val="left"/>
      </w:pPr>
      <w:r>
        <w:rPr/>
        <w:t>金额为</w:t>
      </w:r>
      <w:r>
        <w:rPr>
          <w:rFonts w:ascii="Times New Roman" w:hAnsi="Times New Roman" w:cs="Times New Roman" w:eastAsia="Times New Roman" w:hint="default"/>
        </w:rPr>
        <w:t>400,000,000.00</w:t>
      </w:r>
      <w:r>
        <w:rPr/>
        <w:t>元。</w:t>
      </w:r>
    </w:p>
    <w:p>
      <w:pPr>
        <w:pStyle w:val="BodyText"/>
        <w:spacing w:line="233" w:lineRule="exact"/>
        <w:ind w:right="0"/>
        <w:jc w:val="left"/>
      </w:pPr>
      <w:r>
        <w:rPr>
          <w:spacing w:val="4"/>
        </w:rPr>
        <w:t>截至</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日，本公司的子公司因苏宁商业保险有限公司提供的无追索权保理服务而终止确认的应收账款金额为</w:t>
      </w:r>
    </w:p>
    <w:p>
      <w:pPr>
        <w:pStyle w:val="BodyText"/>
        <w:spacing w:line="233" w:lineRule="exact"/>
        <w:ind w:right="0"/>
        <w:jc w:val="left"/>
      </w:pPr>
      <w:r>
        <w:rPr>
          <w:rFonts w:ascii="Times New Roman" w:hAnsi="Times New Roman" w:cs="Times New Roman" w:eastAsia="Times New Roman" w:hint="default"/>
        </w:rPr>
        <w:t>1,269,043.86</w:t>
      </w:r>
      <w:r>
        <w:rPr/>
        <w:t>元。</w:t>
      </w:r>
    </w:p>
    <w:p>
      <w:pPr>
        <w:pStyle w:val="BodyText"/>
        <w:spacing w:line="242" w:lineRule="exact"/>
        <w:ind w:right="0"/>
        <w:jc w:val="left"/>
      </w:pPr>
      <w:r>
        <w:rPr/>
        <w:t>上述保理共发生保理费用</w:t>
      </w:r>
      <w:r>
        <w:rPr>
          <w:rFonts w:ascii="Times New Roman" w:hAnsi="Times New Roman" w:cs="Times New Roman" w:eastAsia="Times New Roman" w:hint="default"/>
        </w:rPr>
        <w:t>31,237,721.91</w:t>
      </w:r>
      <w:r>
        <w:rPr/>
        <w:t>元。</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4、预付款项" w:id="222"/>
      <w:bookmarkEnd w:id="222"/>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bookmarkStart w:name="（1）预付款项按账龄列示" w:id="223"/>
      <w:bookmarkEnd w:id="223"/>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167"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7"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57"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167"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1,732,028,830.68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1,814,142,692.33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99.75%</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26,146.89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4,334,073.10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0.24%</w:t>
            </w:r>
          </w:p>
        </w:tc>
      </w:tr>
      <w:tr>
        <w:trPr>
          <w:trHeight w:val="32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50,804.33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9" w:space="0" w:color="D2D2D2"/>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105,613.02</w:t>
            </w:r>
          </w:p>
        </w:tc>
        <w:tc>
          <w:tcPr>
            <w:tcW w:w="1915"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0.01%</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49"/>
              <w:ind w:right="10"/>
              <w:jc w:val="right"/>
              <w:rPr>
                <w:rFonts w:ascii="Times New Roman" w:hAnsi="Times New Roman" w:cs="Times New Roman" w:eastAsia="Times New Roman" w:hint="default"/>
                <w:sz w:val="18"/>
                <w:szCs w:val="18"/>
              </w:rPr>
            </w:pPr>
            <w:r>
              <w:rPr>
                <w:rFonts w:ascii="Times New Roman"/>
                <w:spacing w:val="-1"/>
                <w:sz w:val="18"/>
              </w:rPr>
              <w:t>1,732,054,977.57</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1,818,633,182.78</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61" w:lineRule="auto" w:before="10"/>
        <w:ind w:right="5894"/>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无</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按预付对象归集的期末余额前五名的预付款情况" w:id="224"/>
      <w:bookmarkEnd w:id="224"/>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8"/>
        <w:rPr>
          <w:rFonts w:ascii="宋体" w:hAnsi="宋体" w:cs="宋体" w:eastAsia="宋体" w:hint="default"/>
          <w:b/>
          <w:bCs/>
          <w:sz w:val="24"/>
          <w:szCs w:val="24"/>
        </w:rPr>
      </w:pPr>
    </w:p>
    <w:tbl>
      <w:tblPr>
        <w:tblW w:w="0" w:type="auto"/>
        <w:jc w:val="left"/>
        <w:tblInd w:w="137" w:type="dxa"/>
        <w:tblLayout w:type="fixed"/>
        <w:tblCellMar>
          <w:top w:w="0" w:type="dxa"/>
          <w:left w:w="0" w:type="dxa"/>
          <w:bottom w:w="0" w:type="dxa"/>
          <w:right w:w="0" w:type="dxa"/>
        </w:tblCellMar>
        <w:tblLook w:val="01E0"/>
      </w:tblPr>
      <w:tblGrid>
        <w:gridCol w:w="1779"/>
        <w:gridCol w:w="2813"/>
        <w:gridCol w:w="1904"/>
        <w:gridCol w:w="3162"/>
      </w:tblGrid>
      <w:tr>
        <w:trPr>
          <w:trHeight w:val="263" w:hRule="exact"/>
        </w:trPr>
        <w:tc>
          <w:tcPr>
            <w:tcW w:w="1779"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11" w:lineRule="exact"/>
              <w:ind w:left="2"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813"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11" w:lineRule="exact"/>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904"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11"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3162"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24" w:lineRule="exact"/>
              <w:ind w:left="68"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占预付款项期末余额合计数的比例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269" w:hRule="exact"/>
        </w:trPr>
        <w:tc>
          <w:tcPr>
            <w:tcW w:w="1779"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81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638,259,759.92</w:t>
            </w:r>
          </w:p>
        </w:tc>
        <w:tc>
          <w:tcPr>
            <w:tcW w:w="1904" w:type="dxa"/>
            <w:tcBorders>
              <w:top w:val="single" w:sz="10" w:space="0" w:color="000000"/>
              <w:left w:val="single" w:sz="6" w:space="0" w:color="000000"/>
              <w:bottom w:val="single" w:sz="6" w:space="0" w:color="000000"/>
              <w:right w:val="single" w:sz="6" w:space="0" w:color="000000"/>
            </w:tcBorders>
          </w:tcPr>
          <w:p>
            <w:pPr>
              <w:pStyle w:val="TableParagraph"/>
              <w:spacing w:line="224"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316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36.85</w:t>
            </w:r>
          </w:p>
        </w:tc>
      </w:tr>
      <w:tr>
        <w:trPr>
          <w:trHeight w:val="269" w:hRule="exact"/>
        </w:trPr>
        <w:tc>
          <w:tcPr>
            <w:tcW w:w="1779"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17" w:lineRule="exact"/>
              <w:ind w:left="2"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8"/>
                <w:szCs w:val="18"/>
              </w:rPr>
            </w:pPr>
            <w:r>
              <w:rPr>
                <w:rFonts w:ascii="Times New Roman"/>
                <w:spacing w:val="-1"/>
                <w:sz w:val="18"/>
              </w:rPr>
              <w:t>215,558,096.94</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3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8"/>
                <w:szCs w:val="18"/>
              </w:rPr>
            </w:pPr>
            <w:r>
              <w:rPr>
                <w:rFonts w:ascii="Times New Roman"/>
                <w:sz w:val="18"/>
              </w:rPr>
              <w:t>12.45</w:t>
            </w:r>
          </w:p>
        </w:tc>
      </w:tr>
      <w:tr>
        <w:trPr>
          <w:trHeight w:val="268" w:hRule="exact"/>
        </w:trPr>
        <w:tc>
          <w:tcPr>
            <w:tcW w:w="1779"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15" w:lineRule="exact"/>
              <w:ind w:left="2"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8"/>
                <w:szCs w:val="18"/>
              </w:rPr>
            </w:pPr>
            <w:r>
              <w:rPr>
                <w:rFonts w:ascii="Times New Roman"/>
                <w:spacing w:val="-1"/>
                <w:sz w:val="18"/>
              </w:rPr>
              <w:t>122,544,366.86</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3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8"/>
                <w:szCs w:val="18"/>
              </w:rPr>
            </w:pPr>
            <w:r>
              <w:rPr>
                <w:rFonts w:ascii="Times New Roman"/>
                <w:sz w:val="18"/>
              </w:rPr>
              <w:t>7.08</w:t>
            </w:r>
          </w:p>
        </w:tc>
      </w:tr>
      <w:tr>
        <w:trPr>
          <w:trHeight w:val="269" w:hRule="exact"/>
        </w:trPr>
        <w:tc>
          <w:tcPr>
            <w:tcW w:w="1779"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8"/>
                <w:szCs w:val="18"/>
              </w:rPr>
            </w:pPr>
            <w:r>
              <w:rPr>
                <w:rFonts w:ascii="Times New Roman"/>
                <w:spacing w:val="-1"/>
                <w:sz w:val="18"/>
              </w:rPr>
              <w:t>84,705,954.42</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3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8"/>
                <w:szCs w:val="18"/>
              </w:rPr>
            </w:pPr>
            <w:r>
              <w:rPr>
                <w:rFonts w:ascii="Times New Roman"/>
                <w:sz w:val="18"/>
              </w:rPr>
              <w:t>4.89</w:t>
            </w:r>
          </w:p>
        </w:tc>
      </w:tr>
      <w:tr>
        <w:trPr>
          <w:trHeight w:val="269" w:hRule="exact"/>
        </w:trPr>
        <w:tc>
          <w:tcPr>
            <w:tcW w:w="1779"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8"/>
                <w:szCs w:val="18"/>
              </w:rPr>
            </w:pPr>
            <w:r>
              <w:rPr>
                <w:rFonts w:ascii="Times New Roman"/>
                <w:spacing w:val="-1"/>
                <w:sz w:val="18"/>
              </w:rPr>
              <w:t>77,518,896.00</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3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8"/>
                <w:szCs w:val="18"/>
              </w:rPr>
            </w:pPr>
            <w:r>
              <w:rPr>
                <w:rFonts w:ascii="Times New Roman"/>
                <w:sz w:val="18"/>
              </w:rPr>
              <w:t>4.48</w:t>
            </w:r>
          </w:p>
        </w:tc>
      </w:tr>
      <w:tr>
        <w:trPr>
          <w:trHeight w:val="269" w:hRule="exact"/>
        </w:trPr>
        <w:tc>
          <w:tcPr>
            <w:tcW w:w="1779"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15" w:lineRule="exact"/>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3"/>
              <w:jc w:val="right"/>
              <w:rPr>
                <w:rFonts w:ascii="Times New Roman" w:hAnsi="Times New Roman" w:cs="Times New Roman" w:eastAsia="Times New Roman" w:hint="default"/>
                <w:sz w:val="18"/>
                <w:szCs w:val="18"/>
              </w:rPr>
            </w:pPr>
            <w:r>
              <w:rPr>
                <w:rFonts w:ascii="Times New Roman"/>
                <w:spacing w:val="-1"/>
                <w:sz w:val="18"/>
              </w:rPr>
              <w:t>1,138,587,074.14</w:t>
            </w:r>
          </w:p>
        </w:tc>
        <w:tc>
          <w:tcPr>
            <w:tcW w:w="1904" w:type="dxa"/>
            <w:tcBorders>
              <w:top w:val="single" w:sz="6" w:space="0" w:color="000000"/>
              <w:left w:val="single" w:sz="6" w:space="0" w:color="000000"/>
              <w:bottom w:val="single" w:sz="6" w:space="0" w:color="000000"/>
              <w:right w:val="single" w:sz="6" w:space="0" w:color="000000"/>
            </w:tcBorders>
          </w:tcPr>
          <w:p>
            <w:pPr/>
          </w:p>
        </w:tc>
        <w:tc>
          <w:tcPr>
            <w:tcW w:w="3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8"/>
                <w:szCs w:val="18"/>
              </w:rPr>
            </w:pPr>
            <w:r>
              <w:rPr>
                <w:rFonts w:ascii="Times New Roman"/>
                <w:sz w:val="18"/>
              </w:rPr>
              <w:t>65.75</w:t>
            </w:r>
          </w:p>
        </w:tc>
      </w:tr>
    </w:tbl>
    <w:p>
      <w:pPr>
        <w:pStyle w:val="BodyText"/>
        <w:spacing w:line="205" w:lineRule="exact"/>
        <w:ind w:right="0"/>
        <w:jc w:val="left"/>
      </w:pPr>
      <w:r>
        <w:rPr/>
        <w:t>前五名的预付款项单位均为本公司非关联方公司。</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5、其他应收款" w:id="225"/>
      <w:bookmarkEnd w:id="225"/>
      <w:r>
        <w:rPr>
          <w:b w:val="0"/>
          <w:bCs w:val="0"/>
        </w:rPr>
      </w:r>
      <w:r>
        <w:rPr>
          <w:rFonts w:ascii="Times New Roman" w:hAnsi="Times New Roman" w:cs="Times New Roman" w:eastAsia="Times New Roman" w:hint="default"/>
        </w:rPr>
        <w:t>5</w:t>
      </w:r>
      <w:r>
        <w:rPr/>
        <w:t>、其他应收款</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21,884,774.39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15,370,933.11</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0.00</w:t>
            </w:r>
          </w:p>
        </w:tc>
      </w:tr>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197,907,152.49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212,636,753.84</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219,791,926.88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228,007,686.95</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1）应收利息" w:id="226"/>
      <w:bookmarkEnd w:id="226"/>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8"/>
        <w:rPr>
          <w:rFonts w:ascii="宋体" w:hAnsi="宋体" w:cs="宋体" w:eastAsia="宋体" w:hint="default"/>
          <w:b/>
          <w:bCs/>
          <w:sz w:val="18"/>
          <w:szCs w:val="18"/>
        </w:rPr>
      </w:pPr>
    </w:p>
    <w:p>
      <w:pPr>
        <w:pStyle w:val="Heading5"/>
        <w:spacing w:line="240" w:lineRule="auto"/>
        <w:ind w:right="0"/>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43"/>
        </w:rPr>
        <w:t> </w:t>
      </w:r>
      <w:r>
        <w:rPr/>
        <w:t>应收利息分类</w:t>
      </w:r>
      <w:r>
        <w:rPr>
          <w:b w:val="0"/>
          <w:bCs w:val="0"/>
        </w:rPr>
      </w:r>
    </w:p>
    <w:p>
      <w:pPr>
        <w:pStyle w:val="BodyText"/>
        <w:spacing w:line="240" w:lineRule="auto" w:before="25"/>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资金使用费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21,884,774.39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15,370,933.11</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21,884,774.39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15,370,933.11</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1"/>
        <w:rPr>
          <w:rFonts w:ascii="宋体" w:hAnsi="宋体" w:cs="宋体" w:eastAsia="宋体" w:hint="default"/>
          <w:sz w:val="19"/>
          <w:szCs w:val="19"/>
        </w:rPr>
      </w:pPr>
    </w:p>
    <w:p>
      <w:pPr>
        <w:pStyle w:val="Heading3"/>
        <w:spacing w:line="240" w:lineRule="auto" w:before="35"/>
        <w:ind w:left="994" w:right="6252"/>
        <w:jc w:val="left"/>
        <w:rPr>
          <w:b w:val="0"/>
          <w:bCs w:val="0"/>
        </w:rPr>
      </w:pPr>
      <w:bookmarkStart w:name="（2）应收股利" w:id="227"/>
      <w:bookmarkEnd w:id="227"/>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8"/>
        <w:rPr>
          <w:rFonts w:ascii="宋体" w:hAnsi="宋体" w:cs="宋体" w:eastAsia="宋体" w:hint="default"/>
          <w:b/>
          <w:bCs/>
          <w:sz w:val="18"/>
          <w:szCs w:val="18"/>
        </w:rPr>
      </w:pPr>
    </w:p>
    <w:p>
      <w:pPr>
        <w:pStyle w:val="Heading5"/>
        <w:spacing w:line="240" w:lineRule="auto"/>
        <w:ind w:left="994" w:right="6252"/>
        <w:jc w:val="left"/>
        <w:rPr>
          <w:b w:val="0"/>
          <w:bCs w:val="0"/>
        </w:rPr>
      </w:pPr>
      <w:r>
        <w:rPr>
          <w:rFonts w:ascii="Times New Roman" w:hAnsi="Times New Roman" w:cs="Times New Roman" w:eastAsia="Times New Roman" w:hint="default"/>
        </w:rPr>
        <w:t>1)  </w:t>
      </w:r>
      <w:r>
        <w:rPr/>
        <w:t>应收股利</w:t>
      </w:r>
      <w:r>
        <w:rPr>
          <w:b w:val="0"/>
          <w:bCs w:val="0"/>
        </w:rPr>
      </w:r>
    </w:p>
    <w:p>
      <w:pPr>
        <w:pStyle w:val="BodyText"/>
        <w:spacing w:line="240" w:lineRule="auto" w:before="2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000" w:type="dxa"/>
        <w:tblLayout w:type="fixed"/>
        <w:tblCellMar>
          <w:top w:w="0" w:type="dxa"/>
          <w:left w:w="0" w:type="dxa"/>
          <w:bottom w:w="0" w:type="dxa"/>
          <w:right w:w="0" w:type="dxa"/>
        </w:tblCellMar>
        <w:tblLook w:val="01E0"/>
      </w:tblPr>
      <w:tblGrid>
        <w:gridCol w:w="3167"/>
        <w:gridCol w:w="3203"/>
        <w:gridCol w:w="3189"/>
      </w:tblGrid>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7"/>
        <w:rPr>
          <w:rFonts w:ascii="宋体" w:hAnsi="宋体" w:cs="宋体" w:eastAsia="宋体" w:hint="default"/>
          <w:sz w:val="17"/>
          <w:szCs w:val="17"/>
        </w:rPr>
      </w:pPr>
    </w:p>
    <w:p>
      <w:pPr>
        <w:pStyle w:val="Heading3"/>
        <w:spacing w:line="240" w:lineRule="auto" w:before="35"/>
        <w:ind w:left="994" w:right="6252"/>
        <w:jc w:val="left"/>
        <w:rPr>
          <w:b w:val="0"/>
          <w:bCs w:val="0"/>
        </w:rPr>
      </w:pPr>
      <w:bookmarkStart w:name="（3）其他应收款" w:id="228"/>
      <w:bookmarkEnd w:id="228"/>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8"/>
        <w:rPr>
          <w:rFonts w:ascii="宋体" w:hAnsi="宋体" w:cs="宋体" w:eastAsia="宋体" w:hint="default"/>
          <w:b/>
          <w:bCs/>
          <w:sz w:val="18"/>
          <w:szCs w:val="18"/>
        </w:rPr>
      </w:pPr>
    </w:p>
    <w:p>
      <w:pPr>
        <w:pStyle w:val="Heading5"/>
        <w:spacing w:line="240" w:lineRule="auto"/>
        <w:ind w:left="994" w:right="6252"/>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43"/>
        </w:rPr>
        <w:t> </w:t>
      </w:r>
      <w:r>
        <w:rPr/>
        <w:t>其他应收款分类披露</w:t>
      </w:r>
      <w:r>
        <w:rPr>
          <w:b w:val="0"/>
          <w:bCs w:val="0"/>
        </w:rPr>
      </w:r>
    </w:p>
    <w:p>
      <w:pPr>
        <w:pStyle w:val="BodyText"/>
        <w:spacing w:line="240" w:lineRule="auto" w:before="2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1215"/>
        <w:gridCol w:w="1203"/>
        <w:gridCol w:w="714"/>
        <w:gridCol w:w="1141"/>
        <w:gridCol w:w="716"/>
        <w:gridCol w:w="1240"/>
        <w:gridCol w:w="1192"/>
        <w:gridCol w:w="717"/>
        <w:gridCol w:w="1140"/>
        <w:gridCol w:w="716"/>
        <w:gridCol w:w="1272"/>
      </w:tblGrid>
      <w:tr>
        <w:trPr>
          <w:trHeight w:val="323" w:hRule="exact"/>
        </w:trPr>
        <w:tc>
          <w:tcPr>
            <w:tcW w:w="1215" w:type="dxa"/>
            <w:vMerge w:val="restart"/>
            <w:tcBorders>
              <w:top w:val="single" w:sz="4" w:space="0" w:color="000000"/>
              <w:left w:val="single" w:sz="4" w:space="0" w:color="000000"/>
              <w:right w:val="single" w:sz="4" w:space="0" w:color="000000"/>
            </w:tcBorders>
            <w:shd w:val="clear" w:color="auto" w:fill="D2D2D2"/>
          </w:tcPr>
          <w:p>
            <w:pPr/>
          </w:p>
        </w:tc>
        <w:tc>
          <w:tcPr>
            <w:tcW w:w="501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03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22" w:hRule="exact"/>
        </w:trPr>
        <w:tc>
          <w:tcPr>
            <w:tcW w:w="1215" w:type="dxa"/>
            <w:vMerge/>
            <w:tcBorders>
              <w:left w:val="single" w:sz="4" w:space="0" w:color="000000"/>
              <w:bottom w:val="nil" w:sz="6" w:space="0" w:color="auto"/>
              <w:right w:val="single" w:sz="4" w:space="0" w:color="000000"/>
            </w:tcBorders>
            <w:shd w:val="clear" w:color="auto" w:fill="D2D2D2"/>
          </w:tcPr>
          <w:p>
            <w:pPr/>
          </w:p>
        </w:tc>
        <w:tc>
          <w:tcPr>
            <w:tcW w:w="19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5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5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40" w:type="dxa"/>
            <w:vMerge w:val="restart"/>
            <w:tcBorders>
              <w:top w:val="single" w:sz="4" w:space="0" w:color="000000"/>
              <w:left w:val="single" w:sz="4" w:space="0" w:color="000000"/>
              <w:right w:val="single" w:sz="4" w:space="0" w:color="000000"/>
            </w:tcBorders>
            <w:shd w:val="clear" w:color="auto" w:fill="D2D2D2"/>
          </w:tcPr>
          <w:p>
            <w:pPr/>
          </w:p>
        </w:tc>
        <w:tc>
          <w:tcPr>
            <w:tcW w:w="190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58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5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2" w:type="dxa"/>
            <w:vMerge w:val="restart"/>
            <w:tcBorders>
              <w:top w:val="single" w:sz="4" w:space="0" w:color="000000"/>
              <w:left w:val="single" w:sz="4" w:space="0" w:color="000000"/>
              <w:right w:val="single" w:sz="4" w:space="0" w:color="000000"/>
            </w:tcBorders>
            <w:shd w:val="clear" w:color="auto" w:fill="D2D2D2"/>
          </w:tcPr>
          <w:p>
            <w:pPr/>
          </w:p>
        </w:tc>
      </w:tr>
      <w:tr>
        <w:trPr>
          <w:trHeight w:val="260" w:hRule="exact"/>
        </w:trPr>
        <w:tc>
          <w:tcPr>
            <w:tcW w:w="12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7" w:type="dxa"/>
            <w:gridSpan w:val="2"/>
            <w:vMerge/>
            <w:tcBorders>
              <w:left w:val="single" w:sz="4" w:space="0" w:color="000000"/>
              <w:bottom w:val="single" w:sz="4" w:space="0" w:color="000000"/>
              <w:right w:val="single" w:sz="4" w:space="0" w:color="000000"/>
            </w:tcBorders>
            <w:shd w:val="clear" w:color="auto" w:fill="D2D2D2"/>
          </w:tcPr>
          <w:p>
            <w:pPr/>
          </w:p>
        </w:tc>
        <w:tc>
          <w:tcPr>
            <w:tcW w:w="1857" w:type="dxa"/>
            <w:gridSpan w:val="2"/>
            <w:vMerge/>
            <w:tcBorders>
              <w:left w:val="single" w:sz="4" w:space="0" w:color="000000"/>
              <w:bottom w:val="single" w:sz="4" w:space="0" w:color="000000"/>
              <w:right w:val="single" w:sz="4" w:space="0" w:color="000000"/>
            </w:tcBorders>
            <w:shd w:val="clear" w:color="auto" w:fill="D2D2D2"/>
          </w:tcPr>
          <w:p>
            <w:pPr/>
          </w:p>
        </w:tc>
        <w:tc>
          <w:tcPr>
            <w:tcW w:w="1240" w:type="dxa"/>
            <w:vMerge/>
            <w:tcBorders>
              <w:left w:val="single" w:sz="4" w:space="0" w:color="000000"/>
              <w:bottom w:val="nil" w:sz="6" w:space="0" w:color="auto"/>
              <w:right w:val="single" w:sz="4" w:space="0" w:color="000000"/>
            </w:tcBorders>
            <w:shd w:val="clear" w:color="auto" w:fill="D2D2D2"/>
          </w:tcPr>
          <w:p>
            <w:pPr/>
          </w:p>
        </w:tc>
        <w:tc>
          <w:tcPr>
            <w:tcW w:w="1908" w:type="dxa"/>
            <w:gridSpan w:val="2"/>
            <w:vMerge/>
            <w:tcBorders>
              <w:left w:val="single" w:sz="4" w:space="0" w:color="000000"/>
              <w:bottom w:val="single" w:sz="4" w:space="0" w:color="000000"/>
              <w:right w:val="single" w:sz="4" w:space="0" w:color="000000"/>
            </w:tcBorders>
            <w:shd w:val="clear" w:color="auto" w:fill="D2D2D2"/>
          </w:tcPr>
          <w:p>
            <w:pPr/>
          </w:p>
        </w:tc>
        <w:tc>
          <w:tcPr>
            <w:tcW w:w="1856" w:type="dxa"/>
            <w:gridSpan w:val="2"/>
            <w:vMerge/>
            <w:tcBorders>
              <w:left w:val="single" w:sz="4" w:space="0" w:color="000000"/>
              <w:bottom w:val="single" w:sz="4" w:space="0" w:color="000000"/>
              <w:right w:val="single" w:sz="4" w:space="0" w:color="000000"/>
            </w:tcBorders>
            <w:shd w:val="clear" w:color="auto" w:fill="D2D2D2"/>
          </w:tcPr>
          <w:p>
            <w:pPr/>
          </w:p>
        </w:tc>
        <w:tc>
          <w:tcPr>
            <w:tcW w:w="1272" w:type="dxa"/>
            <w:vMerge/>
            <w:tcBorders>
              <w:left w:val="single" w:sz="4" w:space="0" w:color="000000"/>
              <w:bottom w:val="nil" w:sz="6" w:space="0" w:color="auto"/>
              <w:right w:val="single" w:sz="4" w:space="0" w:color="000000"/>
            </w:tcBorders>
            <w:shd w:val="clear" w:color="auto" w:fill="D2D2D2"/>
          </w:tcPr>
          <w:p>
            <w:pPr/>
          </w:p>
        </w:tc>
      </w:tr>
      <w:tr>
        <w:trPr>
          <w:trHeight w:val="215" w:hRule="exact"/>
        </w:trPr>
        <w:tc>
          <w:tcPr>
            <w:tcW w:w="1215" w:type="dxa"/>
            <w:vMerge w:val="restart"/>
            <w:tcBorders>
              <w:top w:val="nil" w:sz="6" w:space="0" w:color="auto"/>
              <w:left w:val="single" w:sz="4" w:space="0" w:color="000000"/>
              <w:right w:val="single" w:sz="4" w:space="0" w:color="000000"/>
            </w:tcBorders>
            <w:shd w:val="clear" w:color="auto" w:fill="D2D2D2"/>
          </w:tcPr>
          <w:p>
            <w:pPr/>
          </w:p>
        </w:tc>
        <w:tc>
          <w:tcPr>
            <w:tcW w:w="12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8"/>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8"/>
              <w:ind w:left="17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8"/>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6" w:type="dxa"/>
            <w:vMerge w:val="restart"/>
            <w:tcBorders>
              <w:top w:val="single" w:sz="4" w:space="0" w:color="000000"/>
              <w:left w:val="single" w:sz="4" w:space="0" w:color="000000"/>
              <w:right w:val="single" w:sz="4" w:space="0" w:color="000000"/>
            </w:tcBorders>
            <w:shd w:val="clear" w:color="auto" w:fill="D2D2D2"/>
          </w:tcPr>
          <w:p>
            <w:pPr>
              <w:pStyle w:val="TableParagraph"/>
              <w:spacing w:line="186" w:lineRule="exact"/>
              <w:ind w:right="0"/>
              <w:jc w:val="center"/>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12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8" w:lineRule="exact"/>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8"/>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8"/>
              <w:ind w:left="17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6" w:type="dxa"/>
            <w:vMerge w:val="restart"/>
            <w:tcBorders>
              <w:top w:val="single" w:sz="4" w:space="0" w:color="000000"/>
              <w:left w:val="single" w:sz="4" w:space="0" w:color="000000"/>
              <w:right w:val="single" w:sz="4" w:space="0" w:color="000000"/>
            </w:tcBorders>
            <w:shd w:val="clear" w:color="auto" w:fill="D2D2D2"/>
          </w:tcPr>
          <w:p>
            <w:pPr>
              <w:pStyle w:val="TableParagraph"/>
              <w:spacing w:line="186" w:lineRule="exact"/>
              <w:ind w:right="1"/>
              <w:jc w:val="center"/>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例</w:t>
            </w:r>
          </w:p>
        </w:tc>
        <w:tc>
          <w:tcPr>
            <w:tcW w:w="12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8" w:lineRule="exact"/>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283" w:hRule="exact"/>
        </w:trPr>
        <w:tc>
          <w:tcPr>
            <w:tcW w:w="1215" w:type="dxa"/>
            <w:vMerge/>
            <w:tcBorders>
              <w:left w:val="single" w:sz="4" w:space="0" w:color="000000"/>
              <w:bottom w:val="single" w:sz="4" w:space="0" w:color="000000"/>
              <w:right w:val="single" w:sz="4" w:space="0" w:color="000000"/>
            </w:tcBorders>
            <w:shd w:val="clear" w:color="auto" w:fill="D2D2D2"/>
          </w:tcPr>
          <w:p>
            <w:pPr/>
          </w:p>
        </w:tc>
        <w:tc>
          <w:tcPr>
            <w:tcW w:w="1203" w:type="dxa"/>
            <w:vMerge/>
            <w:tcBorders>
              <w:left w:val="single" w:sz="4" w:space="0" w:color="000000"/>
              <w:bottom w:val="single" w:sz="4" w:space="0" w:color="000000"/>
              <w:right w:val="single" w:sz="4" w:space="0" w:color="000000"/>
            </w:tcBorders>
            <w:shd w:val="clear" w:color="auto" w:fill="D2D2D2"/>
          </w:tcPr>
          <w:p>
            <w:pPr/>
          </w:p>
        </w:tc>
        <w:tc>
          <w:tcPr>
            <w:tcW w:w="714" w:type="dxa"/>
            <w:vMerge/>
            <w:tcBorders>
              <w:left w:val="single" w:sz="4" w:space="0" w:color="000000"/>
              <w:bottom w:val="single" w:sz="4" w:space="0" w:color="000000"/>
              <w:right w:val="single" w:sz="4" w:space="0" w:color="000000"/>
            </w:tcBorders>
            <w:shd w:val="clear" w:color="auto" w:fill="D2D2D2"/>
          </w:tcPr>
          <w:p>
            <w:pPr/>
          </w:p>
        </w:tc>
        <w:tc>
          <w:tcPr>
            <w:tcW w:w="1141" w:type="dxa"/>
            <w:vMerge/>
            <w:tcBorders>
              <w:left w:val="single" w:sz="4" w:space="0" w:color="000000"/>
              <w:bottom w:val="single" w:sz="4" w:space="0" w:color="000000"/>
              <w:right w:val="single" w:sz="4" w:space="0" w:color="000000"/>
            </w:tcBorders>
            <w:shd w:val="clear" w:color="auto" w:fill="D2D2D2"/>
          </w:tcPr>
          <w:p>
            <w:pPr/>
          </w:p>
        </w:tc>
        <w:tc>
          <w:tcPr>
            <w:tcW w:w="716" w:type="dxa"/>
            <w:vMerge/>
            <w:tcBorders>
              <w:left w:val="single" w:sz="4" w:space="0" w:color="000000"/>
              <w:bottom w:val="single" w:sz="4" w:space="0" w:color="000000"/>
              <w:right w:val="single" w:sz="4" w:space="0" w:color="000000"/>
            </w:tcBorders>
            <w:shd w:val="clear" w:color="auto" w:fill="D2D2D2"/>
          </w:tcPr>
          <w:p>
            <w:pPr/>
          </w:p>
        </w:tc>
        <w:tc>
          <w:tcPr>
            <w:tcW w:w="12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2" w:type="dxa"/>
            <w:vMerge/>
            <w:tcBorders>
              <w:left w:val="single" w:sz="4" w:space="0" w:color="000000"/>
              <w:bottom w:val="single" w:sz="4" w:space="0" w:color="000000"/>
              <w:right w:val="single" w:sz="4" w:space="0" w:color="000000"/>
            </w:tcBorders>
            <w:shd w:val="clear" w:color="auto" w:fill="D2D2D2"/>
          </w:tcPr>
          <w:p>
            <w:pPr/>
          </w:p>
        </w:tc>
        <w:tc>
          <w:tcPr>
            <w:tcW w:w="717" w:type="dxa"/>
            <w:vMerge/>
            <w:tcBorders>
              <w:left w:val="single" w:sz="4" w:space="0" w:color="000000"/>
              <w:bottom w:val="single" w:sz="4" w:space="0" w:color="000000"/>
              <w:right w:val="single" w:sz="4" w:space="0" w:color="000000"/>
            </w:tcBorders>
            <w:shd w:val="clear" w:color="auto" w:fill="D2D2D2"/>
          </w:tcPr>
          <w:p>
            <w:pPr/>
          </w:p>
        </w:tc>
        <w:tc>
          <w:tcPr>
            <w:tcW w:w="1140" w:type="dxa"/>
            <w:vMerge/>
            <w:tcBorders>
              <w:left w:val="single" w:sz="4" w:space="0" w:color="000000"/>
              <w:bottom w:val="single" w:sz="4" w:space="0" w:color="000000"/>
              <w:right w:val="single" w:sz="4" w:space="0" w:color="000000"/>
            </w:tcBorders>
            <w:shd w:val="clear" w:color="auto" w:fill="D2D2D2"/>
          </w:tcPr>
          <w:p>
            <w:pPr/>
          </w:p>
        </w:tc>
        <w:tc>
          <w:tcPr>
            <w:tcW w:w="716" w:type="dxa"/>
            <w:vMerge/>
            <w:tcBorders>
              <w:left w:val="single" w:sz="4" w:space="0" w:color="000000"/>
              <w:bottom w:val="single" w:sz="4" w:space="0" w:color="000000"/>
              <w:right w:val="single" w:sz="4" w:space="0" w:color="000000"/>
            </w:tcBorders>
            <w:shd w:val="clear" w:color="auto" w:fill="D2D2D2"/>
          </w:tcPr>
          <w:p>
            <w:pPr/>
          </w:p>
        </w:tc>
        <w:tc>
          <w:tcPr>
            <w:tcW w:w="127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4"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
              <w:ind w:left="11" w:right="111"/>
              <w:jc w:val="both"/>
              <w:rPr>
                <w:rFonts w:ascii="宋体" w:hAnsi="宋体" w:cs="宋体" w:eastAsia="宋体" w:hint="default"/>
                <w:sz w:val="18"/>
                <w:szCs w:val="18"/>
              </w:rPr>
            </w:pPr>
            <w:r>
              <w:rPr>
                <w:rFonts w:ascii="宋体" w:hAnsi="宋体" w:cs="宋体" w:eastAsia="宋体" w:hint="default"/>
                <w:sz w:val="18"/>
                <w:szCs w:val="18"/>
              </w:rPr>
              <w:t>按信用风险特 征组合计提坏 账准备的其他 应收款</w:t>
            </w:r>
          </w:p>
        </w:tc>
        <w:tc>
          <w:tcPr>
            <w:tcW w:w="1203" w:type="dxa"/>
            <w:tcBorders>
              <w:top w:val="single" w:sz="50" w:space="0" w:color="D2D2D2"/>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197,907,152.49</w:t>
            </w:r>
          </w:p>
        </w:tc>
        <w:tc>
          <w:tcPr>
            <w:tcW w:w="714" w:type="dxa"/>
            <w:tcBorders>
              <w:top w:val="single" w:sz="50" w:space="0" w:color="D2D2D2"/>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92.93%</w:t>
            </w:r>
          </w:p>
        </w:tc>
        <w:tc>
          <w:tcPr>
            <w:tcW w:w="1141" w:type="dxa"/>
            <w:tcBorders>
              <w:top w:val="single" w:sz="50" w:space="0" w:color="D2D2D2"/>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197,907,152.49</w:t>
            </w:r>
          </w:p>
        </w:tc>
        <w:tc>
          <w:tcPr>
            <w:tcW w:w="1192" w:type="dxa"/>
            <w:tcBorders>
              <w:top w:val="single" w:sz="50" w:space="0" w:color="D2D2D2"/>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215,682,233.83</w:t>
            </w:r>
          </w:p>
        </w:tc>
        <w:tc>
          <w:tcPr>
            <w:tcW w:w="717" w:type="dxa"/>
            <w:tcBorders>
              <w:top w:val="single" w:sz="50" w:space="0" w:color="D2D2D2"/>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96.31%</w:t>
            </w:r>
          </w:p>
        </w:tc>
        <w:tc>
          <w:tcPr>
            <w:tcW w:w="1140" w:type="dxa"/>
            <w:tcBorders>
              <w:top w:val="single" w:sz="50" w:space="0" w:color="D2D2D2"/>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3,045,479.99</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1.41%</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0" w:right="0"/>
              <w:jc w:val="center"/>
              <w:rPr>
                <w:rFonts w:ascii="Times New Roman" w:hAnsi="Times New Roman" w:cs="Times New Roman" w:eastAsia="Times New Roman" w:hint="default"/>
                <w:sz w:val="18"/>
                <w:szCs w:val="18"/>
              </w:rPr>
            </w:pPr>
            <w:r>
              <w:rPr>
                <w:rFonts w:ascii="Times New Roman"/>
                <w:sz w:val="18"/>
              </w:rPr>
              <w:t>212,636,753.84</w:t>
            </w:r>
          </w:p>
        </w:tc>
      </w:tr>
      <w:tr>
        <w:trPr>
          <w:trHeight w:val="1024"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
              <w:ind w:left="11" w:right="111"/>
              <w:jc w:val="both"/>
              <w:rPr>
                <w:rFonts w:ascii="宋体" w:hAnsi="宋体" w:cs="宋体" w:eastAsia="宋体" w:hint="default"/>
                <w:sz w:val="18"/>
                <w:szCs w:val="18"/>
              </w:rPr>
            </w:pPr>
            <w:r>
              <w:rPr>
                <w:rFonts w:ascii="宋体" w:hAnsi="宋体" w:cs="宋体" w:eastAsia="宋体" w:hint="default"/>
                <w:sz w:val="18"/>
                <w:szCs w:val="18"/>
              </w:rPr>
              <w:t>单项金额不重 大但单独计提 坏账准备的其 他应收款</w:t>
            </w:r>
          </w:p>
        </w:tc>
        <w:tc>
          <w:tcPr>
            <w:tcW w:w="1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15,062,076.78</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7.07%</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15,062,076.78</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240"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8,252,215.68</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3.69%</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8,252,215.68</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9" w:right="0"/>
              <w:jc w:val="center"/>
              <w:rPr>
                <w:rFonts w:ascii="Times New Roman" w:hAnsi="Times New Roman" w:cs="Times New Roman" w:eastAsia="Times New Roman" w:hint="default"/>
                <w:sz w:val="18"/>
                <w:szCs w:val="18"/>
              </w:rPr>
            </w:pPr>
            <w:r>
              <w:rPr>
                <w:rFonts w:ascii="Times New Roman"/>
                <w:sz w:val="18"/>
              </w:rPr>
              <w:t>212,969,229.27</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100.00%</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 w:right="0"/>
              <w:jc w:val="center"/>
              <w:rPr>
                <w:rFonts w:ascii="Times New Roman" w:hAnsi="Times New Roman" w:cs="Times New Roman" w:eastAsia="Times New Roman" w:hint="default"/>
                <w:sz w:val="18"/>
                <w:szCs w:val="18"/>
              </w:rPr>
            </w:pPr>
            <w:r>
              <w:rPr>
                <w:rFonts w:ascii="Times New Roman"/>
                <w:sz w:val="18"/>
              </w:rPr>
              <w:t>15,062,076.78</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7.07%</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0" w:right="0"/>
              <w:jc w:val="center"/>
              <w:rPr>
                <w:rFonts w:ascii="Times New Roman" w:hAnsi="Times New Roman" w:cs="Times New Roman" w:eastAsia="Times New Roman" w:hint="default"/>
                <w:sz w:val="18"/>
                <w:szCs w:val="18"/>
              </w:rPr>
            </w:pPr>
            <w:r>
              <w:rPr>
                <w:rFonts w:ascii="Times New Roman"/>
                <w:sz w:val="18"/>
              </w:rPr>
              <w:t>197,907,152.49</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223,934,449.51</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11,297,695.67</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5.05%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0" w:right="0"/>
              <w:jc w:val="center"/>
              <w:rPr>
                <w:rFonts w:ascii="Times New Roman" w:hAnsi="Times New Roman" w:cs="Times New Roman" w:eastAsia="Times New Roman" w:hint="default"/>
                <w:sz w:val="18"/>
                <w:szCs w:val="18"/>
              </w:rPr>
            </w:pPr>
            <w:r>
              <w:rPr>
                <w:rFonts w:ascii="Times New Roman"/>
                <w:sz w:val="18"/>
              </w:rPr>
              <w:t>212,636,753.84</w:t>
            </w:r>
          </w:p>
        </w:tc>
      </w:tr>
    </w:tbl>
    <w:p>
      <w:pPr>
        <w:pStyle w:val="BodyText"/>
        <w:spacing w:line="240" w:lineRule="auto" w:before="11"/>
        <w:ind w:left="994" w:right="6252"/>
        <w:jc w:val="left"/>
      </w:pPr>
      <w:r>
        <w:rPr/>
        <w:t>期末单项金额重大并单项计提坏账准备的其他应收款：</w:t>
      </w:r>
    </w:p>
    <w:p>
      <w:pPr>
        <w:pStyle w:val="BodyText"/>
        <w:spacing w:line="264" w:lineRule="auto" w:before="37"/>
        <w:ind w:left="994"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64" w:lineRule="auto" w:before="20"/>
        <w:ind w:left="994" w:right="62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组合中，采用余额百分比法计提坏账准备的其他应收款：</w:t>
      </w:r>
    </w:p>
    <w:p>
      <w:pPr>
        <w:pStyle w:val="BodyText"/>
        <w:spacing w:line="261" w:lineRule="auto" w:before="20"/>
        <w:ind w:left="994"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22"/>
        <w:ind w:left="994" w:right="62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24"/>
        <w:ind w:left="135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t>组合中，采用其他方法计提坏账准备的其他应收款</w:t>
      </w:r>
    </w:p>
    <w:tbl>
      <w:tblPr>
        <w:tblW w:w="0" w:type="auto"/>
        <w:jc w:val="left"/>
        <w:tblInd w:w="1004" w:type="dxa"/>
        <w:tblLayout w:type="fixed"/>
        <w:tblCellMar>
          <w:top w:w="0" w:type="dxa"/>
          <w:left w:w="0" w:type="dxa"/>
          <w:bottom w:w="0" w:type="dxa"/>
          <w:right w:w="0" w:type="dxa"/>
        </w:tblCellMar>
        <w:tblLook w:val="01E0"/>
      </w:tblPr>
      <w:tblGrid>
        <w:gridCol w:w="3290"/>
        <w:gridCol w:w="2292"/>
        <w:gridCol w:w="2129"/>
        <w:gridCol w:w="1896"/>
      </w:tblGrid>
      <w:tr>
        <w:trPr>
          <w:trHeight w:val="450" w:hRule="exact"/>
        </w:trPr>
        <w:tc>
          <w:tcPr>
            <w:tcW w:w="3290" w:type="dxa"/>
            <w:vMerge w:val="restart"/>
            <w:tcBorders>
              <w:top w:val="single" w:sz="4" w:space="0" w:color="000000"/>
              <w:left w:val="single" w:sz="4" w:space="0" w:color="000000"/>
              <w:right w:val="single" w:sz="4" w:space="0" w:color="000000"/>
            </w:tcBorders>
            <w:shd w:val="clear" w:color="auto" w:fill="D0CECE"/>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6318" w:type="dxa"/>
            <w:gridSpan w:val="3"/>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450" w:hRule="exact"/>
        </w:trPr>
        <w:tc>
          <w:tcPr>
            <w:tcW w:w="3290" w:type="dxa"/>
            <w:vMerge/>
            <w:tcBorders>
              <w:left w:val="single" w:sz="4" w:space="0" w:color="000000"/>
              <w:bottom w:val="single" w:sz="4" w:space="0" w:color="000000"/>
              <w:right w:val="single" w:sz="4" w:space="0" w:color="000000"/>
            </w:tcBorders>
            <w:shd w:val="clear" w:color="auto" w:fill="D0CECE"/>
          </w:tcPr>
          <w:p>
            <w:pPr/>
          </w:p>
        </w:tc>
        <w:tc>
          <w:tcPr>
            <w:tcW w:w="229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7"/>
              <w:ind w:left="69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2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7"/>
              <w:ind w:left="6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9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7"/>
              <w:ind w:right="1"/>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450" w:hRule="exact"/>
        </w:trPr>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18"/>
                <w:szCs w:val="18"/>
              </w:rPr>
            </w:pPr>
            <w:r>
              <w:rPr>
                <w:rFonts w:ascii="宋体" w:hAnsi="宋体" w:cs="宋体" w:eastAsia="宋体" w:hint="default"/>
                <w:sz w:val="18"/>
                <w:szCs w:val="18"/>
              </w:rPr>
              <w:t>款项性质组合</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65,798,798.95</w:t>
            </w:r>
          </w:p>
        </w:tc>
        <w:tc>
          <w:tcPr>
            <w:tcW w:w="2129"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18"/>
                <w:szCs w:val="18"/>
              </w:rPr>
            </w:pPr>
            <w:r>
              <w:rPr>
                <w:rFonts w:ascii="宋体" w:hAnsi="宋体" w:cs="宋体" w:eastAsia="宋体" w:hint="default"/>
                <w:sz w:val="18"/>
                <w:szCs w:val="18"/>
              </w:rPr>
              <w:t>与交易对象关系组合</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132,108,353.54</w:t>
            </w:r>
          </w:p>
        </w:tc>
        <w:tc>
          <w:tcPr>
            <w:tcW w:w="2129"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197,907,152.49</w:t>
            </w:r>
          </w:p>
        </w:tc>
        <w:tc>
          <w:tcPr>
            <w:tcW w:w="2129"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11"/>
        <w:rPr>
          <w:rFonts w:ascii="宋体" w:hAnsi="宋体" w:cs="宋体" w:eastAsia="宋体" w:hint="default"/>
          <w:sz w:val="13"/>
          <w:szCs w:val="13"/>
        </w:rPr>
      </w:pPr>
    </w:p>
    <w:p>
      <w:pPr>
        <w:pStyle w:val="BodyText"/>
        <w:spacing w:line="240" w:lineRule="auto" w:before="44"/>
        <w:ind w:left="135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4"/>
        </w:rPr>
        <w:t> </w:t>
      </w:r>
      <w:r>
        <w:rPr/>
        <w:t>年末单项金额不重大但单项计提坏账准备的其他应收款</w:t>
      </w:r>
    </w:p>
    <w:tbl>
      <w:tblPr>
        <w:tblW w:w="0" w:type="auto"/>
        <w:jc w:val="left"/>
        <w:tblInd w:w="1004" w:type="dxa"/>
        <w:tblLayout w:type="fixed"/>
        <w:tblCellMar>
          <w:top w:w="0" w:type="dxa"/>
          <w:left w:w="0" w:type="dxa"/>
          <w:bottom w:w="0" w:type="dxa"/>
          <w:right w:w="0" w:type="dxa"/>
        </w:tblCellMar>
        <w:tblLook w:val="01E0"/>
      </w:tblPr>
      <w:tblGrid>
        <w:gridCol w:w="3290"/>
        <w:gridCol w:w="2292"/>
        <w:gridCol w:w="2129"/>
        <w:gridCol w:w="1896"/>
      </w:tblGrid>
      <w:tr>
        <w:trPr>
          <w:trHeight w:val="450" w:hRule="exact"/>
        </w:trPr>
        <w:tc>
          <w:tcPr>
            <w:tcW w:w="3290" w:type="dxa"/>
            <w:vMerge w:val="restart"/>
            <w:tcBorders>
              <w:top w:val="single" w:sz="4" w:space="0" w:color="000000"/>
              <w:left w:val="single" w:sz="4" w:space="0" w:color="000000"/>
              <w:right w:val="single" w:sz="4" w:space="0" w:color="000000"/>
            </w:tcBorders>
            <w:shd w:val="clear" w:color="auto" w:fill="D0CECE"/>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6318" w:type="dxa"/>
            <w:gridSpan w:val="3"/>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450" w:hRule="exact"/>
        </w:trPr>
        <w:tc>
          <w:tcPr>
            <w:tcW w:w="3290" w:type="dxa"/>
            <w:vMerge/>
            <w:tcBorders>
              <w:left w:val="single" w:sz="4" w:space="0" w:color="000000"/>
              <w:bottom w:val="single" w:sz="4" w:space="0" w:color="000000"/>
              <w:right w:val="single" w:sz="4" w:space="0" w:color="000000"/>
            </w:tcBorders>
            <w:shd w:val="clear" w:color="auto" w:fill="D0CECE"/>
          </w:tcPr>
          <w:p>
            <w:pPr/>
          </w:p>
        </w:tc>
        <w:tc>
          <w:tcPr>
            <w:tcW w:w="229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7"/>
              <w:ind w:left="69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2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7"/>
              <w:ind w:left="6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9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7"/>
              <w:ind w:right="1"/>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450" w:hRule="exact"/>
        </w:trPr>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18"/>
                <w:szCs w:val="18"/>
              </w:rPr>
            </w:pPr>
            <w:r>
              <w:rPr>
                <w:rFonts w:ascii="宋体" w:hAnsi="宋体" w:cs="宋体" w:eastAsia="宋体" w:hint="default"/>
                <w:sz w:val="18"/>
                <w:szCs w:val="18"/>
              </w:rPr>
              <w:t>广州天酷数码科技有限公司</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8,252,215.68</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Times New Roman" w:hAnsi="Times New Roman" w:cs="Times New Roman" w:eastAsia="Times New Roman" w:hint="default"/>
                <w:sz w:val="18"/>
                <w:szCs w:val="18"/>
              </w:rPr>
            </w:pPr>
            <w:r>
              <w:rPr>
                <w:rFonts w:ascii="Times New Roman"/>
                <w:spacing w:val="-1"/>
                <w:sz w:val="18"/>
              </w:rPr>
              <w:t>8,252,215.68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Times New Roman" w:hAnsi="Times New Roman" w:cs="Times New Roman" w:eastAsia="Times New Roman" w:hint="default"/>
                <w:sz w:val="18"/>
                <w:szCs w:val="18"/>
              </w:rPr>
            </w:pPr>
            <w:r>
              <w:rPr>
                <w:rFonts w:ascii="Times New Roman"/>
                <w:sz w:val="18"/>
              </w:rPr>
              <w:t>100.00</w:t>
            </w:r>
          </w:p>
        </w:tc>
      </w:tr>
      <w:tr>
        <w:trPr>
          <w:trHeight w:val="450" w:hRule="exact"/>
        </w:trPr>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CACHEIO,LLC</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宋体" w:hAnsi="宋体" w:cs="宋体" w:eastAsia="宋体" w:hint="default"/>
                <w:sz w:val="18"/>
                <w:szCs w:val="18"/>
              </w:rPr>
              <w:t>2)</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6,809,861.10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Times New Roman" w:hAnsi="Times New Roman" w:cs="Times New Roman" w:eastAsia="Times New Roman" w:hint="default"/>
                <w:sz w:val="18"/>
                <w:szCs w:val="18"/>
              </w:rPr>
            </w:pPr>
            <w:r>
              <w:rPr>
                <w:rFonts w:ascii="Times New Roman"/>
                <w:spacing w:val="-1"/>
                <w:sz w:val="18"/>
              </w:rPr>
              <w:t>6,809,861.10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79" w:top="1100" w:bottom="1160" w:left="140" w:right="0"/>
        </w:sectPr>
      </w:pPr>
    </w:p>
    <w:p>
      <w:pPr>
        <w:spacing w:line="240" w:lineRule="auto" w:before="6"/>
        <w:rPr>
          <w:rFonts w:ascii="宋体" w:hAnsi="宋体" w:cs="宋体" w:eastAsia="宋体" w:hint="default"/>
          <w:sz w:val="24"/>
          <w:szCs w:val="24"/>
        </w:rPr>
      </w:pPr>
    </w:p>
    <w:tbl>
      <w:tblPr>
        <w:tblW w:w="0" w:type="auto"/>
        <w:jc w:val="left"/>
        <w:tblInd w:w="165" w:type="dxa"/>
        <w:tblLayout w:type="fixed"/>
        <w:tblCellMar>
          <w:top w:w="0" w:type="dxa"/>
          <w:left w:w="0" w:type="dxa"/>
          <w:bottom w:w="0" w:type="dxa"/>
          <w:right w:w="0" w:type="dxa"/>
        </w:tblCellMar>
        <w:tblLook w:val="01E0"/>
      </w:tblPr>
      <w:tblGrid>
        <w:gridCol w:w="3289"/>
        <w:gridCol w:w="2292"/>
        <w:gridCol w:w="2129"/>
        <w:gridCol w:w="1896"/>
      </w:tblGrid>
      <w:tr>
        <w:trPr>
          <w:trHeight w:val="450" w:hRule="exact"/>
        </w:trPr>
        <w:tc>
          <w:tcPr>
            <w:tcW w:w="3289" w:type="dxa"/>
            <w:vMerge w:val="restart"/>
            <w:tcBorders>
              <w:top w:val="single" w:sz="4" w:space="0" w:color="000000"/>
              <w:left w:val="single" w:sz="4" w:space="0" w:color="000000"/>
              <w:right w:val="single" w:sz="4" w:space="0" w:color="000000"/>
            </w:tcBorders>
            <w:shd w:val="clear" w:color="auto" w:fill="D0CECE"/>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6318" w:type="dxa"/>
            <w:gridSpan w:val="3"/>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450" w:hRule="exact"/>
        </w:trPr>
        <w:tc>
          <w:tcPr>
            <w:tcW w:w="3289" w:type="dxa"/>
            <w:vMerge/>
            <w:tcBorders>
              <w:left w:val="single" w:sz="4" w:space="0" w:color="000000"/>
              <w:bottom w:val="single" w:sz="4" w:space="0" w:color="000000"/>
              <w:right w:val="single" w:sz="4" w:space="0" w:color="000000"/>
            </w:tcBorders>
            <w:shd w:val="clear" w:color="auto" w:fill="D0CECE"/>
          </w:tcPr>
          <w:p>
            <w:pPr/>
          </w:p>
        </w:tc>
        <w:tc>
          <w:tcPr>
            <w:tcW w:w="229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7"/>
              <w:ind w:left="69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2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7"/>
              <w:ind w:left="6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9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7"/>
              <w:ind w:right="1"/>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450"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145" w:right="0"/>
              <w:jc w:val="left"/>
              <w:rPr>
                <w:rFonts w:ascii="Times New Roman" w:hAnsi="Times New Roman" w:cs="Times New Roman" w:eastAsia="Times New Roman" w:hint="default"/>
                <w:sz w:val="18"/>
                <w:szCs w:val="18"/>
              </w:rPr>
            </w:pPr>
            <w:r>
              <w:rPr>
                <w:rFonts w:ascii="Times New Roman"/>
                <w:sz w:val="18"/>
              </w:rPr>
              <w:t>15,062,076.78</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981" w:right="0"/>
              <w:jc w:val="left"/>
              <w:rPr>
                <w:rFonts w:ascii="Times New Roman" w:hAnsi="Times New Roman" w:cs="Times New Roman" w:eastAsia="Times New Roman" w:hint="default"/>
                <w:sz w:val="18"/>
                <w:szCs w:val="18"/>
              </w:rPr>
            </w:pPr>
            <w:r>
              <w:rPr>
                <w:rFonts w:ascii="Times New Roman"/>
                <w:sz w:val="18"/>
              </w:rPr>
              <w:t>15,062,076.78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2"/>
        <w:rPr>
          <w:rFonts w:ascii="宋体" w:hAnsi="宋体" w:cs="宋体" w:eastAsia="宋体" w:hint="default"/>
          <w:sz w:val="18"/>
          <w:szCs w:val="18"/>
        </w:rPr>
      </w:pPr>
    </w:p>
    <w:p>
      <w:pPr>
        <w:pStyle w:val="BodyText"/>
        <w:spacing w:line="234" w:lineRule="exact" w:before="67"/>
        <w:ind w:right="1131" w:firstLine="360"/>
        <w:jc w:val="both"/>
      </w:pPr>
      <w:r>
        <w:rPr>
          <w:spacing w:val="-1"/>
        </w:rPr>
        <w:t>注</w:t>
      </w:r>
      <w:r>
        <w:rPr>
          <w:rFonts w:ascii="Times New Roman" w:hAnsi="Times New Roman" w:cs="Times New Roman" w:eastAsia="Times New Roman" w:hint="default"/>
          <w:spacing w:val="-1"/>
        </w:rPr>
        <w:t>1:</w:t>
      </w:r>
      <w:r>
        <w:rPr>
          <w:spacing w:val="-1"/>
        </w:rPr>
        <w:t>本公司之子公司神码北京针对其对广州天酷数码科技有限公司的其他应收款向北京市海淀区人民法院提起诉讼，要</w:t>
      </w:r>
      <w:r>
        <w:rPr/>
        <w:t> 求广州天酷数码科技有限公司返还货款</w:t>
      </w:r>
      <w:r>
        <w:rPr>
          <w:rFonts w:ascii="Times New Roman" w:hAnsi="Times New Roman" w:cs="Times New Roman" w:eastAsia="Times New Roman" w:hint="default"/>
        </w:rPr>
        <w:t>9,885,084.07</w:t>
      </w:r>
      <w:r>
        <w:rPr/>
        <w:t>元，北京市海淀区人民法院一审作出（</w:t>
      </w:r>
      <w:r>
        <w:rPr>
          <w:rFonts w:ascii="Times New Roman" w:hAnsi="Times New Roman" w:cs="Times New Roman" w:eastAsia="Times New Roman" w:hint="default"/>
        </w:rPr>
        <w:t>2016</w:t>
      </w:r>
      <w:r>
        <w:rPr/>
        <w:t>）京</w:t>
      </w:r>
      <w:r>
        <w:rPr>
          <w:rFonts w:ascii="Times New Roman" w:hAnsi="Times New Roman" w:cs="Times New Roman" w:eastAsia="Times New Roman" w:hint="default"/>
        </w:rPr>
        <w:t>0108</w:t>
      </w:r>
      <w:r>
        <w:rPr/>
        <w:t>民初</w:t>
      </w:r>
      <w:r>
        <w:rPr>
          <w:rFonts w:ascii="Times New Roman" w:hAnsi="Times New Roman" w:cs="Times New Roman" w:eastAsia="Times New Roman" w:hint="default"/>
        </w:rPr>
        <w:t>3654</w:t>
      </w:r>
      <w:r>
        <w:rPr/>
        <w:t>、</w:t>
      </w:r>
      <w:r>
        <w:rPr>
          <w:rFonts w:ascii="Times New Roman" w:hAnsi="Times New Roman" w:cs="Times New Roman" w:eastAsia="Times New Roman" w:hint="default"/>
        </w:rPr>
        <w:t>3656</w:t>
      </w:r>
      <w:r>
        <w:rPr/>
        <w:t>号</w:t>
      </w:r>
    </w:p>
    <w:p>
      <w:pPr>
        <w:pStyle w:val="BodyText"/>
        <w:spacing w:line="211" w:lineRule="exact"/>
        <w:ind w:right="0"/>
        <w:jc w:val="left"/>
      </w:pPr>
      <w:r>
        <w:rPr/>
        <w:t>《北京市海淀区人民法院民事判决书》支持神码北京诉讼主张，北京市海淀区人民法院将广州天酷数码科技有限公司名下一</w:t>
      </w:r>
    </w:p>
    <w:p>
      <w:pPr>
        <w:pStyle w:val="BodyText"/>
        <w:spacing w:line="240" w:lineRule="exact"/>
        <w:ind w:right="0"/>
        <w:jc w:val="left"/>
      </w:pPr>
      <w:r>
        <w:rPr/>
        <w:t>处房产进行司法拍卖，目前该房产尚未进行处置，本集团将预计无法收回的其他应收款计提坏账准备</w:t>
      </w:r>
      <w:r>
        <w:rPr>
          <w:rFonts w:ascii="Times New Roman" w:hAnsi="Times New Roman" w:cs="Times New Roman" w:eastAsia="Times New Roman" w:hint="default"/>
        </w:rPr>
        <w:t>8,252,215.68</w:t>
      </w:r>
      <w:r>
        <w:rPr/>
        <w:t>元。</w:t>
      </w:r>
    </w:p>
    <w:p>
      <w:pPr>
        <w:pStyle w:val="BodyText"/>
        <w:spacing w:line="225" w:lineRule="auto" w:before="4"/>
        <w:ind w:right="1128" w:firstLine="360"/>
        <w:jc w:val="both"/>
      </w:pPr>
      <w:r>
        <w:rPr/>
        <w:t>注</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月，本公司之子公司神码香港与</w:t>
      </w:r>
      <w:r>
        <w:rPr>
          <w:rFonts w:ascii="Times New Roman" w:hAnsi="Times New Roman" w:cs="Times New Roman" w:eastAsia="Times New Roman" w:hint="default"/>
          <w:spacing w:val="-2"/>
        </w:rPr>
        <w:t>CACHEIO,LLC</w:t>
      </w:r>
      <w:r>
        <w:rPr>
          <w:spacing w:val="-2"/>
        </w:rPr>
        <w:t>签订可转债买卖协议，协议规定一年期限后可转换为股权，</w:t>
      </w:r>
      <w:r>
        <w:rPr/>
        <w:t> 转股价格按照上一轮融资价格的</w:t>
      </w:r>
      <w:r>
        <w:rPr>
          <w:rFonts w:ascii="Times New Roman" w:hAnsi="Times New Roman" w:cs="Times New Roman" w:eastAsia="Times New Roman" w:hint="default"/>
        </w:rPr>
        <w:t>70%</w:t>
      </w:r>
      <w:r>
        <w:rPr/>
        <w:t>或者</w:t>
      </w:r>
      <w:r>
        <w:rPr>
          <w:rFonts w:ascii="Times New Roman" w:hAnsi="Times New Roman" w:cs="Times New Roman" w:eastAsia="Times New Roman" w:hint="default"/>
        </w:rPr>
        <w:t>900</w:t>
      </w:r>
      <w:r>
        <w:rPr/>
        <w:t>万美元除以转股前的总股数中的较低者。转股后，神码香港拥有</w:t>
      </w:r>
      <w:r>
        <w:rPr>
          <w:rFonts w:ascii="Times New Roman" w:hAnsi="Times New Roman" w:cs="Times New Roman" w:eastAsia="Times New Roman" w:hint="default"/>
        </w:rPr>
        <w:t>10%</w:t>
      </w:r>
      <w:r>
        <w:rPr/>
        <w:t>的股权。</w:t>
      </w:r>
      <w:r>
        <w:rPr>
          <w:spacing w:val="-26"/>
        </w:rPr>
        <w:t> </w:t>
      </w: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月，投资期限已满一年，但由于</w:t>
      </w:r>
      <w:r>
        <w:rPr>
          <w:rFonts w:ascii="Times New Roman" w:hAnsi="Times New Roman" w:cs="Times New Roman" w:eastAsia="Times New Roman" w:hint="default"/>
        </w:rPr>
        <w:t>CACHEIO,LLC</w:t>
      </w:r>
      <w:r>
        <w:rPr/>
        <w:t>经营情况不佳未予偿还债务，神码香港将该投资作为债权转入</w:t>
      </w:r>
      <w:r>
        <w:rPr>
          <w:spacing w:val="-21"/>
        </w:rPr>
        <w:t> </w:t>
      </w:r>
      <w:r>
        <w:rPr>
          <w:spacing w:val="-21"/>
        </w:rPr>
      </w:r>
      <w:r>
        <w:rPr/>
        <w:t>其他应收款，并全额计提坏账准备。</w:t>
      </w: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0" w:footer="979" w:top="1100" w:bottom="1160" w:left="980" w:right="0"/>
        </w:sectPr>
      </w:pPr>
    </w:p>
    <w:p>
      <w:pPr>
        <w:pStyle w:val="Heading5"/>
        <w:spacing w:line="240" w:lineRule="auto"/>
        <w:ind w:right="-12"/>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42"/>
        </w:rPr>
        <w:t> </w:t>
      </w:r>
      <w:r>
        <w:rPr/>
        <w:t>本期计提、收回或转回的坏账准备情况</w:t>
      </w:r>
      <w:r>
        <w:rPr>
          <w:b w:val="0"/>
          <w:bCs w:val="0"/>
        </w:rPr>
      </w:r>
    </w:p>
    <w:p>
      <w:pPr>
        <w:pStyle w:val="BodyText"/>
        <w:spacing w:line="264" w:lineRule="auto" w:before="23"/>
        <w:ind w:right="-12"/>
        <w:jc w:val="left"/>
      </w:pPr>
      <w:r>
        <w:rPr/>
        <w:t>本期计提坏账准备金额</w:t>
      </w:r>
      <w:r>
        <w:rPr>
          <w:spacing w:val="-49"/>
        </w:rPr>
        <w:t> </w:t>
      </w:r>
      <w:r>
        <w:rPr>
          <w:rFonts w:ascii="Times New Roman" w:hAnsi="Times New Roman" w:cs="Times New Roman" w:eastAsia="Times New Roman" w:hint="default"/>
        </w:rPr>
        <w:t>4,084,381.11</w:t>
      </w:r>
      <w:r>
        <w:rPr>
          <w:rFonts w:ascii="Times New Roman" w:hAnsi="Times New Roman" w:cs="Times New Roman" w:eastAsia="Times New Roman" w:hint="default"/>
          <w:spacing w:val="-4"/>
        </w:rPr>
        <w:t> </w:t>
      </w:r>
      <w:r>
        <w:rPr/>
        <w:t>元；本期收回或转回坏账准备金额</w:t>
      </w:r>
      <w:r>
        <w:rPr>
          <w:spacing w:val="-49"/>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t>元。 本期无重要坏账准备转回或收回金额。</w:t>
      </w:r>
    </w:p>
    <w:p>
      <w:pPr>
        <w:pStyle w:val="Heading5"/>
        <w:spacing w:line="240" w:lineRule="auto" w:before="20"/>
        <w:ind w:right="-12"/>
        <w:jc w:val="left"/>
        <w:rPr>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43"/>
        </w:rPr>
        <w:t> </w:t>
      </w:r>
      <w:r>
        <w:rPr/>
        <w:t>本期实际核销的其他应收款情况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2"/>
        <w:rPr>
          <w:rFonts w:ascii="宋体" w:hAnsi="宋体" w:cs="宋体" w:eastAsia="宋体" w:hint="default"/>
          <w:b/>
          <w:bCs/>
          <w:sz w:val="14"/>
          <w:szCs w:val="14"/>
        </w:rPr>
      </w:pPr>
    </w:p>
    <w:p>
      <w:pPr>
        <w:pStyle w:val="BodyText"/>
        <w:spacing w:line="240" w:lineRule="auto"/>
        <w:ind w:left="153" w:right="0"/>
        <w:jc w:val="left"/>
      </w:pPr>
      <w:r>
        <w:rPr/>
        <w:t>单位： 元</w:t>
      </w:r>
    </w:p>
    <w:p>
      <w:pPr>
        <w:spacing w:after="0" w:line="240" w:lineRule="auto"/>
        <w:jc w:val="left"/>
        <w:sectPr>
          <w:type w:val="continuous"/>
          <w:pgSz w:w="11910" w:h="16840"/>
          <w:pgMar w:top="1580" w:bottom="700" w:left="980" w:right="0"/>
          <w:cols w:num="2" w:equalWidth="0">
            <w:col w:w="6447" w:space="2383"/>
            <w:col w:w="2100"/>
          </w:cols>
        </w:sectPr>
      </w:pP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323"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324"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320,000.00</w:t>
            </w:r>
          </w:p>
        </w:tc>
      </w:tr>
    </w:tbl>
    <w:p>
      <w:pPr>
        <w:pStyle w:val="BodyText"/>
        <w:spacing w:line="240" w:lineRule="auto" w:before="10"/>
        <w:ind w:right="0"/>
        <w:jc w:val="left"/>
      </w:pPr>
      <w:r>
        <w:rPr/>
        <w:t>其中重要的其他应收款核销情况：</w:t>
      </w:r>
    </w:p>
    <w:p>
      <w:pPr>
        <w:pStyle w:val="BodyText"/>
        <w:spacing w:line="240" w:lineRule="auto" w:before="37"/>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55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4"/>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126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119"/>
              <w:jc w:val="left"/>
              <w:rPr>
                <w:rFonts w:ascii="宋体" w:hAnsi="宋体" w:cs="宋体" w:eastAsia="宋体" w:hint="default"/>
                <w:sz w:val="18"/>
                <w:szCs w:val="18"/>
              </w:rPr>
            </w:pPr>
            <w:r>
              <w:rPr>
                <w:rFonts w:ascii="宋体" w:hAnsi="宋体" w:cs="宋体" w:eastAsia="宋体" w:hint="default"/>
                <w:sz w:val="18"/>
                <w:szCs w:val="18"/>
              </w:rPr>
              <w:t>宁波安之盾电子科 技有限公司</w:t>
            </w:r>
          </w:p>
        </w:tc>
        <w:tc>
          <w:tcPr>
            <w:tcW w:w="1595"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320,000.00</w:t>
            </w:r>
          </w:p>
        </w:tc>
        <w:tc>
          <w:tcPr>
            <w:tcW w:w="1594"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债务豁免</w:t>
            </w:r>
          </w:p>
        </w:tc>
        <w:tc>
          <w:tcPr>
            <w:tcW w:w="1596" w:type="dxa"/>
            <w:tcBorders>
              <w:top w:val="single" w:sz="4" w:space="0" w:color="000000"/>
              <w:left w:val="single" w:sz="4" w:space="0" w:color="000000"/>
              <w:bottom w:val="single" w:sz="5" w:space="0" w:color="D2D2D2"/>
              <w:right w:val="single" w:sz="4" w:space="0" w:color="000000"/>
            </w:tcBorders>
          </w:tcPr>
          <w:p>
            <w:pPr>
              <w:pStyle w:val="TableParagraph"/>
              <w:spacing w:line="237" w:lineRule="auto" w:before="13"/>
              <w:ind w:left="24" w:right="22"/>
              <w:jc w:val="left"/>
              <w:rPr>
                <w:rFonts w:ascii="宋体" w:hAnsi="宋体" w:cs="宋体" w:eastAsia="宋体" w:hint="default"/>
                <w:sz w:val="18"/>
                <w:szCs w:val="18"/>
              </w:rPr>
            </w:pPr>
            <w:r>
              <w:rPr>
                <w:rFonts w:ascii="宋体" w:hAnsi="宋体" w:cs="宋体" w:eastAsia="宋体" w:hint="default"/>
                <w:sz w:val="18"/>
                <w:szCs w:val="18"/>
              </w:rPr>
              <w:t>核销申请由事业部 </w:t>
            </w:r>
            <w:r>
              <w:rPr>
                <w:rFonts w:ascii="宋体" w:hAnsi="宋体" w:cs="宋体" w:eastAsia="宋体" w:hint="default"/>
                <w:spacing w:val="-10"/>
                <w:sz w:val="18"/>
                <w:szCs w:val="18"/>
              </w:rPr>
              <w:t>提出，经本公司风险</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0"/>
                <w:sz w:val="18"/>
                <w:szCs w:val="18"/>
              </w:rPr>
              <w:t>管理部、财务部审批</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后进行账务处理并 进行备案登记</w:t>
            </w:r>
          </w:p>
        </w:tc>
        <w:tc>
          <w:tcPr>
            <w:tcW w:w="1595"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2"/>
              <w:ind w:right="8"/>
              <w:jc w:val="right"/>
              <w:rPr>
                <w:rFonts w:ascii="Times New Roman" w:hAnsi="Times New Roman" w:cs="Times New Roman" w:eastAsia="Times New Roman" w:hint="default"/>
                <w:sz w:val="18"/>
                <w:szCs w:val="18"/>
              </w:rPr>
            </w:pPr>
            <w:r>
              <w:rPr>
                <w:rFonts w:ascii="Times New Roman"/>
                <w:sz w:val="18"/>
              </w:rPr>
              <w:t>320,000.00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580" w:bottom="700" w:left="980" w:right="0"/>
        </w:sectPr>
      </w:pPr>
    </w:p>
    <w:p>
      <w:pPr>
        <w:pStyle w:val="BodyText"/>
        <w:spacing w:line="232" w:lineRule="exact" w:before="1"/>
        <w:ind w:right="-20"/>
        <w:jc w:val="left"/>
      </w:pPr>
      <w:r>
        <w:rPr/>
        <w:t>其他应收款核销说明： 本次核销应收账款已全额计提坏账准备，不影响当期损益。</w:t>
      </w:r>
    </w:p>
    <w:p>
      <w:pPr>
        <w:pStyle w:val="Heading5"/>
        <w:spacing w:line="240" w:lineRule="auto" w:before="18"/>
        <w:ind w:right="-20"/>
        <w:jc w:val="left"/>
        <w:rPr>
          <w:b w:val="0"/>
          <w:bCs w:val="0"/>
        </w:rPr>
      </w:pPr>
      <w:r>
        <w:rPr>
          <w:rFonts w:ascii="Times New Roman" w:hAnsi="Times New Roman" w:cs="Times New Roman" w:eastAsia="Times New Roman" w:hint="default"/>
        </w:rPr>
        <w:t>4)</w:t>
      </w:r>
      <w:r>
        <w:rPr>
          <w:rFonts w:ascii="Times New Roman" w:hAnsi="Times New Roman" w:cs="Times New Roman" w:eastAsia="Times New Roman" w:hint="default"/>
          <w:spacing w:val="43"/>
        </w:rPr>
        <w:t> </w:t>
      </w:r>
      <w:r>
        <w:rPr/>
        <w:t>其他应收款按款项性质分类情况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11"/>
        <w:rPr>
          <w:rFonts w:ascii="宋体" w:hAnsi="宋体" w:cs="宋体" w:eastAsia="宋体" w:hint="default"/>
          <w:b/>
          <w:bCs/>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580" w:bottom="700" w:left="980" w:right="0"/>
          <w:cols w:num="2" w:equalWidth="0">
            <w:col w:w="4835" w:space="3995"/>
            <w:col w:w="2100"/>
          </w:cols>
        </w:sectPr>
      </w:pP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代关联方垫付购买土地款（注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104,464,643.42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136,750,000.00</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59,239,062.59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55,655,146.33</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27,643,710.12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10,208,125.00</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应收广州天酷数码科技有限公司欠款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8,252,215.68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8,252,215.68</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应收</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CACHEIO,LLC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投资款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6,809,861.10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应收企业奖励款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应收股权转让款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1,608,000.00</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6,559,736.36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5,460,962.50</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212,969,229.27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223,934,449.51</w:t>
            </w:r>
          </w:p>
        </w:tc>
      </w:tr>
    </w:tbl>
    <w:p>
      <w:pPr>
        <w:pStyle w:val="BodyText"/>
        <w:spacing w:line="211" w:lineRule="exact"/>
        <w:ind w:right="0" w:firstLine="360"/>
        <w:jc w:val="left"/>
      </w:pPr>
      <w:r>
        <w:rPr/>
        <w:t>注</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日，本公司之子公司神码中国与神州数码软件有限公司签订《联合竞买协议书》，协议约定双方组</w:t>
      </w:r>
    </w:p>
    <w:p>
      <w:pPr>
        <w:pStyle w:val="BodyText"/>
        <w:spacing w:line="225" w:lineRule="auto" w:before="4"/>
        <w:ind w:right="1130"/>
        <w:jc w:val="both"/>
      </w:pPr>
      <w:r>
        <w:rPr/>
        <w:t>成联合体共同参与北京市土地整理储备中心于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24</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28</w:t>
      </w:r>
      <w:r>
        <w:rPr/>
        <w:t>日期间举行的北京市海淀区</w:t>
      </w:r>
      <w:r>
        <w:rPr>
          <w:rFonts w:ascii="Times New Roman" w:hAnsi="Times New Roman" w:cs="Times New Roman" w:eastAsia="Times New Roman" w:hint="default"/>
        </w:rPr>
        <w:t>“</w:t>
      </w:r>
      <w:r>
        <w:rPr/>
        <w:t>海淀北部地区整</w:t>
      </w:r>
      <w:r>
        <w:rPr>
          <w:spacing w:val="7"/>
        </w:rPr>
        <w:t> </w:t>
      </w:r>
      <w:r>
        <w:rPr>
          <w:spacing w:val="7"/>
        </w:rPr>
      </w:r>
      <w:r>
        <w:rPr/>
        <w:t>体开发</w:t>
      </w:r>
      <w:r>
        <w:rPr>
          <w:rFonts w:ascii="Times New Roman" w:hAnsi="Times New Roman" w:cs="Times New Roman" w:eastAsia="Times New Roman" w:hint="default"/>
        </w:rPr>
        <w:t>”HD</w:t>
      </w:r>
      <w:r>
        <w:rPr>
          <w:rFonts w:ascii="Times New Roman" w:hAnsi="Times New Roman" w:cs="Times New Roman" w:eastAsia="Times New Roman" w:hint="default"/>
        </w:rPr>
        <w:t>-0303-0031</w:t>
      </w:r>
      <w:r>
        <w:rPr/>
        <w:t>地块</w:t>
      </w:r>
      <w:r>
        <w:rPr>
          <w:rFonts w:ascii="Times New Roman" w:hAnsi="Times New Roman" w:cs="Times New Roman" w:eastAsia="Times New Roman" w:hint="default"/>
        </w:rPr>
        <w:t>B2</w:t>
      </w:r>
      <w:r>
        <w:rPr/>
        <w:t>商务用地国有建设用地使用权的挂牌出让，双方出资额各</w:t>
      </w:r>
      <w:r>
        <w:rPr>
          <w:rFonts w:ascii="Times New Roman" w:hAnsi="Times New Roman" w:cs="Times New Roman" w:eastAsia="Times New Roman" w:hint="default"/>
        </w:rPr>
        <w:t>50%</w:t>
      </w:r>
      <w:r>
        <w:rPr/>
        <w:t>。同时约定，若联合体成功竞得 </w:t>
      </w:r>
      <w:r>
        <w:rPr>
          <w:spacing w:val="-2"/>
        </w:rPr>
        <w:t>上述土地使用权，联合体各成员承诺将在海淀区注册成立一家新项目公司，由新项目公司全面负责该地块的开发建设，联合</w:t>
      </w:r>
    </w:p>
    <w:p>
      <w:pPr>
        <w:spacing w:after="0" w:line="225" w:lineRule="auto"/>
        <w:jc w:val="both"/>
        <w:sectPr>
          <w:type w:val="continuous"/>
          <w:pgSz w:w="11910" w:h="16840"/>
          <w:pgMar w:top="1580" w:bottom="700" w:left="980" w:right="0"/>
        </w:sectPr>
      </w:pPr>
    </w:p>
    <w:p>
      <w:pPr>
        <w:spacing w:line="240" w:lineRule="auto" w:before="10"/>
        <w:rPr>
          <w:rFonts w:ascii="宋体" w:hAnsi="宋体" w:cs="宋体" w:eastAsia="宋体" w:hint="default"/>
          <w:sz w:val="18"/>
          <w:szCs w:val="18"/>
        </w:rPr>
      </w:pPr>
    </w:p>
    <w:p>
      <w:pPr>
        <w:pStyle w:val="BodyText"/>
        <w:spacing w:line="242" w:lineRule="exact" w:before="44"/>
        <w:ind w:right="0"/>
        <w:jc w:val="left"/>
      </w:pPr>
      <w:r>
        <w:rPr/>
        <w:t>体各方在新公司中按各自的出资比例承担相应的权利和义务。</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27</w:t>
      </w:r>
      <w:r>
        <w:rPr/>
        <w:t>日，北京神州数码置业发展有限公司成立。</w:t>
      </w:r>
    </w:p>
    <w:p>
      <w:pPr>
        <w:pStyle w:val="BodyText"/>
        <w:spacing w:line="225" w:lineRule="auto" w:before="5"/>
        <w:ind w:right="1131" w:firstLine="36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17</w:t>
      </w:r>
      <w:r>
        <w:rPr>
          <w:spacing w:val="-2"/>
        </w:rPr>
        <w:t>日，神码中国与神州数码软件有限公司组成的联合体与北京市国土资源局签订了《国有建设用地使用权出</w:t>
      </w:r>
      <w:r>
        <w:rPr/>
        <w:t> </w:t>
      </w:r>
      <w:r>
        <w:rPr>
          <w:spacing w:val="-3"/>
        </w:rPr>
        <w:t>让合同》，出让宗地面积为</w:t>
      </w:r>
      <w:r>
        <w:rPr>
          <w:rFonts w:ascii="Times New Roman" w:hAnsi="Times New Roman" w:cs="Times New Roman" w:eastAsia="Times New Roman" w:hint="default"/>
          <w:spacing w:val="-3"/>
        </w:rPr>
        <w:t>17,629.735</w:t>
      </w:r>
      <w:r>
        <w:rPr>
          <w:spacing w:val="-3"/>
        </w:rPr>
        <w:t>平方米。土地的出让价款（包括政府土地收益、土地开发建设补偿款）为</w:t>
      </w:r>
      <w:r>
        <w:rPr>
          <w:rFonts w:ascii="Times New Roman" w:hAnsi="Times New Roman" w:cs="Times New Roman" w:eastAsia="Times New Roman" w:hint="default"/>
          <w:spacing w:val="-3"/>
        </w:rPr>
        <w:t>64,200</w:t>
      </w:r>
      <w:r>
        <w:rPr>
          <w:spacing w:val="-3"/>
        </w:rPr>
        <w:t>万元。</w:t>
      </w:r>
      <w:r>
        <w:rPr>
          <w:spacing w:val="-34"/>
        </w:rPr>
        <w:t> </w:t>
      </w:r>
      <w:r>
        <w:rPr/>
        <w:t>其中神码中国支付了</w:t>
      </w:r>
      <w:r>
        <w:rPr>
          <w:rFonts w:ascii="Times New Roman" w:hAnsi="Times New Roman" w:cs="Times New Roman" w:eastAsia="Times New Roman" w:hint="default"/>
        </w:rPr>
        <w:t>32,100</w:t>
      </w:r>
      <w:r>
        <w:rPr/>
        <w:t>万元。</w:t>
      </w:r>
    </w:p>
    <w:p>
      <w:pPr>
        <w:pStyle w:val="BodyText"/>
        <w:spacing w:line="225" w:lineRule="auto"/>
        <w:ind w:right="1130" w:firstLine="360"/>
        <w:jc w:val="both"/>
      </w:pPr>
      <w:r>
        <w:rPr>
          <w:rFonts w:ascii="Times New Roman" w:hAnsi="Times New Roman" w:cs="Times New Roman" w:eastAsia="Times New Roman" w:hint="default"/>
          <w:spacing w:val="12"/>
        </w:rPr>
        <w:t>2016</w:t>
      </w:r>
      <w:r>
        <w:rPr>
          <w:spacing w:val="12"/>
        </w:rPr>
        <w:t>年</w:t>
      </w:r>
      <w:r>
        <w:rPr>
          <w:rFonts w:ascii="Times New Roman" w:hAnsi="Times New Roman" w:cs="Times New Roman" w:eastAsia="Times New Roman" w:hint="default"/>
          <w:spacing w:val="12"/>
        </w:rPr>
        <w:t>2</w:t>
      </w:r>
      <w:r>
        <w:rPr>
          <w:spacing w:val="12"/>
        </w:rPr>
        <w:t>月，神码中国、神州数码软件有限公司与北京万科企业有限公司签订了《北京市</w:t>
      </w:r>
      <w:r>
        <w:rPr>
          <w:rFonts w:ascii="Times New Roman" w:hAnsi="Times New Roman" w:cs="Times New Roman" w:eastAsia="Times New Roman" w:hint="default"/>
          <w:spacing w:val="12"/>
        </w:rPr>
        <w:t>“</w:t>
      </w:r>
      <w:r>
        <w:rPr>
          <w:spacing w:val="12"/>
        </w:rPr>
        <w:t>海淀北部地区整体开</w:t>
      </w:r>
      <w:r>
        <w:rPr/>
        <w:t> 发</w:t>
      </w:r>
      <w:r>
        <w:rPr>
          <w:rFonts w:ascii="Times New Roman" w:hAnsi="Times New Roman" w:cs="Times New Roman" w:eastAsia="Times New Roman" w:hint="default"/>
        </w:rPr>
        <w:t>”HD</w:t>
      </w:r>
      <w:r>
        <w:rPr>
          <w:rFonts w:ascii="Times New Roman" w:hAnsi="Times New Roman" w:cs="Times New Roman" w:eastAsia="Times New Roman" w:hint="default"/>
        </w:rPr>
        <w:t>-0303-0031</w:t>
      </w:r>
      <w:r>
        <w:rPr/>
        <w:t>地块股权合作协议》，共同对</w:t>
      </w:r>
      <w:r>
        <w:rPr>
          <w:rFonts w:ascii="Times New Roman" w:hAnsi="Times New Roman" w:cs="Times New Roman" w:eastAsia="Times New Roman" w:hint="default"/>
        </w:rPr>
        <w:t>0031</w:t>
      </w:r>
      <w:r>
        <w:rPr/>
        <w:t>地块项目进行开发。北京神州数码置业发展有限公司作为项目公司，股 </w:t>
      </w:r>
      <w:r>
        <w:rPr>
          <w:spacing w:val="-1"/>
        </w:rPr>
        <w:t>权比例变更为神码中国、神州数码软件有限公司各持股</w:t>
      </w:r>
      <w:r>
        <w:rPr>
          <w:rFonts w:ascii="Times New Roman" w:hAnsi="Times New Roman" w:cs="Times New Roman" w:eastAsia="Times New Roman" w:hint="default"/>
          <w:spacing w:val="-1"/>
        </w:rPr>
        <w:t>25%</w:t>
      </w:r>
      <w:r>
        <w:rPr>
          <w:spacing w:val="-1"/>
        </w:rPr>
        <w:t>，北京万科企业有限公司持股</w:t>
      </w:r>
      <w:r>
        <w:rPr>
          <w:rFonts w:ascii="Times New Roman" w:hAnsi="Times New Roman" w:cs="Times New Roman" w:eastAsia="Times New Roman" w:hint="default"/>
          <w:spacing w:val="-1"/>
        </w:rPr>
        <w:t>50%</w:t>
      </w:r>
      <w:r>
        <w:rPr>
          <w:spacing w:val="-1"/>
        </w:rPr>
        <w:t>。北京万科企业有限公司按其</w:t>
      </w:r>
      <w:r>
        <w:rPr>
          <w:spacing w:val="-58"/>
        </w:rPr>
        <w:t> </w:t>
      </w:r>
      <w:r>
        <w:rPr>
          <w:spacing w:val="-58"/>
        </w:rPr>
      </w:r>
      <w:r>
        <w:rPr>
          <w:spacing w:val="-1"/>
        </w:rPr>
        <w:t>权益比例提供股东借款人民币</w:t>
      </w:r>
      <w:r>
        <w:rPr>
          <w:rFonts w:ascii="Times New Roman" w:hAnsi="Times New Roman" w:cs="Times New Roman" w:eastAsia="Times New Roman" w:hint="default"/>
          <w:spacing w:val="-1"/>
        </w:rPr>
        <w:t>3.21</w:t>
      </w:r>
      <w:r>
        <w:rPr>
          <w:spacing w:val="-1"/>
        </w:rPr>
        <w:t>亿元给北京神州数码置业发展有限公司，北京神州数码置业发展有限公司分别向神码中国</w:t>
      </w:r>
      <w:r>
        <w:rPr>
          <w:spacing w:val="-74"/>
        </w:rPr>
        <w:t> </w:t>
      </w:r>
      <w:r>
        <w:rPr>
          <w:spacing w:val="-74"/>
        </w:rPr>
      </w:r>
      <w:r>
        <w:rPr/>
        <w:t>和神州数码软件有限公司支付人民币</w:t>
      </w:r>
      <w:r>
        <w:rPr>
          <w:rFonts w:ascii="Times New Roman" w:hAnsi="Times New Roman" w:cs="Times New Roman" w:eastAsia="Times New Roman" w:hint="default"/>
        </w:rPr>
        <w:t>16,050</w:t>
      </w:r>
      <w:r>
        <w:rPr/>
        <w:t>万元用于偿还二者前期提供的股东借款，并按照年息</w:t>
      </w:r>
      <w:r>
        <w:rPr>
          <w:rFonts w:ascii="Times New Roman" w:hAnsi="Times New Roman" w:cs="Times New Roman" w:eastAsia="Times New Roman" w:hint="default"/>
        </w:rPr>
        <w:t>7%</w:t>
      </w:r>
      <w:r>
        <w:rPr/>
        <w:t>支付利息。</w:t>
      </w:r>
    </w:p>
    <w:p>
      <w:pPr>
        <w:pStyle w:val="BodyText"/>
        <w:spacing w:line="232" w:lineRule="exact" w:before="11"/>
        <w:ind w:right="1135" w:firstLine="36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日，针对上述未偿还的欠款</w:t>
      </w:r>
      <w:r>
        <w:rPr>
          <w:rFonts w:ascii="Times New Roman" w:hAnsi="Times New Roman" w:cs="Times New Roman" w:eastAsia="Times New Roman" w:hint="default"/>
        </w:rPr>
        <w:t>16,050</w:t>
      </w:r>
      <w:r>
        <w:rPr/>
        <w:t>万元，神码中国与北京神州数码置业发展有限公司签订借款协议，约定 将上述</w:t>
      </w:r>
      <w:r>
        <w:rPr>
          <w:rFonts w:ascii="Times New Roman" w:hAnsi="Times New Roman" w:cs="Times New Roman" w:eastAsia="Times New Roman" w:hint="default"/>
        </w:rPr>
        <w:t>16,050</w:t>
      </w:r>
      <w:r>
        <w:rPr/>
        <w:t>万元视为借款，并按照</w:t>
      </w:r>
      <w:r>
        <w:rPr>
          <w:rFonts w:ascii="Times New Roman" w:hAnsi="Times New Roman" w:cs="Times New Roman" w:eastAsia="Times New Roman" w:hint="default"/>
        </w:rPr>
        <w:t>4.35%</w:t>
      </w:r>
      <w:r>
        <w:rPr/>
        <w:t>支付利息。</w:t>
      </w:r>
    </w:p>
    <w:p>
      <w:pPr>
        <w:pStyle w:val="BodyText"/>
        <w:spacing w:line="232" w:lineRule="exact" w:before="2"/>
        <w:ind w:right="1130" w:firstLine="360"/>
        <w:jc w:val="both"/>
      </w:pP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10</w:t>
      </w:r>
      <w:r>
        <w:rPr>
          <w:spacing w:val="-1"/>
        </w:rPr>
        <w:t>月，北京神州数码置业发展有限公司向神码中国偿还了</w:t>
      </w:r>
      <w:r>
        <w:rPr>
          <w:rFonts w:ascii="Times New Roman" w:hAnsi="Times New Roman" w:cs="Times New Roman" w:eastAsia="Times New Roman" w:hint="default"/>
          <w:spacing w:val="-1"/>
        </w:rPr>
        <w:t>2,375</w:t>
      </w:r>
      <w:r>
        <w:rPr>
          <w:spacing w:val="-1"/>
        </w:rPr>
        <w:t>万元借款；</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7</w:t>
      </w:r>
      <w:r>
        <w:rPr>
          <w:spacing w:val="-1"/>
        </w:rPr>
        <w:t>月，北京神州数码置业发展有</w:t>
      </w:r>
      <w:r>
        <w:rPr/>
        <w:t> 限公司向神码中国偿还了</w:t>
      </w:r>
      <w:r>
        <w:rPr>
          <w:rFonts w:ascii="Times New Roman" w:hAnsi="Times New Roman" w:cs="Times New Roman" w:eastAsia="Times New Roman" w:hint="default"/>
        </w:rPr>
        <w:t>3,229</w:t>
      </w:r>
      <w:r>
        <w:rPr/>
        <w:t>万元。截至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日，尚余</w:t>
      </w:r>
      <w:r>
        <w:rPr>
          <w:rFonts w:ascii="Times New Roman" w:hAnsi="Times New Roman" w:cs="Times New Roman" w:eastAsia="Times New Roman" w:hint="default"/>
        </w:rPr>
        <w:t>10,446</w:t>
      </w:r>
      <w:r>
        <w:rPr/>
        <w:t>万元借款未偿还。</w:t>
      </w:r>
    </w:p>
    <w:p>
      <w:pPr>
        <w:spacing w:line="240" w:lineRule="auto" w:before="10"/>
        <w:rPr>
          <w:rFonts w:ascii="宋体" w:hAnsi="宋体" w:cs="宋体" w:eastAsia="宋体" w:hint="default"/>
          <w:sz w:val="16"/>
          <w:szCs w:val="16"/>
        </w:rPr>
      </w:pPr>
    </w:p>
    <w:p>
      <w:pPr>
        <w:pStyle w:val="Heading5"/>
        <w:spacing w:line="240" w:lineRule="auto"/>
        <w:ind w:right="0"/>
        <w:jc w:val="left"/>
        <w:rPr>
          <w:b w:val="0"/>
          <w:bCs w:val="0"/>
        </w:rPr>
      </w:pPr>
      <w:r>
        <w:rPr>
          <w:rFonts w:ascii="Times New Roman" w:hAnsi="Times New Roman" w:cs="Times New Roman" w:eastAsia="Times New Roman" w:hint="default"/>
        </w:rPr>
        <w:t>5)</w:t>
      </w:r>
      <w:r>
        <w:rPr>
          <w:rFonts w:ascii="Times New Roman" w:hAnsi="Times New Roman" w:cs="Times New Roman" w:eastAsia="Times New Roman" w:hint="default"/>
          <w:spacing w:val="41"/>
        </w:rPr>
        <w:t> </w:t>
      </w:r>
      <w:r>
        <w:rPr/>
        <w:t>按欠款方归集的期末余额前五名的其他应收款情况</w:t>
      </w:r>
      <w:r>
        <w:rPr>
          <w:b w:val="0"/>
          <w:bCs w:val="0"/>
        </w:rPr>
      </w:r>
    </w:p>
    <w:p>
      <w:pPr>
        <w:pStyle w:val="BodyText"/>
        <w:spacing w:line="240" w:lineRule="auto" w:before="2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557"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55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19"/>
              <w:jc w:val="left"/>
              <w:rPr>
                <w:rFonts w:ascii="宋体" w:hAnsi="宋体" w:cs="宋体" w:eastAsia="宋体" w:hint="default"/>
                <w:sz w:val="18"/>
                <w:szCs w:val="18"/>
              </w:rPr>
            </w:pPr>
            <w:r>
              <w:rPr>
                <w:rFonts w:ascii="宋体" w:hAnsi="宋体" w:cs="宋体" w:eastAsia="宋体" w:hint="default"/>
                <w:sz w:val="18"/>
                <w:szCs w:val="18"/>
              </w:rPr>
              <w:t>北京神州数码置业 发展有限公司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 w:right="119"/>
              <w:jc w:val="left"/>
              <w:rPr>
                <w:rFonts w:ascii="宋体" w:hAnsi="宋体" w:cs="宋体" w:eastAsia="宋体" w:hint="default"/>
                <w:sz w:val="18"/>
                <w:szCs w:val="18"/>
              </w:rPr>
            </w:pPr>
            <w:r>
              <w:rPr>
                <w:rFonts w:ascii="宋体" w:hAnsi="宋体" w:cs="宋体" w:eastAsia="宋体" w:hint="default"/>
                <w:sz w:val="18"/>
                <w:szCs w:val="18"/>
              </w:rPr>
              <w:t>代关联方垫付购买 土地款及借款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131,714,643.42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61.85%</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19"/>
              <w:jc w:val="left"/>
              <w:rPr>
                <w:rFonts w:ascii="宋体" w:hAnsi="宋体" w:cs="宋体" w:eastAsia="宋体" w:hint="default"/>
                <w:sz w:val="18"/>
                <w:szCs w:val="18"/>
              </w:rPr>
            </w:pPr>
            <w:r>
              <w:rPr>
                <w:rFonts w:ascii="宋体" w:hAnsi="宋体" w:cs="宋体" w:eastAsia="宋体" w:hint="default"/>
                <w:sz w:val="18"/>
                <w:szCs w:val="18"/>
              </w:rPr>
              <w:t>北京市海淀区人民 法院</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保全保证金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15,171,709.72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7.12%</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19"/>
              <w:jc w:val="left"/>
              <w:rPr>
                <w:rFonts w:ascii="宋体" w:hAnsi="宋体" w:cs="宋体" w:eastAsia="宋体" w:hint="default"/>
                <w:sz w:val="18"/>
                <w:szCs w:val="18"/>
              </w:rPr>
            </w:pPr>
            <w:r>
              <w:rPr>
                <w:rFonts w:ascii="宋体" w:hAnsi="宋体" w:cs="宋体" w:eastAsia="宋体" w:hint="default"/>
                <w:sz w:val="18"/>
                <w:szCs w:val="18"/>
              </w:rPr>
              <w:t>中国人民共和国首 都机场海关</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8,356,628.77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3.92%</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19"/>
              <w:jc w:val="left"/>
              <w:rPr>
                <w:rFonts w:ascii="宋体" w:hAnsi="宋体" w:cs="宋体" w:eastAsia="宋体" w:hint="default"/>
                <w:sz w:val="18"/>
                <w:szCs w:val="18"/>
              </w:rPr>
            </w:pPr>
            <w:r>
              <w:rPr>
                <w:rFonts w:ascii="宋体" w:hAnsi="宋体" w:cs="宋体" w:eastAsia="宋体" w:hint="default"/>
                <w:sz w:val="18"/>
                <w:szCs w:val="18"/>
              </w:rPr>
              <w:t>广州天酷数码科技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应收欠款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8,252,215.68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8,252,215.68</w:t>
            </w:r>
          </w:p>
        </w:tc>
      </w:tr>
      <w:tr>
        <w:trPr>
          <w:trHeight w:val="33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CACHEIO,LLC</w:t>
            </w:r>
          </w:p>
        </w:tc>
        <w:tc>
          <w:tcPr>
            <w:tcW w:w="1595"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应收投资款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6,809,861.10</w:t>
            </w:r>
          </w:p>
        </w:tc>
        <w:tc>
          <w:tcPr>
            <w:tcW w:w="1594"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6,809,861.10</w:t>
            </w:r>
          </w:p>
        </w:tc>
      </w:tr>
      <w:tr>
        <w:trPr>
          <w:trHeight w:val="31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2"/>
              <w:ind w:right="9"/>
              <w:jc w:val="right"/>
              <w:rPr>
                <w:rFonts w:ascii="Times New Roman" w:hAnsi="Times New Roman" w:cs="Times New Roman" w:eastAsia="Times New Roman" w:hint="default"/>
                <w:sz w:val="18"/>
                <w:szCs w:val="18"/>
              </w:rPr>
            </w:pPr>
            <w:r>
              <w:rPr>
                <w:rFonts w:ascii="Times New Roman"/>
                <w:spacing w:val="-1"/>
                <w:sz w:val="18"/>
              </w:rPr>
              <w:t>170,305,058.69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1"/>
              <w:jc w:val="right"/>
              <w:rPr>
                <w:rFonts w:ascii="Times New Roman" w:hAnsi="Times New Roman" w:cs="Times New Roman" w:eastAsia="Times New Roman" w:hint="default"/>
                <w:sz w:val="18"/>
                <w:szCs w:val="18"/>
              </w:rPr>
            </w:pPr>
            <w:r>
              <w:rPr>
                <w:rFonts w:ascii="Times New Roman"/>
                <w:sz w:val="18"/>
              </w:rPr>
              <w:t>79.96%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1"/>
              <w:jc w:val="right"/>
              <w:rPr>
                <w:rFonts w:ascii="Times New Roman" w:hAnsi="Times New Roman" w:cs="Times New Roman" w:eastAsia="Times New Roman" w:hint="default"/>
                <w:sz w:val="18"/>
                <w:szCs w:val="18"/>
              </w:rPr>
            </w:pPr>
            <w:r>
              <w:rPr>
                <w:rFonts w:ascii="Times New Roman"/>
                <w:spacing w:val="-1"/>
                <w:sz w:val="18"/>
              </w:rPr>
              <w:t>15,062,076.78</w:t>
            </w:r>
          </w:p>
        </w:tc>
      </w:tr>
    </w:tbl>
    <w:p>
      <w:pPr>
        <w:pStyle w:val="Heading5"/>
        <w:spacing w:line="264" w:lineRule="auto" w:before="17"/>
        <w:ind w:right="6541"/>
        <w:jc w:val="left"/>
        <w:rPr>
          <w:rFonts w:ascii="宋体" w:hAnsi="宋体" w:cs="宋体" w:eastAsia="宋体" w:hint="default"/>
          <w:b w:val="0"/>
          <w:bCs w:val="0"/>
        </w:rPr>
      </w:pPr>
      <w:r>
        <w:rPr>
          <w:rFonts w:ascii="Times New Roman" w:hAnsi="Times New Roman" w:cs="Times New Roman" w:eastAsia="Times New Roman" w:hint="default"/>
        </w:rPr>
        <w:t>6)</w:t>
      </w:r>
      <w:r>
        <w:rPr>
          <w:rFonts w:ascii="Times New Roman" w:hAnsi="Times New Roman" w:cs="Times New Roman" w:eastAsia="Times New Roman" w:hint="default"/>
          <w:spacing w:val="41"/>
        </w:rPr>
        <w:t> </w:t>
      </w:r>
      <w:r>
        <w:rPr/>
        <w:t>转移其他应收款且继续涉入形成的资产、负债金额</w:t>
      </w:r>
      <w:r>
        <w:rPr>
          <w:w w:val="99"/>
        </w:rPr>
        <w:t> </w:t>
      </w:r>
      <w:r>
        <w:rPr>
          <w:rFonts w:ascii="宋体" w:hAnsi="宋体" w:cs="宋体" w:eastAsia="宋体" w:hint="default"/>
          <w:b w:val="0"/>
          <w:bCs w:val="0"/>
        </w:rPr>
        <w:t>无</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6、存货" w:id="229"/>
      <w:bookmarkEnd w:id="229"/>
      <w:r>
        <w:rPr>
          <w:b w:val="0"/>
          <w:bCs w:val="0"/>
        </w:rPr>
      </w:r>
      <w:r>
        <w:rPr>
          <w:rFonts w:ascii="Times New Roman" w:hAnsi="Times New Roman" w:cs="Times New Roman" w:eastAsia="Times New Roman" w:hint="default"/>
        </w:rPr>
        <w:t>6</w:t>
      </w:r>
      <w:r>
        <w:rPr/>
        <w:t>、存货</w:t>
      </w:r>
      <w:r>
        <w:rPr>
          <w:b w:val="0"/>
          <w:bCs w:val="0"/>
        </w:rPr>
      </w:r>
    </w:p>
    <w:p>
      <w:pPr>
        <w:spacing w:line="240" w:lineRule="auto" w:before="0"/>
        <w:rPr>
          <w:rFonts w:ascii="宋体" w:hAnsi="宋体" w:cs="宋体" w:eastAsia="宋体" w:hint="default"/>
          <w:b/>
          <w:bCs/>
          <w:sz w:val="22"/>
          <w:szCs w:val="22"/>
        </w:rPr>
      </w:pPr>
    </w:p>
    <w:p>
      <w:pPr>
        <w:pStyle w:val="BodyText"/>
        <w:spacing w:line="278" w:lineRule="auto"/>
        <w:ind w:right="7512"/>
        <w:jc w:val="left"/>
      </w:pPr>
      <w:r>
        <w:rPr/>
        <w:t>公司是否需要遵守房地产行业的披露要求 否</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1）存货分类" w:id="230"/>
      <w:bookmarkEnd w:id="230"/>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323" w:hRule="exact"/>
        </w:trPr>
        <w:tc>
          <w:tcPr>
            <w:tcW w:w="13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24" w:hRule="exact"/>
        </w:trPr>
        <w:tc>
          <w:tcPr>
            <w:tcW w:w="135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0CECE"/>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5,577,543,695.79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307,069,759.56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5,270,473,936.23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5,887,162,309.18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298,249,225.30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5,588,913,083.88</w:t>
            </w:r>
          </w:p>
        </w:tc>
      </w:tr>
      <w:tr>
        <w:trPr>
          <w:trHeight w:val="323" w:hRule="exact"/>
        </w:trPr>
        <w:tc>
          <w:tcPr>
            <w:tcW w:w="135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在途商品</w:t>
            </w:r>
          </w:p>
        </w:tc>
        <w:tc>
          <w:tcPr>
            <w:tcW w:w="1379" w:type="dxa"/>
            <w:tcBorders>
              <w:top w:val="single" w:sz="4" w:space="0" w:color="000000"/>
              <w:left w:val="single" w:sz="13" w:space="0" w:color="D0CECE"/>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125,316,025.40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125,316,025.40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184,105,811.30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184,105,811.30</w:t>
            </w:r>
          </w:p>
        </w:tc>
      </w:tr>
      <w:tr>
        <w:trPr>
          <w:trHeight w:val="324" w:hRule="exact"/>
        </w:trPr>
        <w:tc>
          <w:tcPr>
            <w:tcW w:w="135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开发成本（注）</w:t>
            </w:r>
          </w:p>
        </w:tc>
        <w:tc>
          <w:tcPr>
            <w:tcW w:w="1379" w:type="dxa"/>
            <w:tcBorders>
              <w:top w:val="single" w:sz="4" w:space="0" w:color="000000"/>
              <w:left w:val="single" w:sz="13" w:space="0" w:color="D0CECE"/>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2"/>
                <w:sz w:val="18"/>
              </w:rPr>
              <w:t>1,111,278,251.43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2"/>
                <w:sz w:val="18"/>
              </w:rPr>
              <w:t>1,111,278,251.43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982,973,621.03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982,973,621.03</w:t>
            </w:r>
          </w:p>
        </w:tc>
      </w:tr>
      <w:tr>
        <w:trPr>
          <w:trHeight w:val="32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6,814,137,972.62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307,069,759.56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6,507,068,213.06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7,054,241,741.51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298,249,225.30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6,755,992,516.21</w:t>
            </w:r>
          </w:p>
        </w:tc>
      </w:tr>
    </w:tbl>
    <w:p>
      <w:pPr>
        <w:pStyle w:val="BodyText"/>
        <w:spacing w:line="261" w:lineRule="auto" w:before="10"/>
        <w:ind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264" w:lineRule="auto" w:before="22"/>
        <w:ind w:right="2751"/>
        <w:jc w:val="left"/>
      </w:pPr>
      <w:r>
        <w:rPr/>
        <w:t>公司需遵守《深圳证券交易所行业信息披露指引第</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after="0" w:line="264" w:lineRule="auto"/>
        <w:jc w:val="left"/>
        <w:sectPr>
          <w:pgSz w:w="11910" w:h="16840"/>
          <w:pgMar w:header="0" w:footer="979" w:top="1100" w:bottom="1160" w:left="980" w:right="0"/>
        </w:sectPr>
      </w:pPr>
    </w:p>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2）存货跌价准备" w:id="231"/>
      <w:bookmarkEnd w:id="231"/>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167"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7"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57"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167"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298,249,225.30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191,345,266.82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359,846.00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182,884,578.56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307,069,759.56</w:t>
            </w:r>
          </w:p>
        </w:tc>
      </w:tr>
      <w:tr>
        <w:trPr>
          <w:trHeight w:val="32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298,249,225.30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191,345,266.82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359,846.00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182,884,578.56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307,069,759.56</w:t>
            </w:r>
          </w:p>
        </w:tc>
      </w:tr>
    </w:tbl>
    <w:p>
      <w:pPr>
        <w:pStyle w:val="BodyText"/>
        <w:spacing w:line="211" w:lineRule="exact"/>
        <w:ind w:right="0" w:firstLine="360"/>
        <w:jc w:val="both"/>
      </w:pPr>
      <w:r>
        <w:rPr/>
        <w:t>注</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日，本公司参加深圳市南山区深圳湾超级总部基地挂牌竞买事宜，竞得宗地编号为</w:t>
      </w:r>
      <w:r>
        <w:rPr>
          <w:rFonts w:ascii="Times New Roman" w:hAnsi="Times New Roman" w:cs="Times New Roman" w:eastAsia="Times New Roman" w:hint="default"/>
        </w:rPr>
        <w:t>T207-0052</w:t>
      </w:r>
      <w:r>
        <w:rPr/>
        <w:t>的土地使</w:t>
      </w:r>
    </w:p>
    <w:p>
      <w:pPr>
        <w:pStyle w:val="BodyText"/>
        <w:spacing w:line="225" w:lineRule="auto" w:before="5"/>
        <w:ind w:right="1131"/>
        <w:jc w:val="both"/>
      </w:pPr>
      <w:r>
        <w:rPr/>
        <w:t>用权。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日，本公司与深圳市规划和国土资源委员会南山管理局签署了《深圳市土地使用权出让合同书》，合同</w:t>
      </w:r>
      <w:r>
        <w:rPr>
          <w:spacing w:val="-83"/>
        </w:rPr>
        <w:t> </w:t>
      </w:r>
      <w:r>
        <w:rPr>
          <w:spacing w:val="-83"/>
        </w:rPr>
      </w:r>
      <w:r>
        <w:rPr/>
        <w:t>约定</w:t>
      </w:r>
      <w:r>
        <w:rPr>
          <w:rFonts w:ascii="Times New Roman" w:hAnsi="Times New Roman" w:cs="Times New Roman" w:eastAsia="Times New Roman" w:hint="default"/>
        </w:rPr>
        <w:t>:</w:t>
      </w:r>
      <w:r>
        <w:rPr/>
        <w:t>土地用途为商业服务业用地，本宗项目建成后部分可按规定销售，本公司将可用于销售部分占用土地成本计入开发成</w:t>
      </w:r>
      <w:r>
        <w:rPr>
          <w:spacing w:val="-51"/>
        </w:rPr>
        <w:t> </w:t>
      </w:r>
      <w:r>
        <w:rPr>
          <w:spacing w:val="-51"/>
        </w:rPr>
      </w:r>
      <w:r>
        <w:rPr/>
        <w:t>本。该项目已于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23</w:t>
      </w:r>
      <w:r>
        <w:rPr/>
        <w:t>日开工，尚在建设中。</w:t>
      </w:r>
    </w:p>
    <w:p>
      <w:pPr>
        <w:pStyle w:val="BodyText"/>
        <w:spacing w:line="232" w:lineRule="auto"/>
        <w:ind w:right="1130" w:firstLine="360"/>
        <w:jc w:val="both"/>
      </w:pPr>
      <w:r>
        <w:rPr>
          <w:spacing w:val="-2"/>
        </w:rPr>
        <w:t>神州数码（深圳）有限公司（以下简称“神码深圳”）向平安银行股份有限公司深圳分行借款，由本公司提供最高额抵</w:t>
      </w:r>
      <w:r>
        <w:rPr/>
        <w:t> </w:t>
      </w:r>
      <w:r>
        <w:rPr>
          <w:spacing w:val="-1"/>
        </w:rPr>
        <w:t>押担保，本公司与平安银行股份有限公司深圳分行签订了合同编号为平银</w:t>
      </w:r>
      <w:r>
        <w:rPr>
          <w:rFonts w:ascii="宋体" w:hAnsi="宋体" w:cs="宋体" w:eastAsia="宋体" w:hint="default"/>
          <w:spacing w:val="-1"/>
        </w:rPr>
        <w:t>(</w:t>
      </w:r>
      <w:r>
        <w:rPr>
          <w:spacing w:val="-1"/>
        </w:rPr>
        <w:t>电子</w:t>
      </w:r>
      <w:r>
        <w:rPr>
          <w:rFonts w:ascii="宋体" w:hAnsi="宋体" w:cs="宋体" w:eastAsia="宋体" w:hint="default"/>
          <w:spacing w:val="-1"/>
        </w:rPr>
        <w:t>)</w:t>
      </w:r>
      <w:r>
        <w:rPr>
          <w:spacing w:val="-1"/>
        </w:rPr>
        <w:t>综字第</w:t>
      </w:r>
      <w:r>
        <w:rPr>
          <w:rFonts w:ascii="Times New Roman" w:hAnsi="Times New Roman" w:cs="Times New Roman" w:eastAsia="Times New Roman" w:hint="default"/>
          <w:spacing w:val="-1"/>
        </w:rPr>
        <w:t>A004201809060002</w:t>
      </w:r>
      <w:r>
        <w:rPr>
          <w:spacing w:val="-1"/>
        </w:rPr>
        <w:t>（额抵</w:t>
      </w:r>
      <w:r>
        <w:rPr>
          <w:rFonts w:ascii="宋体" w:hAnsi="宋体" w:cs="宋体" w:eastAsia="宋体" w:hint="default"/>
          <w:spacing w:val="-1"/>
        </w:rPr>
        <w:t>002</w:t>
      </w:r>
      <w:r>
        <w:rPr>
          <w:spacing w:val="-1"/>
        </w:rPr>
        <w:t>）号的</w:t>
      </w:r>
      <w:r>
        <w:rPr>
          <w:spacing w:val="-59"/>
        </w:rPr>
        <w:t> </w:t>
      </w:r>
      <w:r>
        <w:rPr>
          <w:spacing w:val="-59"/>
        </w:rPr>
      </w:r>
      <w:r>
        <w:rPr/>
        <w:t>最高额抵押担保合同，本公司以深圳市南山区深圳湾超级总部基地土地使用权作为抵押物进行抵押担保，其中存货</w:t>
      </w:r>
      <w:r>
        <w:rPr>
          <w:rFonts w:ascii="宋体" w:hAnsi="宋体" w:cs="宋体" w:eastAsia="宋体" w:hint="default"/>
        </w:rPr>
        <w:t>-</w:t>
      </w:r>
      <w:r>
        <w:rPr/>
        <w:t>开发成</w:t>
      </w:r>
      <w:r>
        <w:rPr>
          <w:spacing w:val="-83"/>
        </w:rPr>
        <w:t> </w:t>
      </w:r>
      <w:r>
        <w:rPr>
          <w:spacing w:val="-83"/>
        </w:rPr>
      </w:r>
      <w:r>
        <w:rPr/>
        <w:t>本</w:t>
      </w:r>
      <w:r>
        <w:rPr>
          <w:rFonts w:ascii="宋体" w:hAnsi="宋体" w:cs="宋体" w:eastAsia="宋体" w:hint="default"/>
        </w:rPr>
        <w:t>-</w:t>
      </w:r>
      <w:r>
        <w:rPr/>
        <w:t>土地使用权年末账面价值为</w:t>
      </w:r>
      <w:r>
        <w:rPr>
          <w:rFonts w:ascii="Times New Roman" w:hAnsi="Times New Roman" w:cs="Times New Roman" w:eastAsia="Times New Roman" w:hint="default"/>
        </w:rPr>
        <w:t>1,021,543,090.91</w:t>
      </w:r>
      <w:r>
        <w:rPr/>
        <w:t>元，无形资产</w:t>
      </w:r>
      <w:r>
        <w:rPr>
          <w:rFonts w:ascii="宋体" w:hAnsi="宋体" w:cs="宋体" w:eastAsia="宋体" w:hint="default"/>
        </w:rPr>
        <w:t>-</w:t>
      </w:r>
      <w:r>
        <w:rPr/>
        <w:t>土地使用权年末账面价值为</w:t>
      </w:r>
      <w:r>
        <w:rPr>
          <w:rFonts w:ascii="Times New Roman" w:hAnsi="Times New Roman" w:cs="Times New Roman" w:eastAsia="Times New Roman" w:hint="default"/>
        </w:rPr>
        <w:t>2,486,199,638.07</w:t>
      </w:r>
      <w:r>
        <w:rPr/>
        <w:t>元。</w:t>
      </w:r>
    </w:p>
    <w:p>
      <w:pPr>
        <w:spacing w:line="240" w:lineRule="auto" w:before="5"/>
        <w:rPr>
          <w:rFonts w:ascii="宋体" w:hAnsi="宋体" w:cs="宋体" w:eastAsia="宋体" w:hint="default"/>
          <w:sz w:val="21"/>
          <w:szCs w:val="21"/>
        </w:rPr>
      </w:pPr>
    </w:p>
    <w:p>
      <w:pPr>
        <w:pStyle w:val="Heading3"/>
        <w:spacing w:line="240" w:lineRule="auto"/>
        <w:ind w:right="0"/>
        <w:jc w:val="both"/>
        <w:rPr>
          <w:b w:val="0"/>
          <w:bCs w:val="0"/>
        </w:rPr>
      </w:pPr>
      <w:bookmarkStart w:name="（3）存货期末余额含有借款费用资本化金额的说明" w:id="232"/>
      <w:bookmarkEnd w:id="232"/>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10"/>
        <w:rPr>
          <w:rFonts w:ascii="宋体" w:hAnsi="宋体" w:cs="宋体" w:eastAsia="宋体" w:hint="default"/>
          <w:b/>
          <w:bCs/>
          <w:sz w:val="23"/>
          <w:szCs w:val="23"/>
        </w:rPr>
      </w:pPr>
    </w:p>
    <w:p>
      <w:pPr>
        <w:pStyle w:val="BodyText"/>
        <w:spacing w:line="234" w:lineRule="exact"/>
        <w:ind w:right="1131" w:firstLine="360"/>
        <w:jc w:val="both"/>
      </w:pPr>
      <w:r>
        <w:rPr>
          <w:spacing w:val="-2"/>
        </w:rPr>
        <w:t>本公司深圳湾土地建设项目于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23</w:t>
      </w:r>
      <w:r>
        <w:rPr>
          <w:spacing w:val="-2"/>
        </w:rPr>
        <w:t>日开工，相关借款利息应予以资本化。存货期末余额含有借款利息资本化金</w:t>
      </w:r>
      <w:r>
        <w:rPr/>
        <w:t> 额</w:t>
      </w:r>
      <w:r>
        <w:rPr>
          <w:rFonts w:ascii="Times New Roman" w:hAnsi="Times New Roman" w:cs="Times New Roman" w:eastAsia="Times New Roman" w:hint="default"/>
        </w:rPr>
        <w:t>49,388,828.94</w:t>
      </w:r>
      <w:r>
        <w:rPr/>
        <w:t>元。</w:t>
      </w:r>
    </w:p>
    <w:p>
      <w:pPr>
        <w:spacing w:line="240" w:lineRule="auto" w:before="9"/>
        <w:rPr>
          <w:rFonts w:ascii="宋体" w:hAnsi="宋体" w:cs="宋体" w:eastAsia="宋体" w:hint="default"/>
          <w:sz w:val="20"/>
          <w:szCs w:val="20"/>
        </w:rPr>
      </w:pPr>
    </w:p>
    <w:p>
      <w:pPr>
        <w:pStyle w:val="Heading3"/>
        <w:spacing w:line="240" w:lineRule="auto"/>
        <w:ind w:right="0"/>
        <w:jc w:val="both"/>
        <w:rPr>
          <w:b w:val="0"/>
          <w:bCs w:val="0"/>
        </w:rPr>
      </w:pPr>
      <w:bookmarkStart w:name="（4）期末建造合同形成的已完工未结算资产情况" w:id="233"/>
      <w:bookmarkEnd w:id="233"/>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514" w:right="0"/>
        <w:jc w:val="left"/>
      </w:pPr>
      <w:r>
        <w:rPr/>
        <w:t>无</w:t>
      </w:r>
    </w:p>
    <w:p>
      <w:pPr>
        <w:spacing w:line="240" w:lineRule="auto" w:before="6"/>
        <w:rPr>
          <w:rFonts w:ascii="宋体" w:hAnsi="宋体" w:cs="宋体" w:eastAsia="宋体" w:hint="default"/>
          <w:sz w:val="22"/>
          <w:szCs w:val="22"/>
        </w:rPr>
      </w:pPr>
    </w:p>
    <w:p>
      <w:pPr>
        <w:pStyle w:val="Heading3"/>
        <w:spacing w:line="240" w:lineRule="auto"/>
        <w:ind w:right="0"/>
        <w:jc w:val="both"/>
        <w:rPr>
          <w:b w:val="0"/>
          <w:bCs w:val="0"/>
        </w:rPr>
      </w:pPr>
      <w:bookmarkStart w:name="7、一年内到期的非流动资产" w:id="234"/>
      <w:bookmarkEnd w:id="234"/>
      <w:r>
        <w:rPr>
          <w:b w:val="0"/>
          <w:bCs w:val="0"/>
        </w:rPr>
      </w:r>
      <w:r>
        <w:rPr>
          <w:rFonts w:ascii="Times New Roman" w:hAnsi="Times New Roman" w:cs="Times New Roman" w:eastAsia="Times New Roman" w:hint="default"/>
        </w:rPr>
        <w:t>7</w:t>
      </w:r>
      <w:r>
        <w:rPr/>
        <w:t>、一年内到期的非流动资产</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待抵扣税金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1,532,681.81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1,628,445.38</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1,532,681.81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1,628,445.38</w:t>
            </w:r>
          </w:p>
        </w:tc>
      </w:tr>
    </w:tbl>
    <w:p>
      <w:pPr>
        <w:pStyle w:val="BodyText"/>
        <w:spacing w:line="278" w:lineRule="auto" w:before="10"/>
        <w:ind w:right="985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8、其他流动资产" w:id="235"/>
      <w:bookmarkEnd w:id="235"/>
      <w:r>
        <w:rPr>
          <w:b w:val="0"/>
          <w:bCs w:val="0"/>
        </w:rPr>
      </w:r>
      <w:r>
        <w:rPr>
          <w:rFonts w:ascii="Times New Roman" w:hAnsi="Times New Roman" w:cs="Times New Roman" w:eastAsia="Times New Roman" w:hint="default"/>
        </w:rPr>
        <w:t>8</w:t>
      </w:r>
      <w:r>
        <w:rPr/>
        <w:t>、其他流动资产</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待抵扣增值税进项税额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398,678,648.39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169,870,308.17</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理财产品（注）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41,500,000.00</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待摊费用</w:t>
            </w:r>
            <w:r>
              <w:rPr>
                <w:rFonts w:ascii="Times New Roman" w:hAnsi="Times New Roman" w:cs="Times New Roman" w:eastAsia="Times New Roman" w:hint="default"/>
                <w:sz w:val="18"/>
                <w:szCs w:val="18"/>
              </w:rPr>
              <w:t>-</w:t>
            </w:r>
            <w:r>
              <w:rPr>
                <w:rFonts w:ascii="宋体" w:hAnsi="宋体" w:cs="宋体" w:eastAsia="宋体" w:hint="default"/>
                <w:sz w:val="18"/>
                <w:szCs w:val="18"/>
              </w:rPr>
              <w:t>房租</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1,961,407.12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5,708,554.12</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4,050,862.87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1,442,384.72</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413,690,918.38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218,521,247.01</w:t>
            </w:r>
          </w:p>
        </w:tc>
      </w:tr>
    </w:tbl>
    <w:p>
      <w:pPr>
        <w:pStyle w:val="BodyText"/>
        <w:spacing w:line="240" w:lineRule="auto" w:before="10"/>
        <w:ind w:right="0"/>
        <w:jc w:val="left"/>
      </w:pPr>
      <w:r>
        <w:rPr/>
        <w:t>其他说明：</w:t>
      </w:r>
    </w:p>
    <w:p>
      <w:pPr>
        <w:pStyle w:val="BodyText"/>
        <w:spacing w:line="232" w:lineRule="exact" w:before="62"/>
        <w:ind w:right="0"/>
        <w:jc w:val="left"/>
      </w:pPr>
      <w:r>
        <w:rPr>
          <w:spacing w:val="3"/>
        </w:rPr>
        <w:t>注：理财产品系本公司之子公司上海云角向上海浦东发展银行购买的天添利微计划理财产品</w:t>
      </w:r>
      <w:r>
        <w:rPr>
          <w:rFonts w:ascii="Times New Roman" w:hAnsi="Times New Roman" w:cs="Times New Roman" w:eastAsia="Times New Roman" w:hint="default"/>
          <w:spacing w:val="3"/>
        </w:rPr>
        <w:t>3,000,000.00</w:t>
      </w:r>
      <w:r>
        <w:rPr>
          <w:spacing w:val="3"/>
        </w:rPr>
        <w:t>元，预期收益率</w:t>
      </w:r>
      <w:r>
        <w:rPr>
          <w:spacing w:val="-63"/>
        </w:rPr>
        <w:t> </w:t>
      </w:r>
      <w:r>
        <w:rPr>
          <w:rFonts w:ascii="Times New Roman" w:hAnsi="Times New Roman" w:cs="Times New Roman" w:eastAsia="Times New Roman" w:hint="default"/>
        </w:rPr>
        <w:t>3.05%</w:t>
      </w:r>
      <w:r>
        <w:rPr/>
        <w:t>；上海云角向上海浦东发展银行购买的天添利</w:t>
      </w:r>
      <w:r>
        <w:rPr>
          <w:rFonts w:ascii="Times New Roman" w:hAnsi="Times New Roman" w:cs="Times New Roman" w:eastAsia="Times New Roman" w:hint="default"/>
        </w:rPr>
        <w:t>1</w:t>
      </w:r>
      <w:r>
        <w:rPr/>
        <w:t>号理财产品</w:t>
      </w:r>
      <w:r>
        <w:rPr>
          <w:rFonts w:ascii="Times New Roman" w:hAnsi="Times New Roman" w:cs="Times New Roman" w:eastAsia="Times New Roman" w:hint="default"/>
        </w:rPr>
        <w:t>6,000,000.00</w:t>
      </w:r>
      <w:r>
        <w:rPr/>
        <w:t>元，预期收益率为</w:t>
      </w:r>
      <w:r>
        <w:rPr>
          <w:rFonts w:ascii="Times New Roman" w:hAnsi="Times New Roman" w:cs="Times New Roman" w:eastAsia="Times New Roman" w:hint="default"/>
        </w:rPr>
        <w:t>3.00%</w:t>
      </w:r>
      <w:r>
        <w:rPr/>
        <w:t>。</w:t>
      </w:r>
    </w:p>
    <w:p>
      <w:pPr>
        <w:spacing w:after="0" w:line="232" w:lineRule="exact"/>
        <w:jc w:val="left"/>
        <w:sectPr>
          <w:pgSz w:w="11910" w:h="16840"/>
          <w:pgMar w:header="0" w:footer="979" w:top="1100" w:bottom="1160" w:left="980" w:right="0"/>
        </w:sectPr>
      </w:pPr>
    </w:p>
    <w:p>
      <w:pPr>
        <w:spacing w:line="240" w:lineRule="auto" w:before="1"/>
        <w:rPr>
          <w:rFonts w:ascii="宋体" w:hAnsi="宋体" w:cs="宋体" w:eastAsia="宋体" w:hint="default"/>
          <w:sz w:val="19"/>
          <w:szCs w:val="19"/>
        </w:rPr>
      </w:pPr>
    </w:p>
    <w:p>
      <w:pPr>
        <w:pStyle w:val="Heading3"/>
        <w:spacing w:line="240" w:lineRule="auto" w:before="35"/>
        <w:ind w:left="854" w:right="0"/>
        <w:jc w:val="left"/>
        <w:rPr>
          <w:b w:val="0"/>
          <w:bCs w:val="0"/>
        </w:rPr>
      </w:pPr>
      <w:bookmarkStart w:name="9、可供出售金融资产" w:id="236"/>
      <w:bookmarkEnd w:id="236"/>
      <w:r>
        <w:rPr>
          <w:b w:val="0"/>
          <w:bCs w:val="0"/>
        </w:rPr>
      </w:r>
      <w:r>
        <w:rPr>
          <w:rFonts w:ascii="Times New Roman" w:hAnsi="Times New Roman" w:cs="Times New Roman" w:eastAsia="Times New Roman" w:hint="default"/>
        </w:rPr>
        <w:t>9</w:t>
      </w:r>
      <w:r>
        <w:rPr/>
        <w:t>、可供出售金融资产</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left="854" w:right="0"/>
        <w:jc w:val="left"/>
        <w:rPr>
          <w:b w:val="0"/>
          <w:bCs w:val="0"/>
        </w:rPr>
      </w:pPr>
      <w:bookmarkStart w:name="（1）可供出售金融资产情况" w:id="237"/>
      <w:bookmarkEnd w:id="237"/>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860" w:type="dxa"/>
        <w:tblLayout w:type="fixed"/>
        <w:tblCellMar>
          <w:top w:w="0" w:type="dxa"/>
          <w:left w:w="0" w:type="dxa"/>
          <w:bottom w:w="0" w:type="dxa"/>
          <w:right w:w="0" w:type="dxa"/>
        </w:tblCellMar>
        <w:tblLook w:val="01E0"/>
      </w:tblPr>
      <w:tblGrid>
        <w:gridCol w:w="1977"/>
        <w:gridCol w:w="1207"/>
        <w:gridCol w:w="1196"/>
        <w:gridCol w:w="1196"/>
        <w:gridCol w:w="1248"/>
        <w:gridCol w:w="1367"/>
        <w:gridCol w:w="1367"/>
      </w:tblGrid>
      <w:tr>
        <w:trPr>
          <w:trHeight w:val="167" w:hRule="exact"/>
        </w:trPr>
        <w:tc>
          <w:tcPr>
            <w:tcW w:w="19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59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7" w:hRule="exact"/>
        </w:trPr>
        <w:tc>
          <w:tcPr>
            <w:tcW w:w="19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99"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57" w:hRule="exact"/>
        </w:trPr>
        <w:tc>
          <w:tcPr>
            <w:tcW w:w="1977"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2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67" w:hRule="exact"/>
        </w:trPr>
        <w:tc>
          <w:tcPr>
            <w:tcW w:w="19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6,550,032.30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6,550,032.30</w:t>
            </w:r>
          </w:p>
        </w:tc>
      </w:tr>
      <w:tr>
        <w:trPr>
          <w:trHeight w:val="324"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105,795,074.50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20,250,000.00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85,545,074.50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143,510,587.05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48,188,510.30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95,322,076.75</w:t>
            </w:r>
          </w:p>
        </w:tc>
      </w:tr>
      <w:tr>
        <w:trPr>
          <w:trHeight w:val="323"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23,795,074.50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23,795,074.50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33,572,076.75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33,572,076.75</w:t>
            </w:r>
          </w:p>
        </w:tc>
      </w:tr>
      <w:tr>
        <w:trPr>
          <w:trHeight w:val="324"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82,000,000.00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20,250,000.00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61,750,000.00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109,938,510.30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48,188,510.30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61,750,000.00</w:t>
            </w:r>
          </w:p>
        </w:tc>
      </w:tr>
      <w:tr>
        <w:trPr>
          <w:trHeight w:val="324"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105,795,074.50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20,250,000.00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85,545,074.50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150,060,619.35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48,188,510.30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101,872,109.05</w:t>
            </w:r>
          </w:p>
        </w:tc>
      </w:tr>
    </w:tbl>
    <w:p>
      <w:pPr>
        <w:spacing w:line="240" w:lineRule="auto" w:before="7"/>
        <w:rPr>
          <w:rFonts w:ascii="宋体" w:hAnsi="宋体" w:cs="宋体" w:eastAsia="宋体" w:hint="default"/>
          <w:sz w:val="17"/>
          <w:szCs w:val="17"/>
        </w:rPr>
      </w:pPr>
    </w:p>
    <w:p>
      <w:pPr>
        <w:pStyle w:val="Heading3"/>
        <w:spacing w:line="240" w:lineRule="auto" w:before="35"/>
        <w:ind w:left="854" w:right="0"/>
        <w:jc w:val="left"/>
        <w:rPr>
          <w:b w:val="0"/>
          <w:bCs w:val="0"/>
        </w:rPr>
      </w:pPr>
      <w:bookmarkStart w:name="（2）期末按公允价值计量的可供出售金融资产" w:id="238"/>
      <w:bookmarkEnd w:id="238"/>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2"/>
        <w:rPr>
          <w:rFonts w:ascii="宋体" w:hAnsi="宋体" w:cs="宋体" w:eastAsia="宋体" w:hint="default"/>
          <w:sz w:val="5"/>
          <w:szCs w:val="5"/>
        </w:rPr>
      </w:pPr>
    </w:p>
    <w:tbl>
      <w:tblPr>
        <w:tblW w:w="0" w:type="auto"/>
        <w:jc w:val="left"/>
        <w:tblInd w:w="833" w:type="dxa"/>
        <w:tblLayout w:type="fixed"/>
        <w:tblCellMar>
          <w:top w:w="0" w:type="dxa"/>
          <w:left w:w="0" w:type="dxa"/>
          <w:bottom w:w="0" w:type="dxa"/>
          <w:right w:w="0" w:type="dxa"/>
        </w:tblCellMar>
        <w:tblLook w:val="01E0"/>
      </w:tblPr>
      <w:tblGrid>
        <w:gridCol w:w="2400"/>
        <w:gridCol w:w="2435"/>
        <w:gridCol w:w="2424"/>
        <w:gridCol w:w="2424"/>
      </w:tblGrid>
      <w:tr>
        <w:trPr>
          <w:trHeight w:val="324" w:hRule="exact"/>
        </w:trPr>
        <w:tc>
          <w:tcPr>
            <w:tcW w:w="2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94"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2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97"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85"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557" w:hRule="exact"/>
        </w:trPr>
        <w:tc>
          <w:tcPr>
            <w:tcW w:w="2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11" w:right="166"/>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债务工具的 摊余成本</w:t>
            </w:r>
          </w:p>
        </w:tc>
        <w:tc>
          <w:tcPr>
            <w:tcW w:w="24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34,639,729.57</w:t>
            </w:r>
          </w:p>
        </w:tc>
        <w:tc>
          <w:tcPr>
            <w:tcW w:w="2424"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34,639,729.57</w:t>
            </w:r>
          </w:p>
        </w:tc>
      </w:tr>
      <w:tr>
        <w:trPr>
          <w:trHeight w:val="324" w:hRule="exact"/>
        </w:trPr>
        <w:tc>
          <w:tcPr>
            <w:tcW w:w="2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24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23,795,074.50</w:t>
            </w:r>
          </w:p>
        </w:tc>
        <w:tc>
          <w:tcPr>
            <w:tcW w:w="2424"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23,795,074.50</w:t>
            </w:r>
          </w:p>
        </w:tc>
      </w:tr>
      <w:tr>
        <w:trPr>
          <w:trHeight w:val="557" w:hRule="exact"/>
        </w:trPr>
        <w:tc>
          <w:tcPr>
            <w:tcW w:w="2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37"/>
              <w:jc w:val="left"/>
              <w:rPr>
                <w:rFonts w:ascii="宋体" w:hAnsi="宋体" w:cs="宋体" w:eastAsia="宋体" w:hint="default"/>
                <w:sz w:val="18"/>
                <w:szCs w:val="18"/>
              </w:rPr>
            </w:pPr>
            <w:r>
              <w:rPr>
                <w:rFonts w:ascii="宋体" w:hAnsi="宋体" w:cs="宋体" w:eastAsia="宋体" w:hint="default"/>
                <w:sz w:val="18"/>
                <w:szCs w:val="18"/>
              </w:rPr>
              <w:t>累计计入其他综合收益的公允 价值变动金额</w:t>
            </w:r>
          </w:p>
        </w:tc>
        <w:tc>
          <w:tcPr>
            <w:tcW w:w="24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-10,844,655.07</w:t>
            </w:r>
          </w:p>
        </w:tc>
        <w:tc>
          <w:tcPr>
            <w:tcW w:w="2424"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-10,844,655.07</w:t>
            </w:r>
          </w:p>
        </w:tc>
      </w:tr>
    </w:tbl>
    <w:p>
      <w:pPr>
        <w:spacing w:line="240" w:lineRule="auto" w:before="7"/>
        <w:rPr>
          <w:rFonts w:ascii="宋体" w:hAnsi="宋体" w:cs="宋体" w:eastAsia="宋体" w:hint="default"/>
          <w:sz w:val="17"/>
          <w:szCs w:val="17"/>
        </w:rPr>
      </w:pPr>
    </w:p>
    <w:p>
      <w:pPr>
        <w:pStyle w:val="Heading3"/>
        <w:spacing w:line="240" w:lineRule="auto" w:before="35"/>
        <w:ind w:left="854" w:right="0"/>
        <w:jc w:val="left"/>
        <w:rPr>
          <w:b w:val="0"/>
          <w:bCs w:val="0"/>
        </w:rPr>
      </w:pPr>
      <w:bookmarkStart w:name="（3）期末按成本计量的可供出售金融资产" w:id="239"/>
      <w:bookmarkEnd w:id="239"/>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1145"/>
        <w:gridCol w:w="1284"/>
        <w:gridCol w:w="1140"/>
        <w:gridCol w:w="1151"/>
        <w:gridCol w:w="1142"/>
        <w:gridCol w:w="1144"/>
        <w:gridCol w:w="1143"/>
        <w:gridCol w:w="1144"/>
        <w:gridCol w:w="1142"/>
        <w:gridCol w:w="704"/>
        <w:gridCol w:w="282"/>
      </w:tblGrid>
      <w:tr>
        <w:trPr>
          <w:trHeight w:val="323" w:hRule="exact"/>
        </w:trPr>
        <w:tc>
          <w:tcPr>
            <w:tcW w:w="11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16"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471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457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7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37" w:lineRule="auto"/>
              <w:ind w:left="75" w:right="76"/>
              <w:jc w:val="center"/>
              <w:rPr>
                <w:rFonts w:ascii="宋体" w:hAnsi="宋体" w:cs="宋体" w:eastAsia="宋体" w:hint="default"/>
                <w:sz w:val="18"/>
                <w:szCs w:val="18"/>
              </w:rPr>
            </w:pPr>
            <w:r>
              <w:rPr>
                <w:rFonts w:ascii="宋体" w:hAnsi="宋体" w:cs="宋体" w:eastAsia="宋体" w:hint="default"/>
                <w:sz w:val="18"/>
                <w:szCs w:val="18"/>
              </w:rPr>
              <w:t>在被投 资单位 持股比 例</w:t>
            </w:r>
          </w:p>
        </w:tc>
        <w:tc>
          <w:tcPr>
            <w:tcW w:w="282"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11"/>
              <w:ind w:left="45" w:right="44"/>
              <w:jc w:val="both"/>
              <w:rPr>
                <w:rFonts w:ascii="宋体" w:hAnsi="宋体" w:cs="宋体" w:eastAsia="宋体" w:hint="default"/>
                <w:sz w:val="18"/>
                <w:szCs w:val="18"/>
              </w:rPr>
            </w:pPr>
            <w:r>
              <w:rPr>
                <w:rFonts w:ascii="宋体" w:hAnsi="宋体" w:cs="宋体" w:eastAsia="宋体" w:hint="default"/>
                <w:sz w:val="18"/>
                <w:szCs w:val="18"/>
              </w:rPr>
              <w:t>本 期 现 金 红 利</w:t>
            </w:r>
          </w:p>
        </w:tc>
      </w:tr>
      <w:tr>
        <w:trPr>
          <w:trHeight w:val="1167" w:hRule="exact"/>
        </w:trPr>
        <w:tc>
          <w:tcPr>
            <w:tcW w:w="1145" w:type="dxa"/>
            <w:vMerge/>
            <w:tcBorders>
              <w:left w:val="single" w:sz="4" w:space="0" w:color="000000"/>
              <w:bottom w:val="single" w:sz="4" w:space="0" w:color="000000"/>
              <w:right w:val="single" w:sz="4" w:space="0" w:color="000000"/>
            </w:tcBorders>
            <w:shd w:val="clear" w:color="auto" w:fill="D2D2D2"/>
          </w:tcPr>
          <w:p>
            <w:pPr/>
          </w:p>
        </w:tc>
        <w:tc>
          <w:tcPr>
            <w:tcW w:w="1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1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1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1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1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0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704" w:type="dxa"/>
            <w:vMerge/>
            <w:tcBorders>
              <w:left w:val="single" w:sz="4" w:space="0" w:color="000000"/>
              <w:bottom w:val="single" w:sz="4" w:space="0" w:color="000000"/>
              <w:right w:val="single" w:sz="4" w:space="0" w:color="000000"/>
            </w:tcBorders>
            <w:shd w:val="clear" w:color="auto" w:fill="D2D2D2"/>
          </w:tcPr>
          <w:p>
            <w:pPr/>
          </w:p>
        </w:tc>
        <w:tc>
          <w:tcPr>
            <w:tcW w:w="282" w:type="dxa"/>
            <w:vMerge/>
            <w:tcBorders>
              <w:left w:val="single" w:sz="4" w:space="0" w:color="000000"/>
              <w:bottom w:val="single" w:sz="4" w:space="0" w:color="000000"/>
              <w:right w:val="single" w:sz="4" w:space="0" w:color="000000"/>
            </w:tcBorders>
            <w:shd w:val="clear" w:color="auto" w:fill="D2D2D2"/>
          </w:tcPr>
          <w:p>
            <w:pPr/>
          </w:p>
        </w:tc>
      </w:tr>
      <w:tr>
        <w:trPr>
          <w:trHeight w:val="791"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30"/>
              <w:jc w:val="both"/>
              <w:rPr>
                <w:rFonts w:ascii="宋体" w:hAnsi="宋体" w:cs="宋体" w:eastAsia="宋体" w:hint="default"/>
                <w:sz w:val="18"/>
                <w:szCs w:val="18"/>
              </w:rPr>
            </w:pPr>
            <w:r>
              <w:rPr>
                <w:rFonts w:ascii="宋体" w:hAnsi="宋体" w:cs="宋体" w:eastAsia="宋体" w:hint="default"/>
                <w:sz w:val="18"/>
                <w:szCs w:val="18"/>
              </w:rPr>
              <w:t>嘉和美康（北 京）科技有限 公司</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61,750,000.00</w:t>
            </w:r>
          </w:p>
        </w:tc>
        <w:tc>
          <w:tcPr>
            <w:tcW w:w="114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61,750,000.00</w:t>
            </w:r>
          </w:p>
        </w:tc>
        <w:tc>
          <w:tcPr>
            <w:tcW w:w="1144"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10.50%</w:t>
            </w:r>
          </w:p>
        </w:tc>
        <w:tc>
          <w:tcPr>
            <w:tcW w:w="282"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30"/>
              <w:jc w:val="both"/>
              <w:rPr>
                <w:rFonts w:ascii="宋体" w:hAnsi="宋体" w:cs="宋体" w:eastAsia="宋体" w:hint="default"/>
                <w:sz w:val="18"/>
                <w:szCs w:val="18"/>
              </w:rPr>
            </w:pPr>
            <w:r>
              <w:rPr>
                <w:rFonts w:ascii="宋体" w:hAnsi="宋体" w:cs="宋体" w:eastAsia="宋体" w:hint="default"/>
                <w:sz w:val="18"/>
                <w:szCs w:val="18"/>
              </w:rPr>
              <w:t>深圳市天极光 电实业股份有 限公司</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20,250,000.00</w:t>
            </w:r>
          </w:p>
        </w:tc>
        <w:tc>
          <w:tcPr>
            <w:tcW w:w="114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20,250,000.00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20,250,000.00</w:t>
            </w:r>
          </w:p>
        </w:tc>
        <w:tc>
          <w:tcPr>
            <w:tcW w:w="1143"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20,250,000.00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4.40%</w:t>
            </w:r>
          </w:p>
        </w:tc>
        <w:tc>
          <w:tcPr>
            <w:tcW w:w="282"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30"/>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深圳市中委农 业投资有限公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27,938,510.30</w:t>
            </w:r>
          </w:p>
        </w:tc>
        <w:tc>
          <w:tcPr>
            <w:tcW w:w="114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27,938,510.30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27,938,510.30</w:t>
            </w:r>
          </w:p>
        </w:tc>
        <w:tc>
          <w:tcPr>
            <w:tcW w:w="1143"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27,938,510.30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4"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30"/>
              <w:jc w:val="both"/>
              <w:rPr>
                <w:rFonts w:ascii="Times New Roman" w:hAnsi="Times New Roman" w:cs="Times New Roman" w:eastAsia="Times New Roman" w:hint="default"/>
                <w:sz w:val="18"/>
                <w:szCs w:val="18"/>
              </w:rPr>
            </w:pPr>
            <w:r>
              <w:rPr>
                <w:rFonts w:ascii="宋体" w:hAnsi="宋体" w:cs="宋体" w:eastAsia="宋体" w:hint="default"/>
                <w:sz w:val="18"/>
                <w:szCs w:val="18"/>
              </w:rPr>
              <w:t>成都神州数码 索贝科技有限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284"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2,958,000.00</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2,958,000.00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44"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64" w:right="0"/>
              <w:jc w:val="left"/>
              <w:rPr>
                <w:rFonts w:ascii="Times New Roman" w:hAnsi="Times New Roman" w:cs="Times New Roman" w:eastAsia="Times New Roman" w:hint="default"/>
                <w:sz w:val="18"/>
                <w:szCs w:val="18"/>
              </w:rPr>
            </w:pPr>
            <w:r>
              <w:rPr>
                <w:rFonts w:ascii="Times New Roman"/>
                <w:sz w:val="18"/>
              </w:rPr>
              <w:t>2,958,000.00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2,958,000.00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4"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r>
      <w:tr>
        <w:trPr>
          <w:trHeight w:val="531"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36"/>
              <w:ind w:left="22" w:right="0"/>
              <w:jc w:val="left"/>
              <w:rPr>
                <w:rFonts w:ascii="Times New Roman" w:hAnsi="Times New Roman" w:cs="Times New Roman" w:eastAsia="Times New Roman" w:hint="default"/>
                <w:sz w:val="18"/>
                <w:szCs w:val="18"/>
              </w:rPr>
            </w:pPr>
            <w:r>
              <w:rPr>
                <w:rFonts w:ascii="Times New Roman"/>
                <w:sz w:val="18"/>
              </w:rPr>
              <w:t>CacheIO,LLC(</w:t>
            </w:r>
          </w:p>
          <w:p>
            <w:pPr>
              <w:pStyle w:val="TableParagraph"/>
              <w:spacing w:line="236"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1"/>
              <w:jc w:val="right"/>
              <w:rPr>
                <w:rFonts w:ascii="Times New Roman" w:hAnsi="Times New Roman" w:cs="Times New Roman" w:eastAsia="Times New Roman" w:hint="default"/>
                <w:sz w:val="18"/>
                <w:szCs w:val="18"/>
              </w:rPr>
            </w:pPr>
            <w:r>
              <w:rPr>
                <w:rFonts w:ascii="Times New Roman"/>
                <w:spacing w:val="-1"/>
                <w:sz w:val="18"/>
              </w:rPr>
              <w:t>6,550,032.30</w:t>
            </w:r>
          </w:p>
        </w:tc>
        <w:tc>
          <w:tcPr>
            <w:tcW w:w="114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0"/>
              <w:jc w:val="right"/>
              <w:rPr>
                <w:rFonts w:ascii="Times New Roman" w:hAnsi="Times New Roman" w:cs="Times New Roman" w:eastAsia="Times New Roman" w:hint="default"/>
                <w:sz w:val="18"/>
                <w:szCs w:val="18"/>
              </w:rPr>
            </w:pPr>
            <w:r>
              <w:rPr>
                <w:rFonts w:ascii="Times New Roman"/>
                <w:spacing w:val="-1"/>
                <w:sz w:val="18"/>
              </w:rPr>
              <w:t>6,550,032.30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1"/>
              <w:jc w:val="right"/>
              <w:rPr>
                <w:rFonts w:ascii="Times New Roman" w:hAnsi="Times New Roman" w:cs="Times New Roman" w:eastAsia="Times New Roman" w:hint="default"/>
                <w:sz w:val="18"/>
                <w:szCs w:val="18"/>
              </w:rPr>
            </w:pPr>
            <w:r>
              <w:rPr>
                <w:rFonts w:ascii="Times New Roman"/>
                <w:sz w:val="18"/>
              </w:rPr>
              <w:t>0.00</w:t>
            </w:r>
          </w:p>
        </w:tc>
        <w:tc>
          <w:tcPr>
            <w:tcW w:w="1144"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1"/>
              <w:jc w:val="right"/>
              <w:rPr>
                <w:rFonts w:ascii="Times New Roman" w:hAnsi="Times New Roman" w:cs="Times New Roman" w:eastAsia="Times New Roman" w:hint="default"/>
                <w:sz w:val="18"/>
                <w:szCs w:val="18"/>
              </w:rPr>
            </w:pPr>
            <w:r>
              <w:rPr>
                <w:rFonts w:ascii="Times New Roman"/>
                <w:sz w:val="18"/>
              </w:rPr>
              <w:t>0.00</w:t>
            </w:r>
          </w:p>
        </w:tc>
        <w:tc>
          <w:tcPr>
            <w:tcW w:w="704" w:type="dxa"/>
            <w:tcBorders>
              <w:top w:val="single" w:sz="4" w:space="0" w:color="000000"/>
              <w:left w:val="single" w:sz="4" w:space="0" w:color="000000"/>
              <w:bottom w:val="single" w:sz="10" w:space="0" w:color="D2D2D2"/>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116,488,542.60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61" w:right="0"/>
              <w:jc w:val="left"/>
              <w:rPr>
                <w:rFonts w:ascii="Times New Roman" w:hAnsi="Times New Roman" w:cs="Times New Roman" w:eastAsia="Times New Roman" w:hint="default"/>
                <w:sz w:val="18"/>
                <w:szCs w:val="18"/>
              </w:rPr>
            </w:pPr>
            <w:r>
              <w:rPr>
                <w:rFonts w:ascii="Times New Roman"/>
                <w:sz w:val="18"/>
              </w:rPr>
              <w:t>2,958,000.00</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37,446,542.60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82,000,000.00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4" w:right="0"/>
              <w:jc w:val="center"/>
              <w:rPr>
                <w:rFonts w:ascii="Times New Roman" w:hAnsi="Times New Roman" w:cs="Times New Roman" w:eastAsia="Times New Roman" w:hint="default"/>
                <w:sz w:val="18"/>
                <w:szCs w:val="18"/>
              </w:rPr>
            </w:pPr>
            <w:r>
              <w:rPr>
                <w:rFonts w:ascii="Times New Roman"/>
                <w:sz w:val="18"/>
              </w:rPr>
              <w:t>48,188,510.30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64" w:right="0"/>
              <w:jc w:val="left"/>
              <w:rPr>
                <w:rFonts w:ascii="Times New Roman" w:hAnsi="Times New Roman" w:cs="Times New Roman" w:eastAsia="Times New Roman" w:hint="default"/>
                <w:sz w:val="18"/>
                <w:szCs w:val="18"/>
              </w:rPr>
            </w:pPr>
            <w:r>
              <w:rPr>
                <w:rFonts w:ascii="Times New Roman"/>
                <w:sz w:val="18"/>
              </w:rPr>
              <w:t>2,958,000.00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30,896,510.30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20,250,000.00</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282" w:type="dxa"/>
            <w:tcBorders>
              <w:top w:val="single" w:sz="4" w:space="0" w:color="000000"/>
              <w:left w:val="single" w:sz="13" w:space="0" w:color="D2D2D2"/>
              <w:bottom w:val="single" w:sz="4" w:space="0" w:color="000000"/>
              <w:right w:val="single" w:sz="4" w:space="0" w:color="000000"/>
            </w:tcBorders>
          </w:tcPr>
          <w:p>
            <w:pPr/>
          </w:p>
        </w:tc>
      </w:tr>
    </w:tbl>
    <w:p>
      <w:pPr>
        <w:spacing w:line="240" w:lineRule="auto" w:before="3"/>
        <w:rPr>
          <w:rFonts w:ascii="宋体" w:hAnsi="宋体" w:cs="宋体" w:eastAsia="宋体" w:hint="default"/>
          <w:sz w:val="16"/>
          <w:szCs w:val="16"/>
        </w:rPr>
      </w:pPr>
    </w:p>
    <w:p>
      <w:pPr>
        <w:pStyle w:val="BodyText"/>
        <w:spacing w:line="240" w:lineRule="auto" w:before="44"/>
        <w:ind w:left="854" w:right="0"/>
        <w:jc w:val="left"/>
      </w:pPr>
      <w:r>
        <w:rPr/>
        <w:t>注</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深圳市中委农业投资有限公司已被列入经营异常名录和严重违法失信企业名单，本公司预计此笔投资已形成实际损失，</w:t>
      </w:r>
    </w:p>
    <w:p>
      <w:pPr>
        <w:spacing w:after="0" w:line="240" w:lineRule="auto"/>
        <w:jc w:val="left"/>
        <w:sectPr>
          <w:pgSz w:w="11910" w:h="16840"/>
          <w:pgMar w:header="0" w:footer="979" w:top="1100" w:bottom="1160" w:left="280" w:right="0"/>
        </w:sectPr>
      </w:pPr>
    </w:p>
    <w:p>
      <w:pPr>
        <w:spacing w:line="240" w:lineRule="auto" w:before="10"/>
        <w:rPr>
          <w:rFonts w:ascii="宋体" w:hAnsi="宋体" w:cs="宋体" w:eastAsia="宋体" w:hint="default"/>
          <w:sz w:val="18"/>
          <w:szCs w:val="18"/>
        </w:rPr>
      </w:pPr>
    </w:p>
    <w:p>
      <w:pPr>
        <w:pStyle w:val="BodyText"/>
        <w:spacing w:line="230" w:lineRule="auto" w:before="53"/>
        <w:ind w:right="0"/>
        <w:jc w:val="left"/>
      </w:pPr>
      <w:r>
        <w:rPr/>
        <w:t>将该可供出售金融资产进行核销。 注</w:t>
      </w:r>
      <w:r>
        <w:rPr>
          <w:rFonts w:ascii="Times New Roman" w:hAnsi="Times New Roman" w:cs="Times New Roman" w:eastAsia="Times New Roman" w:hint="default"/>
        </w:rPr>
        <w:t>2</w:t>
      </w:r>
      <w:r>
        <w:rPr/>
        <w:t>：本公司之子公司北京神州数码有限公司通过增资及股权购买持有对成都神州数码索贝科技有限公司</w:t>
      </w:r>
      <w:r>
        <w:rPr>
          <w:rFonts w:ascii="Times New Roman" w:hAnsi="Times New Roman" w:cs="Times New Roman" w:eastAsia="Times New Roman" w:hint="default"/>
        </w:rPr>
        <w:t>13.095%</w:t>
      </w:r>
      <w:r>
        <w:rPr/>
        <w:t>股权，后</w:t>
      </w:r>
      <w:r>
        <w:rPr>
          <w:spacing w:val="-16"/>
        </w:rPr>
        <w:t> </w:t>
      </w:r>
      <w:r>
        <w:rPr>
          <w:spacing w:val="-16"/>
        </w:rPr>
      </w:r>
      <w:r>
        <w:rPr/>
        <w:t>将该股权</w:t>
      </w:r>
      <w:r>
        <w:rPr>
          <w:rFonts w:ascii="Times New Roman" w:hAnsi="Times New Roman" w:cs="Times New Roman" w:eastAsia="Times New Roman" w:hint="default"/>
        </w:rPr>
        <w:t>1</w:t>
      </w:r>
      <w:r>
        <w:rPr/>
        <w:t>元转让给成都神贝科技有限公司。</w:t>
      </w:r>
    </w:p>
    <w:p>
      <w:pPr>
        <w:pStyle w:val="BodyText"/>
        <w:spacing w:line="240" w:lineRule="auto" w:before="27"/>
        <w:ind w:right="0"/>
        <w:jc w:val="left"/>
      </w:pPr>
      <w:r>
        <w:rPr/>
        <w:t>注</w:t>
      </w:r>
      <w:r>
        <w:rPr>
          <w:spacing w:val="-46"/>
        </w:rPr>
        <w:t> </w:t>
      </w:r>
      <w:r>
        <w:rPr>
          <w:rFonts w:ascii="Times New Roman" w:hAnsi="Times New Roman" w:cs="Times New Roman" w:eastAsia="Times New Roman" w:hint="default"/>
        </w:rPr>
        <w:t>3</w:t>
      </w:r>
      <w:r>
        <w:rPr/>
        <w:t>：详见附注</w:t>
      </w:r>
      <w:r>
        <w:rPr>
          <w:spacing w:val="-46"/>
        </w:rPr>
        <w:t> </w:t>
      </w:r>
      <w:r>
        <w:rPr>
          <w:rFonts w:ascii="Times New Roman" w:hAnsi="Times New Roman" w:cs="Times New Roman" w:eastAsia="Times New Roman" w:hint="default"/>
        </w:rPr>
        <w:t>5</w:t>
      </w:r>
      <w:r>
        <w:rPr/>
        <w:t>、其他应收款、注</w:t>
      </w:r>
      <w:r>
        <w:rPr>
          <w:spacing w:val="-46"/>
        </w:rPr>
        <w:t> </w:t>
      </w:r>
      <w:r>
        <w:rPr>
          <w:rFonts w:ascii="Times New Roman" w:hAnsi="Times New Roman" w:cs="Times New Roman" w:eastAsia="Times New Roman" w:hint="default"/>
        </w:rPr>
        <w:t>2</w:t>
      </w:r>
      <w:r>
        <w:rPr/>
        <w:t>。</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4）报告期内可供出售金融资产减值的变动情况" w:id="240"/>
      <w:bookmarkEnd w:id="240"/>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2400"/>
        <w:gridCol w:w="2435"/>
        <w:gridCol w:w="2424"/>
        <w:gridCol w:w="2424"/>
      </w:tblGrid>
      <w:tr>
        <w:trPr>
          <w:trHeight w:val="324" w:hRule="exact"/>
        </w:trPr>
        <w:tc>
          <w:tcPr>
            <w:tcW w:w="2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94"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2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97"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85"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23" w:hRule="exact"/>
        </w:trPr>
        <w:tc>
          <w:tcPr>
            <w:tcW w:w="2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期初已计提减值余额</w:t>
            </w:r>
          </w:p>
        </w:tc>
        <w:tc>
          <w:tcPr>
            <w:tcW w:w="24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48,188,510.30</w:t>
            </w:r>
          </w:p>
        </w:tc>
        <w:tc>
          <w:tcPr>
            <w:tcW w:w="2424"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48,188,510.30</w:t>
            </w:r>
          </w:p>
        </w:tc>
      </w:tr>
      <w:tr>
        <w:trPr>
          <w:trHeight w:val="324" w:hRule="exact"/>
        </w:trPr>
        <w:tc>
          <w:tcPr>
            <w:tcW w:w="2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24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2,958,000.00</w:t>
            </w:r>
          </w:p>
        </w:tc>
        <w:tc>
          <w:tcPr>
            <w:tcW w:w="2424"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2,958,000.00</w:t>
            </w:r>
          </w:p>
        </w:tc>
      </w:tr>
      <w:tr>
        <w:trPr>
          <w:trHeight w:val="323" w:hRule="exact"/>
        </w:trPr>
        <w:tc>
          <w:tcPr>
            <w:tcW w:w="2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4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30,896,510.30</w:t>
            </w:r>
          </w:p>
        </w:tc>
        <w:tc>
          <w:tcPr>
            <w:tcW w:w="2424"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30,896,510.30</w:t>
            </w:r>
          </w:p>
        </w:tc>
      </w:tr>
      <w:tr>
        <w:trPr>
          <w:trHeight w:val="324" w:hRule="exact"/>
        </w:trPr>
        <w:tc>
          <w:tcPr>
            <w:tcW w:w="2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24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20,250,000.00</w:t>
            </w:r>
          </w:p>
        </w:tc>
        <w:tc>
          <w:tcPr>
            <w:tcW w:w="2424"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20,250,000.00</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5）可供出售权益工具期末公允价值严重下跌或非暂时性下跌但未计提减值准备的相关说" w:id="241"/>
      <w:bookmarkEnd w:id="241"/>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3"/>
          <w:szCs w:val="23"/>
        </w:rPr>
      </w:pPr>
    </w:p>
    <w:p>
      <w:pPr>
        <w:pStyle w:val="Heading3"/>
        <w:spacing w:line="240" w:lineRule="auto"/>
        <w:ind w:right="0"/>
        <w:jc w:val="left"/>
        <w:rPr>
          <w:b w:val="0"/>
          <w:bCs w:val="0"/>
        </w:rPr>
      </w:pPr>
      <w:bookmarkStart w:name="10、长期应收款" w:id="242"/>
      <w:bookmarkEnd w:id="242"/>
      <w:r>
        <w:rPr>
          <w:b w:val="0"/>
          <w:bCs w:val="0"/>
        </w:rPr>
      </w:r>
      <w:r>
        <w:rPr>
          <w:rFonts w:ascii="Times New Roman" w:hAnsi="Times New Roman" w:cs="Times New Roman" w:eastAsia="Times New Roman" w:hint="default"/>
        </w:rPr>
        <w:t>10</w:t>
      </w:r>
      <w:r>
        <w:rPr/>
        <w:t>、长期应收款</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bookmarkStart w:name="（1）长期应收款情况" w:id="243"/>
      <w:bookmarkEnd w:id="243"/>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787"/>
        <w:gridCol w:w="1288"/>
        <w:gridCol w:w="1134"/>
        <w:gridCol w:w="1276"/>
        <w:gridCol w:w="992"/>
        <w:gridCol w:w="992"/>
        <w:gridCol w:w="924"/>
        <w:gridCol w:w="1165"/>
      </w:tblGrid>
      <w:tr>
        <w:trPr>
          <w:trHeight w:val="167" w:hRule="exact"/>
        </w:trPr>
        <w:tc>
          <w:tcPr>
            <w:tcW w:w="1787" w:type="dxa"/>
            <w:tcBorders>
              <w:top w:val="single" w:sz="4" w:space="0" w:color="000000"/>
              <w:left w:val="single" w:sz="4" w:space="0" w:color="000000"/>
              <w:bottom w:val="nil" w:sz="6" w:space="0" w:color="auto"/>
              <w:right w:val="single" w:sz="4" w:space="0" w:color="000000"/>
            </w:tcBorders>
            <w:shd w:val="clear" w:color="auto" w:fill="D2D2D2"/>
          </w:tcPr>
          <w:p>
            <w:pPr/>
          </w:p>
        </w:tc>
        <w:tc>
          <w:tcPr>
            <w:tcW w:w="369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0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152" w:hRule="exact"/>
        </w:trPr>
        <w:tc>
          <w:tcPr>
            <w:tcW w:w="1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98" w:type="dxa"/>
            <w:gridSpan w:val="3"/>
            <w:vMerge/>
            <w:tcBorders>
              <w:left w:val="single" w:sz="4" w:space="0" w:color="000000"/>
              <w:bottom w:val="single" w:sz="4" w:space="0" w:color="000000"/>
              <w:right w:val="single" w:sz="4" w:space="0" w:color="000000"/>
            </w:tcBorders>
            <w:shd w:val="clear" w:color="auto" w:fill="D2D2D2"/>
          </w:tcPr>
          <w:p>
            <w:pPr/>
          </w:p>
        </w:tc>
        <w:tc>
          <w:tcPr>
            <w:tcW w:w="2908" w:type="dxa"/>
            <w:gridSpan w:val="3"/>
            <w:vMerge/>
            <w:tcBorders>
              <w:left w:val="single" w:sz="4" w:space="0" w:color="000000"/>
              <w:bottom w:val="single" w:sz="4" w:space="0" w:color="000000"/>
              <w:right w:val="single" w:sz="4" w:space="0" w:color="000000"/>
            </w:tcBorders>
            <w:shd w:val="clear" w:color="auto" w:fill="D2D2D2"/>
          </w:tcPr>
          <w:p>
            <w:pPr/>
          </w:p>
        </w:tc>
        <w:tc>
          <w:tcPr>
            <w:tcW w:w="1165" w:type="dxa"/>
            <w:vMerge/>
            <w:tcBorders>
              <w:left w:val="single" w:sz="4" w:space="0" w:color="000000"/>
              <w:right w:val="single" w:sz="4" w:space="0" w:color="000000"/>
            </w:tcBorders>
            <w:shd w:val="clear" w:color="auto" w:fill="D2D2D2"/>
          </w:tcPr>
          <w:p>
            <w:pPr/>
          </w:p>
        </w:tc>
      </w:tr>
      <w:tr>
        <w:trPr>
          <w:trHeight w:val="161" w:hRule="exact"/>
        </w:trPr>
        <w:tc>
          <w:tcPr>
            <w:tcW w:w="1787" w:type="dxa"/>
            <w:vMerge/>
            <w:tcBorders>
              <w:left w:val="single" w:sz="4" w:space="0" w:color="000000"/>
              <w:bottom w:val="nil" w:sz="6" w:space="0" w:color="auto"/>
              <w:right w:val="single" w:sz="4" w:space="0" w:color="000000"/>
            </w:tcBorders>
            <w:shd w:val="clear" w:color="auto" w:fill="D2D2D2"/>
          </w:tcPr>
          <w:p>
            <w:pPr/>
          </w:p>
        </w:tc>
        <w:tc>
          <w:tcPr>
            <w:tcW w:w="12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28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2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27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1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13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9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right w:val="single" w:sz="4" w:space="0" w:color="000000"/>
            </w:tcBorders>
            <w:shd w:val="clear" w:color="auto" w:fill="D2D2D2"/>
          </w:tcPr>
          <w:p>
            <w:pPr/>
          </w:p>
        </w:tc>
      </w:tr>
      <w:tr>
        <w:trPr>
          <w:trHeight w:val="167" w:hRule="exact"/>
        </w:trPr>
        <w:tc>
          <w:tcPr>
            <w:tcW w:w="178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8"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924" w:type="dxa"/>
            <w:vMerge/>
            <w:tcBorders>
              <w:left w:val="single" w:sz="4" w:space="0" w:color="000000"/>
              <w:bottom w:val="single" w:sz="4" w:space="0" w:color="000000"/>
              <w:right w:val="single" w:sz="4" w:space="0" w:color="000000"/>
            </w:tcBorders>
            <w:shd w:val="clear" w:color="auto" w:fill="D2D2D2"/>
          </w:tcPr>
          <w:p>
            <w:pPr/>
          </w:p>
        </w:tc>
        <w:tc>
          <w:tcPr>
            <w:tcW w:w="1165"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1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3,574,146.34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3,574,146.34</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6%</w:t>
            </w:r>
          </w:p>
        </w:tc>
      </w:tr>
      <w:tr>
        <w:trPr>
          <w:trHeight w:val="557" w:hRule="exact"/>
        </w:trPr>
        <w:tc>
          <w:tcPr>
            <w:tcW w:w="1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9" w:firstLine="360"/>
              <w:jc w:val="left"/>
              <w:rPr>
                <w:rFonts w:ascii="宋体" w:hAnsi="宋体" w:cs="宋体" w:eastAsia="宋体" w:hint="default"/>
                <w:sz w:val="18"/>
                <w:szCs w:val="18"/>
              </w:rPr>
            </w:pPr>
            <w:r>
              <w:rPr>
                <w:rFonts w:ascii="宋体" w:hAnsi="宋体" w:cs="宋体" w:eastAsia="宋体" w:hint="default"/>
                <w:spacing w:val="-6"/>
                <w:sz w:val="18"/>
                <w:szCs w:val="18"/>
              </w:rPr>
              <w:t>其中：未实现融资</w:t>
            </w:r>
            <w:r>
              <w:rPr>
                <w:rFonts w:ascii="宋体" w:hAnsi="宋体" w:cs="宋体" w:eastAsia="宋体" w:hint="default"/>
                <w:sz w:val="18"/>
                <w:szCs w:val="18"/>
              </w:rPr>
              <w:t> 收益</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844,127.66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844,127.66</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5" w:space="0" w:color="D2D2D2"/>
              <w:right w:val="single" w:sz="4" w:space="0" w:color="000000"/>
            </w:tcBorders>
          </w:tcPr>
          <w:p>
            <w:pPr/>
          </w:p>
        </w:tc>
      </w:tr>
      <w:tr>
        <w:trPr>
          <w:trHeight w:val="324" w:hRule="exact"/>
        </w:trPr>
        <w:tc>
          <w:tcPr>
            <w:tcW w:w="1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3,574,146.34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3,574,146.34</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79" w:top="1100" w:bottom="1160" w:left="980" w:right="0"/>
        </w:sectPr>
      </w:pPr>
    </w:p>
    <w:p>
      <w:pPr>
        <w:pStyle w:val="Heading3"/>
        <w:spacing w:line="240" w:lineRule="auto" w:before="31"/>
        <w:ind w:left="140" w:right="0"/>
        <w:jc w:val="left"/>
        <w:rPr>
          <w:b w:val="0"/>
          <w:bCs w:val="0"/>
        </w:rPr>
      </w:pPr>
      <w:r>
        <w:rPr/>
        <w:pict>
          <v:group style="position:absolute;margin-left:70.5pt;margin-top:2.233667pt;width:701pt;height:.1pt;mso-position-horizontal-relative:page;mso-position-vertical-relative:paragraph;z-index:-1464952" coordorigin="1410,45" coordsize="14020,2">
            <v:shape style="position:absolute;left:1410;top:45;width:14020;height:2" coordorigin="1410,45" coordsize="14020,0" path="m1410,45l15430,45e" filled="false" stroked="true" strokeweight=".72pt" strokecolor="#000000">
              <v:path arrowok="t"/>
            </v:shape>
            <w10:wrap type="none"/>
          </v:group>
        </w:pict>
      </w:r>
      <w:bookmarkStart w:name="11、长期股权投资" w:id="244"/>
      <w:bookmarkEnd w:id="244"/>
      <w:r>
        <w:rPr>
          <w:b w:val="0"/>
          <w:bCs w:val="0"/>
        </w:rPr>
      </w:r>
      <w:r>
        <w:rPr>
          <w:rFonts w:ascii="Times New Roman" w:hAnsi="Times New Roman" w:cs="Times New Roman" w:eastAsia="Times New Roman" w:hint="default"/>
        </w:rPr>
        <w:t>11</w:t>
      </w:r>
      <w:r>
        <w:rPr/>
        <w:t>、长期股权投资</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96"/>
        <w:jc w:val="right"/>
      </w:pPr>
      <w:r>
        <w:rPr/>
        <w:t>单位： 元</w:t>
      </w:r>
    </w:p>
    <w:p>
      <w:pPr>
        <w:spacing w:line="240" w:lineRule="auto" w:before="3"/>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1146"/>
        <w:gridCol w:w="1181"/>
        <w:gridCol w:w="1181"/>
        <w:gridCol w:w="1150"/>
        <w:gridCol w:w="1148"/>
        <w:gridCol w:w="1150"/>
        <w:gridCol w:w="1149"/>
        <w:gridCol w:w="1150"/>
        <w:gridCol w:w="1148"/>
        <w:gridCol w:w="1150"/>
        <w:gridCol w:w="1316"/>
        <w:gridCol w:w="1147"/>
      </w:tblGrid>
      <w:tr>
        <w:trPr>
          <w:trHeight w:val="323" w:hRule="exact"/>
        </w:trPr>
        <w:tc>
          <w:tcPr>
            <w:tcW w:w="11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22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3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87" w:right="29"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556" w:hRule="exact"/>
        </w:trPr>
        <w:tc>
          <w:tcPr>
            <w:tcW w:w="1146"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25"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0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4"/>
              <w:ind w:left="118" w:right="29" w:hanging="90"/>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4"/>
              <w:ind w:left="388" w:right="29" w:hanging="360"/>
              <w:jc w:val="left"/>
              <w:rPr>
                <w:rFonts w:ascii="宋体" w:hAnsi="宋体" w:cs="宋体" w:eastAsia="宋体" w:hint="default"/>
                <w:sz w:val="18"/>
                <w:szCs w:val="18"/>
              </w:rPr>
            </w:pPr>
            <w:r>
              <w:rPr>
                <w:rFonts w:ascii="宋体" w:hAnsi="宋体" w:cs="宋体" w:eastAsia="宋体" w:hint="default"/>
                <w:sz w:val="18"/>
                <w:szCs w:val="18"/>
              </w:rPr>
              <w:t>其他综合收益 调整</w:t>
            </w:r>
          </w:p>
        </w:tc>
        <w:tc>
          <w:tcPr>
            <w:tcW w:w="11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28"/>
              <w:jc w:val="right"/>
              <w:rPr>
                <w:rFonts w:ascii="宋体" w:hAnsi="宋体" w:cs="宋体" w:eastAsia="宋体" w:hint="default"/>
                <w:sz w:val="18"/>
                <w:szCs w:val="18"/>
              </w:rPr>
            </w:pPr>
            <w:r>
              <w:rPr>
                <w:rFonts w:ascii="宋体" w:hAnsi="宋体" w:cs="宋体" w:eastAsia="宋体" w:hint="default"/>
                <w:sz w:val="18"/>
                <w:szCs w:val="18"/>
              </w:rPr>
              <w:t>其他权益变动</w:t>
            </w:r>
          </w:p>
        </w:tc>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4"/>
              <w:ind w:left="118" w:right="29" w:hanging="90"/>
              <w:jc w:val="left"/>
              <w:rPr>
                <w:rFonts w:ascii="宋体" w:hAnsi="宋体" w:cs="宋体" w:eastAsia="宋体" w:hint="default"/>
                <w:sz w:val="18"/>
                <w:szCs w:val="18"/>
              </w:rPr>
            </w:pPr>
            <w:r>
              <w:rPr>
                <w:rFonts w:ascii="宋体" w:hAnsi="宋体" w:cs="宋体" w:eastAsia="宋体" w:hint="default"/>
                <w:sz w:val="18"/>
                <w:szCs w:val="18"/>
              </w:rPr>
              <w:t>宣告发放现金 股利或利润</w:t>
            </w:r>
          </w:p>
        </w:tc>
        <w:tc>
          <w:tcPr>
            <w:tcW w:w="1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8"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16" w:type="dxa"/>
            <w:vMerge/>
            <w:tcBorders>
              <w:left w:val="single" w:sz="4" w:space="0" w:color="000000"/>
              <w:bottom w:val="single" w:sz="4" w:space="0" w:color="000000"/>
              <w:right w:val="single" w:sz="4" w:space="0" w:color="000000"/>
            </w:tcBorders>
            <w:shd w:val="clear" w:color="auto" w:fill="D2D2D2"/>
          </w:tcPr>
          <w:p>
            <w:pPr/>
          </w:p>
        </w:tc>
        <w:tc>
          <w:tcPr>
            <w:tcW w:w="1147"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1401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790" w:hRule="exact"/>
        </w:trPr>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31"/>
              <w:jc w:val="both"/>
              <w:rPr>
                <w:rFonts w:ascii="宋体" w:hAnsi="宋体" w:cs="宋体" w:eastAsia="宋体" w:hint="default"/>
                <w:sz w:val="18"/>
                <w:szCs w:val="18"/>
              </w:rPr>
            </w:pPr>
            <w:r>
              <w:rPr>
                <w:rFonts w:ascii="宋体" w:hAnsi="宋体" w:cs="宋体" w:eastAsia="宋体" w:hint="default"/>
                <w:sz w:val="18"/>
                <w:szCs w:val="18"/>
              </w:rPr>
              <w:t>成都神州数码 索贝科技有限 公司（注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31"/>
              <w:jc w:val="both"/>
              <w:rPr>
                <w:rFonts w:ascii="宋体" w:hAnsi="宋体" w:cs="宋体" w:eastAsia="宋体" w:hint="default"/>
                <w:sz w:val="18"/>
                <w:szCs w:val="18"/>
              </w:rPr>
            </w:pPr>
            <w:r>
              <w:rPr>
                <w:rFonts w:ascii="宋体" w:hAnsi="宋体" w:cs="宋体" w:eastAsia="宋体" w:hint="default"/>
                <w:sz w:val="18"/>
                <w:szCs w:val="18"/>
              </w:rPr>
              <w:t>北京神州数码 置业发展有限 公司（注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9,035,322.94</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-3,190,945.91</w:t>
            </w:r>
          </w:p>
        </w:tc>
        <w:tc>
          <w:tcPr>
            <w:tcW w:w="1150" w:type="dxa"/>
            <w:tcBorders>
              <w:top w:val="single" w:sz="4" w:space="0" w:color="000000"/>
              <w:left w:val="single" w:sz="4" w:space="0" w:color="000000"/>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5,844,377.03</w:t>
            </w: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31"/>
              <w:jc w:val="left"/>
              <w:rPr>
                <w:rFonts w:ascii="宋体" w:hAnsi="宋体" w:cs="宋体" w:eastAsia="宋体" w:hint="default"/>
                <w:sz w:val="18"/>
                <w:szCs w:val="18"/>
              </w:rPr>
            </w:pPr>
            <w:r>
              <w:rPr>
                <w:rFonts w:ascii="宋体" w:hAnsi="宋体" w:cs="宋体" w:eastAsia="宋体" w:hint="default"/>
                <w:sz w:val="18"/>
                <w:szCs w:val="18"/>
              </w:rPr>
              <w:t>神州云盾信息 安全有限公司</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17,900,000.00</w:t>
            </w:r>
          </w:p>
        </w:tc>
        <w:tc>
          <w:tcPr>
            <w:tcW w:w="115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1,348,749.72</w:t>
            </w:r>
          </w:p>
        </w:tc>
        <w:tc>
          <w:tcPr>
            <w:tcW w:w="1150" w:type="dxa"/>
            <w:tcBorders>
              <w:top w:val="single" w:sz="4" w:space="0" w:color="000000"/>
              <w:left w:val="single" w:sz="4" w:space="0" w:color="000000"/>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19,248,749.72</w:t>
            </w: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9,035,322.94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17,900,000.00</w:t>
            </w:r>
          </w:p>
        </w:tc>
        <w:tc>
          <w:tcPr>
            <w:tcW w:w="115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-1,842,196.19</w:t>
            </w:r>
          </w:p>
        </w:tc>
        <w:tc>
          <w:tcPr>
            <w:tcW w:w="1150" w:type="dxa"/>
            <w:tcBorders>
              <w:top w:val="single" w:sz="4" w:space="0" w:color="000000"/>
              <w:left w:val="single" w:sz="4" w:space="0" w:color="000000"/>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25,093,126.75</w:t>
            </w: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01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90" w:hRule="exact"/>
        </w:trPr>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31"/>
              <w:jc w:val="both"/>
              <w:rPr>
                <w:rFonts w:ascii="宋体" w:hAnsi="宋体" w:cs="宋体" w:eastAsia="宋体" w:hint="default"/>
                <w:sz w:val="18"/>
                <w:szCs w:val="18"/>
              </w:rPr>
            </w:pPr>
            <w:r>
              <w:rPr>
                <w:rFonts w:ascii="宋体" w:hAnsi="宋体" w:cs="宋体" w:eastAsia="宋体" w:hint="default"/>
                <w:sz w:val="18"/>
                <w:szCs w:val="18"/>
              </w:rPr>
              <w:t>北京卓越信通 电子股份有限 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38,822,301.67</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1,298,574.12</w:t>
            </w:r>
          </w:p>
        </w:tc>
        <w:tc>
          <w:tcPr>
            <w:tcW w:w="1150" w:type="dxa"/>
            <w:tcBorders>
              <w:top w:val="single" w:sz="4" w:space="0" w:color="000000"/>
              <w:left w:val="single" w:sz="4" w:space="0" w:color="000000"/>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40,120,875.79</w:t>
            </w: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31"/>
              <w:jc w:val="both"/>
              <w:rPr>
                <w:rFonts w:ascii="宋体" w:hAnsi="宋体" w:cs="宋体" w:eastAsia="宋体" w:hint="default"/>
                <w:sz w:val="18"/>
                <w:szCs w:val="18"/>
              </w:rPr>
            </w:pPr>
            <w:r>
              <w:rPr>
                <w:rFonts w:ascii="宋体" w:hAnsi="宋体" w:cs="宋体" w:eastAsia="宋体" w:hint="default"/>
                <w:sz w:val="18"/>
                <w:szCs w:val="18"/>
              </w:rPr>
              <w:t>北京迪信通商 贸股份有限公 司（注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794,927,101.29</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71,527,700.00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310,351.41</w:t>
            </w:r>
          </w:p>
        </w:tc>
        <w:tc>
          <w:tcPr>
            <w:tcW w:w="1149"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16,472,652.10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883,237,804.80</w:t>
            </w: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31"/>
              <w:jc w:val="both"/>
              <w:rPr>
                <w:rFonts w:ascii="宋体" w:hAnsi="宋体" w:cs="宋体" w:eastAsia="宋体" w:hint="default"/>
                <w:sz w:val="18"/>
                <w:szCs w:val="18"/>
              </w:rPr>
            </w:pPr>
            <w:r>
              <w:rPr>
                <w:rFonts w:ascii="宋体" w:hAnsi="宋体" w:cs="宋体" w:eastAsia="宋体" w:hint="default"/>
                <w:sz w:val="18"/>
                <w:szCs w:val="18"/>
              </w:rPr>
              <w:t>神州顶联科技 有限公司（注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15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4,104,256.40</w:t>
            </w:r>
          </w:p>
        </w:tc>
        <w:tc>
          <w:tcPr>
            <w:tcW w:w="1150" w:type="dxa"/>
            <w:tcBorders>
              <w:top w:val="single" w:sz="4" w:space="0" w:color="000000"/>
              <w:left w:val="single" w:sz="4" w:space="0" w:color="000000"/>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104,104,256.40</w:t>
            </w: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31"/>
              <w:jc w:val="left"/>
              <w:rPr>
                <w:rFonts w:ascii="宋体" w:hAnsi="宋体" w:cs="宋体" w:eastAsia="宋体" w:hint="default"/>
                <w:sz w:val="18"/>
                <w:szCs w:val="18"/>
              </w:rPr>
            </w:pPr>
            <w:r>
              <w:rPr>
                <w:rFonts w:ascii="宋体" w:hAnsi="宋体" w:cs="宋体" w:eastAsia="宋体" w:hint="default"/>
                <w:sz w:val="18"/>
                <w:szCs w:val="18"/>
              </w:rPr>
              <w:t>北京神州慧安 科技有限公司</w:t>
            </w:r>
          </w:p>
          <w:p>
            <w:pPr>
              <w:pStyle w:val="TableParagraph"/>
              <w:spacing w:line="246" w:lineRule="exact"/>
              <w:ind w:left="2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1,538,462.00</w:t>
            </w:r>
          </w:p>
        </w:tc>
        <w:tc>
          <w:tcPr>
            <w:tcW w:w="115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369,783.98</w:t>
            </w:r>
          </w:p>
        </w:tc>
        <w:tc>
          <w:tcPr>
            <w:tcW w:w="1150" w:type="dxa"/>
            <w:tcBorders>
              <w:top w:val="single" w:sz="4" w:space="0" w:color="000000"/>
              <w:left w:val="single" w:sz="4" w:space="0" w:color="000000"/>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60,495.60</w:t>
            </w:r>
          </w:p>
        </w:tc>
        <w:tc>
          <w:tcPr>
            <w:tcW w:w="115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1,968,741.58</w:t>
            </w: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833,749,402.96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101,538,462.00</w:t>
            </w:r>
          </w:p>
        </w:tc>
        <w:tc>
          <w:tcPr>
            <w:tcW w:w="115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77,300,314.50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310,351.41</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60,495.60</w:t>
            </w:r>
          </w:p>
        </w:tc>
        <w:tc>
          <w:tcPr>
            <w:tcW w:w="115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 w:right="0"/>
              <w:jc w:val="center"/>
              <w:rPr>
                <w:rFonts w:ascii="Times New Roman" w:hAnsi="Times New Roman" w:cs="Times New Roman" w:eastAsia="Times New Roman" w:hint="default"/>
                <w:sz w:val="18"/>
                <w:szCs w:val="18"/>
              </w:rPr>
            </w:pPr>
            <w:r>
              <w:rPr>
                <w:rFonts w:ascii="Times New Roman"/>
                <w:sz w:val="18"/>
              </w:rPr>
              <w:t>16,472,652.10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1,029,431,678.57</w:t>
            </w: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842,784,725.90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119,438,462.00</w:t>
            </w:r>
          </w:p>
        </w:tc>
        <w:tc>
          <w:tcPr>
            <w:tcW w:w="115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75,458,118.31</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310,351.41</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60,495.60</w:t>
            </w:r>
          </w:p>
        </w:tc>
        <w:tc>
          <w:tcPr>
            <w:tcW w:w="115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 w:right="0"/>
              <w:jc w:val="center"/>
              <w:rPr>
                <w:rFonts w:ascii="Times New Roman" w:hAnsi="Times New Roman" w:cs="Times New Roman" w:eastAsia="Times New Roman" w:hint="default"/>
                <w:sz w:val="18"/>
                <w:szCs w:val="18"/>
              </w:rPr>
            </w:pPr>
            <w:r>
              <w:rPr>
                <w:rFonts w:ascii="Times New Roman"/>
                <w:sz w:val="18"/>
              </w:rPr>
              <w:t>16,472,652.10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1,054,524,805.32</w:t>
            </w:r>
          </w:p>
        </w:tc>
        <w:tc>
          <w:tcPr>
            <w:tcW w:w="114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0"/>
        <w:ind w:left="140" w:right="0"/>
        <w:jc w:val="left"/>
      </w:pPr>
      <w:r>
        <w:rPr/>
        <w:t>其他说明</w:t>
      </w:r>
    </w:p>
    <w:p>
      <w:pPr>
        <w:pStyle w:val="BodyText"/>
        <w:spacing w:line="240" w:lineRule="auto" w:before="37"/>
        <w:ind w:left="500" w:right="0"/>
        <w:jc w:val="left"/>
      </w:pPr>
      <w:r>
        <w:rPr/>
        <w:t>注</w:t>
      </w:r>
      <w:r>
        <w:rPr>
          <w:rFonts w:ascii="Times New Roman" w:hAnsi="Times New Roman" w:cs="Times New Roman" w:eastAsia="Times New Roman" w:hint="default"/>
        </w:rPr>
        <w:t>1</w:t>
      </w:r>
      <w:r>
        <w:rPr/>
        <w:t>：本公司之子公司北京神州数码有限公司投资的成都神州数码索贝科技有限公司因</w:t>
      </w:r>
      <w:r>
        <w:rPr>
          <w:rFonts w:ascii="Times New Roman" w:hAnsi="Times New Roman" w:cs="Times New Roman" w:eastAsia="Times New Roman" w:hint="default"/>
        </w:rPr>
        <w:t>2015</w:t>
      </w:r>
      <w:r>
        <w:rPr/>
        <w:t>年亏损，导致净资产为负，按照权益法计算的投资成本减记为零。</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w:t>
      </w:r>
    </w:p>
    <w:p>
      <w:pPr>
        <w:spacing w:after="0" w:line="240" w:lineRule="auto"/>
        <w:jc w:val="left"/>
        <w:sectPr>
          <w:headerReference w:type="default" r:id="rId37"/>
          <w:footerReference w:type="default" r:id="rId38"/>
          <w:pgSz w:w="16840" w:h="11910" w:orient="landscape"/>
          <w:pgMar w:header="867" w:footer="979" w:top="1060" w:bottom="1160" w:left="1300" w:right="1240"/>
          <w:pgNumType w:start="141"/>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BodyText"/>
        <w:spacing w:line="259" w:lineRule="auto"/>
        <w:ind w:left="140" w:right="138"/>
        <w:jc w:val="both"/>
      </w:pPr>
      <w:r>
        <w:rPr/>
        <w:t>北京神州数码有限公司与成都合众协远商务信息咨询中心（有限合伙）签订股权转让协议，转让</w:t>
      </w:r>
      <w:r>
        <w:rPr>
          <w:rFonts w:ascii="Times New Roman" w:hAnsi="Times New Roman" w:cs="Times New Roman" w:eastAsia="Times New Roman" w:hint="default"/>
        </w:rPr>
        <w:t>10%</w:t>
      </w:r>
      <w:r>
        <w:rPr/>
        <w:t>股权。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月北京神州数码有限公司与成都神贝科技有限公司签订股权转</w:t>
      </w:r>
      <w:r>
        <w:rPr>
          <w:spacing w:val="-58"/>
        </w:rPr>
        <w:t> </w:t>
      </w:r>
      <w:r>
        <w:rPr>
          <w:spacing w:val="-58"/>
        </w:rPr>
      </w:r>
      <w:r>
        <w:rPr/>
        <w:t>让协议，</w:t>
      </w:r>
      <w:r>
        <w:rPr>
          <w:rFonts w:ascii="Times New Roman" w:hAnsi="Times New Roman" w:cs="Times New Roman" w:eastAsia="Times New Roman" w:hint="default"/>
        </w:rPr>
        <w:t>1</w:t>
      </w:r>
      <w:r>
        <w:rPr/>
        <w:t>元转让其持有的成都神州数码索贝科技有限公司剩余</w:t>
      </w:r>
      <w:r>
        <w:rPr>
          <w:rFonts w:ascii="Times New Roman" w:hAnsi="Times New Roman" w:cs="Times New Roman" w:eastAsia="Times New Roman" w:hint="default"/>
        </w:rPr>
        <w:t>40%</w:t>
      </w:r>
      <w:r>
        <w:rPr/>
        <w:t>股权。</w:t>
      </w:r>
    </w:p>
    <w:p>
      <w:pPr>
        <w:pStyle w:val="BodyText"/>
        <w:spacing w:line="259" w:lineRule="auto" w:before="3"/>
        <w:ind w:left="140" w:right="135" w:firstLine="360"/>
        <w:jc w:val="both"/>
      </w:pPr>
      <w:r>
        <w:rPr/>
        <w:t>注</w:t>
      </w:r>
      <w:r>
        <w:rPr>
          <w:rFonts w:ascii="Times New Roman" w:hAnsi="Times New Roman" w:cs="Times New Roman" w:eastAsia="Times New Roman" w:hint="default"/>
        </w:rPr>
        <w:t>2</w:t>
      </w:r>
      <w:r>
        <w:rPr/>
        <w:t>：北京神州数码置业发展有限公司成立于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27</w:t>
      </w:r>
      <w:r>
        <w:rPr/>
        <w:t>日，系由本公司之子公司神州数码（中国）有限公司与神州数码软件有限公司共同组建的有限责任公司，注册资本</w:t>
      </w:r>
      <w:r>
        <w:rPr>
          <w:rFonts w:ascii="Times New Roman" w:hAnsi="Times New Roman" w:cs="Times New Roman" w:eastAsia="Times New Roman" w:hint="default"/>
        </w:rPr>
        <w:t>1 </w:t>
      </w:r>
      <w:r>
        <w:rPr/>
        <w:t>亿元，神州数码（中国）有限公司、神州数码软件有限公司各持股</w:t>
      </w:r>
      <w:r>
        <w:rPr>
          <w:rFonts w:ascii="Times New Roman" w:hAnsi="Times New Roman" w:cs="Times New Roman" w:eastAsia="Times New Roman" w:hint="default"/>
        </w:rPr>
        <w:t>50%</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月，神州数码（中国）有限公司、神州数码软件有限公司与北京万科企业有限公司签订了《北京</w:t>
      </w:r>
      <w:r>
        <w:rPr>
          <w:spacing w:val="-58"/>
        </w:rPr>
        <w:t> </w:t>
      </w:r>
      <w:r>
        <w:rPr>
          <w:spacing w:val="-58"/>
        </w:rPr>
      </w:r>
      <w:r>
        <w:rPr>
          <w:spacing w:val="-3"/>
        </w:rPr>
        <w:t>市</w:t>
      </w:r>
      <w:r>
        <w:rPr>
          <w:rFonts w:ascii="Times New Roman" w:hAnsi="Times New Roman" w:cs="Times New Roman" w:eastAsia="Times New Roman" w:hint="default"/>
          <w:spacing w:val="-3"/>
        </w:rPr>
        <w:t>“</w:t>
      </w:r>
      <w:r>
        <w:rPr>
          <w:spacing w:val="-3"/>
        </w:rPr>
        <w:t>海淀北部地区整体开发</w:t>
      </w:r>
      <w:r>
        <w:rPr>
          <w:rFonts w:ascii="Times New Roman" w:hAnsi="Times New Roman" w:cs="Times New Roman" w:eastAsia="Times New Roman" w:hint="default"/>
          <w:spacing w:val="-3"/>
        </w:rPr>
        <w:t>”HD</w:t>
      </w:r>
      <w:r>
        <w:rPr>
          <w:rFonts w:ascii="Times New Roman" w:hAnsi="Times New Roman" w:cs="Times New Roman" w:eastAsia="Times New Roman" w:hint="default"/>
          <w:spacing w:val="-3"/>
        </w:rPr>
        <w:t>-0303-0031</w:t>
      </w:r>
      <w:r>
        <w:rPr>
          <w:spacing w:val="-3"/>
        </w:rPr>
        <w:t>地块股权合作协议》，北京神州数码置业发展有限公司的股权比例变更为神州数码（中国）有限公司、神州数码软件有限公司各持股</w:t>
      </w:r>
      <w:r>
        <w:rPr>
          <w:rFonts w:ascii="Times New Roman" w:hAnsi="Times New Roman" w:cs="Times New Roman" w:eastAsia="Times New Roman" w:hint="default"/>
          <w:spacing w:val="-3"/>
        </w:rPr>
        <w:t>25%</w:t>
      </w:r>
      <w:r>
        <w:rPr>
          <w:spacing w:val="-3"/>
        </w:rPr>
        <w:t>，</w:t>
      </w:r>
      <w:r>
        <w:rPr>
          <w:spacing w:val="-62"/>
        </w:rPr>
        <w:t> </w:t>
      </w:r>
      <w:r>
        <w:rPr>
          <w:spacing w:val="-1"/>
        </w:rPr>
        <w:t>北京万科企业有限公司持股</w:t>
      </w:r>
      <w:r>
        <w:rPr>
          <w:rFonts w:ascii="Times New Roman" w:hAnsi="Times New Roman" w:cs="Times New Roman" w:eastAsia="Times New Roman" w:hint="default"/>
          <w:spacing w:val="-1"/>
        </w:rPr>
        <w:t>50%</w:t>
      </w:r>
      <w:r>
        <w:rPr>
          <w:spacing w:val="-1"/>
        </w:rPr>
        <w:t>。根据北京神州数码置业发展有限公司章程规定，股东会为公司的权力机构，股东会决议须经全体股东同意生效。截至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日，神州数码</w:t>
      </w:r>
    </w:p>
    <w:p>
      <w:pPr>
        <w:pStyle w:val="BodyText"/>
        <w:spacing w:line="259" w:lineRule="auto" w:before="2"/>
        <w:ind w:left="500" w:right="0" w:hanging="360"/>
        <w:jc w:val="left"/>
      </w:pPr>
      <w:r>
        <w:rPr/>
        <w:t>（中国）有限公司对北京神州数码置业发展有限公司实际出资</w:t>
      </w:r>
      <w:r>
        <w:rPr>
          <w:rFonts w:ascii="Times New Roman" w:hAnsi="Times New Roman" w:cs="Times New Roman" w:eastAsia="Times New Roman" w:hint="default"/>
        </w:rPr>
        <w:t>2,500</w:t>
      </w:r>
      <w:r>
        <w:rPr/>
        <w:t>万元。 </w:t>
      </w:r>
      <w:r>
        <w:rPr>
          <w:spacing w:val="-1"/>
        </w:rPr>
        <w:t>注</w:t>
      </w: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22</w:t>
      </w:r>
      <w:r>
        <w:rPr>
          <w:spacing w:val="-1"/>
        </w:rPr>
        <w:t>日，本公司之子公司北京神州数码云科信息技术有限公司与深圳神州惠众科技有限公司签订股权转让协议，以</w:t>
      </w:r>
      <w:r>
        <w:rPr>
          <w:rFonts w:ascii="Times New Roman" w:hAnsi="Times New Roman" w:cs="Times New Roman" w:eastAsia="Times New Roman" w:hint="default"/>
          <w:spacing w:val="-1"/>
        </w:rPr>
        <w:t>1,390</w:t>
      </w:r>
      <w:r>
        <w:rPr>
          <w:spacing w:val="-1"/>
        </w:rPr>
        <w:t>万元购买其所持有的神州云盾信息安全</w:t>
      </w:r>
    </w:p>
    <w:p>
      <w:pPr>
        <w:pStyle w:val="BodyText"/>
        <w:spacing w:line="259" w:lineRule="auto" w:before="3"/>
        <w:ind w:left="140" w:right="134"/>
        <w:jc w:val="both"/>
      </w:pPr>
      <w:r>
        <w:rPr>
          <w:spacing w:val="-1"/>
        </w:rPr>
        <w:t>有限公司</w:t>
      </w:r>
      <w:r>
        <w:rPr>
          <w:rFonts w:ascii="Times New Roman" w:hAnsi="Times New Roman" w:cs="Times New Roman" w:eastAsia="Times New Roman" w:hint="default"/>
          <w:spacing w:val="-1"/>
        </w:rPr>
        <w:t>(</w:t>
      </w:r>
      <w:r>
        <w:rPr>
          <w:spacing w:val="-1"/>
        </w:rPr>
        <w:t>以下简称</w:t>
      </w:r>
      <w:r>
        <w:rPr>
          <w:rFonts w:ascii="Times New Roman" w:hAnsi="Times New Roman" w:cs="Times New Roman" w:eastAsia="Times New Roman" w:hint="default"/>
          <w:spacing w:val="-1"/>
        </w:rPr>
        <w:t>“</w:t>
      </w:r>
      <w:r>
        <w:rPr>
          <w:spacing w:val="-1"/>
        </w:rPr>
        <w:t>神州云盾</w:t>
      </w:r>
      <w:r>
        <w:rPr>
          <w:rFonts w:ascii="Times New Roman" w:hAnsi="Times New Roman" w:cs="Times New Roman" w:eastAsia="Times New Roman" w:hint="default"/>
          <w:spacing w:val="-1"/>
        </w:rPr>
        <w:t>”)40%</w:t>
      </w:r>
      <w:r>
        <w:rPr>
          <w:spacing w:val="-1"/>
        </w:rPr>
        <w:t>股权。上述款项已于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w:t>
      </w:r>
      <w:r>
        <w:rPr>
          <w:spacing w:val="-1"/>
        </w:rPr>
        <w:t>日支付完毕。根据神州云盾章程的规定，北京神州数码云科信息技术有限公司、秦皇岛开发区国有资产经营有</w:t>
      </w:r>
      <w:r>
        <w:rPr>
          <w:spacing w:val="-70"/>
        </w:rPr>
        <w:t> </w:t>
      </w:r>
      <w:r>
        <w:rPr>
          <w:spacing w:val="-70"/>
        </w:rPr>
      </w:r>
      <w:r>
        <w:rPr/>
        <w:t>限公司、北京中汇智投资管理有限公司对神州云盾共同控制，故对其长期股权投资采用权益法核算。</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日，上述股东按持股比例对神州云盾合计增资</w:t>
      </w:r>
      <w:r>
        <w:rPr>
          <w:rFonts w:ascii="Times New Roman" w:hAnsi="Times New Roman" w:cs="Times New Roman" w:eastAsia="Times New Roman" w:hint="default"/>
        </w:rPr>
        <w:t>1,000</w:t>
      </w:r>
      <w:r>
        <w:rPr/>
        <w:t>万元，其中</w:t>
      </w:r>
      <w:r>
        <w:rPr>
          <w:spacing w:val="-40"/>
        </w:rPr>
        <w:t> </w:t>
      </w:r>
      <w:r>
        <w:rPr>
          <w:spacing w:val="-40"/>
        </w:rPr>
      </w:r>
      <w:r>
        <w:rPr/>
        <w:t>北京神州数码云科信息技术有限公司按持股比例增资</w:t>
      </w:r>
      <w:r>
        <w:rPr>
          <w:rFonts w:ascii="Times New Roman" w:hAnsi="Times New Roman" w:cs="Times New Roman" w:eastAsia="Times New Roman" w:hint="default"/>
        </w:rPr>
        <w:t>400</w:t>
      </w:r>
      <w:r>
        <w:rPr/>
        <w:t>万元，并于当日支付了上述价款。</w:t>
      </w:r>
    </w:p>
    <w:p>
      <w:pPr>
        <w:pStyle w:val="BodyText"/>
        <w:spacing w:line="259" w:lineRule="auto" w:before="3"/>
        <w:ind w:left="140" w:right="138" w:firstLine="360"/>
        <w:jc w:val="both"/>
      </w:pPr>
      <w:r>
        <w:rPr/>
        <w:t>注</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日，本公司之子公司</w:t>
      </w:r>
      <w:r>
        <w:rPr>
          <w:rFonts w:ascii="Times New Roman" w:hAnsi="Times New Roman" w:cs="Times New Roman" w:eastAsia="Times New Roman" w:hint="default"/>
        </w:rPr>
        <w:t>Digital China(HK)limited</w:t>
      </w:r>
      <w:r>
        <w:rPr/>
        <w:t>分别与</w:t>
      </w:r>
      <w:r>
        <w:rPr>
          <w:rFonts w:ascii="Times New Roman" w:hAnsi="Times New Roman" w:cs="Times New Roman" w:eastAsia="Times New Roman" w:hint="default"/>
        </w:rPr>
        <w:t>3i Infocomm Limited</w:t>
      </w:r>
      <w:r>
        <w:rPr/>
        <w:t>及</w:t>
      </w:r>
      <w:r>
        <w:rPr>
          <w:rFonts w:ascii="Times New Roman" w:hAnsi="Times New Roman" w:cs="Times New Roman" w:eastAsia="Times New Roman" w:hint="default"/>
        </w:rPr>
        <w:t>CDH</w:t>
      </w:r>
      <w:r>
        <w:rPr>
          <w:rFonts w:ascii="Times New Roman" w:hAnsi="Times New Roman" w:cs="Times New Roman" w:eastAsia="Times New Roman" w:hint="default"/>
          <w:spacing w:val="-9"/>
        </w:rPr>
        <w:t> </w:t>
      </w:r>
      <w:r>
        <w:rPr>
          <w:rFonts w:ascii="Times New Roman" w:hAnsi="Times New Roman" w:cs="Times New Roman" w:eastAsia="Times New Roman" w:hint="default"/>
        </w:rPr>
        <w:t>Mobile(HK)Limited</w:t>
      </w:r>
      <w:r>
        <w:rPr/>
        <w:t>签订股份购买协议，以</w:t>
      </w:r>
      <w:r>
        <w:rPr>
          <w:rFonts w:ascii="Times New Roman" w:hAnsi="Times New Roman" w:cs="Times New Roman" w:eastAsia="Times New Roman" w:hint="default"/>
        </w:rPr>
        <w:t>3.10</w:t>
      </w:r>
      <w:r>
        <w:rPr/>
        <w:t>港币</w:t>
      </w:r>
      <w:r>
        <w:rPr>
          <w:rFonts w:ascii="Times New Roman" w:hAnsi="Times New Roman" w:cs="Times New Roman" w:eastAsia="Times New Roman" w:hint="default"/>
        </w:rPr>
        <w:t>/</w:t>
      </w:r>
      <w:r>
        <w:rPr/>
        <w:t>股购买其所持有的北京迪 信通商贸股份有限公司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迪信通</w:t>
      </w:r>
      <w:r>
        <w:rPr>
          <w:rFonts w:ascii="Times New Roman" w:hAnsi="Times New Roman" w:cs="Times New Roman" w:eastAsia="Times New Roman" w:hint="default"/>
        </w:rPr>
        <w:t>”)</w:t>
      </w:r>
      <w:r>
        <w:rPr>
          <w:rFonts w:ascii="Times New Roman" w:hAnsi="Times New Roman" w:cs="Times New Roman" w:eastAsia="Times New Roman" w:hint="default"/>
        </w:rPr>
        <w:t>15,835</w:t>
      </w:r>
      <w:r>
        <w:rPr/>
        <w:t>万股的股权，价款共计</w:t>
      </w:r>
      <w:r>
        <w:rPr>
          <w:rFonts w:ascii="Times New Roman" w:hAnsi="Times New Roman" w:cs="Times New Roman" w:eastAsia="Times New Roman" w:hint="default"/>
        </w:rPr>
        <w:t>4.926</w:t>
      </w:r>
      <w:r>
        <w:rPr/>
        <w:t>亿港币（含直接相关手续费</w:t>
      </w:r>
      <w:r>
        <w:rPr>
          <w:rFonts w:ascii="Times New Roman" w:hAnsi="Times New Roman" w:cs="Times New Roman" w:eastAsia="Times New Roman" w:hint="default"/>
        </w:rPr>
        <w:t>)</w:t>
      </w:r>
      <w:r>
        <w:rPr/>
        <w:t>，折合人民币</w:t>
      </w:r>
      <w:r>
        <w:rPr>
          <w:rFonts w:ascii="Times New Roman" w:hAnsi="Times New Roman" w:cs="Times New Roman" w:eastAsia="Times New Roman" w:hint="default"/>
        </w:rPr>
        <w:t>4.41</w:t>
      </w:r>
      <w:r>
        <w:rPr/>
        <w:t>亿元，并于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月支付了上述价款。本公司之子公</w:t>
      </w:r>
      <w:r>
        <w:rPr>
          <w:spacing w:val="-32"/>
        </w:rPr>
        <w:t> </w:t>
      </w:r>
      <w:r>
        <w:rPr>
          <w:spacing w:val="-32"/>
        </w:rPr>
      </w:r>
      <w:r>
        <w:rPr/>
        <w:t>司</w:t>
      </w:r>
      <w:r>
        <w:rPr>
          <w:rFonts w:ascii="Times New Roman" w:hAnsi="Times New Roman" w:cs="Times New Roman" w:eastAsia="Times New Roman" w:hint="default"/>
        </w:rPr>
        <w:t>Digital</w:t>
      </w:r>
      <w:r>
        <w:rPr>
          <w:rFonts w:ascii="Times New Roman" w:hAnsi="Times New Roman" w:cs="Times New Roman" w:eastAsia="Times New Roman" w:hint="default"/>
          <w:spacing w:val="-26"/>
        </w:rPr>
        <w:t> </w:t>
      </w:r>
      <w:r>
        <w:rPr>
          <w:rFonts w:ascii="Times New Roman" w:hAnsi="Times New Roman" w:cs="Times New Roman" w:eastAsia="Times New Roman" w:hint="default"/>
        </w:rPr>
        <w:t>China(HK)limited</w:t>
      </w:r>
      <w:r>
        <w:rPr/>
        <w:t>持有迪信通</w:t>
      </w:r>
      <w:r>
        <w:rPr>
          <w:rFonts w:ascii="Times New Roman" w:hAnsi="Times New Roman" w:cs="Times New Roman" w:eastAsia="Times New Roman" w:hint="default"/>
        </w:rPr>
        <w:t>23.75%</w:t>
      </w:r>
      <w:r>
        <w:rPr/>
        <w:t>股权，并向迪信通派驻一名董事。本公司管理层认为本公司之子公司</w:t>
      </w:r>
      <w:r>
        <w:rPr>
          <w:rFonts w:ascii="Times New Roman" w:hAnsi="Times New Roman" w:cs="Times New Roman" w:eastAsia="Times New Roman" w:hint="default"/>
        </w:rPr>
        <w:t>Digital</w:t>
      </w:r>
      <w:r>
        <w:rPr>
          <w:rFonts w:ascii="Times New Roman" w:hAnsi="Times New Roman" w:cs="Times New Roman" w:eastAsia="Times New Roman" w:hint="default"/>
          <w:spacing w:val="-26"/>
        </w:rPr>
        <w:t> </w:t>
      </w:r>
      <w:r>
        <w:rPr>
          <w:rFonts w:ascii="Times New Roman" w:hAnsi="Times New Roman" w:cs="Times New Roman" w:eastAsia="Times New Roman" w:hint="default"/>
        </w:rPr>
        <w:t>China(HK)limited</w:t>
      </w:r>
      <w:r>
        <w:rPr/>
        <w:t>对迪信通有重大影响，故对其长期股权投</w:t>
      </w:r>
      <w:r>
        <w:rPr>
          <w:w w:val="99"/>
        </w:rPr>
        <w:t> </w:t>
      </w:r>
      <w:r>
        <w:rPr/>
        <w:t>资采用权益法核算。</w:t>
      </w:r>
    </w:p>
    <w:p>
      <w:pPr>
        <w:pStyle w:val="BodyText"/>
        <w:spacing w:line="259" w:lineRule="auto" w:before="19"/>
        <w:ind w:left="140" w:right="136" w:firstLine="360"/>
        <w:jc w:val="both"/>
      </w:pPr>
      <w:r>
        <w:rPr/>
        <w:t>注</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月，本公司与神州顶联科技有限公司</w:t>
      </w:r>
      <w:r>
        <w:rPr>
          <w:rFonts w:ascii="Times New Roman" w:hAnsi="Times New Roman" w:cs="Times New Roman" w:eastAsia="Times New Roman" w:hint="default"/>
        </w:rPr>
        <w:t>(</w:t>
      </w:r>
      <w:r>
        <w:rPr/>
        <w:t>原顶联信息产业股份公司，以下简称</w:t>
      </w:r>
      <w:r>
        <w:rPr>
          <w:rFonts w:ascii="Times New Roman" w:hAnsi="Times New Roman" w:cs="Times New Roman" w:eastAsia="Times New Roman" w:hint="default"/>
        </w:rPr>
        <w:t>“</w:t>
      </w:r>
      <w:r>
        <w:rPr/>
        <w:t>神州顶联</w:t>
      </w:r>
      <w:r>
        <w:rPr>
          <w:rFonts w:ascii="Times New Roman" w:hAnsi="Times New Roman" w:cs="Times New Roman" w:eastAsia="Times New Roman" w:hint="default"/>
        </w:rPr>
        <w:t>”)</w:t>
      </w:r>
      <w:r>
        <w:rPr/>
        <w:t>部分股东济南顶安企业管理咨询合伙企业</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t>、刘国梁、上海泉桥 资产管理有限公司、李娜、山东中泰天使创业投资基金企业</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t>、山东南海恒蓝人才创业投资合伙企业</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t>、黄习娣、孙水波、慈昌会、许全槐、杨桂清、王大为签</w:t>
      </w:r>
      <w:r>
        <w:rPr>
          <w:spacing w:val="-59"/>
        </w:rPr>
        <w:t> </w:t>
      </w:r>
      <w:r>
        <w:rPr>
          <w:spacing w:val="-59"/>
        </w:rPr>
      </w:r>
      <w:r>
        <w:rPr>
          <w:spacing w:val="-1"/>
        </w:rPr>
        <w:t>订股权转让协议，本公司以现金对价</w:t>
      </w:r>
      <w:r>
        <w:rPr>
          <w:rFonts w:ascii="Times New Roman" w:hAnsi="Times New Roman" w:cs="Times New Roman" w:eastAsia="Times New Roman" w:hint="default"/>
          <w:spacing w:val="-1"/>
        </w:rPr>
        <w:t>10,000</w:t>
      </w:r>
      <w:r>
        <w:rPr>
          <w:spacing w:val="-1"/>
        </w:rPr>
        <w:t>万元购买上述股东持有的神州顶联</w:t>
      </w:r>
      <w:r>
        <w:rPr>
          <w:rFonts w:ascii="Times New Roman" w:hAnsi="Times New Roman" w:cs="Times New Roman" w:eastAsia="Times New Roman" w:hint="default"/>
          <w:spacing w:val="-1"/>
        </w:rPr>
        <w:t>21%</w:t>
      </w:r>
      <w:r>
        <w:rPr>
          <w:spacing w:val="-1"/>
        </w:rPr>
        <w:t>股权，并向神州顶联派驻两名董事，本公司对其有重大影响，故对其长期股权投资采用权益法核</w:t>
      </w:r>
      <w:r>
        <w:rPr>
          <w:spacing w:val="-17"/>
        </w:rPr>
        <w:t> </w:t>
      </w:r>
      <w:r>
        <w:rPr>
          <w:spacing w:val="-17"/>
        </w:rPr>
      </w:r>
      <w:r>
        <w:rPr/>
        <w:t>算。</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29</w:t>
      </w:r>
      <w:r>
        <w:rPr/>
        <w:t>日，神州顶联已完成工商变更登记，并变更公司名称为神州顶联科技有限公司。本公司于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7</w:t>
      </w:r>
      <w:r>
        <w:rPr/>
        <w:t>日支付完毕上述价款。</w:t>
      </w:r>
    </w:p>
    <w:p>
      <w:pPr>
        <w:pStyle w:val="BodyText"/>
        <w:spacing w:line="259" w:lineRule="auto" w:before="2"/>
        <w:ind w:left="140" w:right="136" w:firstLine="360"/>
        <w:jc w:val="both"/>
      </w:pPr>
      <w:r>
        <w:rPr/>
        <w:t>注</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月，本公司之子公司北京神州数码云科信息技术有限公司与北京中汇智投资管理有限公司签订投资合作框架协议，共同出资设立北京神州慧安科技有限公司</w:t>
      </w:r>
      <w:r>
        <w:rPr>
          <w:rFonts w:ascii="Times New Roman" w:hAnsi="Times New Roman" w:cs="Times New Roman" w:eastAsia="Times New Roman" w:hint="default"/>
        </w:rPr>
        <w:t>(</w:t>
      </w:r>
      <w:r>
        <w:rPr/>
        <w:t>原 名为北京神州金信网安科技有限公司</w:t>
      </w:r>
      <w:r>
        <w:rPr>
          <w:rFonts w:ascii="Times New Roman" w:hAnsi="Times New Roman" w:cs="Times New Roman" w:eastAsia="Times New Roman" w:hint="default"/>
        </w:rPr>
        <w:t>)</w:t>
      </w:r>
      <w:r>
        <w:rPr/>
        <w:t>，其中北京神州数码云科信息技术有限公司出资</w:t>
      </w:r>
      <w:r>
        <w:rPr>
          <w:rFonts w:ascii="Times New Roman" w:hAnsi="Times New Roman" w:cs="Times New Roman" w:eastAsia="Times New Roman" w:hint="default"/>
        </w:rPr>
        <w:t>1,538,462</w:t>
      </w:r>
      <w:r>
        <w:rPr/>
        <w:t>元，持股比例</w:t>
      </w:r>
      <w:r>
        <w:rPr>
          <w:rFonts w:ascii="Times New Roman" w:hAnsi="Times New Roman" w:cs="Times New Roman" w:eastAsia="Times New Roman" w:hint="default"/>
        </w:rPr>
        <w:t>38.46%</w:t>
      </w:r>
      <w:r>
        <w:rPr/>
        <w:t>，并派驻一名董事。北京神州数码云科信息技术有限公司对北</w:t>
      </w:r>
      <w:r>
        <w:rPr>
          <w:spacing w:val="-76"/>
        </w:rPr>
        <w:t> </w:t>
      </w:r>
      <w:r>
        <w:rPr>
          <w:spacing w:val="-76"/>
        </w:rPr>
      </w:r>
      <w:r>
        <w:rPr/>
        <w:t>京神州慧安科技有限公司有重大影响，故对其长期股权投资采用权益法核算。上述投资款项已于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日支付完毕。</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月，因其他股东增资导致北京神州数码云科信</w:t>
      </w:r>
      <w:r>
        <w:rPr>
          <w:spacing w:val="-82"/>
        </w:rPr>
        <w:t> </w:t>
      </w:r>
      <w:r>
        <w:rPr>
          <w:spacing w:val="-82"/>
        </w:rPr>
      </w:r>
      <w:r>
        <w:rPr/>
        <w:t>息技术有限公司对其持股比例稀释为</w:t>
      </w:r>
      <w:r>
        <w:rPr>
          <w:rFonts w:ascii="Times New Roman" w:hAnsi="Times New Roman" w:cs="Times New Roman" w:eastAsia="Times New Roman" w:hint="default"/>
        </w:rPr>
        <w:t>23.67%</w:t>
      </w:r>
      <w:r>
        <w:rPr/>
        <w:t>。</w:t>
      </w:r>
    </w:p>
    <w:p>
      <w:pPr>
        <w:spacing w:after="0" w:line="259" w:lineRule="auto"/>
        <w:jc w:val="both"/>
        <w:sectPr>
          <w:pgSz w:w="16840" w:h="11910" w:orient="landscape"/>
          <w:pgMar w:header="867" w:footer="979" w:top="1060" w:bottom="1160" w:left="1300" w:right="1300"/>
        </w:sectPr>
      </w:pPr>
    </w:p>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12、投资性房地产" w:id="245"/>
      <w:bookmarkEnd w:id="245"/>
      <w:r>
        <w:rPr>
          <w:b w:val="0"/>
          <w:bCs w:val="0"/>
        </w:rPr>
      </w:r>
      <w:r>
        <w:rPr>
          <w:rFonts w:ascii="Times New Roman" w:hAnsi="Times New Roman" w:cs="Times New Roman" w:eastAsia="Times New Roman" w:hint="default"/>
        </w:rPr>
        <w:t>12</w:t>
      </w:r>
      <w:r>
        <w:rPr/>
        <w:t>、投资性房地产</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bookmarkStart w:name="（1）采用成本计量模式的投资性房地产" w:id="246"/>
      <w:bookmarkEnd w:id="246"/>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25"/>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1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188,730,109.61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188,730,109.61</w:t>
            </w: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4,400,000.00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4,400,000.00</w:t>
            </w: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10"/>
              <w:ind w:left="34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）其他增加</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4,400,000.00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4,400,000.00</w:t>
            </w: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193,130,109.61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193,130,109.61</w:t>
            </w:r>
          </w:p>
        </w:tc>
      </w:tr>
      <w:tr>
        <w:trPr>
          <w:trHeight w:val="557"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9,867,621.53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9,867,621.53</w:t>
            </w: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5,638,640.85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5,638,640.85</w:t>
            </w: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5,638,640.85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5,638,640.85</w:t>
            </w: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15,506,262.38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15,506,262.38</w:t>
            </w: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177,623,847.23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177,623,847.23</w:t>
            </w: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178,862,488.08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178,862,488.08</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2）采用公允价值计量模式的投资性房地产" w:id="247"/>
      <w:bookmarkEnd w:id="247"/>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headerReference w:type="default" r:id="rId39"/>
          <w:footerReference w:type="default" r:id="rId40"/>
          <w:pgSz w:w="11910" w:h="16840"/>
          <w:pgMar w:header="877" w:footer="979" w:top="1100" w:bottom="1160" w:left="980" w:right="0"/>
          <w:pgNumType w:start="143"/>
        </w:sectPr>
      </w:pPr>
    </w:p>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3）未办妥产权证书的投资性房地产情况" w:id="248"/>
      <w:bookmarkEnd w:id="248"/>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right="0"/>
        <w:jc w:val="left"/>
      </w:pPr>
      <w:r>
        <w:rPr/>
        <w:t>无</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bookmarkStart w:name="13、固定资产" w:id="249"/>
      <w:bookmarkEnd w:id="249"/>
      <w:r>
        <w:rPr>
          <w:b w:val="0"/>
          <w:bCs w:val="0"/>
        </w:rPr>
      </w:r>
      <w:r>
        <w:rPr>
          <w:rFonts w:ascii="Times New Roman" w:hAnsi="Times New Roman" w:cs="Times New Roman" w:eastAsia="Times New Roman" w:hint="default"/>
        </w:rPr>
        <w:t>13</w:t>
      </w:r>
      <w:r>
        <w:rPr/>
        <w:t>、固定资产</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71"/>
        <w:gridCol w:w="3200"/>
        <w:gridCol w:w="3188"/>
      </w:tblGrid>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170,344,840.12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189,472,328.14</w:t>
            </w: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170,344,840.12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189,472,328.14</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1）固定资产情况" w:id="250"/>
      <w:bookmarkEnd w:id="250"/>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41"/>
        <w:gridCol w:w="1888"/>
        <w:gridCol w:w="1914"/>
        <w:gridCol w:w="1914"/>
        <w:gridCol w:w="1914"/>
      </w:tblGrid>
      <w:tr>
        <w:trPr>
          <w:trHeight w:val="323" w:hRule="exact"/>
        </w:trPr>
        <w:tc>
          <w:tcPr>
            <w:tcW w:w="1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88" w:type="dxa"/>
            <w:tcBorders>
              <w:top w:val="single" w:sz="4" w:space="0" w:color="000000"/>
              <w:left w:val="single" w:sz="13" w:space="0" w:color="D2D2D2"/>
              <w:bottom w:val="single" w:sz="4" w:space="0" w:color="000000"/>
              <w:right w:val="single" w:sz="4" w:space="0" w:color="000000"/>
            </w:tcBorders>
            <w:shd w:val="clear" w:color="auto" w:fill="D0CECE"/>
          </w:tcPr>
          <w:p>
            <w:pPr>
              <w:pStyle w:val="TableParagraph"/>
              <w:spacing w:line="240" w:lineRule="auto" w:before="10"/>
              <w:ind w:left="212" w:right="0"/>
              <w:jc w:val="left"/>
              <w:rPr>
                <w:rFonts w:ascii="宋体" w:hAnsi="宋体" w:cs="宋体" w:eastAsia="宋体" w:hint="default"/>
                <w:sz w:val="18"/>
                <w:szCs w:val="18"/>
              </w:rPr>
            </w:pPr>
            <w:r>
              <w:rPr>
                <w:rFonts w:ascii="宋体" w:hAnsi="宋体" w:cs="宋体" w:eastAsia="宋体" w:hint="default"/>
                <w:sz w:val="18"/>
                <w:szCs w:val="18"/>
              </w:rPr>
              <w:t>房屋及土地使用权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24" w:hRule="exact"/>
        </w:trPr>
        <w:tc>
          <w:tcPr>
            <w:tcW w:w="1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88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8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120,429,750.51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131,574,610.69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9,494,066.65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261,498,427.85</w:t>
            </w:r>
          </w:p>
        </w:tc>
      </w:tr>
      <w:tr>
        <w:trPr>
          <w:trHeight w:val="324" w:hRule="exact"/>
        </w:trPr>
        <w:tc>
          <w:tcPr>
            <w:tcW w:w="1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8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370,014.79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40,360,253.88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1,926,958.32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42,657,226.99</w:t>
            </w:r>
          </w:p>
        </w:tc>
      </w:tr>
      <w:tr>
        <w:trPr>
          <w:trHeight w:val="324" w:hRule="exact"/>
        </w:trPr>
        <w:tc>
          <w:tcPr>
            <w:tcW w:w="1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88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16,614,210.35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1,926,958.32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18,541,168.67</w:t>
            </w:r>
          </w:p>
        </w:tc>
      </w:tr>
      <w:tr>
        <w:trPr>
          <w:trHeight w:val="323" w:hRule="exact"/>
        </w:trPr>
        <w:tc>
          <w:tcPr>
            <w:tcW w:w="1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88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23,670,750.55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23,670,750.55</w:t>
            </w:r>
          </w:p>
        </w:tc>
      </w:tr>
      <w:tr>
        <w:trPr>
          <w:trHeight w:val="324" w:hRule="exact"/>
        </w:trPr>
        <w:tc>
          <w:tcPr>
            <w:tcW w:w="1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88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4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）汇率变动</w:t>
            </w:r>
          </w:p>
        </w:tc>
        <w:tc>
          <w:tcPr>
            <w:tcW w:w="1888" w:type="dxa"/>
            <w:tcBorders>
              <w:top w:val="single" w:sz="4" w:space="0" w:color="000000"/>
              <w:left w:val="single" w:sz="13" w:space="0" w:color="D0CECE"/>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370,014.79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75,292.98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445,307.77</w:t>
            </w:r>
          </w:p>
        </w:tc>
      </w:tr>
      <w:tr>
        <w:trPr>
          <w:trHeight w:val="324" w:hRule="exact"/>
        </w:trPr>
        <w:tc>
          <w:tcPr>
            <w:tcW w:w="1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88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19,695,675.14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5,230,126.96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24,925,802.10</w:t>
            </w:r>
          </w:p>
        </w:tc>
      </w:tr>
      <w:tr>
        <w:trPr>
          <w:trHeight w:val="323" w:hRule="exact"/>
        </w:trPr>
        <w:tc>
          <w:tcPr>
            <w:tcW w:w="1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88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19,695,675.14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5,230,126.96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24,925,802.10</w:t>
            </w:r>
          </w:p>
        </w:tc>
      </w:tr>
      <w:tr>
        <w:trPr>
          <w:trHeight w:val="324" w:hRule="exact"/>
        </w:trPr>
        <w:tc>
          <w:tcPr>
            <w:tcW w:w="1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8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120,799,765.30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152,239,189.43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6,190,898.01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279,229,852.74</w:t>
            </w:r>
          </w:p>
        </w:tc>
      </w:tr>
      <w:tr>
        <w:trPr>
          <w:trHeight w:val="323" w:hRule="exact"/>
        </w:trPr>
        <w:tc>
          <w:tcPr>
            <w:tcW w:w="1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88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8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14,512,230.43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52,636,057.25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4,877,812.03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72,026,099.71</w:t>
            </w:r>
          </w:p>
        </w:tc>
      </w:tr>
      <w:tr>
        <w:trPr>
          <w:trHeight w:val="323" w:hRule="exact"/>
        </w:trPr>
        <w:tc>
          <w:tcPr>
            <w:tcW w:w="1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8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6,963,181.88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31,376,944.62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855,760.33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39,195,886.83</w:t>
            </w:r>
          </w:p>
        </w:tc>
      </w:tr>
      <w:tr>
        <w:trPr>
          <w:trHeight w:val="324" w:hRule="exact"/>
        </w:trPr>
        <w:tc>
          <w:tcPr>
            <w:tcW w:w="1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8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6,913,229.88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31,313,362.01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855,760.33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39,082,352.22</w:t>
            </w:r>
          </w:p>
        </w:tc>
      </w:tr>
      <w:tr>
        <w:trPr>
          <w:trHeight w:val="323" w:hRule="exact"/>
        </w:trPr>
        <w:tc>
          <w:tcPr>
            <w:tcW w:w="194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）汇率变动</w:t>
            </w:r>
          </w:p>
        </w:tc>
        <w:tc>
          <w:tcPr>
            <w:tcW w:w="1888" w:type="dxa"/>
            <w:tcBorders>
              <w:top w:val="single" w:sz="4" w:space="0" w:color="000000"/>
              <w:left w:val="single" w:sz="13" w:space="0" w:color="D0CECE"/>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49,952.00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63,582.61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113,534.61</w:t>
            </w:r>
          </w:p>
        </w:tc>
      </w:tr>
      <w:tr>
        <w:trPr>
          <w:trHeight w:val="324" w:hRule="exact"/>
        </w:trPr>
        <w:tc>
          <w:tcPr>
            <w:tcW w:w="1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88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16,577,189.85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3,390,817.25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19,968,007.10</w:t>
            </w:r>
          </w:p>
        </w:tc>
      </w:tr>
      <w:tr>
        <w:trPr>
          <w:trHeight w:val="323" w:hRule="exact"/>
        </w:trPr>
        <w:tc>
          <w:tcPr>
            <w:tcW w:w="1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88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16,577,189.85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3,390,817.25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19,968,007.10</w:t>
            </w:r>
          </w:p>
        </w:tc>
      </w:tr>
      <w:tr>
        <w:trPr>
          <w:trHeight w:val="324" w:hRule="exact"/>
        </w:trPr>
        <w:tc>
          <w:tcPr>
            <w:tcW w:w="1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8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21,475,412.31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67,435,812.02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2,342,755.11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91,253,979.44</w:t>
            </w:r>
          </w:p>
        </w:tc>
      </w:tr>
      <w:tr>
        <w:trPr>
          <w:trHeight w:val="324" w:hRule="exact"/>
        </w:trPr>
        <w:tc>
          <w:tcPr>
            <w:tcW w:w="1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88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88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88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17,631,033.18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17,631,033.18</w:t>
            </w:r>
          </w:p>
        </w:tc>
      </w:tr>
      <w:tr>
        <w:trPr>
          <w:trHeight w:val="323" w:hRule="exact"/>
        </w:trPr>
        <w:tc>
          <w:tcPr>
            <w:tcW w:w="1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88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17,631,033.18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17,631,033.18</w:t>
            </w:r>
          </w:p>
        </w:tc>
      </w:tr>
      <w:tr>
        <w:trPr>
          <w:trHeight w:val="324" w:hRule="exact"/>
        </w:trPr>
        <w:tc>
          <w:tcPr>
            <w:tcW w:w="1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88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88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88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17,631,033.18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17,631,033.18</w:t>
            </w:r>
          </w:p>
        </w:tc>
      </w:tr>
      <w:tr>
        <w:trPr>
          <w:trHeight w:val="323" w:hRule="exact"/>
        </w:trPr>
        <w:tc>
          <w:tcPr>
            <w:tcW w:w="1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88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8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99,324,352.99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67,172,344.23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3,848,142.90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170,344,840.12</w:t>
            </w:r>
          </w:p>
        </w:tc>
      </w:tr>
      <w:tr>
        <w:trPr>
          <w:trHeight w:val="324" w:hRule="exact"/>
        </w:trPr>
        <w:tc>
          <w:tcPr>
            <w:tcW w:w="1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8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105,917,520.08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78,938,553.44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4,616,254.62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189,472,328.14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2）暂时闲置的固定资产情况" w:id="251"/>
      <w:bookmarkEnd w:id="251"/>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right="0"/>
        <w:jc w:val="left"/>
      </w:pPr>
      <w:r>
        <w:rPr/>
        <w:t>无</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bookmarkStart w:name="（3）通过融资租赁租入的固定资产情况" w:id="252"/>
      <w:bookmarkEnd w:id="252"/>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日照大学科技园项目</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49" w:right="0"/>
              <w:jc w:val="left"/>
              <w:rPr>
                <w:rFonts w:ascii="Times New Roman" w:hAnsi="Times New Roman" w:cs="Times New Roman" w:eastAsia="Times New Roman" w:hint="default"/>
                <w:sz w:val="18"/>
                <w:szCs w:val="18"/>
              </w:rPr>
            </w:pPr>
            <w:r>
              <w:rPr>
                <w:rFonts w:ascii="Times New Roman"/>
                <w:sz w:val="18"/>
              </w:rPr>
              <w:t>21,157,239.80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36" w:right="0"/>
              <w:jc w:val="left"/>
              <w:rPr>
                <w:rFonts w:ascii="Times New Roman" w:hAnsi="Times New Roman" w:cs="Times New Roman" w:eastAsia="Times New Roman" w:hint="default"/>
                <w:sz w:val="18"/>
                <w:szCs w:val="18"/>
              </w:rPr>
            </w:pPr>
            <w:r>
              <w:rPr>
                <w:rFonts w:ascii="Times New Roman"/>
                <w:sz w:val="18"/>
              </w:rPr>
              <w:t>3,526,206.62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46" w:right="0"/>
              <w:jc w:val="left"/>
              <w:rPr>
                <w:rFonts w:ascii="Times New Roman" w:hAnsi="Times New Roman" w:cs="Times New Roman" w:eastAsia="Times New Roman" w:hint="default"/>
                <w:sz w:val="18"/>
                <w:szCs w:val="18"/>
              </w:rPr>
            </w:pPr>
            <w:r>
              <w:rPr>
                <w:rFonts w:ascii="Times New Roman"/>
                <w:sz w:val="18"/>
              </w:rPr>
              <w:t>17,631,033.18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4）通过经营租赁租出的固定资产" w:id="253"/>
      <w:bookmarkEnd w:id="253"/>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bookmarkStart w:name="（5）未办妥产权证书的固定资产情况" w:id="254"/>
      <w:bookmarkEnd w:id="254"/>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pStyle w:val="BodyText"/>
        <w:spacing w:line="520" w:lineRule="atLeast" w:before="3"/>
        <w:ind w:right="10032"/>
        <w:jc w:val="left"/>
      </w:pPr>
      <w:r>
        <w:rPr/>
        <w:t>无 其他说明</w:t>
      </w:r>
    </w:p>
    <w:p>
      <w:pPr>
        <w:pStyle w:val="BodyText"/>
        <w:spacing w:line="240" w:lineRule="auto" w:before="37"/>
        <w:ind w:right="0"/>
        <w:jc w:val="left"/>
      </w:pPr>
      <w:r>
        <w:rPr/>
        <w:t>本集团对智慧校园</w:t>
      </w:r>
      <w:r>
        <w:rPr>
          <w:rFonts w:ascii="Times New Roman" w:hAnsi="Times New Roman" w:cs="Times New Roman" w:eastAsia="Times New Roman" w:hint="default"/>
        </w:rPr>
        <w:t>-</w:t>
      </w:r>
      <w:r>
        <w:rPr/>
        <w:t>日照大学科技园相关设备进行拆除并计提减值准备</w:t>
      </w:r>
      <w:r>
        <w:rPr>
          <w:spacing w:val="-47"/>
        </w:rPr>
        <w:t> </w:t>
      </w:r>
      <w:r>
        <w:rPr>
          <w:rFonts w:ascii="Times New Roman" w:hAnsi="Times New Roman" w:cs="Times New Roman" w:eastAsia="Times New Roman" w:hint="default"/>
        </w:rPr>
        <w:t>17,631,033.18</w:t>
      </w:r>
      <w:r>
        <w:rPr>
          <w:rFonts w:ascii="Times New Roman" w:hAnsi="Times New Roman" w:cs="Times New Roman" w:eastAsia="Times New Roman" w:hint="default"/>
          <w:spacing w:val="-1"/>
        </w:rPr>
        <w:t> </w:t>
      </w:r>
      <w:r>
        <w:rPr/>
        <w:t>元。</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6）固定资产清理" w:id="255"/>
      <w:bookmarkEnd w:id="255"/>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right="0"/>
        <w:jc w:val="left"/>
      </w:pPr>
      <w:r>
        <w:rPr/>
        <w:t>无</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bookmarkStart w:name="14、在建工程" w:id="256"/>
      <w:bookmarkEnd w:id="256"/>
      <w:r>
        <w:rPr>
          <w:b w:val="0"/>
          <w:bCs w:val="0"/>
        </w:rPr>
      </w:r>
      <w:r>
        <w:rPr>
          <w:rFonts w:ascii="Times New Roman" w:hAnsi="Times New Roman" w:cs="Times New Roman" w:eastAsia="Times New Roman" w:hint="default"/>
        </w:rPr>
        <w:t>14</w:t>
      </w:r>
      <w:r>
        <w:rPr/>
        <w:t>、在建工程</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884"/>
        <w:gridCol w:w="3827"/>
        <w:gridCol w:w="3858"/>
      </w:tblGrid>
      <w:tr>
        <w:trPr>
          <w:trHeight w:val="323"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314,493,973.34</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51,946,662.31</w:t>
            </w:r>
          </w:p>
        </w:tc>
      </w:tr>
      <w:tr>
        <w:trPr>
          <w:trHeight w:val="324"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314,493,973.34</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51,946,662.31</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1）在建工程情况" w:id="257"/>
      <w:bookmarkEnd w:id="257"/>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32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9"/>
              <w:ind w:left="22" w:right="0"/>
              <w:jc w:val="left"/>
              <w:rPr>
                <w:rFonts w:ascii="宋体" w:hAnsi="宋体" w:cs="宋体" w:eastAsia="宋体" w:hint="default"/>
                <w:sz w:val="18"/>
                <w:szCs w:val="18"/>
              </w:rPr>
            </w:pPr>
            <w:r>
              <w:rPr>
                <w:rFonts w:ascii="宋体" w:hAnsi="宋体" w:cs="宋体" w:eastAsia="宋体" w:hint="default"/>
                <w:sz w:val="18"/>
                <w:szCs w:val="18"/>
              </w:rPr>
              <w:t>智慧校园项目</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10,431,159.81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10,431,159.81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1" w:right="0"/>
              <w:jc w:val="left"/>
              <w:rPr>
                <w:rFonts w:ascii="Times New Roman" w:hAnsi="Times New Roman" w:cs="Times New Roman" w:eastAsia="Times New Roman" w:hint="default"/>
                <w:sz w:val="18"/>
                <w:szCs w:val="18"/>
              </w:rPr>
            </w:pPr>
            <w:r>
              <w:rPr>
                <w:rFonts w:ascii="Times New Roman"/>
                <w:sz w:val="18"/>
              </w:rPr>
              <w:t>36,052,632.91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36,052,632.91</w:t>
            </w: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9"/>
              <w:ind w:left="22" w:right="0"/>
              <w:jc w:val="left"/>
              <w:rPr>
                <w:rFonts w:ascii="宋体" w:hAnsi="宋体" w:cs="宋体" w:eastAsia="宋体" w:hint="default"/>
                <w:sz w:val="18"/>
                <w:szCs w:val="18"/>
              </w:rPr>
            </w:pPr>
            <w:r>
              <w:rPr>
                <w:rFonts w:ascii="宋体" w:hAnsi="宋体" w:cs="宋体" w:eastAsia="宋体" w:hint="default"/>
                <w:sz w:val="18"/>
                <w:szCs w:val="18"/>
              </w:rPr>
              <w:t>深圳土地项目</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304,062,813.53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304,062,813.53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1" w:right="0"/>
              <w:jc w:val="left"/>
              <w:rPr>
                <w:rFonts w:ascii="Times New Roman" w:hAnsi="Times New Roman" w:cs="Times New Roman" w:eastAsia="Times New Roman" w:hint="default"/>
                <w:sz w:val="18"/>
                <w:szCs w:val="18"/>
              </w:rPr>
            </w:pPr>
            <w:r>
              <w:rPr>
                <w:rFonts w:ascii="Times New Roman"/>
                <w:sz w:val="18"/>
              </w:rPr>
              <w:t>15,894,029.40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15,894,029.40</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314,493,973.34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314,493,973.34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01" w:right="0"/>
              <w:jc w:val="left"/>
              <w:rPr>
                <w:rFonts w:ascii="Times New Roman" w:hAnsi="Times New Roman" w:cs="Times New Roman" w:eastAsia="Times New Roman" w:hint="default"/>
                <w:sz w:val="18"/>
                <w:szCs w:val="18"/>
              </w:rPr>
            </w:pPr>
            <w:r>
              <w:rPr>
                <w:rFonts w:ascii="Times New Roman"/>
                <w:sz w:val="18"/>
              </w:rPr>
              <w:t>51,946,662.31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9" w:right="0"/>
              <w:jc w:val="left"/>
              <w:rPr>
                <w:rFonts w:ascii="Times New Roman" w:hAnsi="Times New Roman" w:cs="Times New Roman" w:eastAsia="Times New Roman" w:hint="default"/>
                <w:sz w:val="18"/>
                <w:szCs w:val="18"/>
              </w:rPr>
            </w:pPr>
            <w:r>
              <w:rPr>
                <w:rFonts w:ascii="Times New Roman"/>
                <w:sz w:val="18"/>
              </w:rPr>
              <w:t>51,946,662.31</w:t>
            </w:r>
          </w:p>
        </w:tc>
      </w:tr>
    </w:tbl>
    <w:p>
      <w:pPr>
        <w:spacing w:line="240" w:lineRule="auto" w:before="1"/>
        <w:rPr>
          <w:rFonts w:ascii="宋体" w:hAnsi="宋体" w:cs="宋体" w:eastAsia="宋体" w:hint="default"/>
          <w:sz w:val="12"/>
          <w:szCs w:val="12"/>
        </w:rPr>
      </w:pPr>
    </w:p>
    <w:p>
      <w:pPr>
        <w:pStyle w:val="BodyText"/>
        <w:spacing w:line="242" w:lineRule="exact" w:before="44"/>
        <w:ind w:left="514" w:right="0"/>
        <w:jc w:val="left"/>
      </w:pPr>
      <w:r>
        <w:rPr/>
        <w:t>注</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t>智慧校园项目系校园网络的建设与开发施工项目。</w:t>
      </w:r>
    </w:p>
    <w:p>
      <w:pPr>
        <w:pStyle w:val="BodyText"/>
        <w:spacing w:line="225" w:lineRule="auto" w:before="5"/>
        <w:ind w:right="1129" w:firstLine="360"/>
        <w:jc w:val="both"/>
      </w:pPr>
      <w:r>
        <w:rPr/>
        <w:t>注</w:t>
      </w: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27</w:t>
      </w:r>
      <w:r>
        <w:rPr>
          <w:spacing w:val="-2"/>
        </w:rPr>
        <w:t>日，本公司参加深圳市南山区深圳湾超级总部基地挂牌竞买事宜，竞得宗地编号为</w:t>
      </w:r>
      <w:r>
        <w:rPr>
          <w:rFonts w:ascii="Times New Roman" w:hAnsi="Times New Roman" w:cs="Times New Roman" w:eastAsia="Times New Roman" w:hint="default"/>
          <w:spacing w:val="-2"/>
        </w:rPr>
        <w:t>T207-0052</w:t>
      </w:r>
      <w:r>
        <w:rPr>
          <w:spacing w:val="-2"/>
        </w:rPr>
        <w:t>的土地使</w:t>
      </w:r>
      <w:r>
        <w:rPr/>
        <w:t> 用权。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日，本公司与深圳市规划和国土资源委员会南山管理局签署了《深圳市土地使用权出让合同书》，合同</w:t>
      </w:r>
      <w:r>
        <w:rPr>
          <w:spacing w:val="-83"/>
        </w:rPr>
        <w:t> </w:t>
      </w:r>
      <w:r>
        <w:rPr>
          <w:spacing w:val="-83"/>
        </w:rPr>
      </w:r>
      <w:r>
        <w:rPr/>
        <w:t>约定</w:t>
      </w:r>
      <w:r>
        <w:rPr>
          <w:rFonts w:ascii="Times New Roman" w:hAnsi="Times New Roman" w:cs="Times New Roman" w:eastAsia="Times New Roman" w:hint="default"/>
        </w:rPr>
        <w:t>:</w:t>
      </w:r>
      <w:r>
        <w:rPr/>
        <w:t>土地用途为商业服务业用地，本宗项目建成后部分可按规定销售，本公司将可用于销售部分占用土地成本计入开发成</w:t>
      </w:r>
      <w:r>
        <w:rPr>
          <w:spacing w:val="-51"/>
        </w:rPr>
        <w:t> </w:t>
      </w:r>
      <w:r>
        <w:rPr>
          <w:spacing w:val="-51"/>
        </w:rPr>
      </w:r>
      <w:r>
        <w:rPr/>
        <w:t>本。该项目已于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23</w:t>
      </w:r>
      <w:r>
        <w:rPr/>
        <w:t>日开工，尚在建设中。</w:t>
      </w:r>
    </w:p>
    <w:p>
      <w:pPr>
        <w:spacing w:after="0" w:line="225" w:lineRule="auto"/>
        <w:jc w:val="both"/>
        <w:sectPr>
          <w:pgSz w:w="11910" w:h="16840"/>
          <w:pgMar w:header="877" w:footer="979" w:top="1100" w:bottom="1160" w:left="980" w:right="0"/>
        </w:sectPr>
      </w:pPr>
    </w:p>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2）重要在建工程项目本期变动情况" w:id="258"/>
      <w:bookmarkEnd w:id="258"/>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02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0"/>
                <w:szCs w:val="20"/>
              </w:rPr>
            </w:pPr>
          </w:p>
          <w:p>
            <w:pPr>
              <w:pStyle w:val="TableParagraph"/>
              <w:spacing w:line="234" w:lineRule="exact"/>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0"/>
                <w:szCs w:val="20"/>
              </w:rPr>
            </w:pPr>
          </w:p>
          <w:p>
            <w:pPr>
              <w:pStyle w:val="TableParagraph"/>
              <w:spacing w:line="234" w:lineRule="exact"/>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0"/>
                <w:szCs w:val="20"/>
              </w:rPr>
            </w:pPr>
          </w:p>
          <w:p>
            <w:pPr>
              <w:pStyle w:val="TableParagraph"/>
              <w:spacing w:line="234" w:lineRule="exact"/>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0"/>
                <w:szCs w:val="20"/>
              </w:rPr>
            </w:pPr>
          </w:p>
          <w:p>
            <w:pPr>
              <w:pStyle w:val="TableParagraph"/>
              <w:spacing w:line="234" w:lineRule="exact"/>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0"/>
                <w:szCs w:val="20"/>
              </w:rPr>
            </w:pPr>
          </w:p>
          <w:p>
            <w:pPr>
              <w:pStyle w:val="TableParagraph"/>
              <w:spacing w:line="234" w:lineRule="exact"/>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0"/>
                <w:szCs w:val="20"/>
              </w:rPr>
            </w:pPr>
          </w:p>
          <w:p>
            <w:pPr>
              <w:pStyle w:val="TableParagraph"/>
              <w:spacing w:line="234" w:lineRule="exact"/>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55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59"/>
              <w:jc w:val="left"/>
              <w:rPr>
                <w:rFonts w:ascii="宋体" w:hAnsi="宋体" w:cs="宋体" w:eastAsia="宋体" w:hint="default"/>
                <w:sz w:val="18"/>
                <w:szCs w:val="18"/>
              </w:rPr>
            </w:pPr>
            <w:r>
              <w:rPr>
                <w:rFonts w:ascii="宋体" w:hAnsi="宋体" w:cs="宋体" w:eastAsia="宋体" w:hint="default"/>
                <w:sz w:val="18"/>
                <w:szCs w:val="18"/>
              </w:rPr>
              <w:t>深圳土 地项目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3" w:right="0"/>
              <w:jc w:val="left"/>
              <w:rPr>
                <w:rFonts w:ascii="Times New Roman" w:hAnsi="Times New Roman" w:cs="Times New Roman" w:eastAsia="Times New Roman" w:hint="default"/>
                <w:sz w:val="18"/>
                <w:szCs w:val="18"/>
              </w:rPr>
            </w:pPr>
            <w:r>
              <w:rPr>
                <w:rFonts w:ascii="Times New Roman"/>
                <w:sz w:val="18"/>
              </w:rPr>
              <w:t>2,138,60</w:t>
            </w: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0,000.00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4" w:right="0"/>
              <w:jc w:val="left"/>
              <w:rPr>
                <w:rFonts w:ascii="Times New Roman" w:hAnsi="Times New Roman" w:cs="Times New Roman" w:eastAsia="Times New Roman" w:hint="default"/>
                <w:sz w:val="18"/>
                <w:szCs w:val="18"/>
              </w:rPr>
            </w:pPr>
            <w:r>
              <w:rPr>
                <w:rFonts w:ascii="Times New Roman"/>
                <w:sz w:val="18"/>
              </w:rPr>
              <w:t>15,894,0</w:t>
            </w: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29.40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0" w:right="0"/>
              <w:jc w:val="center"/>
              <w:rPr>
                <w:rFonts w:ascii="Times New Roman" w:hAnsi="Times New Roman" w:cs="Times New Roman" w:eastAsia="Times New Roman" w:hint="default"/>
                <w:sz w:val="18"/>
                <w:szCs w:val="18"/>
              </w:rPr>
            </w:pPr>
            <w:r>
              <w:rPr>
                <w:rFonts w:ascii="Times New Roman"/>
                <w:sz w:val="18"/>
              </w:rPr>
              <w:t>288,168,</w:t>
            </w: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784.13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0" w:right="0"/>
              <w:jc w:val="center"/>
              <w:rPr>
                <w:rFonts w:ascii="Times New Roman" w:hAnsi="Times New Roman" w:cs="Times New Roman" w:eastAsia="Times New Roman" w:hint="default"/>
                <w:sz w:val="18"/>
                <w:szCs w:val="18"/>
              </w:rPr>
            </w:pPr>
            <w:r>
              <w:rPr>
                <w:rFonts w:ascii="Times New Roman"/>
                <w:sz w:val="18"/>
              </w:rPr>
              <w:t>304,062,</w:t>
            </w: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813.53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6.29%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71" w:firstLine="90"/>
              <w:jc w:val="left"/>
              <w:rPr>
                <w:rFonts w:ascii="宋体" w:hAnsi="宋体" w:cs="宋体" w:eastAsia="宋体" w:hint="default"/>
                <w:sz w:val="18"/>
                <w:szCs w:val="18"/>
              </w:rPr>
            </w:pPr>
            <w:r>
              <w:rPr>
                <w:rFonts w:ascii="宋体" w:hAnsi="宋体" w:cs="宋体" w:eastAsia="宋体" w:hint="default"/>
                <w:sz w:val="18"/>
                <w:szCs w:val="18"/>
              </w:rPr>
              <w:t>开发建 设阶段</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7" w:right="0"/>
              <w:jc w:val="center"/>
              <w:rPr>
                <w:rFonts w:ascii="Times New Roman" w:hAnsi="Times New Roman" w:cs="Times New Roman" w:eastAsia="Times New Roman" w:hint="default"/>
                <w:sz w:val="18"/>
                <w:szCs w:val="18"/>
              </w:rPr>
            </w:pPr>
            <w:r>
              <w:rPr>
                <w:rFonts w:ascii="Times New Roman"/>
                <w:sz w:val="18"/>
              </w:rPr>
              <w:t>115,240,</w:t>
            </w: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600.86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0" w:right="0"/>
              <w:jc w:val="center"/>
              <w:rPr>
                <w:rFonts w:ascii="Times New Roman" w:hAnsi="Times New Roman" w:cs="Times New Roman" w:eastAsia="Times New Roman" w:hint="default"/>
                <w:sz w:val="18"/>
                <w:szCs w:val="18"/>
              </w:rPr>
            </w:pPr>
            <w:r>
              <w:rPr>
                <w:rFonts w:ascii="Times New Roman"/>
                <w:sz w:val="18"/>
              </w:rPr>
              <w:t>108,366,</w:t>
            </w: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309.19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5.45%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50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3" w:right="0"/>
              <w:jc w:val="left"/>
              <w:rPr>
                <w:rFonts w:ascii="Times New Roman" w:hAnsi="Times New Roman" w:cs="Times New Roman" w:eastAsia="Times New Roman" w:hint="default"/>
                <w:sz w:val="18"/>
                <w:szCs w:val="18"/>
              </w:rPr>
            </w:pPr>
            <w:r>
              <w:rPr>
                <w:rFonts w:ascii="Times New Roman"/>
                <w:sz w:val="18"/>
              </w:rPr>
              <w:t>2,138,60</w:t>
            </w: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0,000.00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4" w:right="0"/>
              <w:jc w:val="left"/>
              <w:rPr>
                <w:rFonts w:ascii="Times New Roman" w:hAnsi="Times New Roman" w:cs="Times New Roman" w:eastAsia="Times New Roman" w:hint="default"/>
                <w:sz w:val="18"/>
                <w:szCs w:val="18"/>
              </w:rPr>
            </w:pPr>
            <w:r>
              <w:rPr>
                <w:rFonts w:ascii="Times New Roman"/>
                <w:sz w:val="18"/>
              </w:rPr>
              <w:t>15,894,0</w:t>
            </w: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29.40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0" w:right="0"/>
              <w:jc w:val="center"/>
              <w:rPr>
                <w:rFonts w:ascii="Times New Roman" w:hAnsi="Times New Roman" w:cs="Times New Roman" w:eastAsia="Times New Roman" w:hint="default"/>
                <w:sz w:val="18"/>
                <w:szCs w:val="18"/>
              </w:rPr>
            </w:pPr>
            <w:r>
              <w:rPr>
                <w:rFonts w:ascii="Times New Roman"/>
                <w:sz w:val="18"/>
              </w:rPr>
              <w:t>288,168,</w:t>
            </w: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784.13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0" w:right="0"/>
              <w:jc w:val="center"/>
              <w:rPr>
                <w:rFonts w:ascii="Times New Roman" w:hAnsi="Times New Roman" w:cs="Times New Roman" w:eastAsia="Times New Roman" w:hint="default"/>
                <w:sz w:val="18"/>
                <w:szCs w:val="18"/>
              </w:rPr>
            </w:pPr>
            <w:r>
              <w:rPr>
                <w:rFonts w:ascii="Times New Roman"/>
                <w:sz w:val="18"/>
              </w:rPr>
              <w:t>304,062,</w:t>
            </w: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813.53</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302" w:right="0"/>
              <w:jc w:val="lef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7" w:right="0"/>
              <w:jc w:val="center"/>
              <w:rPr>
                <w:rFonts w:ascii="Times New Roman" w:hAnsi="Times New Roman" w:cs="Times New Roman" w:eastAsia="Times New Roman" w:hint="default"/>
                <w:sz w:val="18"/>
                <w:szCs w:val="18"/>
              </w:rPr>
            </w:pPr>
            <w:r>
              <w:rPr>
                <w:rFonts w:ascii="Times New Roman"/>
                <w:sz w:val="18"/>
              </w:rPr>
              <w:t>115,240,</w:t>
            </w: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600.86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0" w:right="0"/>
              <w:jc w:val="center"/>
              <w:rPr>
                <w:rFonts w:ascii="Times New Roman" w:hAnsi="Times New Roman" w:cs="Times New Roman" w:eastAsia="Times New Roman" w:hint="default"/>
                <w:sz w:val="18"/>
                <w:szCs w:val="18"/>
              </w:rPr>
            </w:pPr>
            <w:r>
              <w:rPr>
                <w:rFonts w:ascii="Times New Roman"/>
                <w:sz w:val="18"/>
              </w:rPr>
              <w:t>108,366,</w:t>
            </w: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309.19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15、无形资产" w:id="259"/>
      <w:bookmarkEnd w:id="259"/>
      <w:r>
        <w:rPr>
          <w:b w:val="0"/>
          <w:bCs w:val="0"/>
        </w:rPr>
      </w:r>
      <w:r>
        <w:rPr>
          <w:rFonts w:ascii="Times New Roman" w:hAnsi="Times New Roman" w:cs="Times New Roman" w:eastAsia="Times New Roman" w:hint="default"/>
        </w:rPr>
        <w:t>15</w:t>
      </w:r>
      <w:r>
        <w:rPr/>
        <w:t>、无形资产</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bookmarkStart w:name="（1）无形资产情况" w:id="260"/>
      <w:bookmarkEnd w:id="260"/>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505"/>
        <w:gridCol w:w="1428"/>
        <w:gridCol w:w="1158"/>
        <w:gridCol w:w="1367"/>
        <w:gridCol w:w="1367"/>
        <w:gridCol w:w="1367"/>
        <w:gridCol w:w="1367"/>
      </w:tblGrid>
      <w:tr>
        <w:trPr>
          <w:trHeight w:val="122" w:hRule="exact"/>
        </w:trPr>
        <w:tc>
          <w:tcPr>
            <w:tcW w:w="15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5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10" w:space="0" w:color="D2D2D2"/>
              <w:right w:val="single" w:sz="4" w:space="0" w:color="000000"/>
            </w:tcBorders>
            <w:shd w:val="clear" w:color="auto" w:fill="D0CECE"/>
          </w:tcPr>
          <w:p>
            <w:pPr>
              <w:pStyle w:val="TableParagraph"/>
              <w:spacing w:line="240" w:lineRule="auto" w:before="128"/>
              <w:ind w:right="6"/>
              <w:jc w:val="center"/>
              <w:rPr>
                <w:rFonts w:ascii="宋体" w:hAnsi="宋体" w:cs="宋体" w:eastAsia="宋体" w:hint="default"/>
                <w:sz w:val="18"/>
                <w:szCs w:val="18"/>
              </w:rPr>
            </w:pPr>
            <w:r>
              <w:rPr>
                <w:rFonts w:ascii="宋体" w:hAnsi="宋体" w:cs="宋体" w:eastAsia="宋体" w:hint="default"/>
                <w:sz w:val="18"/>
                <w:szCs w:val="18"/>
              </w:rPr>
              <w:t>软件</w:t>
            </w:r>
          </w:p>
        </w:tc>
        <w:tc>
          <w:tcPr>
            <w:tcW w:w="1367" w:type="dxa"/>
            <w:vMerge w:val="restart"/>
            <w:tcBorders>
              <w:top w:val="single" w:sz="4" w:space="0" w:color="000000"/>
              <w:left w:val="single" w:sz="4" w:space="0" w:color="000000"/>
              <w:right w:val="single" w:sz="4" w:space="0" w:color="000000"/>
            </w:tcBorders>
            <w:shd w:val="clear" w:color="auto" w:fill="D0CECE"/>
          </w:tcPr>
          <w:p>
            <w:pPr>
              <w:pStyle w:val="TableParagraph"/>
              <w:spacing w:line="240" w:lineRule="auto" w:before="9"/>
              <w:ind w:left="47" w:right="47"/>
              <w:jc w:val="left"/>
              <w:rPr>
                <w:rFonts w:ascii="宋体" w:hAnsi="宋体" w:cs="宋体" w:eastAsia="宋体" w:hint="default"/>
                <w:sz w:val="18"/>
                <w:szCs w:val="18"/>
              </w:rPr>
            </w:pPr>
            <w:r>
              <w:rPr>
                <w:rFonts w:ascii="宋体" w:hAnsi="宋体" w:cs="宋体" w:eastAsia="宋体" w:hint="default"/>
                <w:sz w:val="18"/>
                <w:szCs w:val="18"/>
              </w:rPr>
              <w:t>商标、软件著作 权、专利、域名</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76" w:hRule="exact"/>
        </w:trPr>
        <w:tc>
          <w:tcPr>
            <w:tcW w:w="150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2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6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5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0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vMerge/>
            <w:tcBorders>
              <w:left w:val="single" w:sz="10" w:space="0" w:color="D2D2D2"/>
              <w:bottom w:val="single" w:sz="4" w:space="0" w:color="000000"/>
              <w:right w:val="single" w:sz="4" w:space="0" w:color="000000"/>
            </w:tcBorders>
            <w:shd w:val="clear" w:color="auto" w:fill="D0CECE"/>
          </w:tcPr>
          <w:p>
            <w:pPr/>
          </w:p>
        </w:tc>
        <w:tc>
          <w:tcPr>
            <w:tcW w:w="1367" w:type="dxa"/>
            <w:vMerge/>
            <w:tcBorders>
              <w:left w:val="single" w:sz="4" w:space="0" w:color="000000"/>
              <w:bottom w:val="single" w:sz="4" w:space="0" w:color="000000"/>
              <w:right w:val="single" w:sz="4" w:space="0" w:color="000000"/>
            </w:tcBorders>
            <w:shd w:val="clear" w:color="auto" w:fill="D0CECE"/>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382" w:hRule="exact"/>
        </w:trPr>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28" w:type="dxa"/>
            <w:tcBorders>
              <w:top w:val="single" w:sz="47" w:space="0" w:color="D2D2D2"/>
              <w:left w:val="single" w:sz="13" w:space="0" w:color="D2D2D2"/>
              <w:bottom w:val="single" w:sz="4" w:space="0" w:color="000000"/>
              <w:right w:val="single" w:sz="4" w:space="0" w:color="000000"/>
            </w:tcBorders>
          </w:tcPr>
          <w:p>
            <w:pPr/>
          </w:p>
        </w:tc>
        <w:tc>
          <w:tcPr>
            <w:tcW w:w="1158" w:type="dxa"/>
            <w:tcBorders>
              <w:top w:val="single" w:sz="47" w:space="0" w:color="D2D2D2"/>
              <w:left w:val="single" w:sz="4" w:space="0" w:color="000000"/>
              <w:bottom w:val="single" w:sz="4" w:space="0" w:color="000000"/>
              <w:right w:val="single" w:sz="4" w:space="0" w:color="000000"/>
            </w:tcBorders>
          </w:tcPr>
          <w:p>
            <w:pPr/>
          </w:p>
        </w:tc>
        <w:tc>
          <w:tcPr>
            <w:tcW w:w="1367" w:type="dxa"/>
            <w:tcBorders>
              <w:top w:val="single" w:sz="47" w:space="0" w:color="D2D2D2"/>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2,538,200,000.00</w:t>
            </w:r>
          </w:p>
        </w:tc>
        <w:tc>
          <w:tcPr>
            <w:tcW w:w="115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10,645,128.32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11,625,765.57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58,181,708.00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 w:right="0"/>
              <w:jc w:val="center"/>
              <w:rPr>
                <w:rFonts w:ascii="Times New Roman" w:hAnsi="Times New Roman" w:cs="Times New Roman" w:eastAsia="Times New Roman" w:hint="default"/>
                <w:sz w:val="18"/>
                <w:szCs w:val="18"/>
              </w:rPr>
            </w:pPr>
            <w:r>
              <w:rPr>
                <w:rFonts w:ascii="Times New Roman"/>
                <w:sz w:val="18"/>
              </w:rPr>
              <w:t>2,618,652,601.89</w:t>
            </w:r>
          </w:p>
        </w:tc>
      </w:tr>
      <w:tr>
        <w:trPr>
          <w:trHeight w:val="557" w:hRule="exact"/>
        </w:trPr>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9"/>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28" w:lineRule="exact"/>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76,146,000.00</w:t>
            </w:r>
          </w:p>
        </w:tc>
        <w:tc>
          <w:tcPr>
            <w:tcW w:w="115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77" w:right="0"/>
              <w:jc w:val="center"/>
              <w:rPr>
                <w:rFonts w:ascii="Times New Roman" w:hAnsi="Times New Roman" w:cs="Times New Roman" w:eastAsia="Times New Roman" w:hint="default"/>
                <w:sz w:val="18"/>
                <w:szCs w:val="18"/>
              </w:rPr>
            </w:pPr>
            <w:r>
              <w:rPr>
                <w:rFonts w:ascii="Times New Roman"/>
                <w:sz w:val="18"/>
              </w:rPr>
              <w:t>76,146,000.00</w:t>
            </w:r>
          </w:p>
        </w:tc>
      </w:tr>
      <w:tr>
        <w:trPr>
          <w:trHeight w:val="324" w:hRule="exact"/>
        </w:trPr>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3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76,146,000.00</w:t>
            </w:r>
          </w:p>
        </w:tc>
        <w:tc>
          <w:tcPr>
            <w:tcW w:w="115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7" w:right="0"/>
              <w:jc w:val="center"/>
              <w:rPr>
                <w:rFonts w:ascii="Times New Roman" w:hAnsi="Times New Roman" w:cs="Times New Roman" w:eastAsia="Times New Roman" w:hint="default"/>
                <w:sz w:val="18"/>
                <w:szCs w:val="18"/>
              </w:rPr>
            </w:pPr>
            <w:r>
              <w:rPr>
                <w:rFonts w:ascii="Times New Roman"/>
                <w:sz w:val="18"/>
              </w:rPr>
              <w:t>76,146,000.00</w:t>
            </w:r>
          </w:p>
        </w:tc>
      </w:tr>
      <w:tr>
        <w:trPr>
          <w:trHeight w:val="557" w:hRule="exact"/>
        </w:trPr>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9"/>
              <w:ind w:left="521"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）内部研</w:t>
            </w:r>
          </w:p>
          <w:p>
            <w:pPr>
              <w:pStyle w:val="TableParagraph"/>
              <w:spacing w:line="228" w:lineRule="exact"/>
              <w:ind w:left="11"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428" w:type="dxa"/>
            <w:tcBorders>
              <w:top w:val="single" w:sz="4" w:space="0" w:color="000000"/>
              <w:left w:val="single" w:sz="13" w:space="0" w:color="D2D2D2"/>
              <w:bottom w:val="single" w:sz="4" w:space="0" w:color="000000"/>
              <w:right w:val="single" w:sz="4" w:space="0" w:color="000000"/>
            </w:tcBorders>
          </w:tcPr>
          <w:p>
            <w:pPr/>
          </w:p>
        </w:tc>
        <w:tc>
          <w:tcPr>
            <w:tcW w:w="115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11" w:right="10" w:firstLine="51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）企业合</w:t>
            </w:r>
            <w:r>
              <w:rPr>
                <w:rFonts w:ascii="宋体" w:hAnsi="宋体" w:cs="宋体" w:eastAsia="宋体" w:hint="default"/>
                <w:sz w:val="18"/>
                <w:szCs w:val="18"/>
              </w:rPr>
              <w:t> 并增加</w:t>
            </w:r>
          </w:p>
        </w:tc>
        <w:tc>
          <w:tcPr>
            <w:tcW w:w="1428" w:type="dxa"/>
            <w:tcBorders>
              <w:top w:val="single" w:sz="4" w:space="0" w:color="000000"/>
              <w:left w:val="single" w:sz="13" w:space="0" w:color="D2D2D2"/>
              <w:bottom w:val="single" w:sz="4" w:space="0" w:color="000000"/>
              <w:right w:val="single" w:sz="4" w:space="0" w:color="000000"/>
            </w:tcBorders>
          </w:tcPr>
          <w:p>
            <w:pPr/>
          </w:p>
        </w:tc>
        <w:tc>
          <w:tcPr>
            <w:tcW w:w="115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87"/>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428" w:type="dxa"/>
            <w:tcBorders>
              <w:top w:val="single" w:sz="4" w:space="0" w:color="000000"/>
              <w:left w:val="single" w:sz="13" w:space="0" w:color="D2D2D2"/>
              <w:bottom w:val="single" w:sz="4" w:space="0" w:color="000000"/>
              <w:right w:val="single" w:sz="4" w:space="0" w:color="000000"/>
            </w:tcBorders>
          </w:tcPr>
          <w:p>
            <w:pPr/>
          </w:p>
        </w:tc>
        <w:tc>
          <w:tcPr>
            <w:tcW w:w="115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3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28" w:type="dxa"/>
            <w:tcBorders>
              <w:top w:val="single" w:sz="4" w:space="0" w:color="000000"/>
              <w:left w:val="single" w:sz="13" w:space="0" w:color="D2D2D2"/>
              <w:bottom w:val="single" w:sz="4" w:space="0" w:color="000000"/>
              <w:right w:val="single" w:sz="4" w:space="0" w:color="000000"/>
            </w:tcBorders>
          </w:tcPr>
          <w:p>
            <w:pPr/>
          </w:p>
        </w:tc>
        <w:tc>
          <w:tcPr>
            <w:tcW w:w="115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2,614,346,000.00</w:t>
            </w:r>
          </w:p>
        </w:tc>
        <w:tc>
          <w:tcPr>
            <w:tcW w:w="115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10,645,128.32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11,625,765.57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58,181,708.00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 w:right="0"/>
              <w:jc w:val="center"/>
              <w:rPr>
                <w:rFonts w:ascii="Times New Roman" w:hAnsi="Times New Roman" w:cs="Times New Roman" w:eastAsia="Times New Roman" w:hint="default"/>
                <w:sz w:val="18"/>
                <w:szCs w:val="18"/>
              </w:rPr>
            </w:pPr>
            <w:r>
              <w:rPr>
                <w:rFonts w:ascii="Times New Roman"/>
                <w:sz w:val="18"/>
              </w:rPr>
              <w:t>2,694,798,601.89</w:t>
            </w:r>
          </w:p>
        </w:tc>
      </w:tr>
      <w:tr>
        <w:trPr>
          <w:trHeight w:val="324" w:hRule="exact"/>
        </w:trPr>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428" w:type="dxa"/>
            <w:tcBorders>
              <w:top w:val="single" w:sz="4" w:space="0" w:color="000000"/>
              <w:left w:val="single" w:sz="13" w:space="0" w:color="D2D2D2"/>
              <w:bottom w:val="single" w:sz="4" w:space="0" w:color="000000"/>
              <w:right w:val="single" w:sz="4" w:space="0" w:color="000000"/>
            </w:tcBorders>
          </w:tcPr>
          <w:p>
            <w:pPr/>
          </w:p>
        </w:tc>
        <w:tc>
          <w:tcPr>
            <w:tcW w:w="115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42,421,169.92</w:t>
            </w:r>
          </w:p>
        </w:tc>
        <w:tc>
          <w:tcPr>
            <w:tcW w:w="115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822,958.01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898,409.83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9,203,028.41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7" w:right="0"/>
              <w:jc w:val="center"/>
              <w:rPr>
                <w:rFonts w:ascii="Times New Roman" w:hAnsi="Times New Roman" w:cs="Times New Roman" w:eastAsia="Times New Roman" w:hint="default"/>
                <w:sz w:val="18"/>
                <w:szCs w:val="18"/>
              </w:rPr>
            </w:pPr>
            <w:r>
              <w:rPr>
                <w:rFonts w:ascii="Times New Roman"/>
                <w:sz w:val="18"/>
              </w:rPr>
              <w:t>53,345,566.17</w:t>
            </w:r>
          </w:p>
        </w:tc>
      </w:tr>
      <w:tr>
        <w:trPr>
          <w:trHeight w:val="557" w:hRule="exact"/>
        </w:trPr>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10"/>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28" w:lineRule="exact"/>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85,725,192.00</w:t>
            </w:r>
          </w:p>
        </w:tc>
        <w:tc>
          <w:tcPr>
            <w:tcW w:w="115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1,470,872.21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2,325,153.12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5,818,170.76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77" w:right="0"/>
              <w:jc w:val="center"/>
              <w:rPr>
                <w:rFonts w:ascii="Times New Roman" w:hAnsi="Times New Roman" w:cs="Times New Roman" w:eastAsia="Times New Roman" w:hint="default"/>
                <w:sz w:val="18"/>
                <w:szCs w:val="18"/>
              </w:rPr>
            </w:pPr>
            <w:r>
              <w:rPr>
                <w:rFonts w:ascii="Times New Roman"/>
                <w:sz w:val="18"/>
              </w:rPr>
              <w:t>95,339,388.09</w:t>
            </w:r>
          </w:p>
        </w:tc>
      </w:tr>
      <w:tr>
        <w:trPr>
          <w:trHeight w:val="324" w:hRule="exact"/>
        </w:trPr>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3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85,725,192.00</w:t>
            </w:r>
          </w:p>
        </w:tc>
        <w:tc>
          <w:tcPr>
            <w:tcW w:w="115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1,470,872.21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2,325,153.12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5,818,170.76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77" w:right="0"/>
              <w:jc w:val="center"/>
              <w:rPr>
                <w:rFonts w:ascii="Times New Roman" w:hAnsi="Times New Roman" w:cs="Times New Roman" w:eastAsia="Times New Roman" w:hint="default"/>
                <w:sz w:val="18"/>
                <w:szCs w:val="18"/>
              </w:rPr>
            </w:pPr>
            <w:r>
              <w:rPr>
                <w:rFonts w:ascii="Times New Roman"/>
                <w:sz w:val="18"/>
              </w:rPr>
              <w:t>95,339,388.09</w:t>
            </w:r>
          </w:p>
        </w:tc>
      </w:tr>
      <w:tr>
        <w:trPr>
          <w:trHeight w:val="557" w:hRule="exact"/>
        </w:trPr>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9"/>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28" w:lineRule="exact"/>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428" w:type="dxa"/>
            <w:tcBorders>
              <w:top w:val="single" w:sz="4" w:space="0" w:color="000000"/>
              <w:left w:val="single" w:sz="13" w:space="0" w:color="D2D2D2"/>
              <w:bottom w:val="single" w:sz="4" w:space="0" w:color="000000"/>
              <w:right w:val="single" w:sz="4" w:space="0" w:color="000000"/>
            </w:tcBorders>
          </w:tcPr>
          <w:p>
            <w:pPr/>
          </w:p>
        </w:tc>
        <w:tc>
          <w:tcPr>
            <w:tcW w:w="115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3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28" w:type="dxa"/>
            <w:tcBorders>
              <w:top w:val="single" w:sz="4" w:space="0" w:color="000000"/>
              <w:left w:val="single" w:sz="13" w:space="0" w:color="D2D2D2"/>
              <w:bottom w:val="single" w:sz="4" w:space="0" w:color="000000"/>
              <w:right w:val="single" w:sz="4" w:space="0" w:color="000000"/>
            </w:tcBorders>
          </w:tcPr>
          <w:p>
            <w:pPr/>
          </w:p>
        </w:tc>
        <w:tc>
          <w:tcPr>
            <w:tcW w:w="115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128,146,361.93</w:t>
            </w:r>
          </w:p>
        </w:tc>
        <w:tc>
          <w:tcPr>
            <w:tcW w:w="115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2,293,830.22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3,223,562.94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15,021,199.17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7" w:right="0"/>
              <w:jc w:val="center"/>
              <w:rPr>
                <w:rFonts w:ascii="Times New Roman" w:hAnsi="Times New Roman" w:cs="Times New Roman" w:eastAsia="Times New Roman" w:hint="default"/>
                <w:sz w:val="18"/>
                <w:szCs w:val="18"/>
              </w:rPr>
            </w:pPr>
            <w:r>
              <w:rPr>
                <w:rFonts w:ascii="Times New Roman"/>
                <w:sz w:val="18"/>
              </w:rPr>
              <w:t>148,684,954.26</w:t>
            </w:r>
          </w:p>
        </w:tc>
      </w:tr>
      <w:tr>
        <w:trPr>
          <w:trHeight w:val="324" w:hRule="exact"/>
        </w:trPr>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428" w:type="dxa"/>
            <w:tcBorders>
              <w:top w:val="single" w:sz="4" w:space="0" w:color="000000"/>
              <w:left w:val="single" w:sz="13" w:space="0" w:color="D2D2D2"/>
              <w:bottom w:val="single" w:sz="4" w:space="0" w:color="000000"/>
              <w:right w:val="single" w:sz="4" w:space="0" w:color="000000"/>
            </w:tcBorders>
          </w:tcPr>
          <w:p>
            <w:pPr/>
          </w:p>
        </w:tc>
        <w:tc>
          <w:tcPr>
            <w:tcW w:w="115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28" w:type="dxa"/>
            <w:tcBorders>
              <w:top w:val="single" w:sz="4" w:space="0" w:color="000000"/>
              <w:left w:val="single" w:sz="13" w:space="0" w:color="D2D2D2"/>
              <w:bottom w:val="single" w:sz="4" w:space="0" w:color="000000"/>
              <w:right w:val="single" w:sz="4" w:space="0" w:color="000000"/>
            </w:tcBorders>
          </w:tcPr>
          <w:p>
            <w:pPr/>
          </w:p>
        </w:tc>
        <w:tc>
          <w:tcPr>
            <w:tcW w:w="115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10"/>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28" w:lineRule="exact"/>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428" w:type="dxa"/>
            <w:tcBorders>
              <w:top w:val="single" w:sz="4" w:space="0" w:color="000000"/>
              <w:left w:val="single" w:sz="13" w:space="0" w:color="D2D2D2"/>
              <w:bottom w:val="single" w:sz="4" w:space="0" w:color="000000"/>
              <w:right w:val="single" w:sz="4" w:space="0" w:color="000000"/>
            </w:tcBorders>
          </w:tcPr>
          <w:p>
            <w:pPr/>
          </w:p>
        </w:tc>
        <w:tc>
          <w:tcPr>
            <w:tcW w:w="115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3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28" w:type="dxa"/>
            <w:tcBorders>
              <w:top w:val="single" w:sz="4" w:space="0" w:color="000000"/>
              <w:left w:val="single" w:sz="13" w:space="0" w:color="D2D2D2"/>
              <w:bottom w:val="single" w:sz="4" w:space="0" w:color="000000"/>
              <w:right w:val="single" w:sz="4" w:space="0" w:color="000000"/>
            </w:tcBorders>
          </w:tcPr>
          <w:p>
            <w:pPr/>
          </w:p>
        </w:tc>
        <w:tc>
          <w:tcPr>
            <w:tcW w:w="115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9"/>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28" w:lineRule="exact"/>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428" w:type="dxa"/>
            <w:tcBorders>
              <w:top w:val="single" w:sz="4" w:space="0" w:color="000000"/>
              <w:left w:val="single" w:sz="13" w:space="0" w:color="D2D2D2"/>
              <w:bottom w:val="single" w:sz="4" w:space="0" w:color="000000"/>
              <w:right w:val="single" w:sz="4" w:space="0" w:color="000000"/>
            </w:tcBorders>
          </w:tcPr>
          <w:p>
            <w:pPr/>
          </w:p>
        </w:tc>
        <w:tc>
          <w:tcPr>
            <w:tcW w:w="115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27"/>
        <w:gridCol w:w="1417"/>
        <w:gridCol w:w="1158"/>
        <w:gridCol w:w="1367"/>
        <w:gridCol w:w="1367"/>
        <w:gridCol w:w="1367"/>
        <w:gridCol w:w="1367"/>
      </w:tblGrid>
      <w:tr>
        <w:trPr>
          <w:trHeight w:val="324" w:hRule="exact"/>
        </w:trPr>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32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5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278"/>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5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5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2,486,199,638.07</w:t>
            </w:r>
          </w:p>
        </w:tc>
        <w:tc>
          <w:tcPr>
            <w:tcW w:w="115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8,351,298.10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8,402,202.63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43,160,508.83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2,546,113,647.63</w:t>
            </w:r>
          </w:p>
        </w:tc>
      </w:tr>
      <w:tr>
        <w:trPr>
          <w:trHeight w:val="557" w:hRule="exact"/>
        </w:trPr>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2,495,778,830.07</w:t>
            </w:r>
          </w:p>
        </w:tc>
        <w:tc>
          <w:tcPr>
            <w:tcW w:w="115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9,822,170.31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10,727,355.74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48,978,679.59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2,565,307,035.72</w:t>
            </w:r>
          </w:p>
        </w:tc>
      </w:tr>
    </w:tbl>
    <w:p>
      <w:pPr>
        <w:pStyle w:val="BodyText"/>
        <w:spacing w:line="240" w:lineRule="auto" w:before="10"/>
        <w:ind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0.38%</w:t>
      </w:r>
      <w:r>
        <w:rPr/>
        <w:t>。</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2）未办妥产权证书的土地使用权情况" w:id="261"/>
      <w:bookmarkEnd w:id="261"/>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pStyle w:val="BodyText"/>
        <w:spacing w:line="520" w:lineRule="atLeast" w:before="3"/>
        <w:ind w:right="9852"/>
        <w:jc w:val="left"/>
      </w:pPr>
      <w:r>
        <w:rPr/>
        <w:t>无 其他说明：</w:t>
      </w:r>
    </w:p>
    <w:p>
      <w:pPr>
        <w:pStyle w:val="BodyText"/>
        <w:spacing w:line="225" w:lineRule="auto" w:before="50"/>
        <w:ind w:right="1131" w:firstLine="360"/>
        <w:jc w:val="both"/>
      </w:pPr>
      <w:r>
        <w:rPr>
          <w:spacing w:val="-2"/>
        </w:rPr>
        <w:t>本公司之子公司神州数码（深圳）有限公司（以下简称</w:t>
      </w:r>
      <w:r>
        <w:rPr>
          <w:rFonts w:ascii="Times New Roman" w:hAnsi="Times New Roman" w:cs="Times New Roman" w:eastAsia="Times New Roman" w:hint="default"/>
          <w:spacing w:val="-2"/>
        </w:rPr>
        <w:t>“</w:t>
      </w:r>
      <w:r>
        <w:rPr>
          <w:spacing w:val="-2"/>
        </w:rPr>
        <w:t>神码深圳</w:t>
      </w:r>
      <w:r>
        <w:rPr>
          <w:rFonts w:ascii="Times New Roman" w:hAnsi="Times New Roman" w:cs="Times New Roman" w:eastAsia="Times New Roman" w:hint="default"/>
          <w:spacing w:val="-2"/>
        </w:rPr>
        <w:t>”</w:t>
      </w:r>
      <w:r>
        <w:rPr>
          <w:spacing w:val="-2"/>
        </w:rPr>
        <w:t>）向平安银行股份有限公司深圳分行借款，由本公司</w:t>
      </w:r>
      <w:r>
        <w:rPr/>
        <w:t> </w:t>
      </w:r>
      <w:r>
        <w:rPr>
          <w:spacing w:val="-1"/>
        </w:rPr>
        <w:t>提供最高额抵押担保，本公司与平安银行股份有限公司深圳分行签订了合同编号为平银</w:t>
      </w:r>
      <w:r>
        <w:rPr>
          <w:rFonts w:ascii="Times New Roman" w:hAnsi="Times New Roman" w:cs="Times New Roman" w:eastAsia="Times New Roman" w:hint="default"/>
          <w:spacing w:val="-1"/>
        </w:rPr>
        <w:t>(</w:t>
      </w:r>
      <w:r>
        <w:rPr>
          <w:spacing w:val="-1"/>
        </w:rPr>
        <w:t>电子</w:t>
      </w:r>
      <w:r>
        <w:rPr>
          <w:rFonts w:ascii="Times New Roman" w:hAnsi="Times New Roman" w:cs="Times New Roman" w:eastAsia="Times New Roman" w:hint="default"/>
          <w:spacing w:val="-1"/>
        </w:rPr>
        <w:t>)</w:t>
      </w:r>
      <w:r>
        <w:rPr>
          <w:spacing w:val="-1"/>
        </w:rPr>
        <w:t>综字第</w:t>
      </w:r>
      <w:r>
        <w:rPr>
          <w:rFonts w:ascii="Times New Roman" w:hAnsi="Times New Roman" w:cs="Times New Roman" w:eastAsia="Times New Roman" w:hint="default"/>
          <w:spacing w:val="-1"/>
        </w:rPr>
        <w:t>A004201809060002</w:t>
      </w:r>
      <w:r>
        <w:rPr>
          <w:spacing w:val="-1"/>
        </w:rPr>
        <w:t>（额</w:t>
      </w:r>
      <w:r>
        <w:rPr/>
        <w:t> 抵</w:t>
      </w:r>
      <w:r>
        <w:rPr>
          <w:rFonts w:ascii="Times New Roman" w:hAnsi="Times New Roman" w:cs="Times New Roman" w:eastAsia="Times New Roman" w:hint="default"/>
        </w:rPr>
        <w:t>002</w:t>
      </w:r>
      <w:r>
        <w:rPr/>
        <w:t>）号的最高额抵押担保合同，本公司以深圳市南山区深圳湾超级总部基地土地使用权作为抵押物进行抵押担保，其中</w:t>
      </w:r>
      <w:r>
        <w:rPr>
          <w:spacing w:val="-83"/>
        </w:rPr>
        <w:t> </w:t>
      </w:r>
      <w:r>
        <w:rPr>
          <w:spacing w:val="-83"/>
        </w:rPr>
      </w:r>
      <w:r>
        <w:rPr/>
        <w:t>存货</w:t>
      </w:r>
      <w:r>
        <w:rPr>
          <w:rFonts w:ascii="Times New Roman" w:hAnsi="Times New Roman" w:cs="Times New Roman" w:eastAsia="Times New Roman" w:hint="default"/>
        </w:rPr>
        <w:t>-</w:t>
      </w:r>
      <w:r>
        <w:rPr/>
        <w:t>开发成本</w:t>
      </w:r>
      <w:r>
        <w:rPr>
          <w:rFonts w:ascii="Times New Roman" w:hAnsi="Times New Roman" w:cs="Times New Roman" w:eastAsia="Times New Roman" w:hint="default"/>
        </w:rPr>
        <w:t>-</w:t>
      </w:r>
      <w:r>
        <w:rPr/>
        <w:t>土地使用权年末账面价值为</w:t>
      </w:r>
      <w:r>
        <w:rPr>
          <w:rFonts w:ascii="Times New Roman" w:hAnsi="Times New Roman" w:cs="Times New Roman" w:eastAsia="Times New Roman" w:hint="default"/>
        </w:rPr>
        <w:t>1,021,543,090.91</w:t>
      </w:r>
      <w:r>
        <w:rPr/>
        <w:t>元，无形资产</w:t>
      </w:r>
      <w:r>
        <w:rPr>
          <w:rFonts w:ascii="Times New Roman" w:hAnsi="Times New Roman" w:cs="Times New Roman" w:eastAsia="Times New Roman" w:hint="default"/>
        </w:rPr>
        <w:t>-</w:t>
      </w:r>
      <w:r>
        <w:rPr/>
        <w:t>土地使用权年末账面价值为</w:t>
      </w:r>
      <w:r>
        <w:rPr>
          <w:rFonts w:ascii="Times New Roman" w:hAnsi="Times New Roman" w:cs="Times New Roman" w:eastAsia="Times New Roman" w:hint="default"/>
        </w:rPr>
        <w:t>2,486,199,638.07</w:t>
      </w:r>
      <w:r>
        <w:rPr/>
        <w:t>元。</w:t>
      </w:r>
    </w:p>
    <w:p>
      <w:pPr>
        <w:spacing w:line="240" w:lineRule="auto" w:before="6"/>
        <w:rPr>
          <w:rFonts w:ascii="宋体" w:hAnsi="宋体" w:cs="宋体" w:eastAsia="宋体" w:hint="default"/>
          <w:sz w:val="21"/>
          <w:szCs w:val="21"/>
        </w:rPr>
      </w:pPr>
    </w:p>
    <w:p>
      <w:pPr>
        <w:pStyle w:val="Heading3"/>
        <w:spacing w:line="240" w:lineRule="auto"/>
        <w:ind w:right="0"/>
        <w:jc w:val="left"/>
        <w:rPr>
          <w:b w:val="0"/>
          <w:bCs w:val="0"/>
        </w:rPr>
      </w:pPr>
      <w:bookmarkStart w:name="16、商誉" w:id="262"/>
      <w:bookmarkEnd w:id="262"/>
      <w:r>
        <w:rPr>
          <w:b w:val="0"/>
          <w:bCs w:val="0"/>
        </w:rPr>
      </w:r>
      <w:r>
        <w:rPr>
          <w:rFonts w:ascii="Times New Roman" w:hAnsi="Times New Roman" w:cs="Times New Roman" w:eastAsia="Times New Roman" w:hint="default"/>
        </w:rPr>
        <w:t>16</w:t>
      </w:r>
      <w:r>
        <w:rPr/>
        <w:t>、商誉</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bookmarkStart w:name="（1）商誉账面原值" w:id="263"/>
      <w:bookmarkEnd w:id="263"/>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79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90" w:hRule="exact"/>
        </w:trPr>
        <w:tc>
          <w:tcPr>
            <w:tcW w:w="135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30" w:lineRule="auto" w:before="17"/>
              <w:ind w:left="22" w:right="61"/>
              <w:jc w:val="both"/>
              <w:rPr>
                <w:rFonts w:ascii="宋体" w:hAnsi="宋体" w:cs="宋体" w:eastAsia="宋体" w:hint="default"/>
                <w:sz w:val="18"/>
                <w:szCs w:val="18"/>
              </w:rPr>
            </w:pPr>
            <w:r>
              <w:rPr>
                <w:rFonts w:ascii="宋体" w:hAnsi="宋体" w:cs="宋体" w:eastAsia="宋体" w:hint="default"/>
                <w:sz w:val="18"/>
                <w:szCs w:val="18"/>
              </w:rPr>
              <w:t>收购神州控股下 属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分销业务 公司（注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378" w:type="dxa"/>
            <w:tcBorders>
              <w:top w:val="single" w:sz="4" w:space="0" w:color="000000"/>
              <w:left w:val="single" w:sz="13" w:space="0" w:color="D0CECE"/>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611,728,930.98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611,728,930.98</w:t>
            </w:r>
          </w:p>
        </w:tc>
      </w:tr>
      <w:tr>
        <w:trPr>
          <w:trHeight w:val="324" w:hRule="exact"/>
        </w:trPr>
        <w:tc>
          <w:tcPr>
            <w:tcW w:w="135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上海云角</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378" w:type="dxa"/>
            <w:tcBorders>
              <w:top w:val="single" w:sz="4" w:space="0" w:color="000000"/>
              <w:left w:val="single" w:sz="13" w:space="0" w:color="D0CECE"/>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319,557,894.07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319,557,894.07</w:t>
            </w:r>
          </w:p>
        </w:tc>
      </w:tr>
      <w:tr>
        <w:trPr>
          <w:trHeight w:val="32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931,286,825.05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931,286,825.05</w:t>
            </w:r>
          </w:p>
        </w:tc>
      </w:tr>
    </w:tbl>
    <w:p>
      <w:pPr>
        <w:spacing w:line="240" w:lineRule="auto" w:before="7"/>
        <w:rPr>
          <w:rFonts w:ascii="宋体" w:hAnsi="宋体" w:cs="宋体" w:eastAsia="宋体" w:hint="default"/>
          <w:sz w:val="17"/>
          <w:szCs w:val="17"/>
        </w:rPr>
      </w:pPr>
    </w:p>
    <w:p>
      <w:pPr>
        <w:pStyle w:val="Heading3"/>
        <w:spacing w:line="240" w:lineRule="auto" w:before="35"/>
        <w:ind w:right="0"/>
        <w:jc w:val="both"/>
        <w:rPr>
          <w:b w:val="0"/>
          <w:bCs w:val="0"/>
        </w:rPr>
      </w:pPr>
      <w:bookmarkStart w:name="（2）商誉减值准备" w:id="264"/>
      <w:bookmarkEnd w:id="264"/>
      <w:r>
        <w:rPr>
          <w:b w:val="0"/>
          <w:bCs w:val="0"/>
        </w:rPr>
      </w:r>
      <w:r>
        <w:rPr/>
        <w:t>（</w:t>
      </w:r>
      <w:r>
        <w:rPr>
          <w:rFonts w:ascii="Times New Roman" w:hAnsi="Times New Roman" w:cs="Times New Roman" w:eastAsia="Times New Roman" w:hint="default"/>
        </w:rPr>
        <w:t>2</w:t>
      </w:r>
      <w:r>
        <w:rPr/>
        <w:t>）商誉减值准备</w:t>
      </w:r>
      <w:r>
        <w:rPr>
          <w:b w:val="0"/>
          <w:bCs w:val="0"/>
        </w:rPr>
      </w:r>
    </w:p>
    <w:p>
      <w:pPr>
        <w:pStyle w:val="BodyText"/>
        <w:spacing w:line="520" w:lineRule="atLeast" w:before="3"/>
        <w:ind w:right="10032"/>
        <w:jc w:val="left"/>
      </w:pPr>
      <w:r>
        <w:rPr/>
        <w:t>无 其他说明</w:t>
      </w:r>
    </w:p>
    <w:p>
      <w:pPr>
        <w:pStyle w:val="BodyText"/>
        <w:spacing w:line="242" w:lineRule="exact" w:before="38"/>
        <w:ind w:left="514" w:right="0"/>
        <w:jc w:val="left"/>
      </w:pPr>
      <w:r>
        <w:rPr/>
        <w:t>注</w:t>
      </w:r>
      <w:r>
        <w:rPr>
          <w:spacing w:val="-65"/>
        </w:rPr>
        <w:t> </w:t>
      </w:r>
      <w:r>
        <w:rPr>
          <w:rFonts w:ascii="Times New Roman" w:hAnsi="Times New Roman" w:cs="Times New Roman" w:eastAsia="Times New Roman" w:hint="default"/>
        </w:rPr>
        <w:t>1:</w:t>
      </w:r>
      <w:r>
        <w:rPr>
          <w:rFonts w:ascii="Times New Roman" w:hAnsi="Times New Roman" w:cs="Times New Roman" w:eastAsia="Times New Roman" w:hint="default"/>
          <w:spacing w:val="-20"/>
        </w:rPr>
        <w:t> </w:t>
      </w:r>
      <w:r>
        <w:rPr/>
        <w:t>该</w:t>
      </w:r>
      <w:r>
        <w:rPr>
          <w:spacing w:val="-65"/>
        </w:rPr>
        <w:t> </w:t>
      </w:r>
      <w:r>
        <w:rPr/>
        <w:t>商</w:t>
      </w:r>
      <w:r>
        <w:rPr>
          <w:spacing w:val="-65"/>
        </w:rPr>
        <w:t> </w:t>
      </w:r>
      <w:r>
        <w:rPr/>
        <w:t>誉</w:t>
      </w:r>
      <w:r>
        <w:rPr>
          <w:spacing w:val="-65"/>
        </w:rPr>
        <w:t> </w:t>
      </w:r>
      <w:r>
        <w:rPr/>
        <w:t>为</w:t>
      </w:r>
      <w:r>
        <w:rPr>
          <w:spacing w:val="-67"/>
        </w:rPr>
        <w:t> </w:t>
      </w:r>
      <w:r>
        <w:rPr/>
        <w:t>本</w:t>
      </w:r>
      <w:r>
        <w:rPr>
          <w:spacing w:val="-65"/>
        </w:rPr>
        <w:t> </w:t>
      </w:r>
      <w:r>
        <w:rPr/>
        <w:t>公</w:t>
      </w:r>
      <w:r>
        <w:rPr>
          <w:spacing w:val="-65"/>
        </w:rPr>
        <w:t> </w:t>
      </w:r>
      <w:r>
        <w:rPr/>
        <w:t>司</w:t>
      </w:r>
      <w:r>
        <w:rPr>
          <w:spacing w:val="-65"/>
        </w:rPr>
        <w:t> </w:t>
      </w:r>
      <w:r>
        <w:rPr/>
        <w:t>于</w:t>
      </w:r>
      <w:r>
        <w:rPr>
          <w:spacing w:val="-6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1"/>
        </w:rPr>
        <w:t> </w:t>
      </w:r>
      <w:r>
        <w:rPr/>
        <w:t>年</w:t>
      </w:r>
      <w:r>
        <w:rPr>
          <w:spacing w:val="-65"/>
        </w:rPr>
        <w:t> </w:t>
      </w:r>
      <w:r>
        <w:rPr>
          <w:rFonts w:ascii="Times New Roman" w:hAnsi="Times New Roman" w:cs="Times New Roman" w:eastAsia="Times New Roman" w:hint="default"/>
        </w:rPr>
        <w:t>3</w:t>
      </w:r>
      <w:r>
        <w:rPr>
          <w:rFonts w:ascii="Times New Roman" w:hAnsi="Times New Roman" w:cs="Times New Roman" w:eastAsia="Times New Roman" w:hint="default"/>
          <w:spacing w:val="-20"/>
        </w:rPr>
        <w:t> </w:t>
      </w:r>
      <w:r>
        <w:rPr/>
        <w:t>月</w:t>
      </w:r>
      <w:r>
        <w:rPr>
          <w:spacing w:val="-65"/>
        </w:rPr>
        <w:t> </w:t>
      </w:r>
      <w:r>
        <w:rPr/>
        <w:t>非</w:t>
      </w:r>
      <w:r>
        <w:rPr>
          <w:spacing w:val="-65"/>
        </w:rPr>
        <w:t> </w:t>
      </w:r>
      <w:r>
        <w:rPr/>
        <w:t>同</w:t>
      </w:r>
      <w:r>
        <w:rPr>
          <w:spacing w:val="-65"/>
        </w:rPr>
        <w:t> </w:t>
      </w:r>
      <w:r>
        <w:rPr/>
        <w:t>一</w:t>
      </w:r>
      <w:r>
        <w:rPr>
          <w:spacing w:val="-67"/>
        </w:rPr>
        <w:t> </w:t>
      </w:r>
      <w:r>
        <w:rPr/>
        <w:t>控</w:t>
      </w:r>
      <w:r>
        <w:rPr>
          <w:spacing w:val="-65"/>
        </w:rPr>
        <w:t> </w:t>
      </w:r>
      <w:r>
        <w:rPr/>
        <w:t>制</w:t>
      </w:r>
      <w:r>
        <w:rPr>
          <w:spacing w:val="-65"/>
        </w:rPr>
        <w:t> </w:t>
      </w:r>
      <w:r>
        <w:rPr/>
        <w:t>收</w:t>
      </w:r>
      <w:r>
        <w:rPr>
          <w:spacing w:val="-65"/>
        </w:rPr>
        <w:t> </w:t>
      </w:r>
      <w:r>
        <w:rPr/>
        <w:t>购</w:t>
      </w:r>
      <w:r>
        <w:rPr>
          <w:spacing w:val="-64"/>
        </w:rPr>
        <w:t> </w:t>
      </w:r>
      <w:r>
        <w:rPr/>
        <w:t>神</w:t>
      </w:r>
      <w:r>
        <w:rPr>
          <w:spacing w:val="-67"/>
        </w:rPr>
        <w:t> </w:t>
      </w:r>
      <w:r>
        <w:rPr/>
        <w:t>州</w:t>
      </w:r>
      <w:r>
        <w:rPr>
          <w:spacing w:val="-65"/>
        </w:rPr>
        <w:t> </w:t>
      </w:r>
      <w:r>
        <w:rPr/>
        <w:t>控</w:t>
      </w:r>
      <w:r>
        <w:rPr>
          <w:spacing w:val="-65"/>
        </w:rPr>
        <w:t> </w:t>
      </w:r>
      <w:r>
        <w:rPr/>
        <w:t>股</w:t>
      </w:r>
      <w:r>
        <w:rPr>
          <w:spacing w:val="-65"/>
        </w:rPr>
        <w:t> </w:t>
      </w:r>
      <w:r>
        <w:rPr/>
        <w:t>下</w:t>
      </w:r>
      <w:r>
        <w:rPr>
          <w:spacing w:val="-65"/>
        </w:rPr>
        <w:t> </w:t>
      </w:r>
      <w:r>
        <w:rPr/>
        <w:t>属</w:t>
      </w:r>
      <w:r>
        <w:rPr>
          <w:spacing w:val="-64"/>
        </w:rPr>
        <w:t> </w:t>
      </w:r>
      <w:r>
        <w:rPr>
          <w:rFonts w:ascii="Times New Roman" w:hAnsi="Times New Roman" w:cs="Times New Roman" w:eastAsia="Times New Roman" w:hint="default"/>
        </w:rPr>
        <w:t>IT</w:t>
      </w:r>
      <w:r>
        <w:rPr>
          <w:rFonts w:ascii="Times New Roman" w:hAnsi="Times New Roman" w:cs="Times New Roman" w:eastAsia="Times New Roman" w:hint="default"/>
          <w:spacing w:val="-21"/>
        </w:rPr>
        <w:t> </w:t>
      </w:r>
      <w:r>
        <w:rPr/>
        <w:t>分</w:t>
      </w:r>
      <w:r>
        <w:rPr>
          <w:spacing w:val="-65"/>
        </w:rPr>
        <w:t> </w:t>
      </w:r>
      <w:r>
        <w:rPr/>
        <w:t>销</w:t>
      </w:r>
      <w:r>
        <w:rPr>
          <w:spacing w:val="-65"/>
        </w:rPr>
        <w:t> </w:t>
      </w:r>
      <w:r>
        <w:rPr/>
        <w:t>业</w:t>
      </w:r>
      <w:r>
        <w:rPr>
          <w:spacing w:val="-65"/>
        </w:rPr>
        <w:t> </w:t>
      </w:r>
      <w:r>
        <w:rPr/>
        <w:t>务</w:t>
      </w:r>
      <w:r>
        <w:rPr>
          <w:spacing w:val="-65"/>
        </w:rPr>
        <w:t> </w:t>
      </w:r>
      <w:r>
        <w:rPr/>
        <w:t>公</w:t>
      </w:r>
      <w:r>
        <w:rPr>
          <w:spacing w:val="-67"/>
        </w:rPr>
        <w:t> </w:t>
      </w:r>
      <w:r>
        <w:rPr/>
        <w:t>司</w:t>
      </w:r>
      <w:r>
        <w:rPr>
          <w:spacing w:val="-64"/>
        </w:rPr>
        <w:t> </w:t>
      </w:r>
      <w:r>
        <w:rPr>
          <w:rFonts w:ascii="Times New Roman" w:hAnsi="Times New Roman" w:cs="Times New Roman" w:eastAsia="Times New Roman" w:hint="default"/>
        </w:rPr>
        <w:t>100%</w:t>
      </w:r>
      <w:r>
        <w:rPr>
          <w:rFonts w:ascii="Times New Roman" w:hAnsi="Times New Roman" w:cs="Times New Roman" w:eastAsia="Times New Roman" w:hint="default"/>
          <w:spacing w:val="-20"/>
        </w:rPr>
        <w:t> </w:t>
      </w:r>
      <w:r>
        <w:rPr/>
        <w:t>股</w:t>
      </w:r>
      <w:r>
        <w:rPr>
          <w:spacing w:val="-65"/>
        </w:rPr>
        <w:t> </w:t>
      </w:r>
      <w:r>
        <w:rPr/>
        <w:t>权</w:t>
      </w:r>
      <w:r>
        <w:rPr>
          <w:spacing w:val="-67"/>
        </w:rPr>
        <w:t> </w:t>
      </w:r>
      <w:r>
        <w:rPr/>
        <w:t>产</w:t>
      </w:r>
      <w:r>
        <w:rPr>
          <w:spacing w:val="-65"/>
        </w:rPr>
        <w:t> </w:t>
      </w:r>
      <w:r>
        <w:rPr/>
        <w:t>生</w:t>
      </w:r>
      <w:r>
        <w:rPr>
          <w:spacing w:val="-65"/>
        </w:rPr>
        <w:t> </w:t>
      </w:r>
      <w:r>
        <w:rPr/>
        <w:t>，</w:t>
      </w:r>
      <w:r>
        <w:rPr>
          <w:spacing w:val="-65"/>
        </w:rPr>
        <w:t> </w:t>
      </w:r>
      <w:r>
        <w:rPr/>
        <w:t>合</w:t>
      </w:r>
      <w:r>
        <w:rPr>
          <w:spacing w:val="-65"/>
        </w:rPr>
        <w:t> </w:t>
      </w:r>
      <w:r>
        <w:rPr/>
        <w:t>并</w:t>
      </w:r>
      <w:r>
        <w:rPr>
          <w:spacing w:val="-65"/>
        </w:rPr>
        <w:t> </w:t>
      </w:r>
      <w:r>
        <w:rPr/>
        <w:t>对</w:t>
      </w:r>
      <w:r>
        <w:rPr>
          <w:spacing w:val="-64"/>
        </w:rPr>
        <w:t> </w:t>
      </w:r>
      <w:r>
        <w:rPr/>
        <w:t>价</w:t>
      </w:r>
    </w:p>
    <w:p>
      <w:pPr>
        <w:pStyle w:val="BodyText"/>
        <w:spacing w:line="233" w:lineRule="exact"/>
        <w:ind w:right="0"/>
        <w:jc w:val="both"/>
      </w:pPr>
      <w:r>
        <w:rPr>
          <w:rFonts w:ascii="Times New Roman" w:hAnsi="Times New Roman" w:cs="Times New Roman" w:eastAsia="Times New Roman" w:hint="default"/>
        </w:rPr>
        <w:t>4,010,000,000.00</w:t>
      </w:r>
      <w:r>
        <w:rPr/>
        <w:t>元，合并日本公司应享有的神州控股下属</w:t>
      </w:r>
      <w:r>
        <w:rPr>
          <w:rFonts w:ascii="Times New Roman" w:hAnsi="Times New Roman" w:cs="Times New Roman" w:eastAsia="Times New Roman" w:hint="default"/>
        </w:rPr>
        <w:t>IT</w:t>
      </w:r>
      <w:r>
        <w:rPr/>
        <w:t>分销业务公司可辨认净资产公允价值为</w:t>
      </w:r>
      <w:r>
        <w:rPr>
          <w:rFonts w:ascii="Times New Roman" w:hAnsi="Times New Roman" w:cs="Times New Roman" w:eastAsia="Times New Roman" w:hint="default"/>
        </w:rPr>
        <w:t>3,398,271,069.02</w:t>
      </w:r>
      <w:r>
        <w:rPr/>
        <w:t>元，差额</w:t>
      </w:r>
    </w:p>
    <w:p>
      <w:pPr>
        <w:pStyle w:val="BodyText"/>
        <w:spacing w:line="234" w:lineRule="exact" w:before="15"/>
        <w:ind w:left="514" w:right="0" w:hanging="360"/>
        <w:jc w:val="left"/>
      </w:pPr>
      <w:r>
        <w:rPr>
          <w:rFonts w:ascii="Times New Roman" w:hAnsi="Times New Roman" w:cs="Times New Roman" w:eastAsia="Times New Roman" w:hint="default"/>
        </w:rPr>
        <w:t>611,728,930.98</w:t>
      </w:r>
      <w:r>
        <w:rPr/>
        <w:t>元计入商誉。 </w:t>
      </w:r>
      <w:r>
        <w:rPr>
          <w:spacing w:val="-2"/>
        </w:rPr>
        <w:t>本公司管理层对因收购神州控股下属</w:t>
      </w:r>
      <w:r>
        <w:rPr>
          <w:rFonts w:ascii="Times New Roman" w:hAnsi="Times New Roman" w:cs="Times New Roman" w:eastAsia="Times New Roman" w:hint="default"/>
          <w:spacing w:val="-2"/>
        </w:rPr>
        <w:t>IT</w:t>
      </w:r>
      <w:r>
        <w:rPr>
          <w:spacing w:val="-2"/>
        </w:rPr>
        <w:t>分销业务公司产生的商誉进行减值测试，考虑神州控股下属</w:t>
      </w:r>
      <w:r>
        <w:rPr>
          <w:rFonts w:ascii="Times New Roman" w:hAnsi="Times New Roman" w:cs="Times New Roman" w:eastAsia="Times New Roman" w:hint="default"/>
          <w:spacing w:val="-2"/>
        </w:rPr>
        <w:t>IT</w:t>
      </w:r>
      <w:r>
        <w:rPr>
          <w:spacing w:val="-2"/>
        </w:rPr>
        <w:t>分销业务公司主营</w:t>
      </w:r>
    </w:p>
    <w:p>
      <w:pPr>
        <w:pStyle w:val="BodyText"/>
        <w:spacing w:line="211" w:lineRule="exact"/>
        <w:ind w:right="0"/>
        <w:jc w:val="both"/>
      </w:pPr>
      <w:r>
        <w:rPr/>
        <w:t>业务明确并且单一，同时其主营业务或产品直接与市场衔接，由市场定价，符合资产组的相关要件，同时企业内不再存在其</w:t>
      </w:r>
    </w:p>
    <w:p>
      <w:pPr>
        <w:pStyle w:val="BodyText"/>
        <w:spacing w:line="225" w:lineRule="auto" w:before="12"/>
        <w:ind w:right="1130"/>
        <w:jc w:val="both"/>
      </w:pPr>
      <w:r>
        <w:rPr>
          <w:spacing w:val="-2"/>
        </w:rPr>
        <w:t>他与神州控股下属</w:t>
      </w:r>
      <w:r>
        <w:rPr>
          <w:rFonts w:ascii="Times New Roman" w:hAnsi="Times New Roman" w:cs="Times New Roman" w:eastAsia="Times New Roman" w:hint="default"/>
          <w:spacing w:val="-2"/>
        </w:rPr>
        <w:t>IT</w:t>
      </w:r>
      <w:r>
        <w:rPr>
          <w:spacing w:val="-2"/>
        </w:rPr>
        <w:t>分销业务公司相同条件的经营业务，因此将神州控股下属</w:t>
      </w:r>
      <w:r>
        <w:rPr>
          <w:rFonts w:ascii="Times New Roman" w:hAnsi="Times New Roman" w:cs="Times New Roman" w:eastAsia="Times New Roman" w:hint="default"/>
          <w:spacing w:val="-2"/>
        </w:rPr>
        <w:t>IT</w:t>
      </w:r>
      <w:r>
        <w:rPr>
          <w:spacing w:val="-2"/>
        </w:rPr>
        <w:t>分销业务公司认定为一个资产组，并以该资</w:t>
      </w:r>
      <w:r>
        <w:rPr>
          <w:spacing w:val="-42"/>
        </w:rPr>
        <w:t> </w:t>
      </w:r>
      <w:r>
        <w:rPr>
          <w:spacing w:val="-42"/>
        </w:rPr>
      </w:r>
      <w:r>
        <w:rPr>
          <w:spacing w:val="-2"/>
        </w:rPr>
        <w:t>产组为基础进行商誉的减值测试。本公司采用收益法对</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日资产组未来预计产生的现金流量现值进行估算，依据</w:t>
      </w:r>
      <w:r>
        <w:rPr>
          <w:spacing w:val="-56"/>
        </w:rPr>
        <w:t> </w:t>
      </w:r>
      <w:r>
        <w:rPr>
          <w:spacing w:val="-56"/>
        </w:rPr>
      </w:r>
      <w:r>
        <w:rPr/>
        <w:t>神州控股下属</w:t>
      </w:r>
      <w:r>
        <w:rPr>
          <w:rFonts w:ascii="Times New Roman" w:hAnsi="Times New Roman" w:cs="Times New Roman" w:eastAsia="Times New Roman" w:hint="default"/>
        </w:rPr>
        <w:t>IT</w:t>
      </w:r>
      <w:r>
        <w:rPr/>
        <w:t>分销业务公司管理层制定的未来</w:t>
      </w:r>
      <w:r>
        <w:rPr>
          <w:rFonts w:ascii="Times New Roman" w:hAnsi="Times New Roman" w:cs="Times New Roman" w:eastAsia="Times New Roman" w:hint="default"/>
        </w:rPr>
        <w:t>5</w:t>
      </w:r>
      <w:r>
        <w:rPr/>
        <w:t>年财务预算及</w:t>
      </w:r>
      <w:r>
        <w:rPr>
          <w:rFonts w:ascii="Times New Roman" w:hAnsi="Times New Roman" w:cs="Times New Roman" w:eastAsia="Times New Roman" w:hint="default"/>
        </w:rPr>
        <w:t>9.74%</w:t>
      </w:r>
      <w:r>
        <w:rPr/>
        <w:t>折现率预计未来现金流量现值，超过</w:t>
      </w:r>
      <w:r>
        <w:rPr>
          <w:rFonts w:ascii="Times New Roman" w:hAnsi="Times New Roman" w:cs="Times New Roman" w:eastAsia="Times New Roman" w:hint="default"/>
        </w:rPr>
        <w:t>5</w:t>
      </w:r>
      <w:r>
        <w:rPr/>
        <w:t>年财务预算之后 年份的现金流量均保持稳定。对神州控股下属</w:t>
      </w:r>
      <w:r>
        <w:rPr>
          <w:rFonts w:ascii="Times New Roman" w:hAnsi="Times New Roman" w:cs="Times New Roman" w:eastAsia="Times New Roman" w:hint="default"/>
        </w:rPr>
        <w:t>IT</w:t>
      </w:r>
      <w:r>
        <w:rPr/>
        <w:t>分销业务公司预计未来现金流量现值的计算采用了</w:t>
      </w:r>
      <w:r>
        <w:rPr>
          <w:rFonts w:ascii="Times New Roman" w:hAnsi="Times New Roman" w:cs="Times New Roman" w:eastAsia="Times New Roman" w:hint="default"/>
        </w:rPr>
        <w:t>4.00%-4.01%</w:t>
      </w:r>
      <w:r>
        <w:rPr/>
        <w:t>的毛利率及</w:t>
      </w:r>
      <w:r>
        <w:rPr>
          <w:spacing w:val="-78"/>
        </w:rPr>
        <w:t> </w:t>
      </w:r>
      <w:r>
        <w:rPr>
          <w:rFonts w:ascii="Times New Roman" w:hAnsi="Times New Roman" w:cs="Times New Roman" w:eastAsia="Times New Roman" w:hint="default"/>
        </w:rPr>
        <w:t>2.40%-8.13%</w:t>
      </w:r>
      <w:r>
        <w:rPr/>
        <w:t>的营业收入增长率作为关键假设，确定依据是预算期间之前的历史情况及对市场发展的预测。减值测试后，未</w:t>
      </w:r>
      <w:r>
        <w:rPr>
          <w:spacing w:val="-85"/>
        </w:rPr>
        <w:t> </w:t>
      </w:r>
      <w:r>
        <w:rPr>
          <w:spacing w:val="-85"/>
        </w:rPr>
      </w:r>
      <w:r>
        <w:rPr/>
        <w:t>发现商誉需要计提减值的情况。</w:t>
      </w:r>
    </w:p>
    <w:p>
      <w:pPr>
        <w:pStyle w:val="BodyText"/>
        <w:spacing w:line="234" w:lineRule="exact" w:before="23"/>
        <w:ind w:right="0" w:firstLine="360"/>
        <w:jc w:val="left"/>
      </w:pPr>
      <w:r>
        <w:rPr/>
        <w:t>注</w:t>
      </w:r>
      <w:r>
        <w:rPr>
          <w:rFonts w:ascii="Times New Roman" w:hAnsi="Times New Roman" w:cs="Times New Roman" w:eastAsia="Times New Roman" w:hint="default"/>
        </w:rPr>
        <w:t>2:</w:t>
      </w:r>
      <w:r>
        <w:rPr/>
        <w:t>该商誉为本公司</w:t>
      </w:r>
      <w:r>
        <w:rPr>
          <w:rFonts w:ascii="Times New Roman" w:hAnsi="Times New Roman" w:cs="Times New Roman" w:eastAsia="Times New Roman" w:hint="default"/>
        </w:rPr>
        <w:t>2017</w:t>
      </w:r>
      <w:r>
        <w:rPr/>
        <w:t>年非同一控制下收购上海云角</w:t>
      </w:r>
      <w:r>
        <w:rPr>
          <w:rFonts w:ascii="Times New Roman" w:hAnsi="Times New Roman" w:cs="Times New Roman" w:eastAsia="Times New Roman" w:hint="default"/>
        </w:rPr>
        <w:t>100%</w:t>
      </w:r>
      <w:r>
        <w:rPr/>
        <w:t>股权产生，合并对价</w:t>
      </w:r>
      <w:r>
        <w:rPr>
          <w:rFonts w:ascii="Times New Roman" w:hAnsi="Times New Roman" w:cs="Times New Roman" w:eastAsia="Times New Roman" w:hint="default"/>
        </w:rPr>
        <w:t>360,000,000.00</w:t>
      </w:r>
      <w:r>
        <w:rPr/>
        <w:t>元，公司应享有的上海 云角可辨认净资产公允价值为</w:t>
      </w:r>
      <w:r>
        <w:rPr>
          <w:rFonts w:ascii="Times New Roman" w:hAnsi="Times New Roman" w:cs="Times New Roman" w:eastAsia="Times New Roman" w:hint="default"/>
        </w:rPr>
        <w:t>40,442,105.93</w:t>
      </w:r>
      <w:r>
        <w:rPr/>
        <w:t>元，差额</w:t>
      </w:r>
      <w:r>
        <w:rPr>
          <w:rFonts w:ascii="Times New Roman" w:hAnsi="Times New Roman" w:cs="Times New Roman" w:eastAsia="Times New Roman" w:hint="default"/>
        </w:rPr>
        <w:t>319,557,894.07</w:t>
      </w:r>
      <w:r>
        <w:rPr/>
        <w:t>元计入商誉。</w:t>
      </w:r>
    </w:p>
    <w:p>
      <w:pPr>
        <w:pStyle w:val="BodyText"/>
        <w:spacing w:line="211" w:lineRule="exact"/>
        <w:ind w:left="514" w:right="0"/>
        <w:jc w:val="left"/>
      </w:pPr>
      <w:r>
        <w:rPr/>
        <w:t>本公司管理层对因收购上海云角产生的商誉进行减值测试，考虑上海云角主营业务明确并且单一，同时其主营业务或产</w:t>
      </w:r>
    </w:p>
    <w:p>
      <w:pPr>
        <w:spacing w:after="0" w:line="211" w:lineRule="exact"/>
        <w:jc w:val="left"/>
        <w:sectPr>
          <w:pgSz w:w="11910" w:h="16840"/>
          <w:pgMar w:header="877" w:footer="979" w:top="1100" w:bottom="1160" w:left="980" w:right="0"/>
        </w:sectPr>
      </w:pPr>
    </w:p>
    <w:p>
      <w:pPr>
        <w:spacing w:line="240" w:lineRule="auto" w:before="10"/>
        <w:rPr>
          <w:rFonts w:ascii="宋体" w:hAnsi="宋体" w:cs="宋体" w:eastAsia="宋体" w:hint="default"/>
          <w:sz w:val="18"/>
          <w:szCs w:val="18"/>
        </w:rPr>
      </w:pPr>
    </w:p>
    <w:p>
      <w:pPr>
        <w:pStyle w:val="BodyText"/>
        <w:spacing w:line="228" w:lineRule="auto" w:before="55"/>
        <w:ind w:right="1131"/>
        <w:jc w:val="both"/>
      </w:pPr>
      <w:r>
        <w:rPr>
          <w:spacing w:val="-2"/>
        </w:rPr>
        <w:t>品直接与市场衔接，由市场定价，符合资产组的相关要件，因此将上海云角认定为一个资产组，并以该资产组为基础进行商</w:t>
      </w:r>
      <w:r>
        <w:rPr>
          <w:spacing w:val="-66"/>
        </w:rPr>
        <w:t> </w:t>
      </w:r>
      <w:r>
        <w:rPr>
          <w:spacing w:val="-66"/>
        </w:rPr>
      </w:r>
      <w:r>
        <w:rPr>
          <w:spacing w:val="-2"/>
        </w:rPr>
        <w:t>誉的减值测试。本公司采用收益法对</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日资产组未来预计产生的现金流量现值进行估算，依据上海云角管理层制</w:t>
      </w:r>
      <w:r>
        <w:rPr>
          <w:spacing w:val="-56"/>
        </w:rPr>
        <w:t> </w:t>
      </w:r>
      <w:r>
        <w:rPr>
          <w:spacing w:val="-56"/>
        </w:rPr>
      </w:r>
      <w:r>
        <w:rPr/>
        <w:t>定的未来</w:t>
      </w:r>
      <w:r>
        <w:rPr>
          <w:rFonts w:ascii="Times New Roman" w:hAnsi="Times New Roman" w:cs="Times New Roman" w:eastAsia="Times New Roman" w:hint="default"/>
        </w:rPr>
        <w:t>5</w:t>
      </w:r>
      <w:r>
        <w:rPr/>
        <w:t>年财务预算及</w:t>
      </w:r>
      <w:r>
        <w:rPr>
          <w:rFonts w:ascii="Times New Roman" w:hAnsi="Times New Roman" w:cs="Times New Roman" w:eastAsia="Times New Roman" w:hint="default"/>
        </w:rPr>
        <w:t>12.47%</w:t>
      </w:r>
      <w:r>
        <w:rPr/>
        <w:t>折现率预计未来现金流量现值，超过</w:t>
      </w:r>
      <w:r>
        <w:rPr>
          <w:rFonts w:ascii="Times New Roman" w:hAnsi="Times New Roman" w:cs="Times New Roman" w:eastAsia="Times New Roman" w:hint="default"/>
        </w:rPr>
        <w:t>5</w:t>
      </w:r>
      <w:r>
        <w:rPr/>
        <w:t>年财务预算之后年份的现金流量均保持稳定。对上海</w:t>
      </w:r>
      <w:r>
        <w:rPr>
          <w:spacing w:val="-21"/>
        </w:rPr>
        <w:t> </w:t>
      </w:r>
      <w:r>
        <w:rPr>
          <w:spacing w:val="-21"/>
        </w:rPr>
      </w:r>
      <w:r>
        <w:rPr>
          <w:spacing w:val="-2"/>
        </w:rPr>
        <w:t>云角预计未来现金流量现值的计算采用了</w:t>
      </w:r>
      <w:r>
        <w:rPr>
          <w:rFonts w:ascii="Times New Roman" w:hAnsi="Times New Roman" w:cs="Times New Roman" w:eastAsia="Times New Roman" w:hint="default"/>
          <w:spacing w:val="-2"/>
        </w:rPr>
        <w:t>28.00%-32.00%</w:t>
      </w:r>
      <w:r>
        <w:rPr>
          <w:spacing w:val="-2"/>
        </w:rPr>
        <w:t>的毛利率及</w:t>
      </w:r>
      <w:r>
        <w:rPr>
          <w:rFonts w:ascii="Times New Roman" w:hAnsi="Times New Roman" w:cs="Times New Roman" w:eastAsia="Times New Roman" w:hint="default"/>
          <w:spacing w:val="-2"/>
        </w:rPr>
        <w:t>35.00%-60.00%</w:t>
      </w:r>
      <w:r>
        <w:rPr>
          <w:spacing w:val="-2"/>
        </w:rPr>
        <w:t>的营业收入增长率作为关键假设，确定依</w:t>
      </w:r>
      <w:r>
        <w:rPr>
          <w:spacing w:val="-43"/>
        </w:rPr>
        <w:t> </w:t>
      </w:r>
      <w:r>
        <w:rPr>
          <w:spacing w:val="-43"/>
        </w:rPr>
      </w:r>
      <w:r>
        <w:rPr/>
        <w:t>据是预算期间之前的历史情况及对市场发展的预测。减值测试后，未发现商誉需要计提减值的情况。</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17、长期待摊费用" w:id="265"/>
      <w:bookmarkEnd w:id="265"/>
      <w:r>
        <w:rPr>
          <w:b w:val="0"/>
          <w:bCs w:val="0"/>
        </w:rPr>
      </w:r>
      <w:r>
        <w:rPr>
          <w:rFonts w:ascii="Times New Roman" w:hAnsi="Times New Roman" w:cs="Times New Roman" w:eastAsia="Times New Roman" w:hint="default"/>
        </w:rPr>
        <w:t>17</w:t>
      </w:r>
      <w:r>
        <w:rPr/>
        <w:t>、长期待摊费用</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0" w:right="1130"/>
        <w:jc w:val="right"/>
      </w:pPr>
      <w:r>
        <w:rPr/>
        <w:t>单位： 元</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32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13,034,980.99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2,947,264.06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5,416,603.89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10,565,641.16</w:t>
            </w: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3,569,796.61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2,216,118.46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1,483,330.62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4,302,584.45</w:t>
            </w: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1,563,107.79</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1,563,107.79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18,167,885.39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5,163,382.52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8,463,042.30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14,868,225.61</w:t>
            </w:r>
          </w:p>
        </w:tc>
      </w:tr>
    </w:tbl>
    <w:p>
      <w:pPr>
        <w:pStyle w:val="BodyText"/>
        <w:spacing w:line="278" w:lineRule="auto" w:before="10"/>
        <w:ind w:right="1003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18、递延所得税资产/递延所得税负债" w:id="266"/>
      <w:bookmarkEnd w:id="266"/>
      <w:r>
        <w:rPr>
          <w:b w:val="0"/>
          <w:bCs w:val="0"/>
        </w:rPr>
      </w:r>
      <w:r>
        <w:rPr>
          <w:rFonts w:ascii="Times New Roman" w:hAnsi="Times New Roman" w:cs="Times New Roman" w:eastAsia="Times New Roman" w:hint="default"/>
        </w:rPr>
        <w:t>18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bookmarkStart w:name="（1）未经抵销的递延所得税资产" w:id="267"/>
      <w:bookmarkEnd w:id="267"/>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01"/>
        <w:gridCol w:w="1928"/>
        <w:gridCol w:w="1914"/>
        <w:gridCol w:w="1914"/>
        <w:gridCol w:w="1914"/>
      </w:tblGrid>
      <w:tr>
        <w:trPr>
          <w:trHeight w:val="167"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7"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57"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167"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491,361,135.44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120,488,192.59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399,663,152.72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98,194,574.86</w:t>
            </w:r>
          </w:p>
        </w:tc>
      </w:tr>
      <w:tr>
        <w:trPr>
          <w:trHeight w:val="32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958,621.64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239,655.41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23,149,087.70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5,787,271.93</w:t>
            </w:r>
          </w:p>
        </w:tc>
      </w:tr>
      <w:tr>
        <w:trPr>
          <w:trHeight w:val="32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12,543,681.73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3,135,920.43</w:t>
            </w:r>
          </w:p>
        </w:tc>
      </w:tr>
      <w:tr>
        <w:trPr>
          <w:trHeight w:val="324" w:hRule="exact"/>
        </w:trPr>
        <w:tc>
          <w:tcPr>
            <w:tcW w:w="190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预提销售折扣</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924,607,425.67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228,195,815.47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575,380,508.20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142,454,472.16</w:t>
            </w:r>
          </w:p>
        </w:tc>
      </w:tr>
      <w:tr>
        <w:trPr>
          <w:trHeight w:val="324" w:hRule="exact"/>
        </w:trPr>
        <w:tc>
          <w:tcPr>
            <w:tcW w:w="190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政府补贴（注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24,200,000.00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6,050,000.00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33,000,000.00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8,250,000.00</w:t>
            </w:r>
          </w:p>
        </w:tc>
      </w:tr>
      <w:tr>
        <w:trPr>
          <w:trHeight w:val="32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1,441,127,182.75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354,973,663.47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1,043,736,430.35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257,822,239.38</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2）未经抵销的递延所得税负债" w:id="268"/>
      <w:bookmarkEnd w:id="268"/>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167"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2"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167"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557"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2"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122,977,066.36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30,744,266.59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136,972,856.73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34,243,214.18</w:t>
            </w: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预扣税金</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112,983,093.24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28,245,773.33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190,781,412.00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47,695,353.00</w:t>
            </w: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内部交易未实现亏损</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41,541,587.15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10,385,396.79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20,196,809.16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5,049,202.29</w:t>
            </w: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采购折扣</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282,163,026.56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70,425,134.50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175,256,708.74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43,814,177.18</w:t>
            </w: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559,664,773.31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139,800,571.21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523,207,786.63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130,801,946.65</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3）以抵销后净额列示的递延所得税资产或负债" w:id="269"/>
      <w:bookmarkEnd w:id="269"/>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4"/>
        <w:gridCol w:w="1914"/>
        <w:gridCol w:w="1903"/>
      </w:tblGrid>
      <w:tr>
        <w:trPr>
          <w:trHeight w:val="3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
              <w:ind w:left="53" w:right="0"/>
              <w:jc w:val="left"/>
              <w:rPr>
                <w:rFonts w:ascii="宋体" w:hAnsi="宋体" w:cs="宋体" w:eastAsia="宋体" w:hint="default"/>
                <w:sz w:val="18"/>
                <w:szCs w:val="18"/>
              </w:rPr>
            </w:pPr>
            <w:r>
              <w:rPr>
                <w:rFonts w:ascii="宋体" w:hAnsi="宋体" w:cs="宋体" w:eastAsia="宋体" w:hint="default"/>
                <w:sz w:val="18"/>
                <w:szCs w:val="18"/>
              </w:rPr>
              <w:t>递延所得税资产和负债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
              <w:ind w:left="51" w:right="0"/>
              <w:jc w:val="left"/>
              <w:rPr>
                <w:rFonts w:ascii="宋体" w:hAnsi="宋体" w:cs="宋体" w:eastAsia="宋体" w:hint="default"/>
                <w:sz w:val="18"/>
                <w:szCs w:val="18"/>
              </w:rPr>
            </w:pPr>
            <w:r>
              <w:rPr>
                <w:rFonts w:ascii="宋体" w:hAnsi="宋体" w:cs="宋体" w:eastAsia="宋体" w:hint="default"/>
                <w:sz w:val="18"/>
                <w:szCs w:val="18"/>
              </w:rPr>
              <w:t>抵销后递延所得税资产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
              <w:ind w:left="51" w:right="0"/>
              <w:jc w:val="left"/>
              <w:rPr>
                <w:rFonts w:ascii="宋体" w:hAnsi="宋体" w:cs="宋体" w:eastAsia="宋体" w:hint="default"/>
                <w:sz w:val="18"/>
                <w:szCs w:val="18"/>
              </w:rPr>
            </w:pPr>
            <w:r>
              <w:rPr>
                <w:rFonts w:ascii="宋体" w:hAnsi="宋体" w:cs="宋体" w:eastAsia="宋体" w:hint="default"/>
                <w:sz w:val="18"/>
                <w:szCs w:val="18"/>
              </w:rPr>
              <w:t>递延所得税资产和负债</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
              <w:ind w:left="51" w:right="0"/>
              <w:jc w:val="left"/>
              <w:rPr>
                <w:rFonts w:ascii="宋体" w:hAnsi="宋体" w:cs="宋体" w:eastAsia="宋体" w:hint="default"/>
                <w:sz w:val="18"/>
                <w:szCs w:val="18"/>
              </w:rPr>
            </w:pPr>
            <w:r>
              <w:rPr>
                <w:rFonts w:ascii="宋体" w:hAnsi="宋体" w:cs="宋体" w:eastAsia="宋体" w:hint="default"/>
                <w:sz w:val="18"/>
                <w:szCs w:val="18"/>
              </w:rPr>
              <w:t>抵销后递延所得税资产</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28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425" w:right="0"/>
              <w:jc w:val="left"/>
              <w:rPr>
                <w:rFonts w:ascii="宋体" w:hAnsi="宋体" w:cs="宋体" w:eastAsia="宋体" w:hint="default"/>
                <w:sz w:val="18"/>
                <w:szCs w:val="18"/>
              </w:rPr>
            </w:pPr>
            <w:r>
              <w:rPr>
                <w:rFonts w:ascii="宋体" w:hAnsi="宋体" w:cs="宋体" w:eastAsia="宋体" w:hint="default"/>
                <w:sz w:val="18"/>
                <w:szCs w:val="18"/>
              </w:rPr>
              <w:t>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21" w:right="0"/>
              <w:jc w:val="left"/>
              <w:rPr>
                <w:rFonts w:ascii="宋体" w:hAnsi="宋体" w:cs="宋体" w:eastAsia="宋体" w:hint="default"/>
                <w:sz w:val="18"/>
                <w:szCs w:val="18"/>
              </w:rPr>
            </w:pPr>
            <w:r>
              <w:rPr>
                <w:rFonts w:ascii="宋体" w:hAnsi="宋体" w:cs="宋体" w:eastAsia="宋体" w:hint="default"/>
                <w:sz w:val="18"/>
                <w:szCs w:val="18"/>
              </w:rPr>
              <w:t>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411" w:right="0"/>
              <w:jc w:val="left"/>
              <w:rPr>
                <w:rFonts w:ascii="宋体" w:hAnsi="宋体" w:cs="宋体" w:eastAsia="宋体" w:hint="default"/>
                <w:sz w:val="18"/>
                <w:szCs w:val="18"/>
              </w:rPr>
            </w:pPr>
            <w:r>
              <w:rPr>
                <w:rFonts w:ascii="宋体" w:hAnsi="宋体" w:cs="宋体" w:eastAsia="宋体" w:hint="default"/>
                <w:sz w:val="18"/>
                <w:szCs w:val="18"/>
              </w:rPr>
              <w:t>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21" w:right="0"/>
              <w:jc w:val="left"/>
              <w:rPr>
                <w:rFonts w:ascii="宋体" w:hAnsi="宋体" w:cs="宋体" w:eastAsia="宋体" w:hint="default"/>
                <w:sz w:val="18"/>
                <w:szCs w:val="18"/>
              </w:rPr>
            </w:pPr>
            <w:r>
              <w:rPr>
                <w:rFonts w:ascii="宋体" w:hAnsi="宋体" w:cs="宋体" w:eastAsia="宋体" w:hint="default"/>
                <w:sz w:val="18"/>
                <w:szCs w:val="18"/>
              </w:rPr>
              <w:t>或负债期初余额</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70,425,134.50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284,548,528.97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43,814,177.18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214,008,062.20</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70,425,134.50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69,375,436.71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43,814,177.18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86,987,769.47</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4）未确认递延所得税资产明细" w:id="270"/>
      <w:bookmarkEnd w:id="270"/>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208,674,529.73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228,291,528.80</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479,315,056.79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341,891,031.42</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687,989,586.52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570,182,560.22</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5）未确认递延所得税资产的可抵扣亏损将于以下年度到期" w:id="271"/>
      <w:bookmarkEnd w:id="271"/>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32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2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3,316,396.97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3,316,396.97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118,225.68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118,225.68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9,132,083.67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8,694,302.28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123,020,409.82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121,710,677.54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198,916,798.11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208,051,428.95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144,811,142.54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10" w:space="0" w:color="D2D2D2"/>
              <w:right w:val="single" w:sz="4" w:space="0" w:color="000000"/>
            </w:tcBorders>
          </w:tcPr>
          <w:p>
            <w:pPr/>
          </w:p>
        </w:tc>
      </w:tr>
      <w:tr>
        <w:trPr>
          <w:trHeight w:val="32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479,315,056.79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341,891,031.42</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10"/>
        <w:ind w:right="0"/>
        <w:jc w:val="left"/>
      </w:pPr>
      <w:r>
        <w:rPr/>
        <w:t>其他说明：</w:t>
      </w:r>
    </w:p>
    <w:p>
      <w:pPr>
        <w:pStyle w:val="BodyText"/>
        <w:spacing w:line="240" w:lineRule="auto" w:before="37"/>
        <w:ind w:right="0"/>
        <w:jc w:val="left"/>
      </w:pPr>
      <w:r>
        <w:rPr/>
        <w:t>注</w:t>
      </w:r>
      <w:r>
        <w:rPr>
          <w:rFonts w:ascii="Times New Roman" w:hAnsi="Times New Roman" w:cs="Times New Roman" w:eastAsia="Times New Roman" w:hint="default"/>
        </w:rPr>
        <w:t>1</w:t>
      </w:r>
      <w:r>
        <w:rPr/>
        <w:t>：政府补贴为广州市萝岗开发区财政国库</w:t>
      </w:r>
      <w:r>
        <w:rPr>
          <w:rFonts w:ascii="Times New Roman" w:hAnsi="Times New Roman" w:cs="Times New Roman" w:eastAsia="Times New Roman" w:hint="default"/>
        </w:rPr>
        <w:t>-</w:t>
      </w:r>
      <w:r>
        <w:rPr/>
        <w:t>华南地区总部项目补贴收入确认的递延收益对应确认的递延所得税资产。</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19、其他非流动资产" w:id="272"/>
      <w:bookmarkEnd w:id="272"/>
      <w:r>
        <w:rPr>
          <w:b w:val="0"/>
          <w:bCs w:val="0"/>
        </w:rPr>
      </w:r>
      <w:r>
        <w:rPr>
          <w:rFonts w:ascii="Times New Roman" w:hAnsi="Times New Roman" w:cs="Times New Roman" w:eastAsia="Times New Roman" w:hint="default"/>
        </w:rPr>
        <w:t>19</w:t>
      </w:r>
      <w:r>
        <w:rPr/>
        <w:t>、其他非流动资产</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101,236,458.63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112,381,896.14</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101,236,458.63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112,381,896.14</w:t>
            </w:r>
          </w:p>
        </w:tc>
      </w:tr>
    </w:tbl>
    <w:p>
      <w:pPr>
        <w:pStyle w:val="BodyText"/>
        <w:spacing w:line="278" w:lineRule="auto" w:before="10"/>
        <w:ind w:right="985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0、短期借款" w:id="273"/>
      <w:bookmarkEnd w:id="273"/>
      <w:r>
        <w:rPr>
          <w:b w:val="0"/>
          <w:bCs w:val="0"/>
        </w:rPr>
      </w:r>
      <w:r>
        <w:rPr>
          <w:rFonts w:ascii="Times New Roman" w:hAnsi="Times New Roman" w:cs="Times New Roman" w:eastAsia="Times New Roman" w:hint="default"/>
        </w:rPr>
        <w:t>20</w:t>
      </w:r>
      <w:r>
        <w:rPr/>
        <w:t>、短期借款</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bookmarkStart w:name="（1）短期借款分类" w:id="274"/>
      <w:bookmarkEnd w:id="274"/>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7,646,938,327.86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6,835,910,461.73</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4"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340,003,636.12</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票据借款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1,159,359,033.76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870,000,000.00</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8,806,297,361.62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8,045,914,097.85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
        <w:rPr>
          <w:rFonts w:ascii="宋体" w:hAnsi="宋体" w:cs="宋体" w:eastAsia="宋体" w:hint="default"/>
          <w:sz w:val="19"/>
          <w:szCs w:val="19"/>
        </w:rPr>
      </w:pPr>
    </w:p>
    <w:p>
      <w:pPr>
        <w:spacing w:line="494" w:lineRule="auto" w:before="35"/>
        <w:ind w:left="154" w:right="5693" w:firstLine="0"/>
        <w:jc w:val="left"/>
        <w:rPr>
          <w:rFonts w:ascii="宋体" w:hAnsi="宋体" w:cs="宋体" w:eastAsia="宋体" w:hint="default"/>
          <w:sz w:val="21"/>
          <w:szCs w:val="21"/>
        </w:rPr>
      </w:pPr>
      <w:bookmarkStart w:name="（2）已逾期未偿还的短期借款情况" w:id="275"/>
      <w:bookmarkEnd w:id="27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）已逾期未偿还的短期借款情况</w:t>
      </w:r>
      <w:r>
        <w:rPr>
          <w:rFonts w:ascii="宋体" w:hAnsi="宋体" w:cs="宋体" w:eastAsia="宋体" w:hint="default"/>
          <w:b/>
          <w:bCs/>
          <w:w w:val="99"/>
          <w:sz w:val="21"/>
          <w:szCs w:val="21"/>
        </w:rPr>
        <w:t> </w:t>
      </w:r>
      <w:r>
        <w:rPr>
          <w:rFonts w:ascii="宋体" w:hAnsi="宋体" w:cs="宋体" w:eastAsia="宋体" w:hint="default"/>
          <w:sz w:val="18"/>
          <w:szCs w:val="18"/>
        </w:rPr>
        <w:t>本期末已逾期未偿还的短期借款总额为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w:t>
      </w:r>
      <w:bookmarkStart w:name="21、以公允价值计量且其变动计入当期损益的金融负债" w:id="276"/>
      <w:bookmarkEnd w:id="276"/>
      <w:r>
        <w:rPr>
          <w:rFonts w:ascii="宋体" w:hAnsi="宋体" w:cs="宋体" w:eastAsia="宋体" w:hint="default"/>
          <w:sz w:val="18"/>
          <w:szCs w:val="18"/>
        </w:rPr>
      </w: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、以公允价值计量且其变动计入当期损益的金融负债</w:t>
      </w:r>
      <w:r>
        <w:rPr>
          <w:rFonts w:ascii="宋体" w:hAnsi="宋体" w:cs="宋体" w:eastAsia="宋体" w:hint="default"/>
          <w:sz w:val="21"/>
          <w:szCs w:val="21"/>
        </w:rPr>
      </w:r>
    </w:p>
    <w:p>
      <w:pPr>
        <w:pStyle w:val="BodyText"/>
        <w:spacing w:line="240" w:lineRule="auto" w:before="40"/>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21,091,940.85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23,695,894.11</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91" w:right="0"/>
              <w:jc w:val="left"/>
              <w:rPr>
                <w:rFonts w:ascii="宋体" w:hAnsi="宋体" w:cs="宋体" w:eastAsia="宋体" w:hint="default"/>
                <w:sz w:val="18"/>
                <w:szCs w:val="18"/>
              </w:rPr>
            </w:pPr>
            <w:r>
              <w:rPr>
                <w:rFonts w:ascii="宋体" w:hAnsi="宋体" w:cs="宋体" w:eastAsia="宋体" w:hint="default"/>
                <w:sz w:val="18"/>
                <w:szCs w:val="18"/>
              </w:rPr>
              <w:t>其中：衍生金融负债</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21,091,940.85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23,695,894.11</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21,091,940.85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23,695,894.11</w:t>
            </w:r>
          </w:p>
        </w:tc>
      </w:tr>
    </w:tbl>
    <w:p>
      <w:pPr>
        <w:pStyle w:val="BodyText"/>
        <w:spacing w:line="278" w:lineRule="auto" w:before="10"/>
        <w:ind w:right="985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2、应付票据及应付账款" w:id="277"/>
      <w:bookmarkEnd w:id="277"/>
      <w:r>
        <w:rPr>
          <w:b w:val="0"/>
          <w:bCs w:val="0"/>
        </w:rPr>
      </w:r>
      <w:r>
        <w:rPr>
          <w:rFonts w:ascii="Times New Roman" w:hAnsi="Times New Roman" w:cs="Times New Roman" w:eastAsia="Times New Roman" w:hint="default"/>
        </w:rPr>
        <w:t>22</w:t>
      </w:r>
      <w:r>
        <w:rPr/>
        <w:t>、应付票据及应付账款</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2,573,972,176.18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2,239,637,904.20</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6,044,742,292.99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5,179,462,850.78</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8,618,714,469.17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7,419,100,754.98</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1）应付票据分类列示" w:id="278"/>
      <w:bookmarkEnd w:id="278"/>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306,972,867.91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838,173,502.79</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2,266,999,308.27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1,401,464,401.41</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2,573,972,176.18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2,239,637,904.20</w:t>
            </w:r>
          </w:p>
        </w:tc>
      </w:tr>
    </w:tbl>
    <w:p>
      <w:pPr>
        <w:pStyle w:val="BodyText"/>
        <w:spacing w:line="240" w:lineRule="auto" w:before="10"/>
        <w:ind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2）应付账款列示" w:id="279"/>
      <w:bookmarkEnd w:id="279"/>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6,044,742,292.99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5,179,462,850.78</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6,044,742,292.99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5,179,462,850.78</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3）账龄超过1年的重要应付账款" w:id="280"/>
      <w:bookmarkEnd w:id="280"/>
      <w:r>
        <w:rPr>
          <w:b w:val="0"/>
          <w:bCs w:val="0"/>
        </w:rPr>
      </w:r>
      <w:r>
        <w:rPr/>
        <w:t>（</w:t>
      </w:r>
      <w:r>
        <w:rPr>
          <w:rFonts w:ascii="Times New Roman" w:hAnsi="Times New Roman" w:cs="Times New Roman" w:eastAsia="Times New Roman" w:hint="default"/>
        </w:rPr>
        <w:t>3</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18,360,495.11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16,328,298.74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6,169,817.46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4,542,954.80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4,033,000.00</w:t>
            </w:r>
          </w:p>
        </w:tc>
        <w:tc>
          <w:tcPr>
            <w:tcW w:w="3189"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49,434,566.11</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78" w:lineRule="auto" w:before="10"/>
        <w:ind w:right="6792"/>
        <w:jc w:val="left"/>
      </w:pPr>
      <w:r>
        <w:rPr/>
        <w:t>其他说明： 前五名的应付账款单位均为本公司非关联方公司。</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3、预收款项" w:id="281"/>
      <w:bookmarkEnd w:id="281"/>
      <w:r>
        <w:rPr>
          <w:b w:val="0"/>
          <w:bCs w:val="0"/>
        </w:rPr>
      </w:r>
      <w:r>
        <w:rPr>
          <w:rFonts w:ascii="Times New Roman" w:hAnsi="Times New Roman" w:cs="Times New Roman" w:eastAsia="Times New Roman" w:hint="default"/>
        </w:rPr>
        <w:t>23</w:t>
      </w:r>
      <w:r>
        <w:rPr/>
        <w:t>、预收款项</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bookmarkStart w:name="（1）预收款项列示" w:id="282"/>
      <w:bookmarkEnd w:id="282"/>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1,130,643,920.83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1,004,813,516.95</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预收服务款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5,454,488.29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2"/>
                <w:sz w:val="18"/>
              </w:rPr>
              <w:t>4,111,712.05</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1,136,098,409.12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1,008,925,229.00</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24、应付职工薪酬" w:id="283"/>
      <w:bookmarkEnd w:id="283"/>
      <w:r>
        <w:rPr>
          <w:b w:val="0"/>
          <w:bCs w:val="0"/>
        </w:rPr>
      </w:r>
      <w:r>
        <w:rPr>
          <w:rFonts w:ascii="Times New Roman" w:hAnsi="Times New Roman" w:cs="Times New Roman" w:eastAsia="Times New Roman" w:hint="default"/>
        </w:rPr>
        <w:t>24</w:t>
      </w:r>
      <w:r>
        <w:rPr/>
        <w:t>、应付职工薪酬</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bookmarkStart w:name="（1）应付职工薪酬列示" w:id="284"/>
      <w:bookmarkEnd w:id="284"/>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32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339,663,759.53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871,618,108.36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865,426,489.95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345,855,377.94</w:t>
            </w:r>
          </w:p>
        </w:tc>
      </w:tr>
      <w:tr>
        <w:trPr>
          <w:trHeight w:val="557"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5,603,657.14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80,696,877.25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81,567,286.27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4,733,248.12</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285.36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6,849,284.52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6,849,569.88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345,267,702.03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959,164,270.13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953,843,346.10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350,588,626.06</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2）短期薪酬列示" w:id="285"/>
      <w:bookmarkEnd w:id="285"/>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57"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334,659,843.17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746,714,464.32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738,531,516.28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342,842,791.21</w:t>
            </w:r>
          </w:p>
        </w:tc>
      </w:tr>
      <w:tr>
        <w:trPr>
          <w:trHeight w:val="32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16,092,390.26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16,092,390.26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4,549,859.75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44,278,042.87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46,559,933.07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2,267,969.55</w:t>
            </w:r>
          </w:p>
        </w:tc>
      </w:tr>
      <w:tr>
        <w:trPr>
          <w:trHeight w:val="32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4,313,750.41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39,857,525.42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42,098,567.06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2,072,708.77</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69,454.07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1,195,492.96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1,216,318.81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48,628.22</w:t>
            </w:r>
          </w:p>
        </w:tc>
      </w:tr>
      <w:tr>
        <w:trPr>
          <w:trHeight w:val="32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166,655.27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3,225,024.49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3,245,047.20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146,632.56</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140,137.30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52,604,040.78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52,412,845.18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331,332.90</w:t>
            </w:r>
          </w:p>
        </w:tc>
      </w:tr>
      <w:tr>
        <w:trPr>
          <w:trHeight w:val="557"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313,919.31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11,929,170.13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11,829,805.16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413,284.28</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339,663,759.53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871,618,108.36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865,426,489.95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345,855,377.94</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3）设定提存计划列示" w:id="286"/>
      <w:bookmarkEnd w:id="286"/>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after="0" w:line="240" w:lineRule="auto"/>
        <w:jc w:val="right"/>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5,406,321.81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77,957,823.96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78,798,594.63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4,565,551.14</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197,335.33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2,739,053.29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2,768,691.64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167,696.98</w:t>
            </w:r>
          </w:p>
        </w:tc>
      </w:tr>
      <w:tr>
        <w:trPr>
          <w:trHeight w:val="32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5,603,657.14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80,696,877.25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81,567,286.27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4,733,248.12</w:t>
            </w:r>
          </w:p>
        </w:tc>
      </w:tr>
    </w:tbl>
    <w:p>
      <w:pPr>
        <w:pStyle w:val="BodyText"/>
        <w:spacing w:line="278" w:lineRule="auto" w:before="11"/>
        <w:ind w:right="985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5、应交税费" w:id="287"/>
      <w:bookmarkEnd w:id="287"/>
      <w:r>
        <w:rPr>
          <w:b w:val="0"/>
          <w:bCs w:val="0"/>
        </w:rPr>
      </w:r>
      <w:r>
        <w:rPr>
          <w:rFonts w:ascii="Times New Roman" w:hAnsi="Times New Roman" w:cs="Times New Roman" w:eastAsia="Times New Roman" w:hint="default"/>
        </w:rPr>
        <w:t>25</w:t>
      </w:r>
      <w:r>
        <w:rPr/>
        <w:t>、应交税费</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62,970,619.61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130,147,585.81</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208,369,163.54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213,603,065.96</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2,693,381.72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6,410,513.14</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4,598,399.57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8,622,413.94</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14,416,591.04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15,317,821.52</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1,970,742.67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3,695,320.26</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914,666.07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2,553,657.27</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45,778.83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104,218.40</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295,979,343.05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380,454,596.30</w:t>
            </w:r>
          </w:p>
        </w:tc>
      </w:tr>
    </w:tbl>
    <w:p>
      <w:pPr>
        <w:pStyle w:val="BodyText"/>
        <w:spacing w:line="278" w:lineRule="auto" w:before="10"/>
        <w:ind w:right="985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6、其他应付款" w:id="288"/>
      <w:bookmarkEnd w:id="288"/>
      <w:r>
        <w:rPr>
          <w:b w:val="0"/>
          <w:bCs w:val="0"/>
        </w:rPr>
      </w:r>
      <w:r>
        <w:rPr>
          <w:rFonts w:ascii="Times New Roman" w:hAnsi="Times New Roman" w:cs="Times New Roman" w:eastAsia="Times New Roman" w:hint="default"/>
        </w:rPr>
        <w:t>26</w:t>
      </w:r>
      <w:r>
        <w:rPr/>
        <w:t>、其他应付款</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29,646,939.68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24,320,542.71</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0.00</w:t>
            </w:r>
          </w:p>
        </w:tc>
      </w:tr>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589,886,716.74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2,023,094,548.60</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619,533,656.42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2,047,415,091.31</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1）应付利息" w:id="289"/>
      <w:bookmarkEnd w:id="289"/>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76"/>
        <w:gridCol w:w="3194"/>
        <w:gridCol w:w="3189"/>
      </w:tblGrid>
      <w:tr>
        <w:trPr>
          <w:trHeight w:val="32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3,570,416.67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1,886,088.84</w:t>
            </w:r>
          </w:p>
        </w:tc>
      </w:tr>
      <w:tr>
        <w:trPr>
          <w:trHeight w:val="32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15,086,939.68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22,434,453.87</w:t>
            </w:r>
          </w:p>
        </w:tc>
      </w:tr>
      <w:tr>
        <w:trPr>
          <w:trHeight w:val="324" w:hRule="exact"/>
        </w:trPr>
        <w:tc>
          <w:tcPr>
            <w:tcW w:w="317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应付履约保证金利息（注）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10,989,583.33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29,646,939.68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24,320,542.71</w:t>
            </w:r>
          </w:p>
        </w:tc>
      </w:tr>
    </w:tbl>
    <w:p>
      <w:pPr>
        <w:pStyle w:val="BodyText"/>
        <w:spacing w:line="278" w:lineRule="auto" w:before="10"/>
        <w:ind w:right="8052"/>
        <w:jc w:val="left"/>
      </w:pPr>
      <w:r>
        <w:rPr/>
        <w:t>重要的已逾期未支付的利息情况： 无</w:t>
      </w:r>
    </w:p>
    <w:p>
      <w:pPr>
        <w:spacing w:line="240" w:lineRule="auto" w:before="8"/>
        <w:rPr>
          <w:rFonts w:ascii="宋体" w:hAnsi="宋体" w:cs="宋体" w:eastAsia="宋体" w:hint="default"/>
          <w:sz w:val="19"/>
          <w:szCs w:val="19"/>
        </w:rPr>
      </w:pPr>
    </w:p>
    <w:p>
      <w:pPr>
        <w:pStyle w:val="BodyText"/>
        <w:spacing w:line="240" w:lineRule="auto"/>
        <w:ind w:right="0"/>
        <w:jc w:val="left"/>
      </w:pPr>
      <w:r>
        <w:rPr/>
        <w:t>其他说明：</w:t>
      </w:r>
    </w:p>
    <w:p>
      <w:pPr>
        <w:pStyle w:val="BodyText"/>
        <w:spacing w:line="232" w:lineRule="exact" w:before="62"/>
        <w:ind w:right="1116" w:firstLine="360"/>
        <w:jc w:val="left"/>
      </w:pPr>
      <w:r>
        <w:rPr/>
        <w:t>注</w:t>
      </w:r>
      <w:r>
        <w:rPr>
          <w:rFonts w:ascii="Times New Roman" w:hAnsi="Times New Roman" w:cs="Times New Roman" w:eastAsia="Times New Roman" w:hint="default"/>
        </w:rPr>
        <w:t>:</w:t>
      </w:r>
      <w:r>
        <w:rPr>
          <w:rFonts w:ascii="Times New Roman" w:hAnsi="Times New Roman" w:cs="Times New Roman" w:eastAsia="Times New Roman" w:hint="default"/>
          <w:spacing w:val="-9"/>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日，本公司与卓越置业集团有限公司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卓越置业</w:t>
      </w:r>
      <w:r>
        <w:rPr>
          <w:rFonts w:ascii="Times New Roman" w:hAnsi="Times New Roman" w:cs="Times New Roman" w:eastAsia="Times New Roman" w:hint="default"/>
        </w:rPr>
        <w:t>”)</w:t>
      </w:r>
      <w:r>
        <w:rPr/>
        <w:t>签署了《深圳湾神州数码国际总部项目策划 </w:t>
      </w:r>
      <w:r>
        <w:rPr>
          <w:spacing w:val="-9"/>
        </w:rPr>
        <w:t>营销综合管理服务协议》，协议约定</w:t>
      </w:r>
      <w:r>
        <w:rPr>
          <w:rFonts w:ascii="Times New Roman" w:hAnsi="Times New Roman" w:cs="Times New Roman" w:eastAsia="Times New Roman" w:hint="default"/>
          <w:spacing w:val="-9"/>
        </w:rPr>
        <w:t>:</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spacing w:val="-2"/>
        </w:rPr>
        <w:t>卓越置业应分别于合同生效后及</w:t>
      </w:r>
      <w:r>
        <w:rPr>
          <w:rFonts w:ascii="Times New Roman" w:hAnsi="Times New Roman" w:cs="Times New Roman" w:eastAsia="Times New Roman" w:hint="default"/>
          <w:spacing w:val="-2"/>
        </w:rPr>
        <w:t>2021</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26</w:t>
      </w:r>
      <w:r>
        <w:rPr>
          <w:spacing w:val="-2"/>
        </w:rPr>
        <w:t>日前，分次支付给公司</w:t>
      </w:r>
      <w:r>
        <w:rPr>
          <w:rFonts w:ascii="Times New Roman" w:hAnsi="Times New Roman" w:cs="Times New Roman" w:eastAsia="Times New Roman" w:hint="default"/>
          <w:spacing w:val="-2"/>
        </w:rPr>
        <w:t>5</w:t>
      </w:r>
      <w:r>
        <w:rPr>
          <w:spacing w:val="-2"/>
        </w:rPr>
        <w:t>亿元履约保证金，</w:t>
      </w:r>
    </w:p>
    <w:p>
      <w:pPr>
        <w:spacing w:after="0" w:line="232" w:lineRule="exact"/>
        <w:jc w:val="left"/>
        <w:sectPr>
          <w:pgSz w:w="11910" w:h="16840"/>
          <w:pgMar w:header="877" w:footer="979" w:top="1100" w:bottom="1160" w:left="980" w:right="0"/>
        </w:sectPr>
      </w:pPr>
    </w:p>
    <w:p>
      <w:pPr>
        <w:spacing w:line="240" w:lineRule="auto" w:before="10"/>
        <w:rPr>
          <w:rFonts w:ascii="宋体" w:hAnsi="宋体" w:cs="宋体" w:eastAsia="宋体" w:hint="default"/>
          <w:sz w:val="18"/>
          <w:szCs w:val="18"/>
        </w:rPr>
      </w:pPr>
    </w:p>
    <w:p>
      <w:pPr>
        <w:pStyle w:val="BodyText"/>
        <w:spacing w:line="234" w:lineRule="exact" w:before="67"/>
        <w:ind w:right="1118"/>
        <w:jc w:val="left"/>
      </w:pPr>
      <w:r>
        <w:rPr/>
        <w:t>在协议服务期限内，若完成销售收入，本公司需按照年利率的</w:t>
      </w:r>
      <w:r>
        <w:rPr>
          <w:rFonts w:ascii="Times New Roman" w:hAnsi="Times New Roman" w:cs="Times New Roman" w:eastAsia="Times New Roman" w:hint="default"/>
        </w:rPr>
        <w:t>7.5%</w:t>
      </w:r>
      <w:r>
        <w:rPr/>
        <w:t>，将卓越置业支付的履约保证金本息一次性退还给卓越</w:t>
      </w:r>
      <w:r>
        <w:rPr>
          <w:spacing w:val="-19"/>
        </w:rPr>
        <w:t> </w:t>
      </w:r>
      <w:r>
        <w:rPr>
          <w:spacing w:val="-19"/>
        </w:rPr>
      </w:r>
      <w:r>
        <w:rPr/>
        <w:t>置业。</w:t>
      </w:r>
      <w:r>
        <w:rPr>
          <w:spacing w:val="-22"/>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4</w:t>
      </w:r>
      <w:r>
        <w:rPr/>
        <w:t>日，卓越置业已支付履约保证金</w:t>
      </w:r>
      <w:r>
        <w:rPr>
          <w:rFonts w:ascii="Times New Roman" w:hAnsi="Times New Roman" w:cs="Times New Roman" w:eastAsia="Times New Roman" w:hint="default"/>
        </w:rPr>
        <w:t>2.5</w:t>
      </w:r>
      <w:r>
        <w:rPr/>
        <w:t>亿元，本公司计提应付利息</w:t>
      </w:r>
      <w:r>
        <w:rPr>
          <w:rFonts w:ascii="Times New Roman" w:hAnsi="Times New Roman" w:cs="Times New Roman" w:eastAsia="Times New Roman" w:hint="default"/>
        </w:rPr>
        <w:t>10,989,583.33</w:t>
      </w:r>
      <w:r>
        <w:rPr/>
        <w:t>元。</w:t>
      </w: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2）应付股利" w:id="290"/>
      <w:bookmarkEnd w:id="290"/>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61" w:lineRule="auto" w:before="10"/>
        <w:ind w:right="4994"/>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 无</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其他应付款" w:id="291"/>
      <w:bookmarkEnd w:id="291"/>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8"/>
        <w:rPr>
          <w:rFonts w:ascii="宋体" w:hAnsi="宋体" w:cs="宋体" w:eastAsia="宋体" w:hint="default"/>
          <w:b/>
          <w:bCs/>
          <w:sz w:val="18"/>
          <w:szCs w:val="18"/>
        </w:rPr>
      </w:pPr>
    </w:p>
    <w:p>
      <w:pPr>
        <w:pStyle w:val="Heading5"/>
        <w:spacing w:line="240" w:lineRule="auto"/>
        <w:ind w:right="0"/>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42"/>
        </w:rPr>
        <w:t> </w:t>
      </w:r>
      <w:r>
        <w:rPr/>
        <w:t>按款项性质列示其他应付款</w:t>
      </w:r>
      <w:r>
        <w:rPr>
          <w:b w:val="0"/>
          <w:bCs w:val="0"/>
        </w:rPr>
      </w:r>
    </w:p>
    <w:p>
      <w:pPr>
        <w:pStyle w:val="BodyText"/>
        <w:spacing w:line="240" w:lineRule="auto" w:before="2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保证金</w:t>
            </w:r>
            <w:r>
              <w:rPr>
                <w:rFonts w:ascii="Times New Roman" w:hAnsi="Times New Roman" w:cs="Times New Roman" w:eastAsia="Times New Roman" w:hint="default"/>
                <w:sz w:val="18"/>
                <w:szCs w:val="18"/>
              </w:rPr>
              <w:t>/</w:t>
            </w:r>
            <w:r>
              <w:rPr>
                <w:rFonts w:ascii="宋体" w:hAnsi="宋体" w:cs="宋体" w:eastAsia="宋体" w:hint="default"/>
                <w:sz w:val="18"/>
                <w:szCs w:val="18"/>
              </w:rPr>
              <w:t>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252,892,979.57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5,156,185.93</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待支付的合同款项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170,147,634.18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38,576,049.29</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待支付的渠道推广费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65,896,844.48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54,285,257.80</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29,003,763.63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36,961,673.46</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待支付中介机构款项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14,937,897.44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15,647,695.52</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待支付员工报销款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10,941,694.69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2"/>
                <w:sz w:val="18"/>
              </w:rPr>
              <w:t>11,810,114.22</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应付土地款 </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1,813,000,000.00</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46,065,902.75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47,657,572.38</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589,886,716.74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2,023,094,548.60</w:t>
            </w:r>
          </w:p>
        </w:tc>
      </w:tr>
    </w:tbl>
    <w:p>
      <w:pPr>
        <w:pStyle w:val="Heading5"/>
        <w:spacing w:line="261" w:lineRule="auto" w:before="10"/>
        <w:ind w:right="7803"/>
        <w:jc w:val="left"/>
        <w:rPr>
          <w:rFonts w:ascii="宋体" w:hAnsi="宋体" w:cs="宋体" w:eastAsia="宋体" w:hint="default"/>
          <w:b w:val="0"/>
          <w:bCs w:val="0"/>
        </w:rPr>
      </w:pPr>
      <w:r>
        <w:rPr>
          <w:rFonts w:ascii="Times New Roman" w:hAnsi="Times New Roman" w:cs="Times New Roman" w:eastAsia="Times New Roman" w:hint="default"/>
        </w:rPr>
        <w:t>2) </w:t>
      </w:r>
      <w:r>
        <w:rPr/>
        <w:t>无账龄超过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w w:val="99"/>
        </w:rPr>
        <w:t> </w:t>
      </w:r>
      <w:r>
        <w:rPr>
          <w:rFonts w:ascii="宋体" w:hAnsi="宋体" w:cs="宋体" w:eastAsia="宋体" w:hint="default"/>
          <w:b w:val="0"/>
          <w:bCs w:val="0"/>
        </w:rPr>
        <w:t>无</w:t>
      </w:r>
    </w:p>
    <w:p>
      <w:pPr>
        <w:spacing w:line="240" w:lineRule="auto" w:before="7"/>
        <w:rPr>
          <w:rFonts w:ascii="宋体" w:hAnsi="宋体" w:cs="宋体" w:eastAsia="宋体" w:hint="default"/>
          <w:sz w:val="20"/>
          <w:szCs w:val="20"/>
        </w:rPr>
      </w:pPr>
    </w:p>
    <w:p>
      <w:pPr>
        <w:pStyle w:val="BodyText"/>
        <w:spacing w:line="240" w:lineRule="auto"/>
        <w:ind w:right="0"/>
        <w:jc w:val="left"/>
      </w:pPr>
      <w:r>
        <w:rPr/>
        <w:t>其他说明</w:t>
      </w:r>
    </w:p>
    <w:p>
      <w:pPr>
        <w:pStyle w:val="BodyText"/>
        <w:spacing w:line="225" w:lineRule="auto" w:before="50"/>
        <w:ind w:right="1131" w:firstLine="360"/>
        <w:jc w:val="both"/>
      </w:pPr>
      <w:r>
        <w:rPr/>
        <w:t>注</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日，本公司参加深圳市南山区深圳湾超级总部基地挂牌竞买事宜，竞得宗地编号为</w:t>
      </w:r>
      <w:r>
        <w:rPr>
          <w:rFonts w:ascii="Times New Roman" w:hAnsi="Times New Roman" w:cs="Times New Roman" w:eastAsia="Times New Roman" w:hint="default"/>
        </w:rPr>
        <w:t>T207-0052</w:t>
      </w:r>
      <w:r>
        <w:rPr/>
        <w:t>的土地使 用权。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日，本公司与深圳市规划和国土资源委员会南山管理局签署了《深圳市土地使用权出让合同书》，土地</w:t>
      </w:r>
      <w:r>
        <w:rPr>
          <w:spacing w:val="-83"/>
        </w:rPr>
        <w:t> </w:t>
      </w:r>
      <w:r>
        <w:rPr>
          <w:spacing w:val="-83"/>
        </w:rPr>
      </w:r>
      <w:r>
        <w:rPr/>
        <w:t>价款</w:t>
      </w:r>
      <w:r>
        <w:rPr>
          <w:rFonts w:ascii="Times New Roman" w:hAnsi="Times New Roman" w:cs="Times New Roman" w:eastAsia="Times New Roman" w:hint="default"/>
        </w:rPr>
        <w:t>3,626,000,000.00</w:t>
      </w:r>
      <w:r>
        <w:rPr/>
        <w:t>元，本公司于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月支付</w:t>
      </w:r>
      <w:r>
        <w:rPr>
          <w:rFonts w:ascii="Times New Roman" w:hAnsi="Times New Roman" w:cs="Times New Roman" w:eastAsia="Times New Roman" w:hint="default"/>
        </w:rPr>
        <w:t>1,813,000,000</w:t>
      </w:r>
      <w:r>
        <w:rPr/>
        <w:t>元，剩余土地款</w:t>
      </w:r>
      <w:r>
        <w:rPr>
          <w:rFonts w:ascii="Times New Roman" w:hAnsi="Times New Roman" w:cs="Times New Roman" w:eastAsia="Times New Roman" w:hint="default"/>
        </w:rPr>
        <w:t>1,813,000,000</w:t>
      </w:r>
      <w:r>
        <w:rPr/>
        <w:t>元已于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月支付完毕。</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bookmarkStart w:name="27、一年内到期的非流动负债" w:id="292"/>
      <w:bookmarkEnd w:id="292"/>
      <w:r>
        <w:rPr>
          <w:b w:val="0"/>
          <w:bCs w:val="0"/>
        </w:rPr>
      </w:r>
      <w:r>
        <w:rPr>
          <w:rFonts w:ascii="Times New Roman" w:hAnsi="Times New Roman" w:cs="Times New Roman" w:eastAsia="Times New Roman" w:hint="default"/>
        </w:rPr>
        <w:t>27</w:t>
      </w:r>
      <w:r>
        <w:rPr/>
        <w:t>、一年内到期的非流动负债</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450,000,000.00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300,000,000.00</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2"/>
                <w:sz w:val="18"/>
              </w:rPr>
              <w:t>11,111,943.16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11,207,535.78</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2"/>
                <w:sz w:val="18"/>
              </w:rPr>
              <w:t>461,111,943.16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311,207,535.78</w:t>
            </w:r>
          </w:p>
        </w:tc>
      </w:tr>
    </w:tbl>
    <w:p>
      <w:pPr>
        <w:pStyle w:val="BodyText"/>
        <w:spacing w:line="278" w:lineRule="auto" w:before="10"/>
        <w:ind w:right="9852"/>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28、其他流动负债" w:id="293"/>
      <w:bookmarkEnd w:id="293"/>
      <w:r>
        <w:rPr>
          <w:b w:val="0"/>
          <w:bCs w:val="0"/>
        </w:rPr>
      </w:r>
      <w:r>
        <w:rPr>
          <w:rFonts w:ascii="Times New Roman" w:hAnsi="Times New Roman" w:cs="Times New Roman" w:eastAsia="Times New Roman" w:hint="default"/>
        </w:rPr>
        <w:t>28</w:t>
      </w:r>
      <w:r>
        <w:rPr/>
        <w:t>、其他流动负债</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15,876,120.61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20,380,294.41</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15,876,120.61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20,380,294.41</w:t>
            </w:r>
          </w:p>
        </w:tc>
      </w:tr>
    </w:tbl>
    <w:p>
      <w:pPr>
        <w:spacing w:line="240" w:lineRule="auto" w:before="4"/>
        <w:rPr>
          <w:rFonts w:ascii="宋体" w:hAnsi="宋体" w:cs="宋体" w:eastAsia="宋体" w:hint="default"/>
          <w:sz w:val="16"/>
          <w:szCs w:val="16"/>
        </w:rPr>
      </w:pPr>
    </w:p>
    <w:p>
      <w:pPr>
        <w:pStyle w:val="BodyText"/>
        <w:spacing w:line="278" w:lineRule="auto" w:before="44"/>
        <w:ind w:right="8592"/>
        <w:jc w:val="left"/>
      </w:pPr>
      <w:r>
        <w:rPr/>
        <w:t>短期应付债券的增减变动： 无</w:t>
      </w:r>
    </w:p>
    <w:p>
      <w:pPr>
        <w:spacing w:line="240" w:lineRule="auto" w:before="8"/>
        <w:rPr>
          <w:rFonts w:ascii="宋体" w:hAnsi="宋体" w:cs="宋体" w:eastAsia="宋体" w:hint="default"/>
          <w:sz w:val="19"/>
          <w:szCs w:val="19"/>
        </w:rPr>
      </w:pPr>
    </w:p>
    <w:p>
      <w:pPr>
        <w:pStyle w:val="BodyText"/>
        <w:spacing w:line="278" w:lineRule="auto"/>
        <w:ind w:right="9132"/>
        <w:jc w:val="left"/>
      </w:pPr>
      <w:r>
        <w:rPr/>
        <w:t>其他说明 政府补助详细说明：</w:t>
      </w:r>
    </w:p>
    <w:p>
      <w:pPr>
        <w:spacing w:line="240" w:lineRule="auto" w:before="1"/>
        <w:rPr>
          <w:rFonts w:ascii="宋体" w:hAnsi="宋体" w:cs="宋体" w:eastAsia="宋体" w:hint="default"/>
          <w:sz w:val="3"/>
          <w:szCs w:val="3"/>
        </w:rPr>
      </w:pPr>
    </w:p>
    <w:tbl>
      <w:tblPr>
        <w:tblW w:w="0" w:type="auto"/>
        <w:jc w:val="left"/>
        <w:tblInd w:w="216" w:type="dxa"/>
        <w:tblLayout w:type="fixed"/>
        <w:tblCellMar>
          <w:top w:w="0" w:type="dxa"/>
          <w:left w:w="0" w:type="dxa"/>
          <w:bottom w:w="0" w:type="dxa"/>
          <w:right w:w="0" w:type="dxa"/>
        </w:tblCellMar>
        <w:tblLook w:val="01E0"/>
      </w:tblPr>
      <w:tblGrid>
        <w:gridCol w:w="1419"/>
        <w:gridCol w:w="1276"/>
        <w:gridCol w:w="1276"/>
        <w:gridCol w:w="1276"/>
        <w:gridCol w:w="1277"/>
        <w:gridCol w:w="1276"/>
        <w:gridCol w:w="1700"/>
      </w:tblGrid>
      <w:tr>
        <w:trPr>
          <w:trHeight w:val="501" w:hRule="exact"/>
        </w:trPr>
        <w:tc>
          <w:tcPr>
            <w:tcW w:w="14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6"/>
              <w:ind w:left="162" w:right="0"/>
              <w:jc w:val="left"/>
              <w:rPr>
                <w:rFonts w:ascii="宋体" w:hAnsi="宋体" w:cs="宋体" w:eastAsia="宋体" w:hint="default"/>
                <w:sz w:val="18"/>
                <w:szCs w:val="18"/>
              </w:rPr>
            </w:pPr>
            <w:r>
              <w:rPr>
                <w:rFonts w:ascii="宋体" w:hAnsi="宋体" w:cs="宋体" w:eastAsia="宋体" w:hint="default"/>
                <w:sz w:val="18"/>
                <w:szCs w:val="18"/>
              </w:rPr>
              <w:t>政府补助项目</w:t>
            </w:r>
          </w:p>
        </w:tc>
        <w:tc>
          <w:tcPr>
            <w:tcW w:w="12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6"/>
              <w:ind w:left="269"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2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6"/>
              <w:ind w:left="91" w:right="0"/>
              <w:jc w:val="left"/>
              <w:rPr>
                <w:rFonts w:ascii="宋体" w:hAnsi="宋体" w:cs="宋体" w:eastAsia="宋体" w:hint="default"/>
                <w:sz w:val="18"/>
                <w:szCs w:val="18"/>
              </w:rPr>
            </w:pPr>
            <w:r>
              <w:rPr>
                <w:rFonts w:ascii="宋体" w:hAnsi="宋体" w:cs="宋体" w:eastAsia="宋体" w:hint="default"/>
                <w:sz w:val="18"/>
                <w:szCs w:val="18"/>
              </w:rPr>
              <w:t>新增补助金额</w:t>
            </w:r>
          </w:p>
        </w:tc>
        <w:tc>
          <w:tcPr>
            <w:tcW w:w="12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2" w:lineRule="exact" w:before="4"/>
              <w:ind w:left="360" w:right="89" w:hanging="270"/>
              <w:jc w:val="left"/>
              <w:rPr>
                <w:rFonts w:ascii="宋体" w:hAnsi="宋体" w:cs="宋体" w:eastAsia="宋体" w:hint="default"/>
                <w:sz w:val="18"/>
                <w:szCs w:val="18"/>
              </w:rPr>
            </w:pPr>
            <w:r>
              <w:rPr>
                <w:rFonts w:ascii="宋体" w:hAnsi="宋体" w:cs="宋体" w:eastAsia="宋体" w:hint="default"/>
                <w:sz w:val="18"/>
                <w:szCs w:val="18"/>
              </w:rPr>
              <w:t>计入营业外收 入金额</w:t>
            </w:r>
          </w:p>
        </w:tc>
        <w:tc>
          <w:tcPr>
            <w:tcW w:w="12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2" w:lineRule="exact" w:before="4"/>
              <w:ind w:left="449" w:right="90" w:hanging="360"/>
              <w:jc w:val="left"/>
              <w:rPr>
                <w:rFonts w:ascii="宋体" w:hAnsi="宋体" w:cs="宋体" w:eastAsia="宋体" w:hint="default"/>
                <w:sz w:val="18"/>
                <w:szCs w:val="18"/>
              </w:rPr>
            </w:pPr>
            <w:r>
              <w:rPr>
                <w:rFonts w:ascii="宋体" w:hAnsi="宋体" w:cs="宋体" w:eastAsia="宋体" w:hint="default"/>
                <w:sz w:val="18"/>
                <w:szCs w:val="18"/>
              </w:rPr>
              <w:t>计入其他收益 金额</w:t>
            </w:r>
          </w:p>
        </w:tc>
        <w:tc>
          <w:tcPr>
            <w:tcW w:w="12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6"/>
              <w:ind w:left="270"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2" w:lineRule="exact" w:before="4"/>
              <w:ind w:left="752" w:right="6" w:hanging="74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 关</w:t>
            </w:r>
          </w:p>
        </w:tc>
      </w:tr>
      <w:tr>
        <w:trPr>
          <w:trHeight w:val="736"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5"/>
              <w:ind w:left="3" w:right="78"/>
              <w:jc w:val="left"/>
              <w:rPr>
                <w:rFonts w:ascii="宋体" w:hAnsi="宋体" w:cs="宋体" w:eastAsia="宋体" w:hint="default"/>
                <w:sz w:val="18"/>
                <w:szCs w:val="18"/>
              </w:rPr>
            </w:pPr>
            <w:r>
              <w:rPr>
                <w:rFonts w:ascii="宋体" w:hAnsi="宋体" w:cs="宋体" w:eastAsia="宋体" w:hint="default"/>
                <w:sz w:val="18"/>
                <w:szCs w:val="18"/>
              </w:rPr>
              <w:t>广州市萝岗开发 区财政国库</w:t>
            </w:r>
            <w:r>
              <w:rPr>
                <w:rFonts w:ascii="Times New Roman" w:hAnsi="Times New Roman" w:cs="Times New Roman" w:eastAsia="Times New Roman" w:hint="default"/>
                <w:sz w:val="18"/>
                <w:szCs w:val="18"/>
              </w:rPr>
              <w:t>-</w:t>
            </w:r>
            <w:r>
              <w:rPr>
                <w:rFonts w:ascii="宋体" w:hAnsi="宋体" w:cs="宋体" w:eastAsia="宋体" w:hint="default"/>
                <w:sz w:val="18"/>
                <w:szCs w:val="18"/>
              </w:rPr>
              <w:t>华南</w:t>
            </w:r>
          </w:p>
          <w:p>
            <w:pPr>
              <w:pStyle w:val="TableParagraph"/>
              <w:spacing w:line="213" w:lineRule="exact"/>
              <w:ind w:left="3" w:right="0"/>
              <w:jc w:val="left"/>
              <w:rPr>
                <w:rFonts w:ascii="宋体" w:hAnsi="宋体" w:cs="宋体" w:eastAsia="宋体" w:hint="default"/>
                <w:sz w:val="18"/>
                <w:szCs w:val="18"/>
              </w:rPr>
            </w:pPr>
            <w:r>
              <w:rPr>
                <w:rFonts w:ascii="宋体" w:hAnsi="宋体" w:cs="宋体" w:eastAsia="宋体" w:hint="default"/>
                <w:sz w:val="18"/>
                <w:szCs w:val="18"/>
              </w:rPr>
              <w:t>地区总部项目</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8,800,000.00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8,800,000.00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8,800,000.00</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8,800,000.00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36"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5"/>
              <w:ind w:left="3" w:right="137"/>
              <w:jc w:val="left"/>
              <w:rPr>
                <w:rFonts w:ascii="宋体" w:hAnsi="宋体" w:cs="宋体" w:eastAsia="宋体" w:hint="default"/>
                <w:sz w:val="18"/>
                <w:szCs w:val="18"/>
              </w:rPr>
            </w:pPr>
            <w:r>
              <w:rPr>
                <w:rFonts w:ascii="宋体" w:hAnsi="宋体" w:cs="宋体" w:eastAsia="宋体" w:hint="default"/>
                <w:sz w:val="18"/>
                <w:szCs w:val="18"/>
              </w:rPr>
              <w:t>下一代</w:t>
            </w:r>
            <w:r>
              <w:rPr>
                <w:rFonts w:ascii="Times New Roman" w:hAnsi="Times New Roman" w:cs="Times New Roman" w:eastAsia="Times New Roman" w:hint="default"/>
                <w:sz w:val="18"/>
                <w:szCs w:val="18"/>
              </w:rPr>
              <w:t>SDN</w:t>
            </w:r>
            <w:r>
              <w:rPr>
                <w:rFonts w:ascii="宋体" w:hAnsi="宋体" w:cs="宋体" w:eastAsia="宋体" w:hint="default"/>
                <w:sz w:val="18"/>
                <w:szCs w:val="18"/>
              </w:rPr>
              <w:t>高性</w:t>
            </w:r>
            <w:r>
              <w:rPr>
                <w:rFonts w:ascii="宋体" w:hAnsi="宋体" w:cs="宋体" w:eastAsia="宋体" w:hint="default"/>
                <w:spacing w:val="1"/>
                <w:sz w:val="18"/>
                <w:szCs w:val="18"/>
              </w:rPr>
              <w:t> </w:t>
            </w:r>
            <w:r>
              <w:rPr>
                <w:rFonts w:ascii="宋体" w:hAnsi="宋体" w:cs="宋体" w:eastAsia="宋体" w:hint="default"/>
                <w:sz w:val="18"/>
                <w:szCs w:val="18"/>
              </w:rPr>
              <w:t>能路由交换设备</w:t>
            </w:r>
          </w:p>
          <w:p>
            <w:pPr>
              <w:pStyle w:val="TableParagraph"/>
              <w:spacing w:line="213" w:lineRule="exact"/>
              <w:ind w:left="3" w:right="0"/>
              <w:jc w:val="left"/>
              <w:rPr>
                <w:rFonts w:ascii="宋体" w:hAnsi="宋体" w:cs="宋体" w:eastAsia="宋体" w:hint="default"/>
                <w:sz w:val="18"/>
                <w:szCs w:val="18"/>
              </w:rPr>
            </w:pPr>
            <w:r>
              <w:rPr>
                <w:rFonts w:ascii="宋体" w:hAnsi="宋体" w:cs="宋体" w:eastAsia="宋体" w:hint="default"/>
                <w:sz w:val="18"/>
                <w:szCs w:val="18"/>
              </w:rPr>
              <w:t>研制及产业化</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10,234,084.61</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5,304,579.76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4,929,504.85</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68"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3"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
              <w:jc w:val="right"/>
              <w:rPr>
                <w:rFonts w:ascii="Times New Roman" w:hAnsi="Times New Roman" w:cs="Times New Roman" w:eastAsia="Times New Roman" w:hint="default"/>
                <w:sz w:val="18"/>
                <w:szCs w:val="18"/>
              </w:rPr>
            </w:pPr>
            <w:r>
              <w:rPr>
                <w:rFonts w:ascii="Times New Roman"/>
                <w:sz w:val="18"/>
              </w:rPr>
              <w:t>136,459.80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Times New Roman" w:hAnsi="Times New Roman" w:cs="Times New Roman" w:eastAsia="Times New Roman" w:hint="default"/>
                <w:sz w:val="18"/>
                <w:szCs w:val="18"/>
              </w:rPr>
            </w:pPr>
            <w:r>
              <w:rPr>
                <w:rFonts w:ascii="Times New Roman"/>
                <w:spacing w:val="-1"/>
                <w:sz w:val="18"/>
              </w:rPr>
              <w:t>1,151,221.56</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Times New Roman" w:hAnsi="Times New Roman" w:cs="Times New Roman" w:eastAsia="Times New Roman" w:hint="default"/>
                <w:sz w:val="18"/>
                <w:szCs w:val="18"/>
              </w:rPr>
            </w:pPr>
            <w:r>
              <w:rPr>
                <w:rFonts w:ascii="Times New Roman"/>
                <w:sz w:val="18"/>
              </w:rPr>
              <w:t>353,191.20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
              <w:jc w:val="right"/>
              <w:rPr>
                <w:rFonts w:ascii="Times New Roman" w:hAnsi="Times New Roman" w:cs="Times New Roman" w:eastAsia="Times New Roman" w:hint="default"/>
                <w:sz w:val="18"/>
                <w:szCs w:val="18"/>
              </w:rPr>
            </w:pPr>
            <w:r>
              <w:rPr>
                <w:rFonts w:ascii="Times New Roman"/>
                <w:sz w:val="18"/>
              </w:rPr>
              <w:t>934,490.16</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36"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3" w:right="0"/>
              <w:jc w:val="left"/>
              <w:rPr>
                <w:rFonts w:ascii="宋体" w:hAnsi="宋体" w:cs="宋体" w:eastAsia="宋体" w:hint="default"/>
                <w:sz w:val="18"/>
                <w:szCs w:val="18"/>
              </w:rPr>
            </w:pPr>
            <w:r>
              <w:rPr>
                <w:rFonts w:ascii="宋体" w:hAnsi="宋体" w:cs="宋体" w:eastAsia="宋体" w:hint="default"/>
                <w:sz w:val="18"/>
                <w:szCs w:val="18"/>
              </w:rPr>
              <w:t>广州开发区投资</w:t>
            </w:r>
          </w:p>
          <w:p>
            <w:pPr>
              <w:pStyle w:val="TableParagraph"/>
              <w:spacing w:line="232" w:lineRule="exact" w:before="24"/>
              <w:ind w:left="3" w:right="138"/>
              <w:jc w:val="left"/>
              <w:rPr>
                <w:rFonts w:ascii="宋体" w:hAnsi="宋体" w:cs="宋体" w:eastAsia="宋体" w:hint="default"/>
                <w:sz w:val="18"/>
                <w:szCs w:val="18"/>
              </w:rPr>
            </w:pPr>
            <w:r>
              <w:rPr>
                <w:rFonts w:ascii="宋体" w:hAnsi="宋体" w:cs="宋体" w:eastAsia="宋体" w:hint="default"/>
                <w:sz w:val="18"/>
                <w:szCs w:val="18"/>
              </w:rPr>
              <w:t>促进局经营贡献 奖</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10,000,000.00</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10,000,000.00</w:t>
            </w:r>
          </w:p>
        </w:tc>
        <w:tc>
          <w:tcPr>
            <w:tcW w:w="1276"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36"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5"/>
              <w:ind w:left="3" w:right="48"/>
              <w:jc w:val="left"/>
              <w:rPr>
                <w:rFonts w:ascii="宋体" w:hAnsi="宋体" w:cs="宋体" w:eastAsia="宋体" w:hint="default"/>
                <w:sz w:val="18"/>
                <w:szCs w:val="18"/>
              </w:rPr>
            </w:pPr>
            <w:r>
              <w:rPr>
                <w:rFonts w:ascii="宋体" w:hAnsi="宋体" w:cs="宋体" w:eastAsia="宋体" w:hint="default"/>
                <w:sz w:val="18"/>
                <w:szCs w:val="18"/>
              </w:rPr>
              <w:t>深圳南山区企业 首次入选</w:t>
            </w:r>
            <w:r>
              <w:rPr>
                <w:rFonts w:ascii="Times New Roman" w:hAnsi="Times New Roman" w:cs="Times New Roman" w:eastAsia="Times New Roman" w:hint="default"/>
                <w:sz w:val="18"/>
                <w:szCs w:val="18"/>
              </w:rPr>
              <w:t>500</w:t>
            </w:r>
            <w:r>
              <w:rPr>
                <w:rFonts w:ascii="宋体" w:hAnsi="宋体" w:cs="宋体" w:eastAsia="宋体" w:hint="default"/>
                <w:sz w:val="18"/>
                <w:szCs w:val="18"/>
              </w:rPr>
              <w:t>强企</w:t>
            </w:r>
          </w:p>
          <w:p>
            <w:pPr>
              <w:pStyle w:val="TableParagraph"/>
              <w:spacing w:line="213" w:lineRule="exact"/>
              <w:ind w:left="3" w:right="0"/>
              <w:jc w:val="left"/>
              <w:rPr>
                <w:rFonts w:ascii="宋体" w:hAnsi="宋体" w:cs="宋体" w:eastAsia="宋体" w:hint="default"/>
                <w:sz w:val="18"/>
                <w:szCs w:val="18"/>
              </w:rPr>
            </w:pPr>
            <w:r>
              <w:rPr>
                <w:rFonts w:ascii="宋体" w:hAnsi="宋体" w:cs="宋体" w:eastAsia="宋体" w:hint="default"/>
                <w:sz w:val="18"/>
                <w:szCs w:val="18"/>
              </w:rPr>
              <w:t>业奖励</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5,000,000.00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5,000,000.00</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69"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5"/>
              <w:ind w:left="3" w:right="138"/>
              <w:jc w:val="left"/>
              <w:rPr>
                <w:rFonts w:ascii="宋体" w:hAnsi="宋体" w:cs="宋体" w:eastAsia="宋体" w:hint="default"/>
                <w:sz w:val="18"/>
                <w:szCs w:val="18"/>
              </w:rPr>
            </w:pPr>
            <w:r>
              <w:rPr>
                <w:rFonts w:ascii="宋体" w:hAnsi="宋体" w:cs="宋体" w:eastAsia="宋体" w:hint="default"/>
                <w:sz w:val="18"/>
                <w:szCs w:val="18"/>
              </w:rPr>
              <w:t>深圳市投资推广 署产业链薄弱环</w:t>
            </w:r>
          </w:p>
          <w:p>
            <w:pPr>
              <w:pStyle w:val="TableParagraph"/>
              <w:spacing w:line="232" w:lineRule="exact" w:before="2"/>
              <w:ind w:left="3" w:right="138"/>
              <w:jc w:val="left"/>
              <w:rPr>
                <w:rFonts w:ascii="宋体" w:hAnsi="宋体" w:cs="宋体" w:eastAsia="宋体" w:hint="default"/>
                <w:sz w:val="18"/>
                <w:szCs w:val="18"/>
              </w:rPr>
            </w:pPr>
            <w:r>
              <w:rPr>
                <w:rFonts w:ascii="宋体" w:hAnsi="宋体" w:cs="宋体" w:eastAsia="宋体" w:hint="default"/>
                <w:sz w:val="18"/>
                <w:szCs w:val="18"/>
              </w:rPr>
              <w:t>节投资项目奖励 资金</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0"/>
              <w:jc w:val="right"/>
              <w:rPr>
                <w:rFonts w:ascii="Times New Roman" w:hAnsi="Times New Roman" w:cs="Times New Roman" w:eastAsia="Times New Roman" w:hint="default"/>
                <w:sz w:val="18"/>
                <w:szCs w:val="18"/>
              </w:rPr>
            </w:pPr>
            <w:r>
              <w:rPr>
                <w:rFonts w:ascii="Times New Roman"/>
                <w:spacing w:val="-1"/>
                <w:sz w:val="18"/>
              </w:rPr>
              <w:t>4,500,000.00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1"/>
              <w:jc w:val="right"/>
              <w:rPr>
                <w:rFonts w:ascii="Times New Roman" w:hAnsi="Times New Roman" w:cs="Times New Roman" w:eastAsia="Times New Roman" w:hint="default"/>
                <w:sz w:val="18"/>
                <w:szCs w:val="18"/>
              </w:rPr>
            </w:pPr>
            <w:r>
              <w:rPr>
                <w:rFonts w:ascii="Times New Roman"/>
                <w:spacing w:val="-1"/>
                <w:sz w:val="18"/>
              </w:rPr>
              <w:t>4,500,000.00</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36"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5"/>
              <w:ind w:left="3" w:right="138"/>
              <w:jc w:val="left"/>
              <w:rPr>
                <w:rFonts w:ascii="宋体" w:hAnsi="宋体" w:cs="宋体" w:eastAsia="宋体" w:hint="default"/>
                <w:sz w:val="18"/>
                <w:szCs w:val="18"/>
              </w:rPr>
            </w:pPr>
            <w:r>
              <w:rPr>
                <w:rFonts w:ascii="宋体" w:hAnsi="宋体" w:cs="宋体" w:eastAsia="宋体" w:hint="default"/>
                <w:sz w:val="18"/>
                <w:szCs w:val="18"/>
              </w:rPr>
              <w:t>广州开发区商务 局促进现代服务</w:t>
            </w:r>
          </w:p>
          <w:p>
            <w:pPr>
              <w:pStyle w:val="TableParagraph"/>
              <w:spacing w:line="213" w:lineRule="exact"/>
              <w:ind w:left="3" w:right="0"/>
              <w:jc w:val="left"/>
              <w:rPr>
                <w:rFonts w:ascii="宋体" w:hAnsi="宋体" w:cs="宋体" w:eastAsia="宋体" w:hint="default"/>
                <w:sz w:val="18"/>
                <w:szCs w:val="18"/>
              </w:rPr>
            </w:pPr>
            <w:r>
              <w:rPr>
                <w:rFonts w:ascii="宋体" w:hAnsi="宋体" w:cs="宋体" w:eastAsia="宋体" w:hint="default"/>
                <w:sz w:val="18"/>
                <w:szCs w:val="18"/>
              </w:rPr>
              <w:t>业发展奖励金</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2,850,000.00</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2,850,000.00</w:t>
            </w:r>
          </w:p>
        </w:tc>
        <w:tc>
          <w:tcPr>
            <w:tcW w:w="1276"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36"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5"/>
              <w:ind w:left="3" w:right="138"/>
              <w:jc w:val="left"/>
              <w:rPr>
                <w:rFonts w:ascii="Times New Roman" w:hAnsi="Times New Roman" w:cs="Times New Roman" w:eastAsia="Times New Roman" w:hint="default"/>
                <w:sz w:val="18"/>
                <w:szCs w:val="18"/>
              </w:rPr>
            </w:pPr>
            <w:r>
              <w:rPr>
                <w:rFonts w:ascii="宋体" w:hAnsi="宋体" w:cs="宋体" w:eastAsia="宋体" w:hint="default"/>
                <w:sz w:val="18"/>
                <w:szCs w:val="18"/>
              </w:rPr>
              <w:t>武汉东湖综合保 税区</w:t>
            </w:r>
            <w:r>
              <w:rPr>
                <w:rFonts w:ascii="Times New Roman" w:hAnsi="Times New Roman" w:cs="Times New Roman" w:eastAsia="Times New Roman" w:hint="default"/>
                <w:sz w:val="18"/>
                <w:szCs w:val="18"/>
              </w:rPr>
              <w:t>“</w:t>
            </w:r>
            <w:r>
              <w:rPr>
                <w:rFonts w:ascii="宋体" w:hAnsi="宋体" w:cs="宋体" w:eastAsia="宋体" w:hint="default"/>
                <w:sz w:val="18"/>
                <w:szCs w:val="18"/>
              </w:rPr>
              <w:t>自贸十条</w:t>
            </w:r>
            <w:r>
              <w:rPr>
                <w:rFonts w:ascii="Times New Roman" w:hAnsi="Times New Roman" w:cs="Times New Roman" w:eastAsia="Times New Roman" w:hint="default"/>
                <w:sz w:val="18"/>
                <w:szCs w:val="18"/>
              </w:rPr>
              <w:t>”</w:t>
            </w:r>
          </w:p>
          <w:p>
            <w:pPr>
              <w:pStyle w:val="TableParagraph"/>
              <w:spacing w:line="213" w:lineRule="exact"/>
              <w:ind w:left="3" w:right="0"/>
              <w:jc w:val="left"/>
              <w:rPr>
                <w:rFonts w:ascii="宋体" w:hAnsi="宋体" w:cs="宋体" w:eastAsia="宋体" w:hint="default"/>
                <w:sz w:val="18"/>
                <w:szCs w:val="18"/>
              </w:rPr>
            </w:pPr>
            <w:r>
              <w:rPr>
                <w:rFonts w:ascii="宋体" w:hAnsi="宋体" w:cs="宋体" w:eastAsia="宋体" w:hint="default"/>
                <w:sz w:val="18"/>
                <w:szCs w:val="18"/>
              </w:rPr>
              <w:t>项资金</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2,600,000.00</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2,600,000.00</w:t>
            </w:r>
          </w:p>
        </w:tc>
        <w:tc>
          <w:tcPr>
            <w:tcW w:w="1276"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02"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2"/>
              <w:ind w:left="3" w:right="138"/>
              <w:jc w:val="left"/>
              <w:rPr>
                <w:rFonts w:ascii="宋体" w:hAnsi="宋体" w:cs="宋体" w:eastAsia="宋体" w:hint="default"/>
                <w:sz w:val="18"/>
                <w:szCs w:val="18"/>
              </w:rPr>
            </w:pPr>
            <w:r>
              <w:rPr>
                <w:rFonts w:ascii="宋体" w:hAnsi="宋体" w:cs="宋体" w:eastAsia="宋体" w:hint="default"/>
                <w:sz w:val="18"/>
                <w:szCs w:val="18"/>
              </w:rPr>
              <w:t>北京市海淀区商 务委总部奖励</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0"/>
              <w:jc w:val="right"/>
              <w:rPr>
                <w:rFonts w:ascii="Times New Roman" w:hAnsi="Times New Roman" w:cs="Times New Roman" w:eastAsia="Times New Roman" w:hint="default"/>
                <w:sz w:val="18"/>
                <w:szCs w:val="18"/>
              </w:rPr>
            </w:pPr>
            <w:r>
              <w:rPr>
                <w:rFonts w:ascii="Times New Roman"/>
                <w:spacing w:val="-1"/>
                <w:sz w:val="18"/>
              </w:rPr>
              <w:t>2,250,000.00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1"/>
              <w:jc w:val="right"/>
              <w:rPr>
                <w:rFonts w:ascii="Times New Roman" w:hAnsi="Times New Roman" w:cs="Times New Roman" w:eastAsia="Times New Roman" w:hint="default"/>
                <w:sz w:val="18"/>
                <w:szCs w:val="18"/>
              </w:rPr>
            </w:pPr>
            <w:r>
              <w:rPr>
                <w:rFonts w:ascii="Times New Roman"/>
                <w:spacing w:val="-1"/>
                <w:sz w:val="18"/>
              </w:rPr>
              <w:t>2,250,000.00</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02"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5"/>
              <w:ind w:left="3" w:right="138"/>
              <w:jc w:val="left"/>
              <w:rPr>
                <w:rFonts w:ascii="宋体" w:hAnsi="宋体" w:cs="宋体" w:eastAsia="宋体" w:hint="default"/>
                <w:sz w:val="18"/>
                <w:szCs w:val="18"/>
              </w:rPr>
            </w:pPr>
            <w:r>
              <w:rPr>
                <w:rFonts w:ascii="宋体" w:hAnsi="宋体" w:cs="宋体" w:eastAsia="宋体" w:hint="default"/>
                <w:sz w:val="18"/>
                <w:szCs w:val="18"/>
              </w:rPr>
              <w:t>深圳南山区商贸 流通业资助补贴</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0"/>
              <w:jc w:val="right"/>
              <w:rPr>
                <w:rFonts w:ascii="Times New Roman" w:hAnsi="Times New Roman" w:cs="Times New Roman" w:eastAsia="Times New Roman" w:hint="default"/>
                <w:sz w:val="18"/>
                <w:szCs w:val="18"/>
              </w:rPr>
            </w:pPr>
            <w:r>
              <w:rPr>
                <w:rFonts w:ascii="Times New Roman"/>
                <w:spacing w:val="-1"/>
                <w:sz w:val="18"/>
              </w:rPr>
              <w:t>1,000,000.00</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1"/>
              <w:jc w:val="right"/>
              <w:rPr>
                <w:rFonts w:ascii="Times New Roman" w:hAnsi="Times New Roman" w:cs="Times New Roman" w:eastAsia="Times New Roman" w:hint="default"/>
                <w:sz w:val="18"/>
                <w:szCs w:val="18"/>
              </w:rPr>
            </w:pPr>
            <w:r>
              <w:rPr>
                <w:rFonts w:ascii="Times New Roman"/>
                <w:spacing w:val="-1"/>
                <w:sz w:val="18"/>
              </w:rPr>
              <w:t>1,000,000.00</w:t>
            </w:r>
          </w:p>
        </w:tc>
        <w:tc>
          <w:tcPr>
            <w:tcW w:w="1276"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68"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5"/>
              <w:ind w:left="3" w:right="138"/>
              <w:jc w:val="left"/>
              <w:rPr>
                <w:rFonts w:ascii="宋体" w:hAnsi="宋体" w:cs="宋体" w:eastAsia="宋体" w:hint="default"/>
                <w:sz w:val="18"/>
                <w:szCs w:val="18"/>
              </w:rPr>
            </w:pPr>
            <w:r>
              <w:rPr>
                <w:rFonts w:ascii="宋体" w:hAnsi="宋体" w:cs="宋体" w:eastAsia="宋体" w:hint="default"/>
                <w:sz w:val="18"/>
                <w:szCs w:val="18"/>
              </w:rPr>
              <w:t>北京海淀区工业 及软件和信息服</w:t>
            </w:r>
          </w:p>
          <w:p>
            <w:pPr>
              <w:pStyle w:val="TableParagraph"/>
              <w:spacing w:line="232" w:lineRule="exact" w:before="2"/>
              <w:ind w:left="3" w:right="138"/>
              <w:jc w:val="left"/>
              <w:rPr>
                <w:rFonts w:ascii="宋体" w:hAnsi="宋体" w:cs="宋体" w:eastAsia="宋体" w:hint="default"/>
                <w:sz w:val="18"/>
                <w:szCs w:val="18"/>
              </w:rPr>
            </w:pPr>
            <w:r>
              <w:rPr>
                <w:rFonts w:ascii="宋体" w:hAnsi="宋体" w:cs="宋体" w:eastAsia="宋体" w:hint="default"/>
                <w:sz w:val="18"/>
                <w:szCs w:val="18"/>
              </w:rPr>
              <w:t>务业平稳发展奖 励资金</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z w:val="18"/>
              </w:rPr>
              <w:t>510,000.00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
              <w:jc w:val="right"/>
              <w:rPr>
                <w:rFonts w:ascii="Times New Roman" w:hAnsi="Times New Roman" w:cs="Times New Roman" w:eastAsia="Times New Roman" w:hint="default"/>
                <w:sz w:val="18"/>
                <w:szCs w:val="18"/>
              </w:rPr>
            </w:pPr>
            <w:r>
              <w:rPr>
                <w:rFonts w:ascii="Times New Roman"/>
                <w:sz w:val="18"/>
              </w:rPr>
              <w:t>510,000.00</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70"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3"/>
              <w:ind w:left="3" w:right="58"/>
              <w:jc w:val="left"/>
              <w:rPr>
                <w:rFonts w:ascii="宋体" w:hAnsi="宋体" w:cs="宋体" w:eastAsia="宋体" w:hint="default"/>
                <w:sz w:val="18"/>
                <w:szCs w:val="18"/>
              </w:rPr>
            </w:pPr>
            <w:r>
              <w:rPr>
                <w:rFonts w:ascii="宋体" w:hAnsi="宋体" w:cs="宋体" w:eastAsia="宋体" w:hint="default"/>
                <w:sz w:val="18"/>
                <w:szCs w:val="18"/>
              </w:rPr>
              <w:t>武汉东湖新技术 开发区第十一批</w:t>
            </w:r>
          </w:p>
          <w:p>
            <w:pPr>
              <w:pStyle w:val="TableParagraph"/>
              <w:spacing w:line="217" w:lineRule="exact"/>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3551</w:t>
            </w:r>
            <w:r>
              <w:rPr>
                <w:rFonts w:ascii="宋体" w:hAnsi="宋体" w:cs="宋体" w:eastAsia="宋体" w:hint="default"/>
                <w:sz w:val="18"/>
                <w:szCs w:val="18"/>
              </w:rPr>
              <w:t>光谷人才计</w:t>
            </w:r>
          </w:p>
          <w:p>
            <w:pPr>
              <w:pStyle w:val="TableParagraph"/>
              <w:spacing w:line="242" w:lineRule="exact"/>
              <w:ind w:left="3" w:right="0"/>
              <w:jc w:val="left"/>
              <w:rPr>
                <w:rFonts w:ascii="宋体" w:hAnsi="宋体" w:cs="宋体" w:eastAsia="宋体" w:hint="default"/>
                <w:sz w:val="18"/>
                <w:szCs w:val="18"/>
              </w:rPr>
            </w:pPr>
            <w:r>
              <w:rPr>
                <w:rFonts w:ascii="宋体" w:hAnsi="宋体" w:cs="宋体" w:eastAsia="宋体" w:hint="default"/>
                <w:sz w:val="18"/>
                <w:szCs w:val="18"/>
              </w:rPr>
              <w:t>划</w:t>
            </w:r>
            <w:r>
              <w:rPr>
                <w:rFonts w:ascii="Times New Roman" w:hAnsi="Times New Roman" w:cs="Times New Roman" w:eastAsia="Times New Roman" w:hint="default"/>
                <w:sz w:val="18"/>
                <w:szCs w:val="18"/>
              </w:rPr>
              <w:t>”</w:t>
            </w:r>
            <w:r>
              <w:rPr>
                <w:rFonts w:ascii="宋体" w:hAnsi="宋体" w:cs="宋体" w:eastAsia="宋体" w:hint="default"/>
                <w:sz w:val="18"/>
                <w:szCs w:val="18"/>
              </w:rPr>
              <w:t>无偿资金</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z w:val="18"/>
              </w:rPr>
              <w:t>300,000.00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
              <w:jc w:val="right"/>
              <w:rPr>
                <w:rFonts w:ascii="Times New Roman" w:hAnsi="Times New Roman" w:cs="Times New Roman" w:eastAsia="Times New Roman" w:hint="default"/>
                <w:sz w:val="18"/>
                <w:szCs w:val="18"/>
              </w:rPr>
            </w:pPr>
            <w:r>
              <w:rPr>
                <w:rFonts w:ascii="Times New Roman"/>
                <w:sz w:val="18"/>
              </w:rPr>
              <w:t>300,000.00</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34"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2"/>
              <w:ind w:left="3" w:right="138"/>
              <w:jc w:val="both"/>
              <w:rPr>
                <w:rFonts w:ascii="宋体" w:hAnsi="宋体" w:cs="宋体" w:eastAsia="宋体" w:hint="default"/>
                <w:sz w:val="18"/>
                <w:szCs w:val="18"/>
              </w:rPr>
            </w:pPr>
            <w:r>
              <w:rPr>
                <w:rFonts w:ascii="宋体" w:hAnsi="宋体" w:cs="宋体" w:eastAsia="宋体" w:hint="default"/>
                <w:sz w:val="18"/>
                <w:szCs w:val="18"/>
              </w:rPr>
              <w:t>深圳南山区上市 企业并购重组中 介费用补贴</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243,100.00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243,100.00</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69"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
              <w:jc w:val="right"/>
              <w:rPr>
                <w:rFonts w:ascii="Times New Roman" w:hAnsi="Times New Roman" w:cs="Times New Roman" w:eastAsia="Times New Roman" w:hint="default"/>
                <w:sz w:val="18"/>
                <w:szCs w:val="18"/>
              </w:rPr>
            </w:pPr>
            <w:r>
              <w:rPr>
                <w:rFonts w:ascii="Times New Roman"/>
                <w:spacing w:val="-1"/>
                <w:sz w:val="18"/>
              </w:rPr>
              <w:t>1,209,750.00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Times New Roman" w:hAnsi="Times New Roman" w:cs="Times New Roman" w:eastAsia="Times New Roman" w:hint="default"/>
                <w:sz w:val="18"/>
                <w:szCs w:val="18"/>
              </w:rPr>
            </w:pPr>
            <w:r>
              <w:rPr>
                <w:rFonts w:ascii="Times New Roman"/>
                <w:sz w:val="18"/>
              </w:rPr>
              <w:t>7,375.60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
              <w:jc w:val="right"/>
              <w:rPr>
                <w:rFonts w:ascii="Times New Roman" w:hAnsi="Times New Roman" w:cs="Times New Roman" w:eastAsia="Times New Roman" w:hint="default"/>
                <w:sz w:val="18"/>
                <w:szCs w:val="18"/>
              </w:rPr>
            </w:pPr>
            <w:r>
              <w:rPr>
                <w:rFonts w:ascii="Times New Roman"/>
                <w:sz w:val="18"/>
              </w:rPr>
              <w:t>5,000.00</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Times New Roman" w:hAnsi="Times New Roman" w:cs="Times New Roman" w:eastAsia="Times New Roman" w:hint="default"/>
                <w:sz w:val="18"/>
                <w:szCs w:val="18"/>
              </w:rPr>
            </w:pPr>
            <w:r>
              <w:rPr>
                <w:rFonts w:ascii="Times New Roman"/>
                <w:spacing w:val="-1"/>
                <w:sz w:val="18"/>
              </w:rPr>
              <w:t>1,212,125.60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69"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
              <w:jc w:val="right"/>
              <w:rPr>
                <w:rFonts w:ascii="Times New Roman" w:hAnsi="Times New Roman" w:cs="Times New Roman" w:eastAsia="Times New Roman" w:hint="default"/>
                <w:sz w:val="18"/>
                <w:szCs w:val="18"/>
              </w:rPr>
            </w:pPr>
            <w:r>
              <w:rPr>
                <w:rFonts w:ascii="Times New Roman"/>
                <w:spacing w:val="-1"/>
                <w:sz w:val="18"/>
              </w:rPr>
              <w:t>20,380,294.41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Times New Roman" w:hAnsi="Times New Roman" w:cs="Times New Roman" w:eastAsia="Times New Roman" w:hint="default"/>
                <w:sz w:val="18"/>
                <w:szCs w:val="18"/>
              </w:rPr>
            </w:pPr>
            <w:r>
              <w:rPr>
                <w:rFonts w:ascii="Times New Roman"/>
                <w:spacing w:val="-1"/>
                <w:sz w:val="18"/>
              </w:rPr>
              <w:t>39,211,697.16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
              <w:jc w:val="right"/>
              <w:rPr>
                <w:rFonts w:ascii="Times New Roman" w:hAnsi="Times New Roman" w:cs="Times New Roman" w:eastAsia="Times New Roman" w:hint="default"/>
                <w:sz w:val="18"/>
                <w:szCs w:val="18"/>
              </w:rPr>
            </w:pPr>
            <w:r>
              <w:rPr>
                <w:rFonts w:ascii="Times New Roman"/>
                <w:spacing w:val="-1"/>
                <w:sz w:val="18"/>
              </w:rPr>
              <w:t>21,608,100.00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
              <w:jc w:val="right"/>
              <w:rPr>
                <w:rFonts w:ascii="Times New Roman" w:hAnsi="Times New Roman" w:cs="Times New Roman" w:eastAsia="Times New Roman" w:hint="default"/>
                <w:sz w:val="18"/>
                <w:szCs w:val="18"/>
              </w:rPr>
            </w:pPr>
            <w:r>
              <w:rPr>
                <w:rFonts w:ascii="Times New Roman"/>
                <w:spacing w:val="-1"/>
                <w:sz w:val="18"/>
              </w:rPr>
              <w:t>22,107,770.96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Times New Roman" w:hAnsi="Times New Roman" w:cs="Times New Roman" w:eastAsia="Times New Roman" w:hint="default"/>
                <w:sz w:val="18"/>
                <w:szCs w:val="18"/>
              </w:rPr>
            </w:pPr>
            <w:r>
              <w:rPr>
                <w:rFonts w:ascii="Times New Roman"/>
                <w:spacing w:val="-1"/>
                <w:sz w:val="18"/>
              </w:rPr>
              <w:t>15,876,120.61</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29、长期借款" w:id="294"/>
      <w:bookmarkEnd w:id="294"/>
      <w:r>
        <w:rPr>
          <w:b w:val="0"/>
          <w:bCs w:val="0"/>
        </w:rPr>
      </w:r>
      <w:r>
        <w:rPr>
          <w:rFonts w:ascii="Times New Roman" w:hAnsi="Times New Roman" w:cs="Times New Roman" w:eastAsia="Times New Roman" w:hint="default"/>
        </w:rPr>
        <w:t>29</w:t>
      </w:r>
      <w:r>
        <w:rPr/>
        <w:t>、长期借款</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bookmarkStart w:name="（1）长期借款分类" w:id="295"/>
      <w:bookmarkEnd w:id="295"/>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810,000,000.00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1,160,000,000.00</w:t>
            </w:r>
          </w:p>
        </w:tc>
      </w:tr>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900,000,000.00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1,710,000,000.00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1,160,000,000.00</w:t>
            </w:r>
          </w:p>
        </w:tc>
      </w:tr>
    </w:tbl>
    <w:p>
      <w:pPr>
        <w:pStyle w:val="BodyText"/>
        <w:spacing w:line="278" w:lineRule="auto" w:before="10"/>
        <w:ind w:left="514" w:right="0" w:hanging="360"/>
        <w:jc w:val="left"/>
      </w:pPr>
      <w:r>
        <w:rPr/>
        <w:t>长期借款分类的说明： 本公司为购买神州控股下属</w:t>
      </w:r>
      <w:r>
        <w:rPr>
          <w:rFonts w:ascii="Times New Roman" w:hAnsi="Times New Roman" w:cs="Times New Roman" w:eastAsia="Times New Roman" w:hint="default"/>
        </w:rPr>
        <w:t>IT</w:t>
      </w:r>
      <w:r>
        <w:rPr/>
        <w:t>分销业务公司自北京银行股份有限公司中关村科技园支行借入的</w:t>
      </w:r>
      <w:r>
        <w:rPr>
          <w:rFonts w:ascii="Times New Roman" w:hAnsi="Times New Roman" w:cs="Times New Roman" w:eastAsia="Times New Roman" w:hint="default"/>
        </w:rPr>
        <w:t>5</w:t>
      </w:r>
      <w:r>
        <w:rPr/>
        <w:t>年期长期借款，利率为</w:t>
      </w:r>
    </w:p>
    <w:p>
      <w:pPr>
        <w:pStyle w:val="BodyText"/>
        <w:spacing w:line="194" w:lineRule="exact"/>
        <w:ind w:right="0"/>
        <w:jc w:val="left"/>
      </w:pPr>
      <w:r>
        <w:rPr>
          <w:rFonts w:ascii="Times New Roman" w:hAnsi="Times New Roman" w:cs="Times New Roman" w:eastAsia="Times New Roman" w:hint="default"/>
        </w:rPr>
        <w:t>4.75%</w:t>
      </w:r>
      <w:r>
        <w:rPr/>
        <w:t>，本公司以持有的神码中国</w:t>
      </w:r>
      <w:r>
        <w:rPr>
          <w:rFonts w:ascii="Times New Roman" w:hAnsi="Times New Roman" w:cs="Times New Roman" w:eastAsia="Times New Roman" w:hint="default"/>
        </w:rPr>
        <w:t>100%</w:t>
      </w:r>
      <w:r>
        <w:rPr/>
        <w:t>股权、神码上海</w:t>
      </w:r>
      <w:r>
        <w:rPr>
          <w:rFonts w:ascii="Times New Roman" w:hAnsi="Times New Roman" w:cs="Times New Roman" w:eastAsia="Times New Roman" w:hint="default"/>
        </w:rPr>
        <w:t>100%</w:t>
      </w:r>
      <w:r>
        <w:rPr/>
        <w:t>股权、神码广州</w:t>
      </w:r>
      <w:r>
        <w:rPr>
          <w:rFonts w:ascii="Times New Roman" w:hAnsi="Times New Roman" w:cs="Times New Roman" w:eastAsia="Times New Roman" w:hint="default"/>
        </w:rPr>
        <w:t>100%</w:t>
      </w:r>
      <w:r>
        <w:rPr/>
        <w:t>股权进行质押。</w:t>
      </w:r>
    </w:p>
    <w:p>
      <w:pPr>
        <w:pStyle w:val="BodyText"/>
        <w:spacing w:line="234" w:lineRule="exact" w:before="15"/>
        <w:ind w:right="0" w:firstLine="360"/>
        <w:jc w:val="left"/>
      </w:pPr>
      <w:r>
        <w:rPr>
          <w:spacing w:val="-1"/>
        </w:rPr>
        <w:t>本公司为日常经营资金周转自平安银行股份有限公司深圳分行借入的</w:t>
      </w:r>
      <w:r>
        <w:rPr>
          <w:rFonts w:ascii="Times New Roman" w:hAnsi="Times New Roman" w:cs="Times New Roman" w:eastAsia="Times New Roman" w:hint="default"/>
          <w:spacing w:val="-1"/>
        </w:rPr>
        <w:t>3</w:t>
      </w:r>
      <w:r>
        <w:rPr>
          <w:spacing w:val="-1"/>
        </w:rPr>
        <w:t>年期长期借款，利率</w:t>
      </w:r>
      <w:r>
        <w:rPr>
          <w:rFonts w:ascii="Times New Roman" w:hAnsi="Times New Roman" w:cs="Times New Roman" w:eastAsia="Times New Roman" w:hint="default"/>
          <w:spacing w:val="-1"/>
        </w:rPr>
        <w:t>6.175%</w:t>
      </w:r>
      <w:r>
        <w:rPr>
          <w:spacing w:val="-1"/>
        </w:rPr>
        <w:t>，本公司以深圳市南</w:t>
      </w:r>
      <w:r>
        <w:rPr/>
        <w:t> 山区深圳湾超级总部基地土地使用权进行抵押。</w:t>
      </w:r>
    </w:p>
    <w:p>
      <w:pPr>
        <w:pStyle w:val="BodyText"/>
        <w:spacing w:line="225" w:lineRule="exact"/>
        <w:ind w:left="514" w:right="0"/>
        <w:jc w:val="left"/>
      </w:pPr>
      <w:r>
        <w:rPr/>
        <w:t>本公司将上述两笔借款年末按照还款计划预计于未来一年内到期的款项结转至</w:t>
      </w:r>
      <w:r>
        <w:rPr>
          <w:rFonts w:ascii="Times New Roman" w:hAnsi="Times New Roman" w:cs="Times New Roman" w:eastAsia="Times New Roman" w:hint="default"/>
        </w:rPr>
        <w:t>“</w:t>
      </w:r>
      <w:r>
        <w:rPr/>
        <w:t>一年内到期的非流动负债</w:t>
      </w:r>
      <w:r>
        <w:rPr>
          <w:rFonts w:ascii="Times New Roman" w:hAnsi="Times New Roman" w:cs="Times New Roman" w:eastAsia="Times New Roman" w:hint="default"/>
        </w:rPr>
        <w:t>”</w:t>
      </w:r>
      <w:r>
        <w:rPr/>
        <w:t>列示。</w:t>
      </w:r>
    </w:p>
    <w:p>
      <w:pPr>
        <w:spacing w:line="240" w:lineRule="auto" w:before="8"/>
        <w:rPr>
          <w:rFonts w:ascii="宋体" w:hAnsi="宋体" w:cs="宋体" w:eastAsia="宋体" w:hint="default"/>
          <w:sz w:val="18"/>
          <w:szCs w:val="18"/>
        </w:rPr>
      </w:pPr>
    </w:p>
    <w:p>
      <w:pPr>
        <w:pStyle w:val="BodyText"/>
        <w:spacing w:line="232" w:lineRule="exact"/>
        <w:ind w:right="8592"/>
        <w:jc w:val="left"/>
      </w:pPr>
      <w:r>
        <w:rPr/>
        <w:t>其他说明，包括利率区间： 无</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bookmarkStart w:name="30、长期应付款" w:id="296"/>
      <w:bookmarkEnd w:id="296"/>
      <w:r>
        <w:rPr>
          <w:b w:val="0"/>
          <w:bCs w:val="0"/>
        </w:rPr>
      </w:r>
      <w:r>
        <w:rPr>
          <w:rFonts w:ascii="Times New Roman" w:hAnsi="Times New Roman" w:cs="Times New Roman" w:eastAsia="Times New Roman" w:hint="default"/>
        </w:rPr>
        <w:t>30</w:t>
      </w:r>
      <w:r>
        <w:rPr/>
        <w:t>、长期应付款</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13,817,213.09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26,090,250.70</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13,817,213.09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26,090,250.70</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1）按款项性质列示长期应付款" w:id="297"/>
      <w:bookmarkEnd w:id="297"/>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设备融资租赁费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13,817,213.09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26,090,250.70</w:t>
            </w:r>
          </w:p>
        </w:tc>
      </w:tr>
    </w:tbl>
    <w:p>
      <w:pPr>
        <w:pStyle w:val="BodyText"/>
        <w:spacing w:line="278" w:lineRule="auto" w:before="10"/>
        <w:ind w:right="985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1、递延收益" w:id="298"/>
      <w:bookmarkEnd w:id="298"/>
      <w:r>
        <w:rPr>
          <w:b w:val="0"/>
          <w:bCs w:val="0"/>
        </w:rPr>
      </w:r>
      <w:r>
        <w:rPr>
          <w:rFonts w:ascii="Times New Roman" w:hAnsi="Times New Roman" w:cs="Times New Roman" w:eastAsia="Times New Roman" w:hint="default"/>
        </w:rPr>
        <w:t>31</w:t>
      </w:r>
      <w:r>
        <w:rPr/>
        <w:t>、递延收益</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32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239" w:hRule="exact"/>
        </w:trPr>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9" w:space="0" w:color="D2D2D2"/>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522" w:right="0"/>
              <w:jc w:val="left"/>
              <w:rPr>
                <w:rFonts w:ascii="Times New Roman" w:hAnsi="Times New Roman" w:cs="Times New Roman" w:eastAsia="Times New Roman" w:hint="default"/>
                <w:sz w:val="18"/>
                <w:szCs w:val="18"/>
              </w:rPr>
            </w:pPr>
            <w:r>
              <w:rPr>
                <w:rFonts w:ascii="Times New Roman"/>
                <w:sz w:val="18"/>
              </w:rPr>
              <w:t>24,200,000.00</w:t>
            </w:r>
          </w:p>
        </w:tc>
        <w:tc>
          <w:tcPr>
            <w:tcW w:w="1595"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8,800,000.00</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526" w:right="0"/>
              <w:jc w:val="left"/>
              <w:rPr>
                <w:rFonts w:ascii="Times New Roman" w:hAnsi="Times New Roman" w:cs="Times New Roman" w:eastAsia="Times New Roman" w:hint="default"/>
                <w:sz w:val="18"/>
                <w:szCs w:val="18"/>
              </w:rPr>
            </w:pPr>
            <w:r>
              <w:rPr>
                <w:rFonts w:ascii="Times New Roman"/>
                <w:sz w:val="18"/>
              </w:rPr>
              <w:t>15,400,000.00</w:t>
            </w:r>
          </w:p>
        </w:tc>
        <w:tc>
          <w:tcPr>
            <w:tcW w:w="1595" w:type="dxa"/>
            <w:vMerge w:val="restart"/>
            <w:tcBorders>
              <w:top w:val="single" w:sz="4" w:space="0" w:color="000000"/>
              <w:left w:val="single" w:sz="4" w:space="0" w:color="000000"/>
              <w:right w:val="single" w:sz="4" w:space="0" w:color="000000"/>
            </w:tcBorders>
          </w:tcPr>
          <w:p>
            <w:pPr>
              <w:pStyle w:val="TableParagraph"/>
              <w:spacing w:line="237" w:lineRule="auto" w:before="12"/>
              <w:ind w:left="23" w:right="119"/>
              <w:jc w:val="both"/>
              <w:rPr>
                <w:rFonts w:ascii="宋体" w:hAnsi="宋体" w:cs="宋体" w:eastAsia="宋体" w:hint="default"/>
                <w:sz w:val="18"/>
                <w:szCs w:val="18"/>
              </w:rPr>
            </w:pPr>
            <w:r>
              <w:rPr>
                <w:rFonts w:ascii="宋体" w:hAnsi="宋体" w:cs="宋体" w:eastAsia="宋体" w:hint="default"/>
                <w:sz w:val="18"/>
                <w:szCs w:val="18"/>
              </w:rPr>
              <w:t>关于给予神州数码 有限公司华南地区 总部扶持的函</w:t>
            </w:r>
          </w:p>
        </w:tc>
      </w:tr>
      <w:tr>
        <w:trPr>
          <w:trHeight w:val="313" w:hRule="exact"/>
        </w:trPr>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239" w:hRule="exact"/>
        </w:trPr>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55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19"/>
              <w:jc w:val="left"/>
              <w:rPr>
                <w:rFonts w:ascii="宋体" w:hAnsi="宋体" w:cs="宋体" w:eastAsia="宋体" w:hint="default"/>
                <w:sz w:val="18"/>
                <w:szCs w:val="18"/>
              </w:rPr>
            </w:pPr>
            <w:r>
              <w:rPr>
                <w:rFonts w:ascii="宋体" w:hAnsi="宋体" w:cs="宋体" w:eastAsia="宋体" w:hint="default"/>
                <w:sz w:val="18"/>
                <w:szCs w:val="18"/>
              </w:rPr>
              <w:t>未实现售后租回损 益（注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15,718,530.81</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10,641,350.35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5,077,180.46</w:t>
            </w:r>
          </w:p>
        </w:tc>
        <w:tc>
          <w:tcPr>
            <w:tcW w:w="1595"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9"/>
              <w:ind w:left="23" w:right="119"/>
              <w:jc w:val="left"/>
              <w:rPr>
                <w:rFonts w:ascii="宋体" w:hAnsi="宋体" w:cs="宋体" w:eastAsia="宋体" w:hint="default"/>
                <w:sz w:val="18"/>
                <w:szCs w:val="18"/>
              </w:rPr>
            </w:pPr>
            <w:r>
              <w:rPr>
                <w:rFonts w:ascii="宋体" w:hAnsi="宋体" w:cs="宋体" w:eastAsia="宋体" w:hint="default"/>
                <w:sz w:val="18"/>
                <w:szCs w:val="18"/>
              </w:rPr>
              <w:t>未实现售后回租损 益</w:t>
            </w: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39,918,530.81</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19,441,350.35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20,477,180.46</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11"/>
        <w:ind w:right="0"/>
        <w:jc w:val="left"/>
      </w:pPr>
      <w:r>
        <w:rPr/>
        <w:t>涉及政府补助的项目：</w:t>
      </w:r>
    </w:p>
    <w:p>
      <w:pPr>
        <w:pStyle w:val="BodyText"/>
        <w:spacing w:line="240" w:lineRule="auto" w:before="37"/>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1073"/>
        <w:gridCol w:w="1091"/>
        <w:gridCol w:w="1073"/>
        <w:gridCol w:w="1073"/>
        <w:gridCol w:w="1074"/>
        <w:gridCol w:w="1073"/>
        <w:gridCol w:w="1073"/>
        <w:gridCol w:w="1091"/>
        <w:gridCol w:w="1074"/>
      </w:tblGrid>
      <w:tr>
        <w:trPr>
          <w:trHeight w:val="791" w:hRule="exact"/>
        </w:trPr>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1"/>
              <w:ind w:left="261" w:right="79"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81" w:right="81"/>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1"/>
              <w:ind w:left="82" w:right="79"/>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1"/>
              <w:ind w:left="81" w:right="79"/>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1"/>
              <w:ind w:left="81" w:right="57"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spacing w:after="0" w:line="232" w:lineRule="exact"/>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073"/>
        <w:gridCol w:w="1091"/>
        <w:gridCol w:w="1073"/>
        <w:gridCol w:w="1073"/>
        <w:gridCol w:w="1074"/>
        <w:gridCol w:w="1073"/>
        <w:gridCol w:w="1073"/>
        <w:gridCol w:w="1091"/>
        <w:gridCol w:w="1074"/>
      </w:tblGrid>
      <w:tr>
        <w:trPr>
          <w:trHeight w:val="1258"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5"/>
              <w:ind w:left="22" w:right="78"/>
              <w:jc w:val="both"/>
              <w:rPr>
                <w:rFonts w:ascii="宋体" w:hAnsi="宋体" w:cs="宋体" w:eastAsia="宋体" w:hint="default"/>
                <w:sz w:val="18"/>
                <w:szCs w:val="18"/>
              </w:rPr>
            </w:pPr>
            <w:r>
              <w:rPr>
                <w:rFonts w:ascii="宋体" w:hAnsi="宋体" w:cs="宋体" w:eastAsia="宋体" w:hint="default"/>
                <w:sz w:val="18"/>
                <w:szCs w:val="18"/>
              </w:rPr>
              <w:t>广州市萝岗 开发区财政 国库</w:t>
            </w:r>
            <w:r>
              <w:rPr>
                <w:rFonts w:ascii="Times New Roman" w:hAnsi="Times New Roman" w:cs="Times New Roman" w:eastAsia="Times New Roman" w:hint="default"/>
                <w:sz w:val="18"/>
                <w:szCs w:val="18"/>
              </w:rPr>
              <w:t>-</w:t>
            </w:r>
            <w:r>
              <w:rPr>
                <w:rFonts w:ascii="宋体" w:hAnsi="宋体" w:cs="宋体" w:eastAsia="宋体" w:hint="default"/>
                <w:sz w:val="18"/>
                <w:szCs w:val="18"/>
              </w:rPr>
              <w:t>华南地 区总部项目</w:t>
            </w:r>
          </w:p>
          <w:p>
            <w:pPr>
              <w:pStyle w:val="TableParagraph"/>
              <w:spacing w:line="248" w:lineRule="exact"/>
              <w:ind w:left="22" w:right="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24,200,000.00</w:t>
            </w: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8,800,000.00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15,400,000.00</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pStyle w:val="BodyText"/>
        <w:spacing w:line="240" w:lineRule="auto" w:before="11"/>
        <w:ind w:right="0"/>
        <w:jc w:val="left"/>
      </w:pPr>
      <w:r>
        <w:rPr/>
        <w:t>其他说明：</w:t>
      </w:r>
    </w:p>
    <w:p>
      <w:pPr>
        <w:pStyle w:val="BodyText"/>
        <w:spacing w:line="232" w:lineRule="auto" w:before="43"/>
        <w:ind w:right="1128" w:firstLine="360"/>
        <w:jc w:val="both"/>
      </w:pPr>
      <w:r>
        <w:rPr>
          <w:spacing w:val="-4"/>
        </w:rPr>
        <w:t>注</w:t>
      </w:r>
      <w:r>
        <w:rPr>
          <w:rFonts w:ascii="宋体" w:hAnsi="宋体" w:cs="宋体" w:eastAsia="宋体" w:hint="default"/>
          <w:spacing w:val="-4"/>
        </w:rPr>
        <w:t>1</w:t>
      </w:r>
      <w:r>
        <w:rPr>
          <w:spacing w:val="-4"/>
        </w:rPr>
        <w:t>：未实现售后租回损益即本集团将存货设备出售给第三方租赁公司，然后再将该部分设备租回并用于智慧校园项目，</w:t>
      </w:r>
      <w:r>
        <w:rPr/>
        <w:t> 上述交易形成融资租赁的售后租回交易。销售设备的收入与设备账面价值之间的差额计入递延收益</w:t>
      </w:r>
      <w:r>
        <w:rPr>
          <w:rFonts w:ascii="Times New Roman" w:hAnsi="Times New Roman" w:cs="Times New Roman" w:eastAsia="Times New Roman" w:hint="default"/>
        </w:rPr>
        <w:t>-</w:t>
      </w:r>
      <w:r>
        <w:rPr/>
        <w:t>未实现售后租回损益，</w:t>
      </w:r>
      <w:r>
        <w:rPr>
          <w:spacing w:val="-53"/>
        </w:rPr>
        <w:t> </w:t>
      </w:r>
      <w:r>
        <w:rPr>
          <w:spacing w:val="-53"/>
        </w:rPr>
      </w:r>
      <w:r>
        <w:rPr>
          <w:spacing w:val="-2"/>
        </w:rPr>
        <w:t>作为未实现售后租回损益递延并按资产的折旧进度进行分摊，作为折旧费用的调整。本年减少金额包括因固定资产计提减值</w:t>
      </w:r>
      <w:r>
        <w:rPr>
          <w:spacing w:val="-64"/>
        </w:rPr>
        <w:t> </w:t>
      </w:r>
      <w:r>
        <w:rPr>
          <w:spacing w:val="-64"/>
        </w:rPr>
      </w:r>
      <w:r>
        <w:rPr/>
        <w:t>而一次性摊销的未实现售后租回损益</w:t>
      </w:r>
      <w:r>
        <w:rPr>
          <w:rFonts w:ascii="Times New Roman" w:hAnsi="Times New Roman" w:cs="Times New Roman" w:eastAsia="Times New Roman" w:hint="default"/>
        </w:rPr>
        <w:t>8,541,382.66</w:t>
      </w:r>
      <w:r>
        <w:rPr/>
        <w:t>元，相应冲减资产减值损失。</w:t>
      </w:r>
    </w:p>
    <w:p>
      <w:pPr>
        <w:pStyle w:val="BodyText"/>
        <w:spacing w:line="234" w:lineRule="exact"/>
        <w:ind w:left="514" w:right="0"/>
        <w:jc w:val="left"/>
      </w:pPr>
      <w:r>
        <w:rPr/>
        <w:t>注</w:t>
      </w:r>
      <w:r>
        <w:rPr>
          <w:rFonts w:ascii="宋体" w:hAnsi="宋体" w:cs="宋体" w:eastAsia="宋体" w:hint="default"/>
        </w:rPr>
        <w:t>2</w:t>
      </w:r>
      <w:r>
        <w:rPr/>
        <w:t>：政府补助的其他变动减少系预计在一年内结转收入的政府补助金额，结转至</w:t>
      </w:r>
      <w:r>
        <w:rPr>
          <w:spacing w:val="-18"/>
        </w:rPr>
        <w:t> </w:t>
      </w:r>
      <w:r>
        <w:rPr>
          <w:rFonts w:ascii="Times New Roman" w:hAnsi="Times New Roman" w:cs="Times New Roman" w:eastAsia="Times New Roman" w:hint="default"/>
        </w:rPr>
        <w:t>“</w:t>
      </w:r>
      <w:r>
        <w:rPr/>
        <w:t>其他流动负债</w:t>
      </w:r>
      <w:r>
        <w:rPr>
          <w:rFonts w:ascii="Times New Roman" w:hAnsi="Times New Roman" w:cs="Times New Roman" w:eastAsia="Times New Roman" w:hint="default"/>
        </w:rPr>
        <w:t>”</w:t>
      </w:r>
      <w:r>
        <w:rPr/>
        <w:t>中列示</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32、股本" w:id="299"/>
      <w:bookmarkEnd w:id="299"/>
      <w:r>
        <w:rPr>
          <w:b w:val="0"/>
          <w:bCs w:val="0"/>
        </w:rPr>
      </w:r>
      <w:r>
        <w:rPr>
          <w:rFonts w:ascii="Times New Roman" w:hAnsi="Times New Roman" w:cs="Times New Roman" w:eastAsia="Times New Roman" w:hint="default"/>
        </w:rPr>
        <w:t>32</w:t>
      </w:r>
      <w:r>
        <w:rPr/>
        <w:t>、股本</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0" w:right="1130"/>
        <w:jc w:val="right"/>
      </w:pPr>
      <w:r>
        <w:rPr/>
        <w:t>单位：元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173"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5"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5"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173"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4"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2" w:right="0"/>
              <w:jc w:val="left"/>
              <w:rPr>
                <w:rFonts w:ascii="Times New Roman" w:hAnsi="Times New Roman" w:cs="Times New Roman" w:eastAsia="Times New Roman" w:hint="default"/>
                <w:sz w:val="18"/>
                <w:szCs w:val="18"/>
              </w:rPr>
            </w:pPr>
            <w:r>
              <w:rPr>
                <w:rFonts w:ascii="Times New Roman"/>
                <w:sz w:val="18"/>
              </w:rPr>
              <w:t>654,070,434.00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 w:right="0"/>
              <w:jc w:val="left"/>
              <w:rPr>
                <w:rFonts w:ascii="Times New Roman" w:hAnsi="Times New Roman" w:cs="Times New Roman" w:eastAsia="Times New Roman" w:hint="default"/>
                <w:sz w:val="18"/>
                <w:szCs w:val="18"/>
              </w:rPr>
            </w:pPr>
            <w:r>
              <w:rPr>
                <w:rFonts w:ascii="Times New Roman"/>
                <w:sz w:val="18"/>
              </w:rPr>
              <w:t>654,070,434.00</w:t>
            </w:r>
          </w:p>
        </w:tc>
      </w:tr>
    </w:tbl>
    <w:p>
      <w:pPr>
        <w:pStyle w:val="BodyText"/>
        <w:spacing w:line="278" w:lineRule="auto" w:before="10"/>
        <w:ind w:right="985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3、资本公积" w:id="300"/>
      <w:bookmarkEnd w:id="300"/>
      <w:r>
        <w:rPr>
          <w:b w:val="0"/>
          <w:bCs w:val="0"/>
        </w:rPr>
      </w:r>
      <w:r>
        <w:rPr>
          <w:rFonts w:ascii="Times New Roman" w:hAnsi="Times New Roman" w:cs="Times New Roman" w:eastAsia="Times New Roman" w:hint="default"/>
        </w:rPr>
        <w:t>33</w:t>
      </w:r>
      <w:r>
        <w:rPr/>
        <w:t>、资本公积</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2,131,580,924.71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346,578.00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2,131,234,346.71</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249,046,691.64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60,495.60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249,107,187.24</w:t>
            </w:r>
          </w:p>
        </w:tc>
      </w:tr>
      <w:tr>
        <w:trPr>
          <w:trHeight w:val="32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2,380,627,616.35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60,495.60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346,578.00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2,380,341,533.95</w:t>
            </w:r>
          </w:p>
        </w:tc>
      </w:tr>
    </w:tbl>
    <w:p>
      <w:pPr>
        <w:pStyle w:val="BodyText"/>
        <w:spacing w:line="240" w:lineRule="auto" w:before="10"/>
        <w:ind w:right="0"/>
        <w:jc w:val="left"/>
      </w:pPr>
      <w:r>
        <w:rPr/>
        <w:t>其他说明，包括本期增减变动情况、变动原因说明：</w:t>
      </w:r>
    </w:p>
    <w:p>
      <w:pPr>
        <w:pStyle w:val="BodyText"/>
        <w:spacing w:line="230" w:lineRule="auto" w:before="46"/>
        <w:ind w:right="1130" w:firstLine="360"/>
        <w:jc w:val="both"/>
      </w:pPr>
      <w:r>
        <w:rPr/>
        <w:t>注</w:t>
      </w:r>
      <w:r>
        <w:rPr>
          <w:rFonts w:ascii="Times New Roman" w:hAnsi="Times New Roman" w:cs="Times New Roman" w:eastAsia="Times New Roman" w:hint="default"/>
        </w:rPr>
        <w:t>:</w:t>
      </w:r>
      <w:r>
        <w:rPr/>
        <w:t>资本公积</w:t>
      </w:r>
      <w:r>
        <w:rPr>
          <w:rFonts w:ascii="Times New Roman" w:hAnsi="Times New Roman" w:cs="Times New Roman" w:eastAsia="Times New Roman" w:hint="default"/>
        </w:rPr>
        <w:t>-</w:t>
      </w:r>
      <w:r>
        <w:rPr/>
        <w:t>股本溢价本年减少系本公司购买少数股东持有的北京神州云计算</w:t>
      </w:r>
      <w:r>
        <w:rPr>
          <w:rFonts w:ascii="Times New Roman" w:hAnsi="Times New Roman" w:cs="Times New Roman" w:eastAsia="Times New Roman" w:hint="default"/>
        </w:rPr>
        <w:t>49%</w:t>
      </w:r>
      <w:r>
        <w:rPr/>
        <w:t>股权，支付对价与</w:t>
      </w:r>
      <w:r>
        <w:rPr>
          <w:rFonts w:ascii="Times New Roman" w:hAnsi="Times New Roman" w:cs="Times New Roman" w:eastAsia="Times New Roman" w:hint="default"/>
        </w:rPr>
        <w:t>49%</w:t>
      </w:r>
      <w:r>
        <w:rPr/>
        <w:t>股权对应的北 </w:t>
      </w:r>
      <w:r>
        <w:rPr>
          <w:spacing w:val="-1"/>
        </w:rPr>
        <w:t>京神州云计算净资产的差额冲减资本公积</w:t>
      </w:r>
      <w:r>
        <w:rPr>
          <w:rFonts w:ascii="Times New Roman" w:hAnsi="Times New Roman" w:cs="Times New Roman" w:eastAsia="Times New Roman" w:hint="default"/>
          <w:spacing w:val="-1"/>
        </w:rPr>
        <w:t>346,578.00</w:t>
      </w:r>
      <w:r>
        <w:rPr>
          <w:spacing w:val="-1"/>
        </w:rPr>
        <w:t>元。资本公积</w:t>
      </w:r>
      <w:r>
        <w:rPr>
          <w:rFonts w:ascii="Times New Roman" w:hAnsi="Times New Roman" w:cs="Times New Roman" w:eastAsia="Times New Roman" w:hint="default"/>
          <w:spacing w:val="-1"/>
        </w:rPr>
        <w:t>-</w:t>
      </w:r>
      <w:r>
        <w:rPr>
          <w:spacing w:val="-1"/>
        </w:rPr>
        <w:t>其他资本公积本年增加</w:t>
      </w:r>
      <w:r>
        <w:rPr>
          <w:rFonts w:ascii="Times New Roman" w:hAnsi="Times New Roman" w:cs="Times New Roman" w:eastAsia="Times New Roman" w:hint="default"/>
          <w:spacing w:val="-1"/>
        </w:rPr>
        <w:t>60,495.60</w:t>
      </w:r>
      <w:r>
        <w:rPr>
          <w:spacing w:val="-1"/>
        </w:rPr>
        <w:t>元系本公司之子公司北京</w:t>
      </w:r>
      <w:r>
        <w:rPr>
          <w:spacing w:val="-81"/>
        </w:rPr>
        <w:t> </w:t>
      </w:r>
      <w:r>
        <w:rPr>
          <w:spacing w:val="-81"/>
        </w:rPr>
      </w:r>
      <w:r>
        <w:rPr>
          <w:spacing w:val="-2"/>
        </w:rPr>
        <w:t>神州数码云科信息技术有限公司的联营公司北京神州慧安科技有限公司的其他股东对其增资，导致北京神州数码云科信息技</w:t>
      </w:r>
      <w:r>
        <w:rPr>
          <w:spacing w:val="-64"/>
        </w:rPr>
        <w:t> </w:t>
      </w:r>
      <w:r>
        <w:rPr>
          <w:spacing w:val="-64"/>
        </w:rPr>
      </w:r>
      <w:r>
        <w:rPr>
          <w:spacing w:val="-2"/>
        </w:rPr>
        <w:t>术有限公司对北京神州慧安科技有限公司的持股比例发生变动，北京神州数码云科信息技术有限公司相应调增长期股权投资</w:t>
      </w:r>
      <w:r>
        <w:rPr>
          <w:spacing w:val="-64"/>
        </w:rPr>
        <w:t> </w:t>
      </w:r>
      <w:r>
        <w:rPr>
          <w:spacing w:val="-64"/>
        </w:rPr>
      </w:r>
      <w:r>
        <w:rPr/>
        <w:t>及资本公积。</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34、其他综合收益" w:id="301"/>
      <w:bookmarkEnd w:id="301"/>
      <w:r>
        <w:rPr>
          <w:b w:val="0"/>
          <w:bCs w:val="0"/>
        </w:rPr>
      </w:r>
      <w:r>
        <w:rPr>
          <w:rFonts w:ascii="Times New Roman" w:hAnsi="Times New Roman" w:cs="Times New Roman" w:eastAsia="Times New Roman" w:hint="default"/>
        </w:rPr>
        <w:t>34</w:t>
      </w:r>
      <w:r>
        <w:rPr/>
        <w:t>、其他综合收益</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2422"/>
        <w:gridCol w:w="1430"/>
        <w:gridCol w:w="1140"/>
        <w:gridCol w:w="847"/>
        <w:gridCol w:w="722"/>
        <w:gridCol w:w="1143"/>
        <w:gridCol w:w="715"/>
        <w:gridCol w:w="1276"/>
      </w:tblGrid>
      <w:tr>
        <w:trPr>
          <w:trHeight w:val="319" w:hRule="exact"/>
        </w:trPr>
        <w:tc>
          <w:tcPr>
            <w:tcW w:w="2422" w:type="dxa"/>
            <w:vMerge w:val="restart"/>
            <w:tcBorders>
              <w:top w:val="single" w:sz="4" w:space="0" w:color="000000"/>
              <w:left w:val="single" w:sz="4" w:space="0" w:color="000000"/>
              <w:right w:val="single" w:sz="4" w:space="0" w:color="000000"/>
            </w:tcBorders>
            <w:shd w:val="clear" w:color="auto" w:fill="D2D2D2"/>
          </w:tcPr>
          <w:p>
            <w:pPr/>
          </w:p>
        </w:tc>
        <w:tc>
          <w:tcPr>
            <w:tcW w:w="1430" w:type="dxa"/>
            <w:vMerge w:val="restart"/>
            <w:tcBorders>
              <w:top w:val="single" w:sz="4" w:space="0" w:color="000000"/>
              <w:left w:val="single" w:sz="4" w:space="0" w:color="000000"/>
              <w:right w:val="single" w:sz="4" w:space="0" w:color="000000"/>
            </w:tcBorders>
            <w:shd w:val="clear" w:color="auto" w:fill="D2D2D2"/>
          </w:tcPr>
          <w:p>
            <w:pPr/>
          </w:p>
        </w:tc>
        <w:tc>
          <w:tcPr>
            <w:tcW w:w="456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276" w:type="dxa"/>
            <w:vMerge w:val="restart"/>
            <w:tcBorders>
              <w:top w:val="single" w:sz="4" w:space="0" w:color="000000"/>
              <w:left w:val="single" w:sz="4" w:space="0" w:color="000000"/>
              <w:right w:val="single" w:sz="4" w:space="0" w:color="000000"/>
            </w:tcBorders>
            <w:shd w:val="clear" w:color="auto" w:fill="D2D2D2"/>
          </w:tcPr>
          <w:p>
            <w:pPr/>
          </w:p>
        </w:tc>
      </w:tr>
      <w:tr>
        <w:trPr>
          <w:trHeight w:val="328" w:hRule="exact"/>
        </w:trPr>
        <w:tc>
          <w:tcPr>
            <w:tcW w:w="2422" w:type="dxa"/>
            <w:vMerge/>
            <w:tcBorders>
              <w:left w:val="single" w:sz="4" w:space="0" w:color="000000"/>
              <w:bottom w:val="nil" w:sz="6" w:space="0" w:color="auto"/>
              <w:right w:val="single" w:sz="4" w:space="0" w:color="000000"/>
            </w:tcBorders>
            <w:shd w:val="clear" w:color="auto" w:fill="D2D2D2"/>
          </w:tcPr>
          <w:p>
            <w:pPr/>
          </w:p>
        </w:tc>
        <w:tc>
          <w:tcPr>
            <w:tcW w:w="1430" w:type="dxa"/>
            <w:vMerge/>
            <w:tcBorders>
              <w:left w:val="single" w:sz="4" w:space="0" w:color="000000"/>
              <w:bottom w:val="nil" w:sz="6" w:space="0" w:color="auto"/>
              <w:right w:val="single" w:sz="4" w:space="0" w:color="000000"/>
            </w:tcBorders>
            <w:shd w:val="clear" w:color="auto" w:fill="D2D2D2"/>
          </w:tcPr>
          <w:p>
            <w:pPr/>
          </w:p>
        </w:tc>
        <w:tc>
          <w:tcPr>
            <w:tcW w:w="1140" w:type="dxa"/>
            <w:tcBorders>
              <w:top w:val="single" w:sz="4" w:space="0" w:color="000000"/>
              <w:left w:val="single" w:sz="4" w:space="0" w:color="000000"/>
              <w:bottom w:val="nil" w:sz="6" w:space="0" w:color="auto"/>
              <w:right w:val="single" w:sz="4" w:space="0" w:color="000000"/>
            </w:tcBorders>
            <w:shd w:val="clear" w:color="auto" w:fill="D2D2D2"/>
          </w:tcPr>
          <w:p>
            <w:pPr/>
          </w:p>
        </w:tc>
        <w:tc>
          <w:tcPr>
            <w:tcW w:w="847"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16"/>
              <w:ind w:left="57" w:right="59"/>
              <w:jc w:val="center"/>
              <w:rPr>
                <w:rFonts w:ascii="宋体" w:hAnsi="宋体" w:cs="宋体" w:eastAsia="宋体" w:hint="default"/>
                <w:sz w:val="18"/>
                <w:szCs w:val="18"/>
              </w:rPr>
            </w:pPr>
            <w:r>
              <w:rPr>
                <w:rFonts w:ascii="宋体" w:hAnsi="宋体" w:cs="宋体" w:eastAsia="宋体" w:hint="default"/>
                <w:sz w:val="18"/>
                <w:szCs w:val="18"/>
              </w:rPr>
              <w:t>减：前期 计入其他 综合收益 当期转入 损益</w:t>
            </w: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3" w:type="dxa"/>
            <w:tcBorders>
              <w:top w:val="single" w:sz="4" w:space="0" w:color="000000"/>
              <w:left w:val="single" w:sz="4" w:space="0" w:color="000000"/>
              <w:bottom w:val="nil" w:sz="6" w:space="0" w:color="auto"/>
              <w:right w:val="single" w:sz="4" w:space="0" w:color="000000"/>
            </w:tcBorders>
            <w:shd w:val="clear" w:color="auto" w:fill="D2D2D2"/>
          </w:tcPr>
          <w:p>
            <w:pPr/>
          </w:p>
        </w:tc>
        <w:tc>
          <w:tcPr>
            <w:tcW w:w="7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r>
      <w:tr>
        <w:trPr>
          <w:trHeight w:val="331" w:hRule="exact"/>
        </w:trPr>
        <w:tc>
          <w:tcPr>
            <w:tcW w:w="24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34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3"/>
              <w:ind w:left="293" w:right="24" w:hanging="270"/>
              <w:jc w:val="left"/>
              <w:rPr>
                <w:rFonts w:ascii="宋体" w:hAnsi="宋体" w:cs="宋体" w:eastAsia="宋体" w:hint="default"/>
                <w:sz w:val="18"/>
                <w:szCs w:val="18"/>
              </w:rPr>
            </w:pPr>
            <w:r>
              <w:rPr>
                <w:rFonts w:ascii="宋体" w:hAnsi="宋体" w:cs="宋体" w:eastAsia="宋体" w:hint="default"/>
                <w:sz w:val="18"/>
                <w:szCs w:val="18"/>
              </w:rPr>
              <w:t>本期所得税前 发生额</w:t>
            </w:r>
          </w:p>
        </w:tc>
        <w:tc>
          <w:tcPr>
            <w:tcW w:w="847" w:type="dxa"/>
            <w:vMerge/>
            <w:tcBorders>
              <w:left w:val="single" w:sz="4" w:space="0" w:color="000000"/>
              <w:right w:val="single" w:sz="4" w:space="0" w:color="000000"/>
            </w:tcBorders>
            <w:shd w:val="clear" w:color="auto" w:fill="D2D2D2"/>
          </w:tcPr>
          <w:p>
            <w:pPr/>
          </w:p>
        </w:tc>
        <w:tc>
          <w:tcPr>
            <w:tcW w:w="7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1"/>
              <w:ind w:left="86" w:right="20" w:hanging="64"/>
              <w:jc w:val="left"/>
              <w:rPr>
                <w:rFonts w:ascii="宋体" w:hAnsi="宋体" w:cs="宋体" w:eastAsia="宋体" w:hint="default"/>
                <w:sz w:val="18"/>
                <w:szCs w:val="18"/>
              </w:rPr>
            </w:pPr>
            <w:r>
              <w:rPr>
                <w:rFonts w:ascii="宋体" w:hAnsi="宋体" w:cs="宋体" w:eastAsia="宋体" w:hint="default"/>
                <w:spacing w:val="-14"/>
                <w:sz w:val="18"/>
                <w:szCs w:val="18"/>
              </w:rPr>
              <w:t>减：所得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税费用</w:t>
            </w:r>
          </w:p>
        </w:tc>
        <w:tc>
          <w:tcPr>
            <w:tcW w:w="11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1"/>
              <w:ind w:left="385" w:right="27" w:hanging="360"/>
              <w:jc w:val="left"/>
              <w:rPr>
                <w:rFonts w:ascii="宋体" w:hAnsi="宋体" w:cs="宋体" w:eastAsia="宋体" w:hint="default"/>
                <w:sz w:val="18"/>
                <w:szCs w:val="18"/>
              </w:rPr>
            </w:pPr>
            <w:r>
              <w:rPr>
                <w:rFonts w:ascii="宋体" w:hAnsi="宋体" w:cs="宋体" w:eastAsia="宋体" w:hint="default"/>
                <w:sz w:val="18"/>
                <w:szCs w:val="18"/>
              </w:rPr>
              <w:t>税后归属于母 公司</w:t>
            </w:r>
          </w:p>
        </w:tc>
        <w:tc>
          <w:tcPr>
            <w:tcW w:w="715" w:type="dxa"/>
            <w:vMerge w:val="restart"/>
            <w:tcBorders>
              <w:top w:val="nil" w:sz="6" w:space="0" w:color="auto"/>
              <w:left w:val="single" w:sz="4" w:space="0" w:color="000000"/>
              <w:right w:val="single" w:sz="4" w:space="0" w:color="000000"/>
            </w:tcBorders>
            <w:shd w:val="clear" w:color="auto" w:fill="D2D2D2"/>
          </w:tcPr>
          <w:p>
            <w:pPr>
              <w:pStyle w:val="TableParagraph"/>
              <w:spacing w:line="158" w:lineRule="exact"/>
              <w:ind w:left="81" w:right="0"/>
              <w:jc w:val="left"/>
              <w:rPr>
                <w:rFonts w:ascii="宋体" w:hAnsi="宋体" w:cs="宋体" w:eastAsia="宋体" w:hint="default"/>
                <w:sz w:val="18"/>
                <w:szCs w:val="18"/>
              </w:rPr>
            </w:pPr>
            <w:r>
              <w:rPr>
                <w:rFonts w:ascii="宋体" w:hAnsi="宋体" w:cs="宋体" w:eastAsia="宋体" w:hint="default"/>
                <w:sz w:val="18"/>
                <w:szCs w:val="18"/>
              </w:rPr>
              <w:t>税后归</w:t>
            </w:r>
          </w:p>
          <w:p>
            <w:pPr>
              <w:pStyle w:val="TableParagraph"/>
              <w:spacing w:line="240" w:lineRule="auto"/>
              <w:ind w:left="81" w:right="83"/>
              <w:jc w:val="left"/>
              <w:rPr>
                <w:rFonts w:ascii="宋体" w:hAnsi="宋体" w:cs="宋体" w:eastAsia="宋体" w:hint="default"/>
                <w:sz w:val="18"/>
                <w:szCs w:val="18"/>
              </w:rPr>
            </w:pPr>
            <w:r>
              <w:rPr>
                <w:rFonts w:ascii="宋体" w:hAnsi="宋体" w:cs="宋体" w:eastAsia="宋体" w:hint="default"/>
                <w:sz w:val="18"/>
                <w:szCs w:val="18"/>
              </w:rPr>
              <w:t>属于少 数股东</w:t>
            </w:r>
          </w:p>
        </w:tc>
        <w:tc>
          <w:tcPr>
            <w:tcW w:w="12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2" w:lineRule="exact"/>
              <w:ind w:left="27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78" w:hRule="exact"/>
        </w:trPr>
        <w:tc>
          <w:tcPr>
            <w:tcW w:w="2422" w:type="dxa"/>
            <w:vMerge w:val="restart"/>
            <w:tcBorders>
              <w:top w:val="nil" w:sz="6" w:space="0" w:color="auto"/>
              <w:left w:val="single" w:sz="4" w:space="0" w:color="000000"/>
              <w:right w:val="single" w:sz="4" w:space="0" w:color="000000"/>
            </w:tcBorders>
            <w:shd w:val="clear" w:color="auto" w:fill="D2D2D2"/>
          </w:tcPr>
          <w:p>
            <w:pPr/>
          </w:p>
        </w:tc>
        <w:tc>
          <w:tcPr>
            <w:tcW w:w="1430" w:type="dxa"/>
            <w:vMerge w:val="restart"/>
            <w:tcBorders>
              <w:top w:val="nil" w:sz="6" w:space="0" w:color="auto"/>
              <w:left w:val="single" w:sz="4" w:space="0" w:color="000000"/>
              <w:right w:val="single" w:sz="4" w:space="0" w:color="000000"/>
            </w:tcBorders>
            <w:shd w:val="clear" w:color="auto" w:fill="D2D2D2"/>
          </w:tcPr>
          <w:p>
            <w:pPr/>
          </w:p>
        </w:tc>
        <w:tc>
          <w:tcPr>
            <w:tcW w:w="1140" w:type="dxa"/>
            <w:vMerge/>
            <w:tcBorders>
              <w:left w:val="single" w:sz="4" w:space="0" w:color="000000"/>
              <w:bottom w:val="nil" w:sz="6" w:space="0" w:color="auto"/>
              <w:right w:val="single" w:sz="4" w:space="0" w:color="000000"/>
            </w:tcBorders>
            <w:shd w:val="clear" w:color="auto" w:fill="D2D2D2"/>
          </w:tcPr>
          <w:p>
            <w:pPr/>
          </w:p>
        </w:tc>
        <w:tc>
          <w:tcPr>
            <w:tcW w:w="847" w:type="dxa"/>
            <w:vMerge/>
            <w:tcBorders>
              <w:left w:val="single" w:sz="4" w:space="0" w:color="000000"/>
              <w:right w:val="single" w:sz="4" w:space="0" w:color="000000"/>
            </w:tcBorders>
            <w:shd w:val="clear" w:color="auto" w:fill="D2D2D2"/>
          </w:tcPr>
          <w:p>
            <w:pPr/>
          </w:p>
        </w:tc>
        <w:tc>
          <w:tcPr>
            <w:tcW w:w="722" w:type="dxa"/>
            <w:vMerge/>
            <w:tcBorders>
              <w:left w:val="single" w:sz="4" w:space="0" w:color="000000"/>
              <w:bottom w:val="nil" w:sz="6" w:space="0" w:color="auto"/>
              <w:right w:val="single" w:sz="4" w:space="0" w:color="000000"/>
            </w:tcBorders>
            <w:shd w:val="clear" w:color="auto" w:fill="D2D2D2"/>
          </w:tcPr>
          <w:p>
            <w:pPr/>
          </w:p>
        </w:tc>
        <w:tc>
          <w:tcPr>
            <w:tcW w:w="1143" w:type="dxa"/>
            <w:vMerge/>
            <w:tcBorders>
              <w:left w:val="single" w:sz="4" w:space="0" w:color="000000"/>
              <w:bottom w:val="nil" w:sz="6" w:space="0" w:color="auto"/>
              <w:right w:val="single" w:sz="4" w:space="0" w:color="000000"/>
            </w:tcBorders>
            <w:shd w:val="clear" w:color="auto" w:fill="D2D2D2"/>
          </w:tcPr>
          <w:p>
            <w:pPr/>
          </w:p>
        </w:tc>
        <w:tc>
          <w:tcPr>
            <w:tcW w:w="715" w:type="dxa"/>
            <w:vMerge/>
            <w:tcBorders>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
        </w:tc>
      </w:tr>
      <w:tr>
        <w:trPr>
          <w:trHeight w:val="118" w:hRule="exact"/>
        </w:trPr>
        <w:tc>
          <w:tcPr>
            <w:tcW w:w="2422" w:type="dxa"/>
            <w:vMerge/>
            <w:tcBorders>
              <w:left w:val="single" w:sz="4" w:space="0" w:color="000000"/>
              <w:right w:val="single" w:sz="4" w:space="0" w:color="000000"/>
            </w:tcBorders>
            <w:shd w:val="clear" w:color="auto" w:fill="D2D2D2"/>
          </w:tcPr>
          <w:p>
            <w:pPr/>
          </w:p>
        </w:tc>
        <w:tc>
          <w:tcPr>
            <w:tcW w:w="1430" w:type="dxa"/>
            <w:vMerge/>
            <w:tcBorders>
              <w:left w:val="single" w:sz="4" w:space="0" w:color="000000"/>
              <w:right w:val="single" w:sz="4" w:space="0" w:color="000000"/>
            </w:tcBorders>
            <w:shd w:val="clear" w:color="auto" w:fill="D2D2D2"/>
          </w:tcPr>
          <w:p>
            <w:pPr/>
          </w:p>
        </w:tc>
        <w:tc>
          <w:tcPr>
            <w:tcW w:w="1140" w:type="dxa"/>
            <w:vMerge w:val="restart"/>
            <w:tcBorders>
              <w:top w:val="nil" w:sz="6" w:space="0" w:color="auto"/>
              <w:left w:val="single" w:sz="4" w:space="0" w:color="000000"/>
              <w:right w:val="single" w:sz="4" w:space="0" w:color="000000"/>
            </w:tcBorders>
            <w:shd w:val="clear" w:color="auto" w:fill="D2D2D2"/>
          </w:tcPr>
          <w:p>
            <w:pPr/>
          </w:p>
        </w:tc>
        <w:tc>
          <w:tcPr>
            <w:tcW w:w="847" w:type="dxa"/>
            <w:vMerge/>
            <w:tcBorders>
              <w:left w:val="single" w:sz="4" w:space="0" w:color="000000"/>
              <w:right w:val="single" w:sz="4" w:space="0" w:color="000000"/>
            </w:tcBorders>
            <w:shd w:val="clear" w:color="auto" w:fill="D2D2D2"/>
          </w:tcPr>
          <w:p>
            <w:pPr/>
          </w:p>
        </w:tc>
        <w:tc>
          <w:tcPr>
            <w:tcW w:w="722" w:type="dxa"/>
            <w:vMerge w:val="restart"/>
            <w:tcBorders>
              <w:top w:val="nil" w:sz="6" w:space="0" w:color="auto"/>
              <w:left w:val="single" w:sz="4" w:space="0" w:color="000000"/>
              <w:right w:val="single" w:sz="4" w:space="0" w:color="000000"/>
            </w:tcBorders>
            <w:shd w:val="clear" w:color="auto" w:fill="D2D2D2"/>
          </w:tcPr>
          <w:p>
            <w:pPr/>
          </w:p>
        </w:tc>
        <w:tc>
          <w:tcPr>
            <w:tcW w:w="1143" w:type="dxa"/>
            <w:vMerge w:val="restart"/>
            <w:tcBorders>
              <w:top w:val="nil" w:sz="6" w:space="0" w:color="auto"/>
              <w:left w:val="single" w:sz="4" w:space="0" w:color="000000"/>
              <w:right w:val="single" w:sz="4" w:space="0" w:color="000000"/>
            </w:tcBorders>
            <w:shd w:val="clear" w:color="auto" w:fill="D2D2D2"/>
          </w:tcPr>
          <w:p>
            <w:pPr/>
          </w:p>
        </w:tc>
        <w:tc>
          <w:tcPr>
            <w:tcW w:w="715"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r>
      <w:tr>
        <w:trPr>
          <w:trHeight w:val="238" w:hRule="exact"/>
        </w:trPr>
        <w:tc>
          <w:tcPr>
            <w:tcW w:w="2422" w:type="dxa"/>
            <w:vMerge/>
            <w:tcBorders>
              <w:left w:val="single" w:sz="4" w:space="0" w:color="000000"/>
              <w:bottom w:val="single" w:sz="4" w:space="0" w:color="000000"/>
              <w:right w:val="single" w:sz="4" w:space="0" w:color="000000"/>
            </w:tcBorders>
            <w:shd w:val="clear" w:color="auto" w:fill="D2D2D2"/>
          </w:tcPr>
          <w:p>
            <w:pPr/>
          </w:p>
        </w:tc>
        <w:tc>
          <w:tcPr>
            <w:tcW w:w="1430" w:type="dxa"/>
            <w:vMerge/>
            <w:tcBorders>
              <w:left w:val="single" w:sz="4" w:space="0" w:color="000000"/>
              <w:bottom w:val="single" w:sz="4" w:space="0" w:color="000000"/>
              <w:right w:val="single" w:sz="4" w:space="0" w:color="000000"/>
            </w:tcBorders>
            <w:shd w:val="clear" w:color="auto" w:fill="D2D2D2"/>
          </w:tcPr>
          <w:p>
            <w:pPr/>
          </w:p>
        </w:tc>
        <w:tc>
          <w:tcPr>
            <w:tcW w:w="1140" w:type="dxa"/>
            <w:vMerge/>
            <w:tcBorders>
              <w:left w:val="single" w:sz="4" w:space="0" w:color="000000"/>
              <w:bottom w:val="single" w:sz="4" w:space="0" w:color="000000"/>
              <w:right w:val="single" w:sz="4" w:space="0" w:color="000000"/>
            </w:tcBorders>
            <w:shd w:val="clear" w:color="auto" w:fill="D2D2D2"/>
          </w:tcPr>
          <w:p>
            <w:pPr/>
          </w:p>
        </w:tc>
        <w:tc>
          <w:tcPr>
            <w:tcW w:w="847" w:type="dxa"/>
            <w:vMerge/>
            <w:tcBorders>
              <w:left w:val="single" w:sz="4" w:space="0" w:color="000000"/>
              <w:bottom w:val="single" w:sz="4" w:space="0" w:color="000000"/>
              <w:right w:val="single" w:sz="4" w:space="0" w:color="000000"/>
            </w:tcBorders>
            <w:shd w:val="clear" w:color="auto" w:fill="D2D2D2"/>
          </w:tcPr>
          <w:p>
            <w:pPr/>
          </w:p>
        </w:tc>
        <w:tc>
          <w:tcPr>
            <w:tcW w:w="722" w:type="dxa"/>
            <w:vMerge/>
            <w:tcBorders>
              <w:left w:val="single" w:sz="4" w:space="0" w:color="000000"/>
              <w:bottom w:val="single" w:sz="4" w:space="0" w:color="000000"/>
              <w:right w:val="single" w:sz="4" w:space="0" w:color="000000"/>
            </w:tcBorders>
            <w:shd w:val="clear" w:color="auto" w:fill="D2D2D2"/>
          </w:tcPr>
          <w:p>
            <w:pPr/>
          </w:p>
        </w:tc>
        <w:tc>
          <w:tcPr>
            <w:tcW w:w="1143" w:type="dxa"/>
            <w:vMerge/>
            <w:tcBorders>
              <w:left w:val="single" w:sz="4" w:space="0" w:color="000000"/>
              <w:bottom w:val="single" w:sz="4" w:space="0" w:color="000000"/>
              <w:right w:val="single" w:sz="4" w:space="0" w:color="000000"/>
            </w:tcBorders>
            <w:shd w:val="clear" w:color="auto" w:fill="D2D2D2"/>
          </w:tcPr>
          <w:p>
            <w:pPr/>
          </w:p>
        </w:tc>
        <w:tc>
          <w:tcPr>
            <w:tcW w:w="7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r>
      <w:tr>
        <w:trPr>
          <w:trHeight w:val="478" w:hRule="exact"/>
        </w:trPr>
        <w:tc>
          <w:tcPr>
            <w:tcW w:w="2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1430" w:type="dxa"/>
            <w:tcBorders>
              <w:top w:val="single" w:sz="4" w:space="0" w:color="000000"/>
              <w:left w:val="single" w:sz="13" w:space="0" w:color="D2D2D2"/>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47"/>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2,147,977.11</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4,119,897.61</w:t>
            </w:r>
          </w:p>
        </w:tc>
        <w:tc>
          <w:tcPr>
            <w:tcW w:w="847"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4,119,897.61</w:t>
            </w:r>
          </w:p>
        </w:tc>
        <w:tc>
          <w:tcPr>
            <w:tcW w:w="71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6,267,874.72</w:t>
            </w:r>
          </w:p>
        </w:tc>
      </w:tr>
      <w:tr>
        <w:trPr>
          <w:trHeight w:val="557" w:hRule="exact"/>
        </w:trPr>
        <w:tc>
          <w:tcPr>
            <w:tcW w:w="2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47"/>
              <w:jc w:val="left"/>
              <w:rPr>
                <w:rFonts w:ascii="宋体" w:hAnsi="宋体" w:cs="宋体" w:eastAsia="宋体" w:hint="default"/>
                <w:sz w:val="18"/>
                <w:szCs w:val="18"/>
              </w:rPr>
            </w:pPr>
            <w:r>
              <w:rPr>
                <w:rFonts w:ascii="宋体" w:hAnsi="宋体" w:cs="宋体" w:eastAsia="宋体" w:hint="default"/>
                <w:sz w:val="18"/>
                <w:szCs w:val="18"/>
              </w:rPr>
              <w:t>其中：权益法下可转损益的其 他综合收益</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309,860.55</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310,351.41</w:t>
            </w:r>
          </w:p>
        </w:tc>
        <w:tc>
          <w:tcPr>
            <w:tcW w:w="847"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310,351.41</w:t>
            </w:r>
          </w:p>
        </w:tc>
        <w:tc>
          <w:tcPr>
            <w:tcW w:w="71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620,211.96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2422"/>
        <w:gridCol w:w="1430"/>
        <w:gridCol w:w="1140"/>
        <w:gridCol w:w="847"/>
        <w:gridCol w:w="722"/>
        <w:gridCol w:w="1143"/>
        <w:gridCol w:w="715"/>
        <w:gridCol w:w="1276"/>
      </w:tblGrid>
      <w:tr>
        <w:trPr>
          <w:trHeight w:val="557" w:hRule="exact"/>
        </w:trPr>
        <w:tc>
          <w:tcPr>
            <w:tcW w:w="2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47" w:firstLine="540"/>
              <w:jc w:val="left"/>
              <w:rPr>
                <w:rFonts w:ascii="宋体" w:hAnsi="宋体" w:cs="宋体" w:eastAsia="宋体" w:hint="default"/>
                <w:sz w:val="18"/>
                <w:szCs w:val="18"/>
              </w:rPr>
            </w:pPr>
            <w:r>
              <w:rPr>
                <w:rFonts w:ascii="宋体" w:hAnsi="宋体" w:cs="宋体" w:eastAsia="宋体" w:hint="default"/>
                <w:sz w:val="18"/>
                <w:szCs w:val="18"/>
              </w:rPr>
              <w:t>可供出售金融资产公允 价值变动损益</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-1,067,652.82</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-9,777,002.25</w:t>
            </w:r>
          </w:p>
        </w:tc>
        <w:tc>
          <w:tcPr>
            <w:tcW w:w="847"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-9,777,002.25</w:t>
            </w:r>
          </w:p>
        </w:tc>
        <w:tc>
          <w:tcPr>
            <w:tcW w:w="71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-10,844,655.07</w:t>
            </w:r>
          </w:p>
        </w:tc>
      </w:tr>
      <w:tr>
        <w:trPr>
          <w:trHeight w:val="324" w:hRule="exact"/>
        </w:trPr>
        <w:tc>
          <w:tcPr>
            <w:tcW w:w="2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63"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2,905,769.38</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13,586,548.45</w:t>
            </w:r>
          </w:p>
        </w:tc>
        <w:tc>
          <w:tcPr>
            <w:tcW w:w="847"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13,586,548.45</w:t>
            </w:r>
          </w:p>
        </w:tc>
        <w:tc>
          <w:tcPr>
            <w:tcW w:w="71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16,492,317.83</w:t>
            </w:r>
          </w:p>
        </w:tc>
      </w:tr>
      <w:tr>
        <w:trPr>
          <w:trHeight w:val="323" w:hRule="exact"/>
        </w:trPr>
        <w:tc>
          <w:tcPr>
            <w:tcW w:w="2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2,147,977.11</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4,119,897.61</w:t>
            </w:r>
          </w:p>
        </w:tc>
        <w:tc>
          <w:tcPr>
            <w:tcW w:w="847"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4,119,897.61</w:t>
            </w:r>
          </w:p>
        </w:tc>
        <w:tc>
          <w:tcPr>
            <w:tcW w:w="71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6,267,874.72</w:t>
            </w:r>
          </w:p>
        </w:tc>
      </w:tr>
    </w:tbl>
    <w:p>
      <w:pPr>
        <w:pStyle w:val="BodyText"/>
        <w:spacing w:line="278" w:lineRule="auto" w:before="11"/>
        <w:ind w:right="4092"/>
        <w:jc w:val="left"/>
      </w:pPr>
      <w:r>
        <w:rPr/>
        <w:t>其他说明，包括对现金流量套期损益的有效部分转为被套期项目初始确认金额调整：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5、盈余公积" w:id="302"/>
      <w:bookmarkEnd w:id="302"/>
      <w:r>
        <w:rPr>
          <w:b w:val="0"/>
          <w:bCs w:val="0"/>
        </w:rPr>
      </w:r>
      <w:r>
        <w:rPr>
          <w:rFonts w:ascii="Times New Roman" w:hAnsi="Times New Roman" w:cs="Times New Roman" w:eastAsia="Times New Roman" w:hint="default"/>
        </w:rPr>
        <w:t>35</w:t>
      </w:r>
      <w:r>
        <w:rPr/>
        <w:t>、盈余公积</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32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65,738,593.50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18,464,356.36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84,202,949.86</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65,738,593.50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18,464,356.36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84,202,949.86</w:t>
            </w:r>
          </w:p>
        </w:tc>
      </w:tr>
    </w:tbl>
    <w:p>
      <w:pPr>
        <w:pStyle w:val="BodyText"/>
        <w:spacing w:line="278" w:lineRule="auto" w:before="10"/>
        <w:ind w:right="6252"/>
        <w:jc w:val="left"/>
      </w:pPr>
      <w:r>
        <w:rPr/>
        <w:t>盈余公积说明，包括本期增减变动情况、变动原因说明：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36、未分配利润" w:id="303"/>
      <w:bookmarkEnd w:id="303"/>
      <w:r>
        <w:rPr>
          <w:b w:val="0"/>
          <w:bCs w:val="0"/>
        </w:rPr>
      </w:r>
      <w:r>
        <w:rPr>
          <w:rFonts w:ascii="Times New Roman" w:hAnsi="Times New Roman" w:cs="Times New Roman" w:eastAsia="Times New Roman" w:hint="default"/>
        </w:rPr>
        <w:t>36</w:t>
      </w:r>
      <w:r>
        <w:rPr/>
        <w:t>、未分配利润</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32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247,474,296.03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-475,450,417.00</w:t>
            </w:r>
          </w:p>
        </w:tc>
      </w:tr>
      <w:tr>
        <w:trPr>
          <w:trHeight w:val="32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247,474,296.03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-475,450,417.00</w:t>
            </w:r>
          </w:p>
        </w:tc>
      </w:tr>
      <w:tr>
        <w:trPr>
          <w:trHeight w:val="324"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512,408,008.06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722,924,713.03</w:t>
            </w:r>
          </w:p>
        </w:tc>
      </w:tr>
      <w:tr>
        <w:trPr>
          <w:trHeight w:val="324"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18,464,356.36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71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减：派发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年普通股股利</w:t>
            </w:r>
          </w:p>
        </w:tc>
        <w:tc>
          <w:tcPr>
            <w:tcW w:w="2936" w:type="dxa"/>
            <w:tcBorders>
              <w:top w:val="single" w:sz="4" w:space="0" w:color="000000"/>
              <w:left w:val="single" w:sz="9" w:space="0" w:color="D0CECE"/>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24,854,660.08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716,563,287.65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247,474,296.03</w:t>
            </w:r>
          </w:p>
        </w:tc>
      </w:tr>
    </w:tbl>
    <w:p>
      <w:pPr>
        <w:pStyle w:val="BodyText"/>
        <w:spacing w:line="240" w:lineRule="auto" w:before="10"/>
        <w:ind w:right="0"/>
        <w:jc w:val="left"/>
      </w:pPr>
      <w:r>
        <w:rPr/>
        <w:t>调整期初未分配利润明细：</w:t>
      </w:r>
    </w:p>
    <w:p>
      <w:pPr>
        <w:pStyle w:val="BodyText"/>
        <w:spacing w:line="240" w:lineRule="auto" w:before="37"/>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24"/>
        <w:ind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24"/>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24"/>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24"/>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37、营业收入和营业成本" w:id="304"/>
      <w:bookmarkEnd w:id="304"/>
      <w:r>
        <w:rPr>
          <w:b w:val="0"/>
          <w:bCs w:val="0"/>
        </w:rPr>
      </w:r>
      <w:r>
        <w:rPr>
          <w:rFonts w:ascii="Times New Roman" w:hAnsi="Times New Roman" w:cs="Times New Roman" w:eastAsia="Times New Roman" w:hint="default"/>
        </w:rPr>
        <w:t>37</w:t>
      </w:r>
      <w:r>
        <w:rPr/>
        <w:t>、营业收入和营业成本</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167"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57"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57"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1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167"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81,847,909,155.88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78,555,947,264.12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62,208,770,188.27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59,285,184,106.98</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10,145,337.35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5,638,640.87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7,180,270.29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5,638,640.87</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81,858,054,493.23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78,561,585,904.99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62,215,950,458.56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59,290,822,747.85</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38、税金及附加" w:id="305"/>
      <w:bookmarkEnd w:id="305"/>
      <w:r>
        <w:rPr>
          <w:b w:val="0"/>
          <w:bCs w:val="0"/>
        </w:rPr>
      </w:r>
      <w:r>
        <w:rPr>
          <w:rFonts w:ascii="Times New Roman" w:hAnsi="Times New Roman" w:cs="Times New Roman" w:eastAsia="Times New Roman" w:hint="default"/>
        </w:rPr>
        <w:t>38</w:t>
      </w:r>
      <w:r>
        <w:rPr/>
        <w:t>、税金及附加</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after="0" w:line="240" w:lineRule="auto"/>
        <w:jc w:val="right"/>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24,936,096.64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26,129,148.30</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10,686,898.56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11,198,206.42</w:t>
            </w:r>
          </w:p>
        </w:tc>
      </w:tr>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1,863,649.45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1,819,177.59</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37,611,789.93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43,537,250.22</w:t>
            </w:r>
          </w:p>
        </w:tc>
      </w:tr>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6,727,801.19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7,457,136.09</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127,334.91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34,392.52</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81,953,570.68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90,175,311.14</w:t>
            </w:r>
          </w:p>
        </w:tc>
      </w:tr>
    </w:tbl>
    <w:p>
      <w:pPr>
        <w:pStyle w:val="BodyText"/>
        <w:spacing w:line="278" w:lineRule="auto" w:before="10"/>
        <w:ind w:right="985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9、销售费用" w:id="306"/>
      <w:bookmarkEnd w:id="306"/>
      <w:r>
        <w:rPr>
          <w:b w:val="0"/>
          <w:bCs w:val="0"/>
        </w:rPr>
      </w:r>
      <w:r>
        <w:rPr>
          <w:rFonts w:ascii="Times New Roman" w:hAnsi="Times New Roman" w:cs="Times New Roman" w:eastAsia="Times New Roman" w:hint="default"/>
        </w:rPr>
        <w:t>39</w:t>
      </w:r>
      <w:r>
        <w:rPr/>
        <w:t>、销售费用</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759,674,658.69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711,106,231.53</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288,094,114.00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259,537,258.88</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市场及其推广费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205,434,799.80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240,266,409.22</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120,521,310.14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132,702,588.37</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95,092,335.38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96,361,163.27</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69,915,948.31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73,710,503.19</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海关申报费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18,086,292.16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17,848,060.24</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运营费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14,036,723.66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14,387,827.40</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9,657,637.48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12,384,356.55</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办公室供应</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9,487,081.30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11,195,259.79</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技术协作费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7,883,243.73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3,011,839.68</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法律及业务咨询费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6,719,817.49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10,891,882.27</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29,311,906.34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29,565,279.93</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1,633,915,868.48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1,612,968,660.32</w:t>
            </w:r>
          </w:p>
        </w:tc>
      </w:tr>
    </w:tbl>
    <w:p>
      <w:pPr>
        <w:pStyle w:val="BodyText"/>
        <w:spacing w:line="278" w:lineRule="auto" w:before="10"/>
        <w:ind w:right="985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0、管理费用" w:id="307"/>
      <w:bookmarkEnd w:id="307"/>
      <w:r>
        <w:rPr>
          <w:b w:val="0"/>
          <w:bCs w:val="0"/>
        </w:rPr>
      </w:r>
      <w:r>
        <w:rPr>
          <w:rFonts w:ascii="Times New Roman" w:hAnsi="Times New Roman" w:cs="Times New Roman" w:eastAsia="Times New Roman" w:hint="default"/>
        </w:rPr>
        <w:t>40</w:t>
      </w:r>
      <w:r>
        <w:rPr/>
        <w:t>、管理费用</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143,662,219.07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121,795,143.26</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32,122,910.02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66,219,267.68</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市场及其推广费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21,371,583.13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33,094,903.76</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17,510,662.54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6,965,196.84</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12,005,722.48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8,892,198.82</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11,775,295.45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12,291,965.09</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运营费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4,054,295.67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4,354,523.22</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法律及业务咨询费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3,547,787.22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7,669,823.54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办公室供应</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1,846,494.09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2,899,959.35</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技术协作费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786,312.62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590,915.14</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10,749,837.15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14,453,820.89</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259,433,119.44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279,227,717.59</w:t>
            </w:r>
          </w:p>
        </w:tc>
      </w:tr>
    </w:tbl>
    <w:p>
      <w:pPr>
        <w:pStyle w:val="BodyText"/>
        <w:spacing w:line="278" w:lineRule="auto" w:before="11"/>
        <w:ind w:right="985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1、研发费用" w:id="308"/>
      <w:bookmarkEnd w:id="308"/>
      <w:r>
        <w:rPr>
          <w:b w:val="0"/>
          <w:bCs w:val="0"/>
        </w:rPr>
      </w:r>
      <w:r>
        <w:rPr>
          <w:rFonts w:ascii="Times New Roman" w:hAnsi="Times New Roman" w:cs="Times New Roman" w:eastAsia="Times New Roman" w:hint="default"/>
        </w:rPr>
        <w:t>41</w:t>
      </w:r>
      <w:r>
        <w:rPr/>
        <w:t>、研发费用</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55,827,392.37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61,498,631.41</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运营费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12,273,022.65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1,335,789.43</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8,465,140.58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7,834,710.40</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5,984,413.91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6,362,671.93</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技术协作费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3,726,847.71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1,490,341.56</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1,591,560.08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2,164,083.66</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市场及其推广费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430,267.37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939,367.92</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395,139.72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616,398.16</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办公室供应</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156,557.28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387,699.92</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法律及业务咨询费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35,377.35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7,200.00</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7,879,133.23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6,092,335.09</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96,764,852.25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88,729,229.48</w:t>
            </w:r>
          </w:p>
        </w:tc>
      </w:tr>
    </w:tbl>
    <w:p>
      <w:pPr>
        <w:pStyle w:val="BodyText"/>
        <w:spacing w:line="278" w:lineRule="auto" w:before="10"/>
        <w:ind w:right="9852"/>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42、财务费用" w:id="309"/>
      <w:bookmarkEnd w:id="309"/>
      <w:r>
        <w:rPr>
          <w:b w:val="0"/>
          <w:bCs w:val="0"/>
        </w:rPr>
      </w:r>
      <w:r>
        <w:rPr>
          <w:rFonts w:ascii="Times New Roman" w:hAnsi="Times New Roman" w:cs="Times New Roman" w:eastAsia="Times New Roman" w:hint="default"/>
        </w:rPr>
        <w:t>42</w:t>
      </w:r>
      <w:r>
        <w:rPr/>
        <w:t>、财务费用</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508,751,268.58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450,480,333.41</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26,090,244.95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30,550,814.24</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加：汇兑损失（收益以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175,028,935.75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-218,046,915.74</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加：其他支出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16,593,250.06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41,701,653.31</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674,283,209.44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243,584,256.74</w:t>
            </w:r>
          </w:p>
        </w:tc>
      </w:tr>
    </w:tbl>
    <w:p>
      <w:pPr>
        <w:pStyle w:val="BodyText"/>
        <w:spacing w:line="278" w:lineRule="auto" w:before="10"/>
        <w:ind w:right="6792"/>
        <w:jc w:val="left"/>
      </w:pPr>
      <w:r>
        <w:rPr/>
        <w:t>其他说明： 因汇率变化，本报告期人民币贬值形成汇兑亏损。</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43、资产减值损失" w:id="310"/>
      <w:bookmarkEnd w:id="310"/>
      <w:r>
        <w:rPr>
          <w:b w:val="0"/>
          <w:bCs w:val="0"/>
        </w:rPr>
      </w:r>
      <w:r>
        <w:rPr>
          <w:rFonts w:ascii="Times New Roman" w:hAnsi="Times New Roman" w:cs="Times New Roman" w:eastAsia="Times New Roman" w:hint="default"/>
        </w:rPr>
        <w:t>43</w:t>
      </w:r>
      <w:r>
        <w:rPr/>
        <w:t>、资产减值损失</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-3,849,588.70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13,754,754.86</w:t>
            </w:r>
          </w:p>
        </w:tc>
      </w:tr>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8,460,688.26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-35,556,958.65</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2,958,000.00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四、固定资产减值损失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9,089,650.52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16,658,750.08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61" w:right="0"/>
              <w:jc w:val="left"/>
              <w:rPr>
                <w:rFonts w:ascii="Times New Roman" w:hAnsi="Times New Roman" w:cs="Times New Roman" w:eastAsia="Times New Roman" w:hint="default"/>
                <w:sz w:val="18"/>
                <w:szCs w:val="18"/>
              </w:rPr>
            </w:pPr>
            <w:r>
              <w:rPr>
                <w:rFonts w:ascii="Times New Roman"/>
                <w:sz w:val="18"/>
              </w:rPr>
              <w:t>-21,802,203.79</w:t>
            </w:r>
          </w:p>
        </w:tc>
      </w:tr>
    </w:tbl>
    <w:p>
      <w:pPr>
        <w:pStyle w:val="BodyText"/>
        <w:spacing w:line="278" w:lineRule="auto" w:before="10"/>
        <w:ind w:right="985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4、其他收益" w:id="311"/>
      <w:bookmarkEnd w:id="311"/>
      <w:r>
        <w:rPr>
          <w:b w:val="0"/>
          <w:bCs w:val="0"/>
        </w:rPr>
      </w:r>
      <w:r>
        <w:rPr>
          <w:rFonts w:ascii="Times New Roman" w:hAnsi="Times New Roman" w:cs="Times New Roman" w:eastAsia="Times New Roman" w:hint="default"/>
        </w:rPr>
        <w:t>44</w:t>
      </w:r>
      <w:r>
        <w:rPr/>
        <w:t>、其他收益</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right="0"/>
        <w:jc w:val="left"/>
      </w:pPr>
      <w:r>
        <w:rPr/>
        <w:t>（</w:t>
      </w:r>
      <w:r>
        <w:rPr>
          <w:rFonts w:ascii="宋体" w:hAnsi="宋体" w:cs="宋体" w:eastAsia="宋体" w:hint="default"/>
        </w:rPr>
        <w:t>1</w:t>
      </w:r>
      <w:r>
        <w:rPr/>
        <w:t>）其他收益明细</w:t>
      </w:r>
    </w:p>
    <w:p>
      <w:pPr>
        <w:spacing w:line="240" w:lineRule="auto" w:before="8"/>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4726"/>
        <w:gridCol w:w="2718"/>
        <w:gridCol w:w="2214"/>
      </w:tblGrid>
      <w:tr>
        <w:trPr>
          <w:trHeight w:val="343" w:hRule="exact"/>
        </w:trPr>
        <w:tc>
          <w:tcPr>
            <w:tcW w:w="4726"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718"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214"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49" w:hRule="exact"/>
        </w:trPr>
        <w:tc>
          <w:tcPr>
            <w:tcW w:w="4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529" w:right="0"/>
              <w:jc w:val="left"/>
              <w:rPr>
                <w:rFonts w:ascii="宋体" w:hAnsi="宋体" w:cs="宋体" w:eastAsia="宋体" w:hint="default"/>
                <w:sz w:val="18"/>
                <w:szCs w:val="18"/>
              </w:rPr>
            </w:pPr>
            <w:r>
              <w:rPr>
                <w:rFonts w:ascii="宋体"/>
                <w:sz w:val="18"/>
              </w:rPr>
              <w:t>45,044,709.71</w:t>
            </w:r>
          </w:p>
        </w:tc>
        <w:tc>
          <w:tcPr>
            <w:tcW w:w="2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25" w:right="0"/>
              <w:jc w:val="left"/>
              <w:rPr>
                <w:rFonts w:ascii="宋体" w:hAnsi="宋体" w:cs="宋体" w:eastAsia="宋体" w:hint="default"/>
                <w:sz w:val="18"/>
                <w:szCs w:val="18"/>
              </w:rPr>
            </w:pPr>
            <w:r>
              <w:rPr>
                <w:rFonts w:ascii="宋体"/>
                <w:sz w:val="18"/>
              </w:rPr>
              <w:t>46,580,429.15</w:t>
            </w:r>
          </w:p>
        </w:tc>
      </w:tr>
    </w:tbl>
    <w:p>
      <w:pPr>
        <w:pStyle w:val="BodyText"/>
        <w:spacing w:line="240" w:lineRule="auto" w:before="10"/>
        <w:ind w:right="0"/>
        <w:jc w:val="left"/>
      </w:pPr>
      <w:r>
        <w:rPr/>
        <w:t>（</w:t>
      </w:r>
      <w:r>
        <w:rPr>
          <w:rFonts w:ascii="宋体" w:hAnsi="宋体" w:cs="宋体" w:eastAsia="宋体" w:hint="default"/>
        </w:rPr>
        <w:t>2</w:t>
      </w:r>
      <w:r>
        <w:rPr/>
        <w:t>）政府补助明细</w:t>
      </w:r>
    </w:p>
    <w:p>
      <w:pPr>
        <w:spacing w:line="240" w:lineRule="auto" w:before="2"/>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2087"/>
        <w:gridCol w:w="1904"/>
        <w:gridCol w:w="4215"/>
        <w:gridCol w:w="1453"/>
      </w:tblGrid>
      <w:tr>
        <w:trPr>
          <w:trHeight w:val="581" w:hRule="exact"/>
        </w:trPr>
        <w:tc>
          <w:tcPr>
            <w:tcW w:w="2087"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04"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137"/>
              <w:ind w:left="493"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4215"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来源和依据</w:t>
            </w:r>
          </w:p>
        </w:tc>
        <w:tc>
          <w:tcPr>
            <w:tcW w:w="1453"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19"/>
              <w:ind w:left="448" w:right="43" w:hanging="40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w:t>
            </w:r>
            <w:r>
              <w:rPr>
                <w:rFonts w:ascii="宋体" w:hAnsi="宋体" w:cs="宋体" w:eastAsia="宋体" w:hint="default"/>
                <w:sz w:val="18"/>
                <w:szCs w:val="18"/>
              </w:rPr>
              <w:t>与收 益相关</w:t>
            </w:r>
          </w:p>
        </w:tc>
      </w:tr>
      <w:tr>
        <w:trPr>
          <w:trHeight w:val="582" w:hRule="exact"/>
        </w:trPr>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软件退税</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11,328,003.60</w:t>
            </w:r>
          </w:p>
        </w:tc>
        <w:tc>
          <w:tcPr>
            <w:tcW w:w="4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2"/>
              <w:jc w:val="left"/>
              <w:rPr>
                <w:rFonts w:ascii="宋体" w:hAnsi="宋体" w:cs="宋体" w:eastAsia="宋体" w:hint="default"/>
                <w:sz w:val="18"/>
                <w:szCs w:val="18"/>
              </w:rPr>
            </w:pPr>
            <w:r>
              <w:rPr>
                <w:rFonts w:ascii="宋体" w:hAnsi="宋体" w:cs="宋体" w:eastAsia="宋体" w:hint="default"/>
                <w:sz w:val="18"/>
                <w:szCs w:val="18"/>
              </w:rPr>
              <w:t>《财政部、国家税务总局关于软件产品增值税退税政</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策的通知》（财税【</w:t>
            </w:r>
            <w:r>
              <w:rPr>
                <w:rFonts w:ascii="宋体" w:hAnsi="宋体" w:cs="宋体" w:eastAsia="宋体" w:hint="default"/>
                <w:sz w:val="18"/>
                <w:szCs w:val="18"/>
              </w:rPr>
              <w:t>2011</w:t>
            </w:r>
            <w:r>
              <w:rPr>
                <w:rFonts w:ascii="宋体" w:hAnsi="宋体" w:cs="宋体" w:eastAsia="宋体" w:hint="default"/>
                <w:sz w:val="18"/>
                <w:szCs w:val="18"/>
              </w:rPr>
              <w:t>】</w:t>
            </w:r>
            <w:r>
              <w:rPr>
                <w:rFonts w:ascii="宋体" w:hAnsi="宋体" w:cs="宋体" w:eastAsia="宋体" w:hint="default"/>
                <w:sz w:val="18"/>
                <w:szCs w:val="18"/>
              </w:rPr>
              <w:t>100</w:t>
            </w:r>
            <w:r>
              <w:rPr>
                <w:rFonts w:ascii="宋体" w:hAnsi="宋体" w:cs="宋体" w:eastAsia="宋体" w:hint="default"/>
                <w:sz w:val="18"/>
                <w:szCs w:val="18"/>
              </w:rPr>
              <w:t>号）</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16" w:hRule="exact"/>
        </w:trPr>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4"/>
              <w:jc w:val="left"/>
              <w:rPr>
                <w:rFonts w:ascii="宋体" w:hAnsi="宋体" w:cs="宋体" w:eastAsia="宋体" w:hint="default"/>
                <w:sz w:val="18"/>
                <w:szCs w:val="18"/>
              </w:rPr>
            </w:pPr>
            <w:r>
              <w:rPr>
                <w:rFonts w:ascii="宋体" w:hAnsi="宋体" w:cs="宋体" w:eastAsia="宋体" w:hint="default"/>
                <w:spacing w:val="7"/>
                <w:sz w:val="18"/>
                <w:szCs w:val="18"/>
              </w:rPr>
              <w:t>广州开发区投资促进局经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营贡献奖</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10,000,000.00</w:t>
            </w:r>
          </w:p>
        </w:tc>
        <w:tc>
          <w:tcPr>
            <w:tcW w:w="4215"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22"/>
              <w:ind w:left="2" w:right="2"/>
              <w:jc w:val="both"/>
              <w:rPr>
                <w:rFonts w:ascii="宋体" w:hAnsi="宋体" w:cs="宋体" w:eastAsia="宋体" w:hint="default"/>
                <w:sz w:val="18"/>
                <w:szCs w:val="18"/>
              </w:rPr>
            </w:pPr>
            <w:r>
              <w:rPr>
                <w:rFonts w:ascii="宋体" w:hAnsi="宋体" w:cs="宋体" w:eastAsia="宋体" w:hint="default"/>
                <w:sz w:val="18"/>
                <w:szCs w:val="18"/>
              </w:rPr>
              <w:t>《广州经济技术开发区广州高新技术产业开发区广州</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出口加工区广州保税区中新广州知识城鼓励发展现代</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服务业暂行办法》</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8" w:hRule="exact"/>
        </w:trPr>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上海市长宁财政局奖励</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z w:val="18"/>
              </w:rPr>
              <w:t>9,241,000.00</w:t>
            </w:r>
          </w:p>
        </w:tc>
        <w:tc>
          <w:tcPr>
            <w:tcW w:w="4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《关于印发长宁区十二五期间产业发展导向目录》</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15" w:hRule="exact"/>
        </w:trPr>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22"/>
              <w:ind w:left="2" w:right="2"/>
              <w:jc w:val="both"/>
              <w:rPr>
                <w:rFonts w:ascii="宋体" w:hAnsi="宋体" w:cs="宋体" w:eastAsia="宋体" w:hint="default"/>
                <w:sz w:val="18"/>
                <w:szCs w:val="18"/>
              </w:rPr>
            </w:pPr>
            <w:r>
              <w:rPr>
                <w:rFonts w:ascii="宋体" w:hAnsi="宋体" w:cs="宋体" w:eastAsia="宋体" w:hint="default"/>
                <w:spacing w:val="15"/>
                <w:sz w:val="18"/>
                <w:szCs w:val="18"/>
              </w:rPr>
              <w:t>下一代基于</w:t>
            </w:r>
            <w:r>
              <w:rPr>
                <w:rFonts w:ascii="宋体" w:hAnsi="宋体" w:cs="宋体" w:eastAsia="宋体" w:hint="default"/>
                <w:spacing w:val="-69"/>
                <w:sz w:val="18"/>
                <w:szCs w:val="18"/>
              </w:rPr>
              <w:t> </w:t>
            </w:r>
            <w:r>
              <w:rPr>
                <w:rFonts w:ascii="宋体" w:hAnsi="宋体" w:cs="宋体" w:eastAsia="宋体" w:hint="default"/>
                <w:sz w:val="18"/>
                <w:szCs w:val="18"/>
              </w:rPr>
              <w:t>SDN</w:t>
            </w:r>
            <w:r>
              <w:rPr>
                <w:rFonts w:ascii="宋体" w:hAnsi="宋体" w:cs="宋体" w:eastAsia="宋体" w:hint="default"/>
                <w:spacing w:val="-70"/>
                <w:sz w:val="18"/>
                <w:szCs w:val="18"/>
              </w:rPr>
              <w:t> </w:t>
            </w:r>
            <w:r>
              <w:rPr>
                <w:rFonts w:ascii="宋体" w:hAnsi="宋体" w:cs="宋体" w:eastAsia="宋体" w:hint="default"/>
                <w:spacing w:val="14"/>
                <w:sz w:val="18"/>
                <w:szCs w:val="18"/>
              </w:rPr>
              <w:t>的高性能</w:t>
            </w:r>
            <w:r>
              <w:rPr>
                <w:rFonts w:ascii="宋体" w:hAnsi="宋体" w:cs="宋体" w:eastAsia="宋体" w:hint="default"/>
                <w:sz w:val="18"/>
                <w:szCs w:val="18"/>
              </w:rPr>
              <w:t> </w:t>
            </w:r>
            <w:r>
              <w:rPr>
                <w:rFonts w:ascii="宋体" w:hAnsi="宋体" w:cs="宋体" w:eastAsia="宋体" w:hint="default"/>
                <w:spacing w:val="7"/>
                <w:sz w:val="18"/>
                <w:szCs w:val="18"/>
              </w:rPr>
              <w:t>路由交换设备研发及产业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化项目补贴</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5,304,579.76</w:t>
            </w:r>
          </w:p>
        </w:tc>
        <w:tc>
          <w:tcPr>
            <w:tcW w:w="421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before="20"/>
              <w:ind w:left="2" w:right="0"/>
              <w:jc w:val="left"/>
              <w:rPr>
                <w:rFonts w:ascii="宋体" w:hAnsi="宋体" w:cs="宋体" w:eastAsia="宋体" w:hint="default"/>
                <w:sz w:val="18"/>
                <w:szCs w:val="18"/>
              </w:rPr>
            </w:pPr>
            <w:r>
              <w:rPr>
                <w:rFonts w:ascii="宋体" w:hAnsi="宋体" w:cs="宋体" w:eastAsia="宋体" w:hint="default"/>
                <w:spacing w:val="19"/>
                <w:sz w:val="18"/>
                <w:szCs w:val="18"/>
              </w:rPr>
              <w:t>国家发改委重点产业振兴和技术改造高技术产业</w:t>
            </w:r>
          </w:p>
          <w:p>
            <w:pPr>
              <w:pStyle w:val="TableParagraph"/>
              <w:spacing w:line="232" w:lineRule="exact" w:before="24"/>
              <w:ind w:left="2" w:right="6"/>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2014</w:t>
            </w:r>
            <w:r>
              <w:rPr>
                <w:rFonts w:ascii="宋体" w:hAnsi="宋体" w:cs="宋体" w:eastAsia="宋体" w:hint="default"/>
                <w:sz w:val="18"/>
                <w:szCs w:val="18"/>
              </w:rPr>
              <w:t>年第三批中央预算内投资项目】《下一代基于</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SDN</w:t>
            </w:r>
            <w:r>
              <w:rPr>
                <w:rFonts w:ascii="宋体" w:hAnsi="宋体" w:cs="宋体" w:eastAsia="宋体" w:hint="default"/>
                <w:sz w:val="18"/>
                <w:szCs w:val="18"/>
              </w:rPr>
              <w:t>的高性能路由交换设备及产业化》</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82" w:hRule="exact"/>
        </w:trPr>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4"/>
              <w:jc w:val="left"/>
              <w:rPr>
                <w:rFonts w:ascii="宋体" w:hAnsi="宋体" w:cs="宋体" w:eastAsia="宋体" w:hint="default"/>
                <w:sz w:val="18"/>
                <w:szCs w:val="18"/>
              </w:rPr>
            </w:pPr>
            <w:r>
              <w:rPr>
                <w:rFonts w:ascii="宋体" w:hAnsi="宋体" w:cs="宋体" w:eastAsia="宋体" w:hint="default"/>
                <w:spacing w:val="7"/>
                <w:sz w:val="18"/>
                <w:szCs w:val="18"/>
              </w:rPr>
              <w:t>广州开发区商务局促进现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代服务业发展奖励金</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2,850,000.00</w:t>
            </w:r>
          </w:p>
        </w:tc>
        <w:tc>
          <w:tcPr>
            <w:tcW w:w="4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5"/>
              <w:jc w:val="left"/>
              <w:rPr>
                <w:rFonts w:ascii="宋体" w:hAnsi="宋体" w:cs="宋体" w:eastAsia="宋体" w:hint="default"/>
                <w:sz w:val="18"/>
                <w:szCs w:val="18"/>
              </w:rPr>
            </w:pPr>
            <w:r>
              <w:rPr>
                <w:rFonts w:ascii="宋体" w:hAnsi="宋体" w:cs="宋体" w:eastAsia="宋体" w:hint="default"/>
                <w:spacing w:val="9"/>
                <w:sz w:val="18"/>
                <w:szCs w:val="18"/>
              </w:rPr>
              <w:t>《广州市黄埔区广州开发区促进现代服务业发展办</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法》</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82" w:hRule="exact"/>
        </w:trPr>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43"/>
              <w:ind w:left="2" w:right="1"/>
              <w:jc w:val="left"/>
              <w:rPr>
                <w:rFonts w:ascii="宋体" w:hAnsi="宋体" w:cs="宋体" w:eastAsia="宋体" w:hint="default"/>
                <w:sz w:val="18"/>
                <w:szCs w:val="18"/>
              </w:rPr>
            </w:pPr>
            <w:r>
              <w:rPr>
                <w:rFonts w:ascii="宋体" w:hAnsi="宋体" w:cs="宋体" w:eastAsia="宋体" w:hint="default"/>
                <w:sz w:val="18"/>
                <w:szCs w:val="18"/>
              </w:rPr>
              <w:t>武汉东湖综合保税区</w:t>
            </w:r>
            <w:r>
              <w:rPr>
                <w:rFonts w:ascii="Times New Roman" w:hAnsi="Times New Roman" w:cs="Times New Roman" w:eastAsia="Times New Roman" w:hint="default"/>
                <w:sz w:val="18"/>
                <w:szCs w:val="18"/>
              </w:rPr>
              <w:t>“</w:t>
            </w:r>
            <w:r>
              <w:rPr>
                <w:rFonts w:ascii="宋体" w:hAnsi="宋体" w:cs="宋体" w:eastAsia="宋体" w:hint="default"/>
                <w:sz w:val="18"/>
                <w:szCs w:val="18"/>
              </w:rPr>
              <w:t>自贸</w:t>
            </w:r>
            <w:r>
              <w:rPr>
                <w:rFonts w:ascii="宋体" w:hAnsi="宋体" w:cs="宋体" w:eastAsia="宋体" w:hint="default"/>
                <w:spacing w:val="-82"/>
                <w:sz w:val="18"/>
                <w:szCs w:val="18"/>
              </w:rPr>
              <w:t> </w:t>
            </w:r>
            <w:r>
              <w:rPr>
                <w:rFonts w:ascii="宋体" w:hAnsi="宋体" w:cs="宋体" w:eastAsia="宋体" w:hint="default"/>
                <w:sz w:val="18"/>
                <w:szCs w:val="18"/>
              </w:rPr>
              <w:t>十条</w:t>
            </w:r>
            <w:r>
              <w:rPr>
                <w:rFonts w:ascii="Times New Roman" w:hAnsi="Times New Roman" w:cs="Times New Roman" w:eastAsia="Times New Roman" w:hint="default"/>
                <w:sz w:val="18"/>
                <w:szCs w:val="18"/>
              </w:rPr>
              <w:t>”</w:t>
            </w:r>
            <w:r>
              <w:rPr>
                <w:rFonts w:ascii="宋体" w:hAnsi="宋体" w:cs="宋体" w:eastAsia="宋体" w:hint="default"/>
                <w:sz w:val="18"/>
                <w:szCs w:val="18"/>
              </w:rPr>
              <w:t>项资金</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2,600,000.00</w:t>
            </w:r>
          </w:p>
        </w:tc>
        <w:tc>
          <w:tcPr>
            <w:tcW w:w="4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2"/>
              <w:jc w:val="left"/>
              <w:rPr>
                <w:rFonts w:ascii="宋体" w:hAnsi="宋体" w:cs="宋体" w:eastAsia="宋体" w:hint="default"/>
                <w:sz w:val="18"/>
                <w:szCs w:val="18"/>
              </w:rPr>
            </w:pPr>
            <w:r>
              <w:rPr>
                <w:rFonts w:ascii="宋体" w:hAnsi="宋体" w:cs="宋体" w:eastAsia="宋体" w:hint="default"/>
                <w:sz w:val="18"/>
                <w:szCs w:val="18"/>
              </w:rPr>
              <w:t>《武汉东湖新技术开发区关于东湖综合保税区推进自</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由贸易的投资促进办法》</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8" w:hRule="exact"/>
        </w:trPr>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1,139,295.65</w:t>
            </w:r>
          </w:p>
        </w:tc>
        <w:tc>
          <w:tcPr>
            <w:tcW w:w="4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《中华人民共和国个人所得税法》</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82" w:hRule="exact"/>
        </w:trPr>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4"/>
              <w:jc w:val="left"/>
              <w:rPr>
                <w:rFonts w:ascii="宋体" w:hAnsi="宋体" w:cs="宋体" w:eastAsia="宋体" w:hint="default"/>
                <w:sz w:val="18"/>
                <w:szCs w:val="18"/>
              </w:rPr>
            </w:pPr>
            <w:r>
              <w:rPr>
                <w:rFonts w:ascii="宋体" w:hAnsi="宋体" w:cs="宋体" w:eastAsia="宋体" w:hint="default"/>
                <w:spacing w:val="7"/>
                <w:sz w:val="18"/>
                <w:szCs w:val="18"/>
              </w:rPr>
              <w:t>深圳南山区商贸流通业资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助补贴</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1,000,000.00</w:t>
            </w:r>
          </w:p>
        </w:tc>
        <w:tc>
          <w:tcPr>
            <w:tcW w:w="4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2"/>
              <w:jc w:val="left"/>
              <w:rPr>
                <w:rFonts w:ascii="宋体" w:hAnsi="宋体" w:cs="宋体" w:eastAsia="宋体" w:hint="default"/>
                <w:sz w:val="18"/>
                <w:szCs w:val="18"/>
              </w:rPr>
            </w:pPr>
            <w:r>
              <w:rPr>
                <w:rFonts w:ascii="宋体" w:hAnsi="宋体" w:cs="宋体" w:eastAsia="宋体" w:hint="default"/>
                <w:sz w:val="18"/>
                <w:szCs w:val="18"/>
              </w:rPr>
              <w:t>《南山区自主创新产业发展专项资金</w:t>
            </w:r>
            <w:r>
              <w:rPr>
                <w:rFonts w:ascii="宋体" w:hAnsi="宋体" w:cs="宋体" w:eastAsia="宋体" w:hint="default"/>
                <w:sz w:val="18"/>
                <w:szCs w:val="18"/>
              </w:rPr>
              <w:t>--</w:t>
            </w:r>
            <w:r>
              <w:rPr>
                <w:rFonts w:ascii="宋体" w:hAnsi="宋体" w:cs="宋体" w:eastAsia="宋体" w:hint="default"/>
                <w:sz w:val="18"/>
                <w:szCs w:val="18"/>
              </w:rPr>
              <w:t>经济发展分项</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资金商贸流通业资助项目操作规程》</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82" w:hRule="exact"/>
        </w:trPr>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4"/>
              <w:jc w:val="left"/>
              <w:rPr>
                <w:rFonts w:ascii="宋体" w:hAnsi="宋体" w:cs="宋体" w:eastAsia="宋体" w:hint="default"/>
                <w:sz w:val="18"/>
                <w:szCs w:val="18"/>
              </w:rPr>
            </w:pPr>
            <w:r>
              <w:rPr>
                <w:rFonts w:ascii="宋体" w:hAnsi="宋体" w:cs="宋体" w:eastAsia="宋体" w:hint="default"/>
                <w:spacing w:val="7"/>
                <w:sz w:val="18"/>
                <w:szCs w:val="18"/>
              </w:rPr>
              <w:t>北京海淀区企业专利商用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化项目</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600,000.00</w:t>
            </w:r>
          </w:p>
        </w:tc>
        <w:tc>
          <w:tcPr>
            <w:tcW w:w="4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2"/>
              <w:jc w:val="left"/>
              <w:rPr>
                <w:rFonts w:ascii="宋体" w:hAnsi="宋体" w:cs="宋体" w:eastAsia="宋体" w:hint="default"/>
                <w:sz w:val="18"/>
                <w:szCs w:val="18"/>
              </w:rPr>
            </w:pPr>
            <w:r>
              <w:rPr>
                <w:rFonts w:ascii="宋体" w:hAnsi="宋体" w:cs="宋体" w:eastAsia="宋体" w:hint="default"/>
                <w:sz w:val="18"/>
                <w:szCs w:val="18"/>
              </w:rPr>
              <w:t>《海淀区加快核心区自主创新和产业发展专项资金管</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理办法》</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16" w:hRule="exact"/>
        </w:trPr>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353,191.20</w:t>
            </w:r>
          </w:p>
        </w:tc>
        <w:tc>
          <w:tcPr>
            <w:tcW w:w="4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both"/>
              <w:rPr>
                <w:rFonts w:ascii="宋体" w:hAnsi="宋体" w:cs="宋体" w:eastAsia="宋体" w:hint="default"/>
                <w:sz w:val="18"/>
                <w:szCs w:val="18"/>
              </w:rPr>
            </w:pPr>
            <w:r>
              <w:rPr>
                <w:rFonts w:ascii="宋体" w:hAnsi="宋体" w:cs="宋体" w:eastAsia="宋体" w:hint="default"/>
                <w:sz w:val="18"/>
                <w:szCs w:val="18"/>
              </w:rPr>
              <w:t>《人力资源社会保障部</w:t>
            </w:r>
            <w:r>
              <w:rPr>
                <w:rFonts w:ascii="宋体" w:hAnsi="宋体" w:cs="宋体" w:eastAsia="宋体" w:hint="default"/>
                <w:spacing w:val="21"/>
                <w:sz w:val="18"/>
                <w:szCs w:val="18"/>
              </w:rPr>
              <w:t> </w:t>
            </w:r>
            <w:r>
              <w:rPr>
                <w:rFonts w:ascii="宋体" w:hAnsi="宋体" w:cs="宋体" w:eastAsia="宋体" w:hint="default"/>
                <w:sz w:val="18"/>
                <w:szCs w:val="18"/>
              </w:rPr>
              <w:t>财政部</w:t>
            </w:r>
            <w:r>
              <w:rPr>
                <w:rFonts w:ascii="宋体" w:hAnsi="宋体" w:cs="宋体" w:eastAsia="宋体" w:hint="default"/>
                <w:spacing w:val="21"/>
                <w:sz w:val="18"/>
                <w:szCs w:val="18"/>
              </w:rPr>
              <w:t> </w:t>
            </w:r>
            <w:r>
              <w:rPr>
                <w:rFonts w:ascii="宋体" w:hAnsi="宋体" w:cs="宋体" w:eastAsia="宋体" w:hint="default"/>
                <w:sz w:val="18"/>
                <w:szCs w:val="18"/>
              </w:rPr>
              <w:t>国家发展改革委工业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和信息化部关于事业保险支持企业稳定岗位有关问题</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的通知》人社【</w:t>
            </w:r>
            <w:r>
              <w:rPr>
                <w:rFonts w:ascii="宋体" w:hAnsi="宋体" w:cs="宋体" w:eastAsia="宋体" w:hint="default"/>
                <w:sz w:val="18"/>
                <w:szCs w:val="18"/>
              </w:rPr>
              <w:t>2014</w:t>
            </w:r>
            <w:r>
              <w:rPr>
                <w:rFonts w:ascii="宋体" w:hAnsi="宋体" w:cs="宋体" w:eastAsia="宋体" w:hint="default"/>
                <w:sz w:val="18"/>
                <w:szCs w:val="18"/>
              </w:rPr>
              <w:t>】</w:t>
            </w:r>
            <w:r>
              <w:rPr>
                <w:rFonts w:ascii="宋体" w:hAnsi="宋体" w:cs="宋体" w:eastAsia="宋体" w:hint="default"/>
                <w:sz w:val="18"/>
                <w:szCs w:val="18"/>
              </w:rPr>
              <w:t>76</w:t>
            </w:r>
            <w:r>
              <w:rPr>
                <w:rFonts w:ascii="宋体" w:hAnsi="宋体" w:cs="宋体" w:eastAsia="宋体" w:hint="default"/>
                <w:sz w:val="18"/>
                <w:szCs w:val="18"/>
              </w:rPr>
              <w:t>号</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82" w:hRule="exact"/>
        </w:trPr>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5"/>
              <w:ind w:left="2" w:right="4"/>
              <w:jc w:val="left"/>
              <w:rPr>
                <w:rFonts w:ascii="宋体" w:hAnsi="宋体" w:cs="宋体" w:eastAsia="宋体" w:hint="default"/>
                <w:sz w:val="18"/>
                <w:szCs w:val="18"/>
              </w:rPr>
            </w:pPr>
            <w:r>
              <w:rPr>
                <w:rFonts w:ascii="宋体" w:hAnsi="宋体" w:cs="宋体" w:eastAsia="宋体" w:hint="default"/>
                <w:spacing w:val="7"/>
                <w:sz w:val="18"/>
                <w:szCs w:val="18"/>
              </w:rPr>
              <w:t>北京中关村国际创新资源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支持资金</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305,076.50</w:t>
            </w:r>
          </w:p>
        </w:tc>
        <w:tc>
          <w:tcPr>
            <w:tcW w:w="4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《中关村国际创新资源支持资金申报指南》</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81" w:hRule="exact"/>
        </w:trPr>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 w:right="4"/>
              <w:jc w:val="left"/>
              <w:rPr>
                <w:rFonts w:ascii="宋体" w:hAnsi="宋体" w:cs="宋体" w:eastAsia="宋体" w:hint="default"/>
                <w:sz w:val="18"/>
                <w:szCs w:val="18"/>
              </w:rPr>
            </w:pPr>
            <w:r>
              <w:rPr>
                <w:rFonts w:ascii="宋体" w:hAnsi="宋体" w:cs="宋体" w:eastAsia="宋体" w:hint="default"/>
                <w:spacing w:val="7"/>
                <w:sz w:val="18"/>
                <w:szCs w:val="18"/>
              </w:rPr>
              <w:t>上海市闵行区科技小巨人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工程项目奖</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z w:val="18"/>
              </w:rPr>
              <w:t>300,000.00</w:t>
            </w:r>
          </w:p>
        </w:tc>
        <w:tc>
          <w:tcPr>
            <w:tcW w:w="4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《上海市闵行区科技小巨人工程实施办法》</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9" w:hRule="exact"/>
        </w:trPr>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23,563.00</w:t>
            </w:r>
          </w:p>
        </w:tc>
        <w:tc>
          <w:tcPr>
            <w:tcW w:w="4215" w:type="dxa"/>
            <w:tcBorders>
              <w:top w:val="single" w:sz="6" w:space="0" w:color="000000"/>
              <w:left w:val="single" w:sz="6" w:space="0" w:color="000000"/>
              <w:bottom w:val="single" w:sz="6" w:space="0" w:color="000000"/>
              <w:right w:val="single" w:sz="6" w:space="0" w:color="000000"/>
            </w:tcBorders>
          </w:tcPr>
          <w:p>
            <w:pP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9" w:hRule="exact"/>
        </w:trPr>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45,044,709.71</w:t>
            </w:r>
          </w:p>
        </w:tc>
        <w:tc>
          <w:tcPr>
            <w:tcW w:w="4215" w:type="dxa"/>
            <w:tcBorders>
              <w:top w:val="single" w:sz="6" w:space="0" w:color="000000"/>
              <w:left w:val="single" w:sz="6" w:space="0" w:color="000000"/>
              <w:bottom w:val="single" w:sz="6" w:space="0" w:color="000000"/>
              <w:right w:val="single" w:sz="6" w:space="0" w:color="000000"/>
            </w:tcBorders>
          </w:tcPr>
          <w:p>
            <w:pPr/>
          </w:p>
        </w:tc>
        <w:tc>
          <w:tcPr>
            <w:tcW w:w="145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45、投资收益" w:id="312"/>
      <w:bookmarkEnd w:id="312"/>
      <w:r>
        <w:rPr>
          <w:b w:val="0"/>
          <w:bCs w:val="0"/>
        </w:rPr>
      </w:r>
      <w:r>
        <w:rPr>
          <w:rFonts w:ascii="Times New Roman" w:hAnsi="Times New Roman" w:cs="Times New Roman" w:eastAsia="Times New Roman" w:hint="default"/>
        </w:rPr>
        <w:t>45</w:t>
      </w:r>
      <w:r>
        <w:rPr/>
        <w:t>、投资收益</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2"/>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32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76,936,699.85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50" w:right="0"/>
              <w:jc w:val="left"/>
              <w:rPr>
                <w:rFonts w:ascii="Times New Roman" w:hAnsi="Times New Roman" w:cs="Times New Roman" w:eastAsia="Times New Roman" w:hint="default"/>
                <w:sz w:val="18"/>
                <w:szCs w:val="18"/>
              </w:rPr>
            </w:pPr>
            <w:r>
              <w:rPr>
                <w:rFonts w:ascii="Times New Roman"/>
                <w:sz w:val="18"/>
              </w:rPr>
              <w:t>39,656,230.74</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324"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2.00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1,608,000.00</w:t>
            </w:r>
          </w:p>
        </w:tc>
      </w:tr>
      <w:tr>
        <w:trPr>
          <w:trHeight w:val="557"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185"/>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-935.06</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185"/>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-21,267,282.11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-217,447,605.44</w:t>
            </w:r>
          </w:p>
        </w:tc>
      </w:tr>
      <w:tr>
        <w:trPr>
          <w:trHeight w:val="323"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3,497,197.04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17,390,339.63</w:t>
            </w:r>
          </w:p>
        </w:tc>
      </w:tr>
      <w:tr>
        <w:trPr>
          <w:trHeight w:val="324"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59,165,681.72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-158,793,035.07</w:t>
            </w:r>
          </w:p>
        </w:tc>
      </w:tr>
    </w:tbl>
    <w:p>
      <w:pPr>
        <w:pStyle w:val="BodyText"/>
        <w:spacing w:line="278" w:lineRule="auto" w:before="10"/>
        <w:ind w:right="9852"/>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46、公允价值变动收益" w:id="313"/>
      <w:bookmarkEnd w:id="313"/>
      <w:r>
        <w:rPr>
          <w:b w:val="0"/>
          <w:bCs w:val="0"/>
        </w:rPr>
      </w:r>
      <w:r>
        <w:rPr>
          <w:rFonts w:ascii="Times New Roman" w:hAnsi="Times New Roman" w:cs="Times New Roman" w:eastAsia="Times New Roman" w:hint="default"/>
        </w:rPr>
        <w:t>46</w:t>
      </w:r>
      <w:r>
        <w:rPr/>
        <w:t>、公允价值变动收益</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06"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7"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81"/>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397,002.56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-5,327,141.79</w:t>
            </w:r>
          </w:p>
        </w:tc>
      </w:tr>
      <w:tr>
        <w:trPr>
          <w:trHeight w:val="557"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81" w:firstLine="360"/>
              <w:jc w:val="left"/>
              <w:rPr>
                <w:rFonts w:ascii="宋体" w:hAnsi="宋体" w:cs="宋体" w:eastAsia="宋体" w:hint="default"/>
                <w:sz w:val="18"/>
                <w:szCs w:val="18"/>
              </w:rPr>
            </w:pPr>
            <w:r>
              <w:rPr>
                <w:rFonts w:ascii="宋体" w:hAnsi="宋体" w:cs="宋体" w:eastAsia="宋体" w:hint="default"/>
                <w:sz w:val="18"/>
                <w:szCs w:val="18"/>
              </w:rPr>
              <w:t>其中：衍生金融工具产生的公允价 值变动收益</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397,002.56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-5,327,141.79</w:t>
            </w:r>
          </w:p>
        </w:tc>
      </w:tr>
      <w:tr>
        <w:trPr>
          <w:trHeight w:val="557"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1" w:right="81"/>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益的金融负债</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2,603,953.26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-23,695,894.11</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3,000,955.82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-29,023,035.90</w:t>
            </w:r>
          </w:p>
        </w:tc>
      </w:tr>
    </w:tbl>
    <w:p>
      <w:pPr>
        <w:pStyle w:val="BodyText"/>
        <w:spacing w:line="278" w:lineRule="auto" w:before="10"/>
        <w:ind w:right="9852"/>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47、资产处置收益" w:id="314"/>
      <w:bookmarkEnd w:id="314"/>
      <w:r>
        <w:rPr>
          <w:b w:val="0"/>
          <w:bCs w:val="0"/>
        </w:rPr>
      </w:r>
      <w:r>
        <w:rPr>
          <w:rFonts w:ascii="Times New Roman" w:hAnsi="Times New Roman" w:cs="Times New Roman" w:eastAsia="Times New Roman" w:hint="default"/>
        </w:rPr>
        <w:t>47</w:t>
      </w:r>
      <w:r>
        <w:rPr/>
        <w:t>、资产处置收益</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694,540.29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w w:val="95"/>
                <w:sz w:val="18"/>
              </w:rPr>
              <w:t>-65,535.59</w:t>
            </w:r>
            <w:r>
              <w:rPr>
                <w:rFonts w:ascii="Times New Roman"/>
                <w:sz w:val="18"/>
              </w:rPr>
            </w:r>
          </w:p>
        </w:tc>
      </w:tr>
      <w:tr>
        <w:trPr>
          <w:trHeight w:val="557"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134" w:firstLine="63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w:t>
            </w:r>
            <w:r>
              <w:rPr>
                <w:rFonts w:ascii="宋体" w:hAnsi="宋体" w:cs="宋体" w:eastAsia="宋体" w:hint="default"/>
                <w:sz w:val="18"/>
                <w:szCs w:val="18"/>
              </w:rPr>
              <w:t>未划分为持有待售的非流 动资产处置收益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694,540.29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-65,535.59</w:t>
            </w:r>
            <w:r>
              <w:rPr>
                <w:rFonts w:ascii="Times New Roman"/>
                <w:sz w:val="18"/>
              </w:rPr>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9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694,540.29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-65,535.59</w:t>
            </w:r>
            <w:r>
              <w:rPr>
                <w:rFonts w:ascii="Times New Roman"/>
                <w:sz w:val="18"/>
              </w:rPr>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694,540.29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w w:val="95"/>
                <w:sz w:val="18"/>
              </w:rPr>
              <w:t>-65,535.59</w:t>
            </w:r>
            <w:r>
              <w:rPr>
                <w:rFonts w:ascii="Times New Roman"/>
                <w:sz w:val="18"/>
              </w:rPr>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48、营业外收入" w:id="315"/>
      <w:bookmarkEnd w:id="315"/>
      <w:r>
        <w:rPr>
          <w:b w:val="0"/>
          <w:bCs w:val="0"/>
        </w:rPr>
      </w:r>
      <w:r>
        <w:rPr>
          <w:rFonts w:ascii="Times New Roman" w:hAnsi="Times New Roman" w:cs="Times New Roman" w:eastAsia="Times New Roman" w:hint="default"/>
        </w:rPr>
        <w:t>48</w:t>
      </w:r>
      <w:r>
        <w:rPr/>
        <w:t>、营业外收入</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9"/>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40"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6" w:lineRule="exact"/>
              <w:ind w:right="1"/>
              <w:jc w:val="center"/>
              <w:rPr>
                <w:rFonts w:ascii="宋体" w:hAnsi="宋体" w:cs="宋体" w:eastAsia="宋体" w:hint="default"/>
                <w:sz w:val="18"/>
                <w:szCs w:val="18"/>
              </w:rPr>
            </w:pPr>
            <w:r>
              <w:rPr>
                <w:rFonts w:ascii="宋体" w:hAnsi="宋体" w:cs="宋体" w:eastAsia="宋体" w:hint="default"/>
                <w:sz w:val="18"/>
                <w:szCs w:val="18"/>
              </w:rPr>
              <w:t>计入当期非经常性损益的金</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38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7" w:space="0" w:color="D2D2D2"/>
              <w:left w:val="single" w:sz="13" w:space="0" w:color="D2D2D2"/>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22,558,100.00</w:t>
            </w:r>
          </w:p>
        </w:tc>
        <w:tc>
          <w:tcPr>
            <w:tcW w:w="2392" w:type="dxa"/>
            <w:tcBorders>
              <w:top w:val="single" w:sz="47" w:space="0" w:color="D2D2D2"/>
              <w:left w:val="single" w:sz="4" w:space="0" w:color="000000"/>
              <w:bottom w:val="single" w:sz="4" w:space="0" w:color="000000"/>
              <w:right w:val="single" w:sz="9" w:space="0" w:color="D2D2D2"/>
            </w:tcBorders>
          </w:tcPr>
          <w:p>
            <w:pPr>
              <w:pStyle w:val="TableParagraph"/>
              <w:spacing w:line="240" w:lineRule="auto" w:before="54"/>
              <w:ind w:right="14"/>
              <w:jc w:val="right"/>
              <w:rPr>
                <w:rFonts w:ascii="Times New Roman" w:hAnsi="Times New Roman" w:cs="Times New Roman" w:eastAsia="Times New Roman" w:hint="default"/>
                <w:sz w:val="18"/>
                <w:szCs w:val="18"/>
              </w:rPr>
            </w:pPr>
            <w:r>
              <w:rPr>
                <w:rFonts w:ascii="Times New Roman"/>
                <w:spacing w:val="-1"/>
                <w:sz w:val="18"/>
              </w:rPr>
              <w:t>18,906,000.00</w:t>
            </w:r>
          </w:p>
        </w:tc>
        <w:tc>
          <w:tcPr>
            <w:tcW w:w="2392"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107"/>
              <w:ind w:right="8"/>
              <w:jc w:val="right"/>
              <w:rPr>
                <w:rFonts w:ascii="Times New Roman" w:hAnsi="Times New Roman" w:cs="Times New Roman" w:eastAsia="Times New Roman" w:hint="default"/>
                <w:sz w:val="18"/>
                <w:szCs w:val="18"/>
              </w:rPr>
            </w:pPr>
            <w:r>
              <w:rPr>
                <w:rFonts w:ascii="Times New Roman"/>
                <w:spacing w:val="-1"/>
                <w:sz w:val="18"/>
              </w:rPr>
              <w:t>22,558,100.00</w:t>
            </w:r>
          </w:p>
        </w:tc>
      </w:tr>
      <w:tr>
        <w:trPr>
          <w:trHeight w:val="791" w:hRule="exact"/>
        </w:trPr>
        <w:tc>
          <w:tcPr>
            <w:tcW w:w="239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37" w:lineRule="auto" w:before="12"/>
              <w:ind w:left="22" w:right="195"/>
              <w:jc w:val="both"/>
              <w:rPr>
                <w:rFonts w:ascii="宋体" w:hAnsi="宋体" w:cs="宋体" w:eastAsia="宋体" w:hint="default"/>
                <w:sz w:val="18"/>
                <w:szCs w:val="18"/>
              </w:rPr>
            </w:pPr>
            <w:r>
              <w:rPr>
                <w:rFonts w:ascii="宋体" w:hAnsi="宋体" w:cs="宋体" w:eastAsia="宋体" w:hint="default"/>
                <w:sz w:val="18"/>
                <w:szCs w:val="18"/>
              </w:rPr>
              <w:t>购买迪信通股权初始投资成 本小于享有可辨认净资产的 差额</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341,722,930.53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9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5,862,741.95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7,291,400.73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5,862,741.95</w:t>
            </w:r>
          </w:p>
        </w:tc>
      </w:tr>
      <w:tr>
        <w:trPr>
          <w:trHeight w:val="32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28,420,841.95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367,920,331.26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28,420,841.95</w:t>
            </w:r>
          </w:p>
        </w:tc>
      </w:tr>
    </w:tbl>
    <w:p>
      <w:pPr>
        <w:pStyle w:val="BodyText"/>
        <w:spacing w:line="240" w:lineRule="auto" w:before="10"/>
        <w:ind w:right="0"/>
        <w:jc w:val="left"/>
      </w:pPr>
      <w:r>
        <w:rPr/>
        <w:t>计入当期损益的政府补助：</w:t>
      </w:r>
    </w:p>
    <w:p>
      <w:pPr>
        <w:pStyle w:val="BodyText"/>
        <w:spacing w:line="240" w:lineRule="auto" w:before="38"/>
        <w:ind w:left="0" w:right="1130"/>
        <w:jc w:val="right"/>
      </w:pPr>
      <w:r>
        <w:rPr/>
        <w:t>单位： 元</w:t>
      </w:r>
    </w:p>
    <w:p>
      <w:pPr>
        <w:spacing w:after="0" w:line="240" w:lineRule="auto"/>
        <w:jc w:val="right"/>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557"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25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33"/>
              <w:ind w:left="22" w:right="71"/>
              <w:jc w:val="both"/>
              <w:rPr>
                <w:rFonts w:ascii="宋体" w:hAnsi="宋体" w:cs="宋体" w:eastAsia="宋体" w:hint="default"/>
                <w:sz w:val="18"/>
                <w:szCs w:val="18"/>
              </w:rPr>
            </w:pPr>
            <w:r>
              <w:rPr>
                <w:rFonts w:ascii="宋体" w:hAnsi="宋体" w:cs="宋体" w:eastAsia="宋体" w:hint="default"/>
                <w:sz w:val="18"/>
                <w:szCs w:val="18"/>
              </w:rPr>
              <w:t>广州市萝岗 开发区财政 国库</w:t>
            </w:r>
            <w:r>
              <w:rPr>
                <w:rFonts w:ascii="Times New Roman" w:hAnsi="Times New Roman" w:cs="Times New Roman" w:eastAsia="Times New Roman" w:hint="default"/>
                <w:sz w:val="18"/>
                <w:szCs w:val="18"/>
              </w:rPr>
              <w:t>-</w:t>
            </w:r>
            <w:r>
              <w:rPr>
                <w:rFonts w:ascii="宋体" w:hAnsi="宋体" w:cs="宋体" w:eastAsia="宋体" w:hint="default"/>
                <w:sz w:val="18"/>
                <w:szCs w:val="18"/>
              </w:rPr>
              <w:t>华南地 区总部项目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37" w:lineRule="auto"/>
              <w:ind w:left="22" w:right="127"/>
              <w:jc w:val="both"/>
              <w:rPr>
                <w:rFonts w:ascii="宋体" w:hAnsi="宋体" w:cs="宋体" w:eastAsia="宋体" w:hint="default"/>
                <w:sz w:val="18"/>
                <w:szCs w:val="18"/>
              </w:rPr>
            </w:pPr>
            <w:r>
              <w:rPr>
                <w:rFonts w:ascii="宋体" w:hAnsi="宋体" w:cs="宋体" w:eastAsia="宋体" w:hint="default"/>
                <w:sz w:val="18"/>
                <w:szCs w:val="18"/>
              </w:rPr>
              <w:t>广州市萝岗 开发区财政 国库</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25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30" w:lineRule="auto"/>
              <w:ind w:left="22" w:right="131"/>
              <w:jc w:val="both"/>
              <w:rPr>
                <w:rFonts w:ascii="宋体" w:hAnsi="宋体" w:cs="宋体" w:eastAsia="宋体" w:hint="default"/>
                <w:sz w:val="18"/>
                <w:szCs w:val="18"/>
              </w:rPr>
            </w:pPr>
            <w:r>
              <w:rPr>
                <w:rFonts w:ascii="宋体" w:hAnsi="宋体" w:cs="宋体" w:eastAsia="宋体" w:hint="default"/>
                <w:sz w:val="18"/>
                <w:szCs w:val="18"/>
              </w:rPr>
              <w:t>深圳企业首 次入选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强企业奖励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8"/>
              <w:ind w:left="22" w:right="127"/>
              <w:jc w:val="both"/>
              <w:rPr>
                <w:rFonts w:ascii="宋体" w:hAnsi="宋体" w:cs="宋体" w:eastAsia="宋体" w:hint="default"/>
                <w:sz w:val="18"/>
                <w:szCs w:val="18"/>
              </w:rPr>
            </w:pPr>
            <w:r>
              <w:rPr>
                <w:rFonts w:ascii="宋体" w:hAnsi="宋体" w:cs="宋体" w:eastAsia="宋体" w:hint="default"/>
                <w:sz w:val="18"/>
                <w:szCs w:val="18"/>
              </w:rPr>
              <w:t>深圳市人民 政府及深圳 市南山区财 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5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131"/>
              <w:jc w:val="both"/>
              <w:rPr>
                <w:rFonts w:ascii="宋体" w:hAnsi="宋体" w:cs="宋体" w:eastAsia="宋体" w:hint="default"/>
                <w:sz w:val="18"/>
                <w:szCs w:val="18"/>
              </w:rPr>
            </w:pPr>
            <w:r>
              <w:rPr>
                <w:rFonts w:ascii="宋体" w:hAnsi="宋体" w:cs="宋体" w:eastAsia="宋体" w:hint="default"/>
                <w:sz w:val="18"/>
                <w:szCs w:val="18"/>
              </w:rPr>
              <w:t>深圳市投资 推广署产业 链薄弱环节 投资项目奖 励资金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127"/>
              <w:jc w:val="both"/>
              <w:rPr>
                <w:rFonts w:ascii="宋体" w:hAnsi="宋体" w:cs="宋体" w:eastAsia="宋体" w:hint="default"/>
                <w:sz w:val="18"/>
                <w:szCs w:val="18"/>
              </w:rPr>
            </w:pPr>
            <w:r>
              <w:rPr>
                <w:rFonts w:ascii="宋体" w:hAnsi="宋体" w:cs="宋体" w:eastAsia="宋体" w:hint="default"/>
                <w:sz w:val="18"/>
                <w:szCs w:val="18"/>
              </w:rPr>
              <w:t>深圳市及深 圳市南山区 财政委员会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5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37" w:lineRule="auto"/>
              <w:ind w:left="22" w:right="131"/>
              <w:jc w:val="both"/>
              <w:rPr>
                <w:rFonts w:ascii="宋体" w:hAnsi="宋体" w:cs="宋体" w:eastAsia="宋体" w:hint="default"/>
                <w:sz w:val="18"/>
                <w:szCs w:val="18"/>
              </w:rPr>
            </w:pPr>
            <w:r>
              <w:rPr>
                <w:rFonts w:ascii="宋体" w:hAnsi="宋体" w:cs="宋体" w:eastAsia="宋体" w:hint="default"/>
                <w:sz w:val="18"/>
                <w:szCs w:val="18"/>
              </w:rPr>
              <w:t>北京市海淀 区商务委总 部奖励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37" w:lineRule="auto"/>
              <w:ind w:left="22" w:right="127"/>
              <w:jc w:val="both"/>
              <w:rPr>
                <w:rFonts w:ascii="宋体" w:hAnsi="宋体" w:cs="宋体" w:eastAsia="宋体" w:hint="default"/>
                <w:sz w:val="18"/>
                <w:szCs w:val="18"/>
              </w:rPr>
            </w:pPr>
            <w:r>
              <w:rPr>
                <w:rFonts w:ascii="宋体" w:hAnsi="宋体" w:cs="宋体" w:eastAsia="宋体" w:hint="default"/>
                <w:sz w:val="18"/>
                <w:szCs w:val="18"/>
              </w:rPr>
              <w:t>北京市海淀 区商务委员 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5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37" w:lineRule="auto"/>
              <w:ind w:left="22" w:right="131"/>
              <w:jc w:val="both"/>
              <w:rPr>
                <w:rFonts w:ascii="宋体" w:hAnsi="宋体" w:cs="宋体" w:eastAsia="宋体" w:hint="default"/>
                <w:sz w:val="18"/>
                <w:szCs w:val="18"/>
              </w:rPr>
            </w:pPr>
            <w:r>
              <w:rPr>
                <w:rFonts w:ascii="宋体" w:hAnsi="宋体" w:cs="宋体" w:eastAsia="宋体" w:hint="default"/>
                <w:sz w:val="18"/>
                <w:szCs w:val="18"/>
              </w:rPr>
              <w:t>成都武侯区 产业发展专 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37" w:lineRule="auto"/>
              <w:ind w:left="22" w:right="127"/>
              <w:jc w:val="both"/>
              <w:rPr>
                <w:rFonts w:ascii="宋体" w:hAnsi="宋体" w:cs="宋体" w:eastAsia="宋体" w:hint="default"/>
                <w:sz w:val="18"/>
                <w:szCs w:val="18"/>
              </w:rPr>
            </w:pPr>
            <w:r>
              <w:rPr>
                <w:rFonts w:ascii="宋体" w:hAnsi="宋体" w:cs="宋体" w:eastAsia="宋体" w:hint="default"/>
                <w:sz w:val="18"/>
                <w:szCs w:val="18"/>
              </w:rPr>
              <w:t>成都武侯新 城建设管理 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545,000.00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5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3"/>
              <w:ind w:left="22" w:right="131"/>
              <w:jc w:val="both"/>
              <w:rPr>
                <w:rFonts w:ascii="宋体" w:hAnsi="宋体" w:cs="宋体" w:eastAsia="宋体" w:hint="default"/>
                <w:sz w:val="18"/>
                <w:szCs w:val="18"/>
              </w:rPr>
            </w:pPr>
            <w:r>
              <w:rPr>
                <w:rFonts w:ascii="宋体" w:hAnsi="宋体" w:cs="宋体" w:eastAsia="宋体" w:hint="default"/>
                <w:sz w:val="18"/>
                <w:szCs w:val="18"/>
              </w:rPr>
              <w:t>北京海淀区 工业及软件 和信息服务 业平稳发展 奖励资金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127"/>
              <w:jc w:val="both"/>
              <w:rPr>
                <w:rFonts w:ascii="宋体" w:hAnsi="宋体" w:cs="宋体" w:eastAsia="宋体" w:hint="default"/>
                <w:sz w:val="18"/>
                <w:szCs w:val="18"/>
              </w:rPr>
            </w:pPr>
            <w:r>
              <w:rPr>
                <w:rFonts w:ascii="宋体" w:hAnsi="宋体" w:cs="宋体" w:eastAsia="宋体" w:hint="default"/>
                <w:sz w:val="18"/>
                <w:szCs w:val="18"/>
              </w:rPr>
              <w:t>中关村科技 园区海淀园 管理委员会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3"/>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5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30" w:lineRule="auto"/>
              <w:ind w:left="22" w:right="22"/>
              <w:jc w:val="left"/>
              <w:rPr>
                <w:rFonts w:ascii="宋体" w:hAnsi="宋体" w:cs="宋体" w:eastAsia="宋体" w:hint="default"/>
                <w:sz w:val="18"/>
                <w:szCs w:val="18"/>
              </w:rPr>
            </w:pPr>
            <w:r>
              <w:rPr>
                <w:rFonts w:ascii="宋体" w:hAnsi="宋体" w:cs="宋体" w:eastAsia="宋体" w:hint="default"/>
                <w:sz w:val="18"/>
                <w:szCs w:val="18"/>
              </w:rPr>
              <w:t>武汉市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pacing w:val="-12"/>
                <w:sz w:val="18"/>
                <w:szCs w:val="18"/>
              </w:rPr>
              <w:t>强、研发投资</w:t>
            </w:r>
            <w:r>
              <w:rPr>
                <w:rFonts w:ascii="宋体" w:hAnsi="宋体" w:cs="宋体" w:eastAsia="宋体" w:hint="default"/>
                <w:sz w:val="18"/>
                <w:szCs w:val="18"/>
              </w:rPr>
              <w:t> 开办费补助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37" w:lineRule="auto"/>
              <w:ind w:left="22" w:right="127"/>
              <w:jc w:val="both"/>
              <w:rPr>
                <w:rFonts w:ascii="宋体" w:hAnsi="宋体" w:cs="宋体" w:eastAsia="宋体" w:hint="default"/>
                <w:sz w:val="18"/>
                <w:szCs w:val="18"/>
              </w:rPr>
            </w:pPr>
            <w:r>
              <w:rPr>
                <w:rFonts w:ascii="宋体" w:hAnsi="宋体" w:cs="宋体" w:eastAsia="宋体" w:hint="default"/>
                <w:sz w:val="18"/>
                <w:szCs w:val="18"/>
              </w:rPr>
              <w:t>武汉市财政 局国库收付 分局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49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5"/>
              <w:ind w:left="22" w:right="23"/>
              <w:jc w:val="left"/>
              <w:rPr>
                <w:rFonts w:ascii="宋体" w:hAnsi="宋体" w:cs="宋体" w:eastAsia="宋体" w:hint="default"/>
                <w:sz w:val="18"/>
                <w:szCs w:val="18"/>
              </w:rPr>
            </w:pPr>
            <w:r>
              <w:rPr>
                <w:rFonts w:ascii="宋体" w:hAnsi="宋体" w:cs="宋体" w:eastAsia="宋体" w:hint="default"/>
                <w:sz w:val="18"/>
                <w:szCs w:val="18"/>
              </w:rPr>
              <w:t>武汉东湖新 技术开发区 第十一批 </w:t>
            </w:r>
            <w:r>
              <w:rPr>
                <w:rFonts w:ascii="Times New Roman" w:hAnsi="Times New Roman" w:cs="Times New Roman" w:eastAsia="Times New Roman" w:hint="default"/>
                <w:sz w:val="18"/>
                <w:szCs w:val="18"/>
              </w:rPr>
              <w:t>“3551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光谷人 才计划</w:t>
            </w:r>
            <w:r>
              <w:rPr>
                <w:rFonts w:ascii="Times New Roman" w:hAnsi="Times New Roman" w:cs="Times New Roman" w:eastAsia="Times New Roman" w:hint="default"/>
                <w:sz w:val="18"/>
                <w:szCs w:val="18"/>
              </w:rPr>
              <w:t>”</w:t>
            </w:r>
            <w:r>
              <w:rPr>
                <w:rFonts w:ascii="宋体" w:hAnsi="宋体" w:cs="宋体" w:eastAsia="宋体" w:hint="default"/>
                <w:sz w:val="18"/>
                <w:szCs w:val="18"/>
              </w:rPr>
              <w:t>无偿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37" w:lineRule="auto"/>
              <w:ind w:left="22" w:right="127"/>
              <w:jc w:val="both"/>
              <w:rPr>
                <w:rFonts w:ascii="宋体" w:hAnsi="宋体" w:cs="宋体" w:eastAsia="宋体" w:hint="default"/>
                <w:sz w:val="18"/>
                <w:szCs w:val="18"/>
              </w:rPr>
            </w:pPr>
            <w:r>
              <w:rPr>
                <w:rFonts w:ascii="宋体" w:hAnsi="宋体" w:cs="宋体" w:eastAsia="宋体" w:hint="default"/>
                <w:sz w:val="18"/>
                <w:szCs w:val="18"/>
              </w:rPr>
              <w:t>武汉东湖新 技术开发区 管理委员会 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8"/>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z w:val="18"/>
              </w:rPr>
              <w:t>300,000.00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5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8"/>
              <w:ind w:left="22" w:right="131"/>
              <w:jc w:val="both"/>
              <w:rPr>
                <w:rFonts w:ascii="宋体" w:hAnsi="宋体" w:cs="宋体" w:eastAsia="宋体" w:hint="default"/>
                <w:sz w:val="18"/>
                <w:szCs w:val="18"/>
              </w:rPr>
            </w:pPr>
            <w:r>
              <w:rPr>
                <w:rFonts w:ascii="宋体" w:hAnsi="宋体" w:cs="宋体" w:eastAsia="宋体" w:hint="default"/>
                <w:sz w:val="18"/>
                <w:szCs w:val="18"/>
              </w:rPr>
              <w:t>深圳南山区 上市企业并 购重组中介 费用补贴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37" w:lineRule="auto"/>
              <w:ind w:left="22" w:right="127"/>
              <w:jc w:val="both"/>
              <w:rPr>
                <w:rFonts w:ascii="宋体" w:hAnsi="宋体" w:cs="宋体" w:eastAsia="宋体" w:hint="default"/>
                <w:sz w:val="18"/>
                <w:szCs w:val="18"/>
              </w:rPr>
            </w:pPr>
            <w:r>
              <w:rPr>
                <w:rFonts w:ascii="宋体" w:hAnsi="宋体" w:cs="宋体" w:eastAsia="宋体" w:hint="default"/>
                <w:sz w:val="18"/>
                <w:szCs w:val="18"/>
              </w:rPr>
              <w:t>深圳市南山 区经济促进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243,100.00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5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pStyle w:val="BodyText"/>
        <w:spacing w:line="278" w:lineRule="auto" w:before="10"/>
        <w:ind w:right="9852"/>
        <w:jc w:val="left"/>
      </w:pPr>
      <w:r>
        <w:rPr/>
        <w:t>其他说明： 无</w:t>
      </w:r>
    </w:p>
    <w:p>
      <w:pPr>
        <w:spacing w:after="0" w:line="278" w:lineRule="auto"/>
        <w:jc w:val="left"/>
        <w:sectPr>
          <w:pgSz w:w="11910" w:h="16840"/>
          <w:pgMar w:header="877" w:footer="979" w:top="1100" w:bottom="1160" w:left="980" w:right="0"/>
        </w:sectPr>
      </w:pPr>
    </w:p>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49、营业外支出" w:id="316"/>
      <w:bookmarkEnd w:id="316"/>
      <w:r>
        <w:rPr>
          <w:b w:val="0"/>
          <w:bCs w:val="0"/>
        </w:rPr>
      </w:r>
      <w:r>
        <w:rPr>
          <w:rFonts w:ascii="Times New Roman" w:hAnsi="Times New Roman" w:cs="Times New Roman" w:eastAsia="Times New Roman" w:hint="default"/>
        </w:rPr>
        <w:t>49</w:t>
      </w:r>
      <w:r>
        <w:rPr/>
        <w:t>、营业外支出</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557"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2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核销资产损失（注）</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2,207,675.96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1,830,000.00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2,207,675.96</w:t>
            </w:r>
          </w:p>
        </w:tc>
      </w:tr>
      <w:tr>
        <w:trPr>
          <w:trHeight w:val="32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2,162,064.54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1,999,608.58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2,162,064.54</w:t>
            </w:r>
          </w:p>
        </w:tc>
      </w:tr>
      <w:tr>
        <w:trPr>
          <w:trHeight w:val="32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公益性捐赠支出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1,700,000.00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1,700,000.00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1,700,000.00</w:t>
            </w:r>
          </w:p>
        </w:tc>
      </w:tr>
      <w:tr>
        <w:trPr>
          <w:trHeight w:val="32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诉讼支出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451,267.75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141,082.32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451,267.75</w:t>
            </w:r>
          </w:p>
        </w:tc>
      </w:tr>
      <w:tr>
        <w:trPr>
          <w:trHeight w:val="32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滞纳金、罚款支出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85,243.84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27,262.49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85,243.84</w:t>
            </w:r>
          </w:p>
        </w:tc>
      </w:tr>
      <w:tr>
        <w:trPr>
          <w:trHeight w:val="32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1,672,164.34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589,253.33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1,672,164.34</w:t>
            </w:r>
          </w:p>
        </w:tc>
      </w:tr>
      <w:tr>
        <w:trPr>
          <w:trHeight w:val="32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8,278,416.43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6,287,206.72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8,278,416.43</w:t>
            </w:r>
          </w:p>
        </w:tc>
      </w:tr>
    </w:tbl>
    <w:p>
      <w:pPr>
        <w:pStyle w:val="BodyText"/>
        <w:spacing w:line="240" w:lineRule="auto" w:before="10"/>
        <w:ind w:right="0"/>
        <w:jc w:val="left"/>
      </w:pPr>
      <w:r>
        <w:rPr/>
        <w:t>其他说明：</w:t>
      </w:r>
    </w:p>
    <w:p>
      <w:pPr>
        <w:pStyle w:val="BodyText"/>
        <w:spacing w:line="228" w:lineRule="auto" w:before="47"/>
        <w:ind w:right="1129" w:firstLine="360"/>
        <w:jc w:val="both"/>
      </w:pPr>
      <w:r>
        <w:rPr>
          <w:spacing w:val="-2"/>
        </w:rPr>
        <w:t>注：本年核销资产损失为本公司之子公司神码北京核销对北京好尔东方健康科技有限公司的预付款项，神码北京向北京</w:t>
      </w:r>
      <w:r>
        <w:rPr/>
        <w:t> 市海淀区人民法院提起诉讼，要求北京好尔东方健康科技有限公司支付货款</w:t>
      </w:r>
      <w:r>
        <w:rPr>
          <w:rFonts w:ascii="Times New Roman" w:hAnsi="Times New Roman" w:cs="Times New Roman" w:eastAsia="Times New Roman" w:hint="default"/>
        </w:rPr>
        <w:t>2,585,000</w:t>
      </w:r>
      <w:r>
        <w:rPr/>
        <w:t>元以及违约金</w:t>
      </w:r>
      <w:r>
        <w:rPr>
          <w:rFonts w:ascii="Times New Roman" w:hAnsi="Times New Roman" w:cs="Times New Roman" w:eastAsia="Times New Roman" w:hint="default"/>
        </w:rPr>
        <w:t>542,850</w:t>
      </w:r>
      <w:r>
        <w:rPr/>
        <w:t>元，北京市海淀</w:t>
      </w:r>
      <w:r>
        <w:rPr>
          <w:spacing w:val="-47"/>
        </w:rPr>
        <w:t> </w:t>
      </w:r>
      <w:r>
        <w:rPr>
          <w:spacing w:val="-47"/>
        </w:rPr>
      </w:r>
      <w:r>
        <w:rPr/>
        <w:t>区人民法院一审作出（</w:t>
      </w:r>
      <w:r>
        <w:rPr>
          <w:rFonts w:ascii="Times New Roman" w:hAnsi="Times New Roman" w:cs="Times New Roman" w:eastAsia="Times New Roman" w:hint="default"/>
        </w:rPr>
        <w:t>2014</w:t>
      </w:r>
      <w:r>
        <w:rPr/>
        <w:t>）海民（商）初字第</w:t>
      </w:r>
      <w:r>
        <w:rPr>
          <w:rFonts w:ascii="Times New Roman" w:hAnsi="Times New Roman" w:cs="Times New Roman" w:eastAsia="Times New Roman" w:hint="default"/>
        </w:rPr>
        <w:t>25240</w:t>
      </w:r>
      <w:r>
        <w:rPr/>
        <w:t>《北京市海淀区人民法院民事裁定书》支持神码北京诉讼主张，北京</w:t>
      </w:r>
      <w:r>
        <w:rPr>
          <w:spacing w:val="-83"/>
        </w:rPr>
        <w:t> </w:t>
      </w:r>
      <w:r>
        <w:rPr>
          <w:spacing w:val="-83"/>
        </w:rPr>
      </w:r>
      <w:r>
        <w:rPr/>
        <w:t>好尔东方健康科技有限公司不服提起上诉，北京市第一中级人民法院二审作出（</w:t>
      </w:r>
      <w:r>
        <w:rPr>
          <w:rFonts w:ascii="Times New Roman" w:hAnsi="Times New Roman" w:cs="Times New Roman" w:eastAsia="Times New Roman" w:hint="default"/>
        </w:rPr>
        <w:t>2014</w:t>
      </w:r>
      <w:r>
        <w:rPr/>
        <w:t>）一中民（商）终字第</w:t>
      </w:r>
      <w:r>
        <w:rPr>
          <w:rFonts w:ascii="Times New Roman" w:hAnsi="Times New Roman" w:cs="Times New Roman" w:eastAsia="Times New Roman" w:hint="default"/>
        </w:rPr>
        <w:t>10109</w:t>
      </w:r>
      <w:r>
        <w:rPr/>
        <w:t>号《北京</w:t>
      </w:r>
      <w:r>
        <w:rPr>
          <w:spacing w:val="-82"/>
        </w:rPr>
        <w:t> </w:t>
      </w:r>
      <w:r>
        <w:rPr/>
        <w:t>市第一中级人民法院民事裁定书》判决，驳回上诉，维持原一审裁定。北京市海淀区人民法院作出（</w:t>
      </w:r>
      <w:r>
        <w:rPr>
          <w:rFonts w:ascii="Times New Roman" w:hAnsi="Times New Roman" w:cs="Times New Roman" w:eastAsia="Times New Roman" w:hint="default"/>
        </w:rPr>
        <w:t>2016</w:t>
      </w:r>
      <w:r>
        <w:rPr/>
        <w:t>）京</w:t>
      </w:r>
      <w:r>
        <w:rPr>
          <w:rFonts w:ascii="Times New Roman" w:hAnsi="Times New Roman" w:cs="Times New Roman" w:eastAsia="Times New Roman" w:hint="default"/>
        </w:rPr>
        <w:t>0108</w:t>
      </w:r>
      <w:r>
        <w:rPr/>
        <w:t>执</w:t>
      </w:r>
      <w:r>
        <w:rPr>
          <w:rFonts w:ascii="Times New Roman" w:hAnsi="Times New Roman" w:cs="Times New Roman" w:eastAsia="Times New Roman" w:hint="default"/>
        </w:rPr>
        <w:t>3467 </w:t>
      </w:r>
      <w:r>
        <w:rPr/>
        <w:t>号《北京市海淀区人民法院执行裁定书》，扣划北京好尔东方健康科技有限公司名下存款</w:t>
      </w:r>
      <w:r>
        <w:rPr>
          <w:rFonts w:ascii="Times New Roman" w:hAnsi="Times New Roman" w:cs="Times New Roman" w:eastAsia="Times New Roman" w:hint="default"/>
        </w:rPr>
        <w:t>1,729.04</w:t>
      </w:r>
      <w:r>
        <w:rPr/>
        <w:t>元。因预计客户无可执行</w:t>
      </w:r>
      <w:r>
        <w:rPr>
          <w:spacing w:val="-84"/>
        </w:rPr>
        <w:t> </w:t>
      </w:r>
      <w:r>
        <w:rPr>
          <w:spacing w:val="-84"/>
        </w:rPr>
      </w:r>
      <w:r>
        <w:rPr/>
        <w:t>财产，本公司将该预付款项剩余金额核销计入营业外支出。</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50、所得税费用" w:id="317"/>
      <w:bookmarkEnd w:id="317"/>
      <w:r>
        <w:rPr>
          <w:b w:val="0"/>
          <w:bCs w:val="0"/>
        </w:rPr>
      </w:r>
      <w:r>
        <w:rPr>
          <w:rFonts w:ascii="Times New Roman" w:hAnsi="Times New Roman" w:cs="Times New Roman" w:eastAsia="Times New Roman" w:hint="default"/>
        </w:rPr>
        <w:t>50</w:t>
      </w:r>
      <w:r>
        <w:rPr/>
        <w:t>、所得税费用</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bookmarkStart w:name="（1）所得税费用表" w:id="318"/>
      <w:bookmarkEnd w:id="318"/>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0" w:right="1130"/>
        <w:jc w:val="right"/>
      </w:pPr>
      <w:r>
        <w:rPr/>
        <w:t>单位： 元</w:t>
      </w:r>
    </w:p>
    <w:p>
      <w:pPr>
        <w:spacing w:line="240" w:lineRule="auto" w:before="2"/>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233,633,827.91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184,804,978.54</w:t>
            </w:r>
          </w:p>
        </w:tc>
      </w:tr>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-88,152,799.53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-55,416,919.52</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145,481,028.38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129,388,059.02</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2）会计利润与所得税费用调整过程" w:id="319"/>
      <w:bookmarkEnd w:id="319"/>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32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32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661,507,530.93</w:t>
            </w:r>
          </w:p>
        </w:tc>
      </w:tr>
      <w:tr>
        <w:trPr>
          <w:trHeight w:val="32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165,376,882.73</w:t>
            </w:r>
          </w:p>
        </w:tc>
      </w:tr>
      <w:tr>
        <w:trPr>
          <w:trHeight w:val="32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-14,044,448.70</w:t>
            </w:r>
          </w:p>
        </w:tc>
      </w:tr>
      <w:tr>
        <w:trPr>
          <w:trHeight w:val="32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-26,810,552.71</w:t>
            </w:r>
          </w:p>
        </w:tc>
      </w:tr>
      <w:tr>
        <w:trPr>
          <w:trHeight w:val="32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-13,267,201.97</w:t>
            </w:r>
          </w:p>
        </w:tc>
      </w:tr>
      <w:tr>
        <w:trPr>
          <w:trHeight w:val="32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4,774,592.46</w:t>
            </w:r>
          </w:p>
        </w:tc>
      </w:tr>
      <w:tr>
        <w:trPr>
          <w:trHeight w:val="32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-26,701,355.45</w:t>
            </w:r>
          </w:p>
        </w:tc>
      </w:tr>
      <w:tr>
        <w:trPr>
          <w:trHeight w:val="557"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56,153,112.02</w:t>
            </w:r>
          </w:p>
        </w:tc>
      </w:tr>
      <w:tr>
        <w:trPr>
          <w:trHeight w:val="32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145,481,028.38</w:t>
            </w:r>
          </w:p>
        </w:tc>
      </w:tr>
    </w:tbl>
    <w:p>
      <w:pPr>
        <w:pStyle w:val="BodyText"/>
        <w:spacing w:line="278" w:lineRule="auto" w:before="10"/>
        <w:ind w:right="10032"/>
        <w:jc w:val="left"/>
      </w:pPr>
      <w:r>
        <w:rPr/>
        <w:t>其他说明 无</w:t>
      </w:r>
    </w:p>
    <w:p>
      <w:pPr>
        <w:spacing w:after="0" w:line="278" w:lineRule="auto"/>
        <w:jc w:val="left"/>
        <w:sectPr>
          <w:footerReference w:type="default" r:id="rId41"/>
          <w:pgSz w:w="11910" w:h="16840"/>
          <w:pgMar w:footer="979" w:header="877" w:top="1100" w:bottom="1160" w:left="980" w:right="0"/>
          <w:pgNumType w:start="163"/>
        </w:sectPr>
      </w:pPr>
    </w:p>
    <w:p>
      <w:pPr>
        <w:spacing w:line="240" w:lineRule="auto" w:before="1"/>
        <w:rPr>
          <w:rFonts w:ascii="宋体" w:hAnsi="宋体" w:cs="宋体" w:eastAsia="宋体" w:hint="default"/>
          <w:sz w:val="19"/>
          <w:szCs w:val="19"/>
        </w:rPr>
      </w:pPr>
    </w:p>
    <w:p>
      <w:pPr>
        <w:spacing w:line="494" w:lineRule="auto" w:before="35"/>
        <w:ind w:left="154" w:right="8855" w:firstLine="0"/>
        <w:jc w:val="left"/>
        <w:rPr>
          <w:rFonts w:ascii="宋体" w:hAnsi="宋体" w:cs="宋体" w:eastAsia="宋体" w:hint="default"/>
          <w:sz w:val="21"/>
          <w:szCs w:val="21"/>
        </w:rPr>
      </w:pPr>
      <w:bookmarkStart w:name="51、其他综合收益" w:id="320"/>
      <w:bookmarkEnd w:id="320"/>
      <w:r>
        <w:rPr/>
      </w:r>
      <w:r>
        <w:rPr>
          <w:rFonts w:ascii="Times New Roman" w:hAnsi="Times New Roman" w:cs="Times New Roman" w:eastAsia="Times New Roman" w:hint="default"/>
          <w:b/>
          <w:bCs/>
          <w:sz w:val="21"/>
          <w:szCs w:val="21"/>
        </w:rPr>
        <w:t>51</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w:t>
      </w:r>
      <w:r>
        <w:rPr>
          <w:rFonts w:ascii="宋体" w:hAnsi="宋体" w:cs="宋体" w:eastAsia="宋体" w:hint="default"/>
          <w:sz w:val="18"/>
          <w:szCs w:val="18"/>
        </w:rPr>
        <w:t>。 </w:t>
      </w:r>
      <w:bookmarkStart w:name="52、现金流量表项目" w:id="321"/>
      <w:bookmarkEnd w:id="321"/>
      <w:r>
        <w:rPr>
          <w:rFonts w:ascii="宋体" w:hAnsi="宋体" w:cs="宋体" w:eastAsia="宋体" w:hint="default"/>
          <w:sz w:val="18"/>
          <w:szCs w:val="18"/>
        </w:rPr>
      </w:r>
      <w:r>
        <w:rPr>
          <w:rFonts w:ascii="Times New Roman" w:hAnsi="Times New Roman" w:cs="Times New Roman" w:eastAsia="Times New Roman" w:hint="default"/>
          <w:b/>
          <w:bCs/>
          <w:sz w:val="21"/>
          <w:szCs w:val="21"/>
        </w:rPr>
        <w:t>52</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35"/>
        <w:ind w:right="0"/>
        <w:jc w:val="left"/>
        <w:rPr>
          <w:b w:val="0"/>
          <w:bCs w:val="0"/>
        </w:rPr>
      </w:pPr>
      <w:bookmarkStart w:name="（1）收到的其他与经营活动有关的现金" w:id="322"/>
      <w:bookmarkEnd w:id="322"/>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40,786,180.44</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48,726,755.81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28,702,577.01</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21,654,500.38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21,875,569.70</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771,249.20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677,727.27</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71,152,505.39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92,042,054.42</w:t>
            </w:r>
          </w:p>
        </w:tc>
      </w:tr>
    </w:tbl>
    <w:p>
      <w:pPr>
        <w:pStyle w:val="BodyText"/>
        <w:spacing w:line="278" w:lineRule="auto" w:before="10"/>
        <w:ind w:right="7512"/>
        <w:jc w:val="left"/>
      </w:pPr>
      <w:r>
        <w:rPr/>
        <w:t>收到的其他与经营活动有关的现金说明：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2）支付的其他与经营活动有关的现金" w:id="323"/>
      <w:bookmarkEnd w:id="323"/>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费用支出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1,007,066,336.27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1,133,304,451.48</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支付受限资金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275,208,346.98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132,985,559.88</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5,847,122.62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15,136,761.34</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4,215,578.86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1,868,344.82</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1,292,337,384.73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1,283,295,117.52</w:t>
            </w:r>
          </w:p>
        </w:tc>
      </w:tr>
    </w:tbl>
    <w:p>
      <w:pPr>
        <w:pStyle w:val="BodyText"/>
        <w:spacing w:line="278" w:lineRule="auto" w:before="10"/>
        <w:ind w:right="7512"/>
        <w:jc w:val="left"/>
      </w:pPr>
      <w:r>
        <w:rPr/>
        <w:t>支付的其他与经营活动有关的现金说明：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3）支付的其他与筹资活动有关的现金" w:id="324"/>
      <w:bookmarkEnd w:id="324"/>
      <w:r>
        <w:rPr>
          <w:b w:val="0"/>
          <w:bCs w:val="0"/>
        </w:rPr>
      </w:r>
      <w:r>
        <w:rPr/>
        <w:t>（</w:t>
      </w:r>
      <w:r>
        <w:rPr>
          <w:rFonts w:ascii="Times New Roman" w:hAnsi="Times New Roman" w:cs="Times New Roman" w:eastAsia="Times New Roman" w:hint="default"/>
        </w:rPr>
        <w:t>3</w:t>
      </w:r>
      <w:r>
        <w:rPr/>
        <w:t>）支付的其他与筹资活动有关的现金</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资本化利息支出</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6,874,291.67</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融资租赁的租金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14,664,150.91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1,921,598.41</w:t>
            </w:r>
          </w:p>
        </w:tc>
      </w:tr>
      <w:tr>
        <w:trPr>
          <w:trHeight w:val="55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93"/>
              <w:jc w:val="left"/>
              <w:rPr>
                <w:rFonts w:ascii="宋体" w:hAnsi="宋体" w:cs="宋体" w:eastAsia="宋体" w:hint="default"/>
                <w:sz w:val="18"/>
                <w:szCs w:val="18"/>
              </w:rPr>
            </w:pPr>
            <w:r>
              <w:rPr>
                <w:rFonts w:ascii="宋体" w:hAnsi="宋体" w:cs="宋体" w:eastAsia="宋体" w:hint="default"/>
                <w:sz w:val="18"/>
                <w:szCs w:val="18"/>
              </w:rPr>
              <w:t>购买少数股东持有北京神州云计算的股 权</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6,694,627.04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21,358,777.95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8,795,890.08</w:t>
            </w:r>
          </w:p>
        </w:tc>
      </w:tr>
    </w:tbl>
    <w:p>
      <w:pPr>
        <w:pStyle w:val="BodyText"/>
        <w:spacing w:line="278" w:lineRule="auto" w:before="10"/>
        <w:ind w:right="7512"/>
        <w:jc w:val="left"/>
      </w:pPr>
      <w:r>
        <w:rPr/>
        <w:t>支付的其他与筹资活动有关的现金说明：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53、现金流量表补充资料" w:id="325"/>
      <w:bookmarkEnd w:id="325"/>
      <w:r>
        <w:rPr>
          <w:b w:val="0"/>
          <w:bCs w:val="0"/>
        </w:rPr>
      </w:r>
      <w:r>
        <w:rPr>
          <w:rFonts w:ascii="Times New Roman" w:hAnsi="Times New Roman" w:cs="Times New Roman" w:eastAsia="Times New Roman" w:hint="default"/>
        </w:rPr>
        <w:t>53</w:t>
      </w:r>
      <w:r>
        <w:rPr/>
        <w:t>、现金流量表补充资料</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0"/>
        <w:jc w:val="left"/>
        <w:rPr>
          <w:b w:val="0"/>
          <w:bCs w:val="0"/>
        </w:rPr>
      </w:pPr>
      <w:bookmarkStart w:name="（1）现金流量表补充资料" w:id="326"/>
      <w:bookmarkEnd w:id="326"/>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after="0" w:line="240" w:lineRule="auto"/>
        <w:jc w:val="right"/>
        <w:sectPr>
          <w:pgSz w:w="11910" w:h="16840"/>
          <w:pgMar w:header="877" w:footer="979" w:top="1100" w:bottom="1160" w:left="980" w:right="0"/>
        </w:sectPr>
      </w:pPr>
    </w:p>
    <w:p>
      <w:pPr>
        <w:spacing w:line="240" w:lineRule="auto" w:before="6"/>
        <w:rPr>
          <w:rFonts w:ascii="宋体" w:hAnsi="宋体" w:cs="宋体" w:eastAsia="宋体" w:hint="default"/>
          <w:sz w:val="24"/>
          <w:szCs w:val="24"/>
        </w:rPr>
      </w:pPr>
      <w:r>
        <w:rPr/>
        <w:pict>
          <v:group style="position:absolute;margin-left:224.479996pt;margin-top:290.599976pt;width:150.1pt;height:30.5pt;mso-position-horizontal-relative:page;mso-position-vertical-relative:page;z-index:-1464904" coordorigin="4490,5812" coordsize="3002,610">
            <v:group style="position:absolute;left:4490;top:5812;width:3002;height:287" coordorigin="4490,5812" coordsize="3002,287">
              <v:shape style="position:absolute;left:4490;top:5812;width:3002;height:287" coordorigin="4490,5812" coordsize="3002,287" path="m4490,6099l7491,6099,7491,5812,4490,5812,4490,6099xe" filled="true" fillcolor="#ffffff" stroked="false">
                <v:path arrowok="t"/>
                <v:fill type="solid"/>
              </v:shape>
            </v:group>
            <v:group style="position:absolute;left:4490;top:6135;width:3002;height:287" coordorigin="4490,6135" coordsize="3002,287">
              <v:shape style="position:absolute;left:4490;top:6135;width:3002;height:287" coordorigin="4490,6135" coordsize="3002,287" path="m4490,6422l7491,6422,7491,6135,4490,6135,4490,6422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299"/>
        <w:gridCol w:w="1015"/>
        <w:gridCol w:w="2059"/>
        <w:gridCol w:w="3184"/>
      </w:tblGrid>
      <w:tr>
        <w:trPr>
          <w:trHeight w:val="331"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7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6"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10"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7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6"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w:t>
            </w:r>
          </w:p>
        </w:tc>
      </w:tr>
      <w:tr>
        <w:trPr>
          <w:trHeight w:val="331"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74" w:type="dxa"/>
            <w:gridSpan w:val="2"/>
            <w:tcBorders>
              <w:top w:val="single" w:sz="9" w:space="0" w:color="D2D2D2"/>
              <w:left w:val="single" w:sz="13" w:space="0" w:color="D2D2D2"/>
              <w:bottom w:val="single" w:sz="4" w:space="0" w:color="000000"/>
              <w:right w:val="single" w:sz="4" w:space="0" w:color="000000"/>
            </w:tcBorders>
          </w:tcPr>
          <w:p>
            <w:pPr>
              <w:pStyle w:val="TableParagraph"/>
              <w:spacing w:line="240" w:lineRule="auto" w:before="49"/>
              <w:ind w:left="1905" w:right="0"/>
              <w:jc w:val="left"/>
              <w:rPr>
                <w:rFonts w:ascii="Times New Roman" w:hAnsi="Times New Roman" w:cs="Times New Roman" w:eastAsia="Times New Roman" w:hint="default"/>
                <w:sz w:val="18"/>
                <w:szCs w:val="18"/>
              </w:rPr>
            </w:pPr>
            <w:r>
              <w:rPr>
                <w:rFonts w:ascii="Times New Roman"/>
                <w:sz w:val="18"/>
              </w:rPr>
              <w:t>516,026,502.55</w:t>
            </w:r>
          </w:p>
        </w:tc>
        <w:tc>
          <w:tcPr>
            <w:tcW w:w="3184"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723,188,627.34</w:t>
            </w:r>
          </w:p>
        </w:tc>
      </w:tr>
      <w:tr>
        <w:trPr>
          <w:trHeight w:val="32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995" w:right="0"/>
              <w:jc w:val="left"/>
              <w:rPr>
                <w:rFonts w:ascii="Times New Roman" w:hAnsi="Times New Roman" w:cs="Times New Roman" w:eastAsia="Times New Roman" w:hint="default"/>
                <w:sz w:val="18"/>
                <w:szCs w:val="18"/>
              </w:rPr>
            </w:pPr>
            <w:r>
              <w:rPr>
                <w:rFonts w:ascii="Times New Roman"/>
                <w:sz w:val="18"/>
              </w:rPr>
              <w:t>16,658,750.08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-21,802,203.79</w:t>
            </w:r>
          </w:p>
        </w:tc>
      </w:tr>
      <w:tr>
        <w:trPr>
          <w:trHeight w:val="557"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36"/>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995" w:right="0"/>
              <w:jc w:val="left"/>
              <w:rPr>
                <w:rFonts w:ascii="Times New Roman" w:hAnsi="Times New Roman" w:cs="Times New Roman" w:eastAsia="Times New Roman" w:hint="default"/>
                <w:sz w:val="18"/>
                <w:szCs w:val="18"/>
              </w:rPr>
            </w:pPr>
            <w:r>
              <w:rPr>
                <w:rFonts w:ascii="Times New Roman"/>
                <w:sz w:val="18"/>
              </w:rPr>
              <w:t>44,720,993.07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48,956,629.86</w:t>
            </w:r>
          </w:p>
        </w:tc>
      </w:tr>
      <w:tr>
        <w:trPr>
          <w:trHeight w:val="324"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9,614,196.08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40,266,545.53</w:t>
            </w:r>
          </w:p>
        </w:tc>
      </w:tr>
      <w:tr>
        <w:trPr>
          <w:trHeight w:val="32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8,463,042.30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4,368,663.86</w:t>
            </w:r>
          </w:p>
        </w:tc>
      </w:tr>
      <w:tr>
        <w:trPr>
          <w:trHeight w:val="557"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1" w:right="36"/>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-694,540.29</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65,535.59</w:t>
            </w:r>
          </w:p>
        </w:tc>
      </w:tr>
      <w:tr>
        <w:trPr>
          <w:trHeight w:val="324"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2,162,064.54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1,999,608.58</w:t>
            </w:r>
          </w:p>
        </w:tc>
      </w:tr>
      <w:tr>
        <w:trPr>
          <w:trHeight w:val="32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025" w:right="0"/>
              <w:jc w:val="left"/>
              <w:rPr>
                <w:rFonts w:ascii="Times New Roman" w:hAnsi="Times New Roman" w:cs="Times New Roman" w:eastAsia="Times New Roman" w:hint="default"/>
                <w:sz w:val="18"/>
                <w:szCs w:val="18"/>
              </w:rPr>
            </w:pPr>
            <w:r>
              <w:rPr>
                <w:rFonts w:ascii="Times New Roman"/>
                <w:sz w:val="18"/>
              </w:rPr>
              <w:t>-3,000,955.82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29,023,035.90</w:t>
            </w:r>
          </w:p>
        </w:tc>
      </w:tr>
      <w:tr>
        <w:trPr>
          <w:trHeight w:val="324"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left="1905" w:right="0"/>
              <w:jc w:val="left"/>
              <w:rPr>
                <w:rFonts w:ascii="Times New Roman" w:hAnsi="Times New Roman" w:cs="Times New Roman" w:eastAsia="Times New Roman" w:hint="default"/>
                <w:sz w:val="18"/>
                <w:szCs w:val="18"/>
              </w:rPr>
            </w:pPr>
            <w:r>
              <w:rPr>
                <w:rFonts w:ascii="Times New Roman"/>
                <w:sz w:val="18"/>
              </w:rPr>
              <w:t>679,344,459.74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232,433,417.67</w:t>
            </w:r>
          </w:p>
        </w:tc>
      </w:tr>
      <w:tr>
        <w:trPr>
          <w:trHeight w:val="32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935" w:right="0"/>
              <w:jc w:val="left"/>
              <w:rPr>
                <w:rFonts w:ascii="Times New Roman" w:hAnsi="Times New Roman" w:cs="Times New Roman" w:eastAsia="Times New Roman" w:hint="default"/>
                <w:sz w:val="18"/>
                <w:szCs w:val="18"/>
              </w:rPr>
            </w:pPr>
            <w:r>
              <w:rPr>
                <w:rFonts w:ascii="Times New Roman"/>
                <w:sz w:val="18"/>
              </w:rPr>
              <w:t>-59,165,681.72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158,793,035.07</w:t>
            </w:r>
          </w:p>
        </w:tc>
      </w:tr>
      <w:tr>
        <w:trPr>
          <w:trHeight w:val="324" w:hRule="exact"/>
        </w:trPr>
        <w:tc>
          <w:tcPr>
            <w:tcW w:w="3299"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15" w:type="dxa"/>
            <w:tcBorders>
              <w:top w:val="single" w:sz="4" w:space="0" w:color="000000"/>
              <w:left w:val="single" w:sz="23" w:space="0" w:color="FFFFFF"/>
              <w:bottom w:val="single" w:sz="4" w:space="0" w:color="000000"/>
              <w:right w:val="nil" w:sz="6" w:space="0" w:color="auto"/>
            </w:tcBorders>
          </w:tcPr>
          <w:p>
            <w:pPr>
              <w:pStyle w:val="TableParagraph"/>
              <w:spacing w:line="240" w:lineRule="auto" w:before="11"/>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20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-70,540,466.77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-7,776,268.18</w:t>
            </w:r>
          </w:p>
        </w:tc>
      </w:tr>
      <w:tr>
        <w:trPr>
          <w:trHeight w:val="324" w:hRule="exact"/>
        </w:trPr>
        <w:tc>
          <w:tcPr>
            <w:tcW w:w="3299"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15" w:type="dxa"/>
            <w:tcBorders>
              <w:top w:val="single" w:sz="4" w:space="0" w:color="000000"/>
              <w:left w:val="single" w:sz="23" w:space="0" w:color="FFFFFF"/>
              <w:bottom w:val="single" w:sz="4" w:space="0" w:color="000000"/>
              <w:right w:val="nil" w:sz="6" w:space="0" w:color="auto"/>
            </w:tcBorders>
          </w:tcPr>
          <w:p>
            <w:pPr>
              <w:pStyle w:val="TableParagraph"/>
              <w:spacing w:line="240" w:lineRule="auto" w:before="10"/>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20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-17,612,332.76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-44,810,265.89</w:t>
            </w:r>
          </w:p>
        </w:tc>
      </w:tr>
      <w:tr>
        <w:trPr>
          <w:trHeight w:val="32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905" w:right="0"/>
              <w:jc w:val="left"/>
              <w:rPr>
                <w:rFonts w:ascii="Times New Roman" w:hAnsi="Times New Roman" w:cs="Times New Roman" w:eastAsia="Times New Roman" w:hint="default"/>
                <w:sz w:val="18"/>
                <w:szCs w:val="18"/>
              </w:rPr>
            </w:pPr>
            <w:r>
              <w:rPr>
                <w:rFonts w:ascii="Times New Roman"/>
                <w:sz w:val="18"/>
              </w:rPr>
              <w:t>283,600,347.83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-2,135,130,854.07</w:t>
            </w:r>
          </w:p>
        </w:tc>
      </w:tr>
      <w:tr>
        <w:trPr>
          <w:trHeight w:val="557"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11" w:right="56"/>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09" w:right="0"/>
              <w:jc w:val="left"/>
              <w:rPr>
                <w:rFonts w:ascii="Times New Roman" w:hAnsi="Times New Roman" w:cs="Times New Roman" w:eastAsia="Times New Roman" w:hint="default"/>
                <w:sz w:val="18"/>
                <w:szCs w:val="18"/>
              </w:rPr>
            </w:pPr>
            <w:r>
              <w:rPr>
                <w:rFonts w:ascii="Times New Roman"/>
                <w:sz w:val="18"/>
              </w:rPr>
              <w:t>-1,820,382,844.14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-791,995,359.01</w:t>
            </w:r>
          </w:p>
        </w:tc>
      </w:tr>
      <w:tr>
        <w:trPr>
          <w:trHeight w:val="557"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11" w:right="56"/>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905" w:right="0"/>
              <w:jc w:val="left"/>
              <w:rPr>
                <w:rFonts w:ascii="Times New Roman" w:hAnsi="Times New Roman" w:cs="Times New Roman" w:eastAsia="Times New Roman" w:hint="default"/>
                <w:sz w:val="18"/>
                <w:szCs w:val="18"/>
              </w:rPr>
            </w:pPr>
            <w:r>
              <w:rPr>
                <w:rFonts w:ascii="Times New Roman"/>
                <w:sz w:val="18"/>
              </w:rPr>
              <w:t>771,346,082.85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1,812,342,491.02</w:t>
            </w:r>
          </w:p>
        </w:tc>
      </w:tr>
      <w:tr>
        <w:trPr>
          <w:trHeight w:val="324"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74"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-341,722,930.53</w:t>
            </w:r>
          </w:p>
        </w:tc>
      </w:tr>
      <w:tr>
        <w:trPr>
          <w:trHeight w:val="389"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74" w:type="dxa"/>
            <w:gridSpan w:val="2"/>
            <w:tcBorders>
              <w:top w:val="single" w:sz="4" w:space="0" w:color="000000"/>
              <w:left w:val="single" w:sz="13" w:space="0" w:color="D2D2D2"/>
              <w:bottom w:val="single" w:sz="56" w:space="0" w:color="D2D2D2"/>
              <w:right w:val="single" w:sz="4" w:space="0" w:color="000000"/>
            </w:tcBorders>
          </w:tcPr>
          <w:p>
            <w:pPr>
              <w:pStyle w:val="TableParagraph"/>
              <w:spacing w:line="240" w:lineRule="auto" w:before="49"/>
              <w:ind w:left="1905" w:right="0"/>
              <w:jc w:val="left"/>
              <w:rPr>
                <w:rFonts w:ascii="Times New Roman" w:hAnsi="Times New Roman" w:cs="Times New Roman" w:eastAsia="Times New Roman" w:hint="default"/>
                <w:sz w:val="18"/>
                <w:szCs w:val="18"/>
              </w:rPr>
            </w:pPr>
            <w:r>
              <w:rPr>
                <w:rFonts w:ascii="Times New Roman"/>
                <w:sz w:val="18"/>
              </w:rPr>
              <w:t>360,539,617.54</w:t>
            </w:r>
          </w:p>
        </w:tc>
        <w:tc>
          <w:tcPr>
            <w:tcW w:w="3184" w:type="dxa"/>
            <w:tcBorders>
              <w:top w:val="single" w:sz="4" w:space="0" w:color="000000"/>
              <w:left w:val="single" w:sz="4" w:space="0" w:color="000000"/>
              <w:bottom w:val="single" w:sz="56" w:space="0" w:color="D2D2D2"/>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-291,800,291.05</w:t>
            </w:r>
          </w:p>
        </w:tc>
      </w:tr>
      <w:tr>
        <w:trPr>
          <w:trHeight w:val="434"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6"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w:t>
            </w:r>
          </w:p>
          <w:p>
            <w:pPr>
              <w:pStyle w:val="TableParagraph"/>
              <w:spacing w:line="227" w:lineRule="exact"/>
              <w:ind w:left="11"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07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6"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w:t>
            </w:r>
          </w:p>
        </w:tc>
      </w:tr>
      <w:tr>
        <w:trPr>
          <w:trHeight w:val="375"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7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left="16"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right="0"/>
              <w:jc w:val="center"/>
              <w:rPr>
                <w:rFonts w:ascii="Times New Roman" w:hAnsi="Times New Roman" w:cs="Times New Roman" w:eastAsia="Times New Roman" w:hint="default"/>
                <w:sz w:val="18"/>
                <w:szCs w:val="18"/>
              </w:rPr>
            </w:pPr>
            <w:r>
              <w:rPr>
                <w:rFonts w:ascii="Times New Roman"/>
                <w:sz w:val="18"/>
              </w:rPr>
              <w:t>--</w:t>
            </w:r>
          </w:p>
        </w:tc>
      </w:tr>
      <w:tr>
        <w:trPr>
          <w:trHeight w:val="329"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74" w:type="dxa"/>
            <w:gridSpan w:val="2"/>
            <w:tcBorders>
              <w:top w:val="single" w:sz="5" w:space="0" w:color="D2D2D2"/>
              <w:left w:val="single" w:sz="13" w:space="0" w:color="D2D2D2"/>
              <w:bottom w:val="single" w:sz="4" w:space="0" w:color="000000"/>
              <w:right w:val="single" w:sz="4" w:space="0" w:color="000000"/>
            </w:tcBorders>
          </w:tcPr>
          <w:p>
            <w:pPr>
              <w:pStyle w:val="TableParagraph"/>
              <w:spacing w:line="240" w:lineRule="auto" w:before="54"/>
              <w:ind w:left="1905" w:right="0"/>
              <w:jc w:val="left"/>
              <w:rPr>
                <w:rFonts w:ascii="Times New Roman" w:hAnsi="Times New Roman" w:cs="Times New Roman" w:eastAsia="Times New Roman" w:hint="default"/>
                <w:sz w:val="18"/>
                <w:szCs w:val="18"/>
              </w:rPr>
            </w:pPr>
            <w:r>
              <w:rPr>
                <w:rFonts w:ascii="Times New Roman"/>
                <w:sz w:val="18"/>
              </w:rPr>
              <w:t>969,621,437.86</w:t>
            </w:r>
          </w:p>
        </w:tc>
        <w:tc>
          <w:tcPr>
            <w:tcW w:w="3184" w:type="dxa"/>
            <w:tcBorders>
              <w:top w:val="single" w:sz="5" w:space="0" w:color="D2D2D2"/>
              <w:left w:val="single" w:sz="4" w:space="0" w:color="000000"/>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1,470,744,696.88</w:t>
            </w:r>
          </w:p>
        </w:tc>
      </w:tr>
      <w:tr>
        <w:trPr>
          <w:trHeight w:val="324"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left="1769" w:right="0"/>
              <w:jc w:val="left"/>
              <w:rPr>
                <w:rFonts w:ascii="Times New Roman" w:hAnsi="Times New Roman" w:cs="Times New Roman" w:eastAsia="Times New Roman" w:hint="default"/>
                <w:sz w:val="18"/>
                <w:szCs w:val="18"/>
              </w:rPr>
            </w:pPr>
            <w:r>
              <w:rPr>
                <w:rFonts w:ascii="Times New Roman"/>
                <w:sz w:val="18"/>
              </w:rPr>
              <w:t>1,470,744,696.88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1,072,914,859.16</w:t>
            </w:r>
          </w:p>
        </w:tc>
      </w:tr>
      <w:tr>
        <w:trPr>
          <w:trHeight w:val="32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30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9,000,000.00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left="1845" w:right="0"/>
              <w:jc w:val="left"/>
              <w:rPr>
                <w:rFonts w:ascii="Times New Roman" w:hAnsi="Times New Roman" w:cs="Times New Roman" w:eastAsia="Times New Roman" w:hint="default"/>
                <w:sz w:val="18"/>
                <w:szCs w:val="18"/>
              </w:rPr>
            </w:pPr>
            <w:r>
              <w:rPr>
                <w:rFonts w:ascii="Times New Roman"/>
                <w:sz w:val="18"/>
              </w:rPr>
              <w:t>-492,123,259.02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397,829,837.72</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2）本期支付的取得子公司的现金净额" w:id="327"/>
      <w:bookmarkEnd w:id="327"/>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977"/>
        <w:gridCol w:w="4592"/>
      </w:tblGrid>
      <w:tr>
        <w:trPr>
          <w:trHeight w:val="324"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29" w:hRule="exact"/>
        </w:trPr>
        <w:tc>
          <w:tcPr>
            <w:tcW w:w="4977" w:type="dxa"/>
            <w:tcBorders>
              <w:top w:val="single" w:sz="9" w:space="0" w:color="D2D2D2"/>
              <w:left w:val="single" w:sz="4" w:space="0" w:color="000000"/>
              <w:bottom w:val="single" w:sz="4" w:space="0" w:color="000000"/>
              <w:right w:val="single" w:sz="4" w:space="0" w:color="000000"/>
            </w:tcBorders>
            <w:shd w:val="clear" w:color="auto" w:fill="D0CECE"/>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92" w:type="dxa"/>
            <w:tcBorders>
              <w:top w:val="single" w:sz="4" w:space="0" w:color="000000"/>
              <w:left w:val="single" w:sz="13" w:space="0" w:color="D0CECE"/>
              <w:bottom w:val="single" w:sz="9" w:space="0" w:color="D2D2D2"/>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1,644,277.96</w:t>
            </w:r>
          </w:p>
        </w:tc>
      </w:tr>
      <w:tr>
        <w:trPr>
          <w:trHeight w:val="311" w:hRule="exact"/>
        </w:trPr>
        <w:tc>
          <w:tcPr>
            <w:tcW w:w="4977" w:type="dxa"/>
            <w:tcBorders>
              <w:top w:val="single" w:sz="4" w:space="0" w:color="000000"/>
              <w:left w:val="single" w:sz="4" w:space="0" w:color="000000"/>
              <w:bottom w:val="single" w:sz="4" w:space="0" w:color="000000"/>
              <w:right w:val="single" w:sz="9" w:space="0" w:color="D2D2D2"/>
            </w:tcBorders>
            <w:shd w:val="clear" w:color="auto" w:fill="D0CECE"/>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13" w:space="0" w:color="D0CECE"/>
              <w:bottom w:val="single" w:sz="4" w:space="0" w:color="000000"/>
              <w:right w:val="single" w:sz="4" w:space="0" w:color="000000"/>
            </w:tcBorders>
            <w:shd w:val="clear" w:color="auto" w:fill="D2D2D2"/>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w:t>
            </w:r>
          </w:p>
        </w:tc>
      </w:tr>
      <w:tr>
        <w:trPr>
          <w:trHeight w:val="329" w:hRule="exact"/>
        </w:trPr>
        <w:tc>
          <w:tcPr>
            <w:tcW w:w="497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智慧神州</w:t>
            </w:r>
          </w:p>
        </w:tc>
        <w:tc>
          <w:tcPr>
            <w:tcW w:w="4592" w:type="dxa"/>
            <w:tcBorders>
              <w:top w:val="single" w:sz="5" w:space="0" w:color="D2D2D2"/>
              <w:left w:val="single" w:sz="13" w:space="0" w:color="D0CECE"/>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1,644,277.96</w:t>
            </w:r>
          </w:p>
        </w:tc>
      </w:tr>
      <w:tr>
        <w:trPr>
          <w:trHeight w:val="331" w:hRule="exact"/>
        </w:trPr>
        <w:tc>
          <w:tcPr>
            <w:tcW w:w="497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92" w:type="dxa"/>
            <w:tcBorders>
              <w:top w:val="single" w:sz="4" w:space="0" w:color="000000"/>
              <w:left w:val="single" w:sz="13" w:space="0" w:color="D0CECE"/>
              <w:bottom w:val="single" w:sz="5" w:space="0" w:color="D2D2D2"/>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1,443,155.71</w:t>
            </w:r>
          </w:p>
        </w:tc>
      </w:tr>
      <w:tr>
        <w:trPr>
          <w:trHeight w:val="310" w:hRule="exact"/>
        </w:trPr>
        <w:tc>
          <w:tcPr>
            <w:tcW w:w="4977" w:type="dxa"/>
            <w:tcBorders>
              <w:top w:val="single" w:sz="4" w:space="0" w:color="000000"/>
              <w:left w:val="single" w:sz="4" w:space="0" w:color="000000"/>
              <w:bottom w:val="single" w:sz="4" w:space="0" w:color="000000"/>
              <w:right w:val="single" w:sz="9" w:space="0" w:color="D2D2D2"/>
            </w:tcBorders>
            <w:shd w:val="clear" w:color="auto" w:fill="D0CECE"/>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13" w:space="0" w:color="D0CECE"/>
              <w:bottom w:val="single" w:sz="4" w:space="0" w:color="000000"/>
              <w:right w:val="single" w:sz="4" w:space="0" w:color="000000"/>
            </w:tcBorders>
            <w:shd w:val="clear" w:color="auto" w:fill="D2D2D2"/>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w:t>
            </w:r>
          </w:p>
        </w:tc>
      </w:tr>
      <w:tr>
        <w:trPr>
          <w:trHeight w:val="337" w:hRule="exact"/>
        </w:trPr>
        <w:tc>
          <w:tcPr>
            <w:tcW w:w="497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8"/>
              <w:ind w:left="22" w:right="0"/>
              <w:jc w:val="left"/>
              <w:rPr>
                <w:rFonts w:ascii="宋体" w:hAnsi="宋体" w:cs="宋体" w:eastAsia="宋体" w:hint="default"/>
                <w:sz w:val="18"/>
                <w:szCs w:val="18"/>
              </w:rPr>
            </w:pPr>
            <w:r>
              <w:rPr>
                <w:rFonts w:ascii="宋体" w:hAnsi="宋体" w:cs="宋体" w:eastAsia="宋体" w:hint="default"/>
                <w:sz w:val="18"/>
                <w:szCs w:val="18"/>
              </w:rPr>
              <w:t>智慧神州</w:t>
            </w:r>
          </w:p>
        </w:tc>
        <w:tc>
          <w:tcPr>
            <w:tcW w:w="4592" w:type="dxa"/>
            <w:tcBorders>
              <w:top w:val="single" w:sz="9" w:space="0" w:color="D2D2D2"/>
              <w:left w:val="single" w:sz="13" w:space="0" w:color="D0CECE"/>
              <w:bottom w:val="single" w:sz="9" w:space="0" w:color="D2D2D2"/>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1,443,155.71</w:t>
            </w:r>
          </w:p>
        </w:tc>
      </w:tr>
      <w:tr>
        <w:trPr>
          <w:trHeight w:val="310" w:hRule="exact"/>
        </w:trPr>
        <w:tc>
          <w:tcPr>
            <w:tcW w:w="4977" w:type="dxa"/>
            <w:tcBorders>
              <w:top w:val="single" w:sz="4" w:space="0" w:color="000000"/>
              <w:left w:val="single" w:sz="4" w:space="0" w:color="000000"/>
              <w:bottom w:val="single" w:sz="4" w:space="0" w:color="000000"/>
              <w:right w:val="single" w:sz="9" w:space="0" w:color="D2D2D2"/>
            </w:tcBorders>
            <w:shd w:val="clear" w:color="auto" w:fill="D0CECE"/>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13" w:space="0" w:color="D0CECE"/>
              <w:bottom w:val="single" w:sz="4" w:space="0" w:color="000000"/>
              <w:right w:val="single" w:sz="4" w:space="0" w:color="000000"/>
            </w:tcBorders>
            <w:shd w:val="clear" w:color="auto" w:fill="D2D2D2"/>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w:t>
            </w:r>
          </w:p>
        </w:tc>
      </w:tr>
      <w:tr>
        <w:trPr>
          <w:trHeight w:val="330" w:hRule="exact"/>
        </w:trPr>
        <w:tc>
          <w:tcPr>
            <w:tcW w:w="497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92" w:type="dxa"/>
            <w:tcBorders>
              <w:top w:val="single" w:sz="9" w:space="0" w:color="D2D2D2"/>
              <w:left w:val="single" w:sz="13" w:space="0" w:color="D0CECE"/>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201,122.25</w:t>
            </w:r>
          </w:p>
        </w:tc>
      </w:tr>
    </w:tbl>
    <w:p>
      <w:pPr>
        <w:pStyle w:val="BodyText"/>
        <w:spacing w:line="278" w:lineRule="auto" w:before="10"/>
        <w:ind w:right="9852"/>
        <w:jc w:val="left"/>
      </w:pPr>
      <w:r>
        <w:rPr/>
        <w:t>其他说明： 无</w:t>
      </w:r>
    </w:p>
    <w:p>
      <w:pPr>
        <w:spacing w:after="0" w:line="278" w:lineRule="auto"/>
        <w:jc w:val="left"/>
        <w:sectPr>
          <w:pgSz w:w="11910" w:h="16840"/>
          <w:pgMar w:header="877" w:footer="979" w:top="1100" w:bottom="1160" w:left="980" w:right="0"/>
        </w:sectPr>
      </w:pPr>
    </w:p>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3）现金和现金等价物的构成" w:id="328"/>
      <w:bookmarkEnd w:id="328"/>
      <w:r>
        <w:rPr>
          <w:b w:val="0"/>
          <w:bCs w:val="0"/>
        </w:rPr>
      </w: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32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969,621,437.86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1,470,744,696.88</w:t>
            </w:r>
          </w:p>
        </w:tc>
      </w:tr>
      <w:tr>
        <w:trPr>
          <w:trHeight w:val="32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45,922.24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47,018.49</w:t>
            </w:r>
          </w:p>
        </w:tc>
      </w:tr>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968,451,373.64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1,236,654,028.29</w:t>
            </w:r>
          </w:p>
        </w:tc>
      </w:tr>
      <w:tr>
        <w:trPr>
          <w:trHeight w:val="32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1,124,141.98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234,043,650.10</w:t>
            </w:r>
          </w:p>
        </w:tc>
      </w:tr>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9,000,000.00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30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其中：可随时赎回的理财产品</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9,000,000.00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978,621,437.86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1,470,744,696.88</w:t>
            </w:r>
          </w:p>
        </w:tc>
      </w:tr>
    </w:tbl>
    <w:p>
      <w:pPr>
        <w:pStyle w:val="BodyText"/>
        <w:spacing w:line="278" w:lineRule="auto" w:before="10"/>
        <w:ind w:right="985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54、所有者权益变动表项目注释" w:id="329"/>
      <w:bookmarkEnd w:id="329"/>
      <w:r>
        <w:rPr>
          <w:b w:val="0"/>
          <w:bCs w:val="0"/>
        </w:rPr>
      </w:r>
      <w:r>
        <w:rPr>
          <w:rFonts w:ascii="Times New Roman" w:hAnsi="Times New Roman" w:cs="Times New Roman" w:eastAsia="Times New Roman" w:hint="default"/>
        </w:rPr>
        <w:t>54</w:t>
      </w:r>
      <w:r>
        <w:rPr/>
        <w:t>、所有者权益变动表项目注释</w:t>
      </w:r>
      <w:r>
        <w:rPr>
          <w:b w:val="0"/>
          <w:bCs w:val="0"/>
        </w:rPr>
      </w:r>
    </w:p>
    <w:p>
      <w:pPr>
        <w:spacing w:line="240" w:lineRule="auto" w:before="0"/>
        <w:rPr>
          <w:rFonts w:ascii="宋体" w:hAnsi="宋体" w:cs="宋体" w:eastAsia="宋体" w:hint="default"/>
          <w:b/>
          <w:bCs/>
          <w:sz w:val="22"/>
          <w:szCs w:val="22"/>
        </w:rPr>
      </w:pPr>
    </w:p>
    <w:p>
      <w:pPr>
        <w:pStyle w:val="BodyText"/>
        <w:spacing w:line="264" w:lineRule="auto"/>
        <w:ind w:right="5372"/>
        <w:jc w:val="left"/>
      </w:pPr>
      <w:r>
        <w:rPr/>
        <w:t>说明对上年期末余额进行调整的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项目名称及调整金额等事项： 无</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55、所有权或使用权受到限制的资产" w:id="330"/>
      <w:bookmarkEnd w:id="330"/>
      <w:r>
        <w:rPr>
          <w:b w:val="0"/>
          <w:bCs w:val="0"/>
        </w:rPr>
      </w:r>
      <w:r>
        <w:rPr>
          <w:rFonts w:ascii="Times New Roman" w:hAnsi="Times New Roman" w:cs="Times New Roman" w:eastAsia="Times New Roman" w:hint="default"/>
        </w:rPr>
        <w:t>55</w:t>
      </w:r>
      <w:r>
        <w:rPr/>
        <w:t>、所有权或使用权受到限制的资产</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32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239" w:hRule="exact"/>
        </w:trPr>
        <w:tc>
          <w:tcPr>
            <w:tcW w:w="3328"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7"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893" w:right="0"/>
              <w:jc w:val="left"/>
              <w:rPr>
                <w:rFonts w:ascii="Times New Roman" w:hAnsi="Times New Roman" w:cs="Times New Roman" w:eastAsia="Times New Roman" w:hint="default"/>
                <w:sz w:val="18"/>
                <w:szCs w:val="18"/>
              </w:rPr>
            </w:pPr>
            <w:r>
              <w:rPr>
                <w:rFonts w:ascii="Times New Roman"/>
                <w:sz w:val="18"/>
              </w:rPr>
              <w:t>648,534,773.63</w:t>
            </w:r>
          </w:p>
        </w:tc>
        <w:tc>
          <w:tcPr>
            <w:tcW w:w="3184" w:type="dxa"/>
            <w:vMerge w:val="restart"/>
            <w:tcBorders>
              <w:top w:val="single" w:sz="4" w:space="0" w:color="000000"/>
              <w:left w:val="single" w:sz="4" w:space="0" w:color="000000"/>
              <w:right w:val="single" w:sz="4" w:space="0" w:color="000000"/>
            </w:tcBorders>
          </w:tcPr>
          <w:p>
            <w:pPr>
              <w:pStyle w:val="TableParagraph"/>
              <w:spacing w:line="237" w:lineRule="auto" w:before="12"/>
              <w:ind w:left="22" w:right="89"/>
              <w:jc w:val="both"/>
              <w:rPr>
                <w:rFonts w:ascii="宋体" w:hAnsi="宋体" w:cs="宋体" w:eastAsia="宋体" w:hint="default"/>
                <w:sz w:val="18"/>
                <w:szCs w:val="18"/>
              </w:rPr>
            </w:pPr>
            <w:r>
              <w:rPr>
                <w:rFonts w:ascii="宋体" w:hAnsi="宋体" w:cs="宋体" w:eastAsia="宋体" w:hint="default"/>
                <w:sz w:val="18"/>
                <w:szCs w:val="18"/>
              </w:rPr>
              <w:t>未决诉讼被冻结的资金、受限制定期存 款、保函保证金、信用证保证金及银行 承兑汇票保证金</w:t>
            </w:r>
          </w:p>
        </w:tc>
      </w:tr>
      <w:tr>
        <w:trPr>
          <w:trHeight w:val="313" w:hRule="exact"/>
        </w:trPr>
        <w:tc>
          <w:tcPr>
            <w:tcW w:w="33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vMerge/>
            <w:tcBorders>
              <w:left w:val="single" w:sz="9" w:space="0" w:color="D2D2D2"/>
              <w:right w:val="single" w:sz="4" w:space="0" w:color="000000"/>
            </w:tcBorders>
          </w:tcPr>
          <w:p>
            <w:pPr/>
          </w:p>
        </w:tc>
        <w:tc>
          <w:tcPr>
            <w:tcW w:w="3184" w:type="dxa"/>
            <w:vMerge/>
            <w:tcBorders>
              <w:left w:val="single" w:sz="4" w:space="0" w:color="000000"/>
              <w:right w:val="single" w:sz="4" w:space="0" w:color="000000"/>
            </w:tcBorders>
          </w:tcPr>
          <w:p>
            <w:pPr/>
          </w:p>
        </w:tc>
      </w:tr>
      <w:tr>
        <w:trPr>
          <w:trHeight w:val="238" w:hRule="exact"/>
        </w:trPr>
        <w:tc>
          <w:tcPr>
            <w:tcW w:w="3328"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7" w:type="dxa"/>
            <w:vMerge/>
            <w:tcBorders>
              <w:left w:val="single" w:sz="9" w:space="0" w:color="D2D2D2"/>
              <w:bottom w:val="single" w:sz="4" w:space="0" w:color="000000"/>
              <w:right w:val="single" w:sz="4" w:space="0" w:color="000000"/>
            </w:tcBorders>
          </w:tcPr>
          <w:p>
            <w:pPr/>
          </w:p>
        </w:tc>
        <w:tc>
          <w:tcPr>
            <w:tcW w:w="3184" w:type="dxa"/>
            <w:vMerge/>
            <w:tcBorders>
              <w:left w:val="single" w:sz="4" w:space="0" w:color="000000"/>
              <w:bottom w:val="single" w:sz="4" w:space="0" w:color="000000"/>
              <w:right w:val="single" w:sz="4" w:space="0" w:color="000000"/>
            </w:tcBorders>
          </w:tcPr>
          <w:p>
            <w:pPr/>
          </w:p>
        </w:tc>
      </w:tr>
      <w:tr>
        <w:trPr>
          <w:trHeight w:val="32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1,021,543,090.91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长期借款抵押</w:t>
            </w:r>
          </w:p>
        </w:tc>
      </w:tr>
      <w:tr>
        <w:trPr>
          <w:trHeight w:val="32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2,486,199,638.07</w:t>
            </w:r>
          </w:p>
        </w:tc>
        <w:tc>
          <w:tcPr>
            <w:tcW w:w="3184"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长期借款抵押</w:t>
            </w:r>
          </w:p>
        </w:tc>
      </w:tr>
      <w:tr>
        <w:trPr>
          <w:trHeight w:val="32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49"/>
              <w:ind w:right="15"/>
              <w:jc w:val="right"/>
              <w:rPr>
                <w:rFonts w:ascii="Times New Roman" w:hAnsi="Times New Roman" w:cs="Times New Roman" w:eastAsia="Times New Roman" w:hint="default"/>
                <w:sz w:val="18"/>
                <w:szCs w:val="18"/>
              </w:rPr>
            </w:pPr>
            <w:r>
              <w:rPr>
                <w:rFonts w:ascii="Times New Roman"/>
                <w:spacing w:val="-1"/>
                <w:sz w:val="18"/>
              </w:rPr>
              <w:t>4,156,277,502.61</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10"/>
        <w:ind w:right="0"/>
        <w:jc w:val="left"/>
      </w:pPr>
      <w:r>
        <w:rPr/>
        <w:t>其他说明：</w:t>
      </w:r>
    </w:p>
    <w:p>
      <w:pPr>
        <w:pStyle w:val="BodyText"/>
        <w:spacing w:line="234" w:lineRule="exact" w:before="60"/>
        <w:ind w:right="0" w:firstLine="360"/>
        <w:jc w:val="left"/>
      </w:pPr>
      <w:r>
        <w:rPr>
          <w:spacing w:val="-2"/>
        </w:rPr>
        <w:t>本公司除上述受限资产外，</w:t>
      </w:r>
      <w:r>
        <w:rPr>
          <w:rFonts w:ascii="Times New Roman" w:hAnsi="Times New Roman" w:cs="Times New Roman" w:eastAsia="Times New Roman" w:hint="default"/>
          <w:spacing w:val="-2"/>
        </w:rPr>
        <w:t>2016</w:t>
      </w:r>
      <w:r>
        <w:rPr>
          <w:spacing w:val="-2"/>
        </w:rPr>
        <w:t>年为购买神州控股下属</w:t>
      </w:r>
      <w:r>
        <w:rPr>
          <w:rFonts w:ascii="Times New Roman" w:hAnsi="Times New Roman" w:cs="Times New Roman" w:eastAsia="Times New Roman" w:hint="default"/>
          <w:spacing w:val="-2"/>
        </w:rPr>
        <w:t>IT</w:t>
      </w:r>
      <w:r>
        <w:rPr>
          <w:spacing w:val="-2"/>
        </w:rPr>
        <w:t>分销业务公司，自北京银行股份有限公司中关村科技园支行借</w:t>
      </w:r>
      <w:r>
        <w:rPr/>
        <w:t> 入的</w:t>
      </w:r>
      <w:r>
        <w:rPr>
          <w:rFonts w:ascii="Times New Roman" w:hAnsi="Times New Roman" w:cs="Times New Roman" w:eastAsia="Times New Roman" w:hint="default"/>
        </w:rPr>
        <w:t>5</w:t>
      </w:r>
      <w:r>
        <w:rPr/>
        <w:t>年期长期借款，本公司以持有的神码中国</w:t>
      </w:r>
      <w:r>
        <w:rPr>
          <w:rFonts w:ascii="Times New Roman" w:hAnsi="Times New Roman" w:cs="Times New Roman" w:eastAsia="Times New Roman" w:hint="default"/>
        </w:rPr>
        <w:t>100%</w:t>
      </w:r>
      <w:r>
        <w:rPr/>
        <w:t>股权、神码上海</w:t>
      </w:r>
      <w:r>
        <w:rPr>
          <w:rFonts w:ascii="Times New Roman" w:hAnsi="Times New Roman" w:cs="Times New Roman" w:eastAsia="Times New Roman" w:hint="default"/>
        </w:rPr>
        <w:t>100%</w:t>
      </w:r>
      <w:r>
        <w:rPr/>
        <w:t>股权、神码广州</w:t>
      </w:r>
      <w:r>
        <w:rPr>
          <w:rFonts w:ascii="Times New Roman" w:hAnsi="Times New Roman" w:cs="Times New Roman" w:eastAsia="Times New Roman" w:hint="default"/>
        </w:rPr>
        <w:t>100%</w:t>
      </w:r>
      <w:r>
        <w:rPr/>
        <w:t>股权进行质押。</w:t>
      </w: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56、外币货币性项目" w:id="331"/>
      <w:bookmarkEnd w:id="331"/>
      <w:r>
        <w:rPr>
          <w:b w:val="0"/>
          <w:bCs w:val="0"/>
        </w:rPr>
      </w:r>
      <w:r>
        <w:rPr>
          <w:rFonts w:ascii="Times New Roman" w:hAnsi="Times New Roman" w:cs="Times New Roman" w:eastAsia="Times New Roman" w:hint="default"/>
        </w:rPr>
        <w:t>56</w:t>
      </w:r>
      <w:r>
        <w:rPr/>
        <w:t>、外币货币性项目</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bookmarkStart w:name="（1）外币货币性项目" w:id="332"/>
      <w:bookmarkEnd w:id="332"/>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33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9" w:space="0" w:color="D0CECE"/>
              <w:right w:val="single" w:sz="4" w:space="0" w:color="000000"/>
            </w:tcBorders>
            <w:shd w:val="clear" w:color="auto" w:fill="D2D2D2"/>
          </w:tcPr>
          <w:p>
            <w:pPr>
              <w:pStyle w:val="TableParagraph"/>
              <w:spacing w:line="240" w:lineRule="auto" w:before="10"/>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310"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89" w:type="dxa"/>
            <w:tcBorders>
              <w:top w:val="single" w:sz="4" w:space="0" w:color="000000"/>
              <w:left w:val="single" w:sz="13" w:space="0" w:color="D2D2D2"/>
              <w:bottom w:val="single" w:sz="4" w:space="0" w:color="000000"/>
              <w:right w:val="single" w:sz="4" w:space="0" w:color="000000"/>
            </w:tcBorders>
            <w:shd w:val="clear" w:color="auto" w:fill="D0CECE"/>
          </w:tcPr>
          <w:p>
            <w:pPr/>
          </w:p>
        </w:tc>
      </w:tr>
      <w:tr>
        <w:trPr>
          <w:trHeight w:val="331"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11,004,362.13</w:t>
            </w:r>
          </w:p>
        </w:tc>
        <w:tc>
          <w:tcPr>
            <w:tcW w:w="2391"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6.88000</w:t>
            </w:r>
          </w:p>
        </w:tc>
        <w:tc>
          <w:tcPr>
            <w:tcW w:w="2389" w:type="dxa"/>
            <w:tcBorders>
              <w:top w:val="single" w:sz="9" w:space="0" w:color="D0CECE"/>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75,710,011.45</w:t>
            </w:r>
          </w:p>
        </w:tc>
      </w:tr>
      <w:tr>
        <w:trPr>
          <w:trHeight w:val="323"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46,783.58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7.85000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367,251.10</w:t>
            </w:r>
          </w:p>
        </w:tc>
      </w:tr>
      <w:tr>
        <w:trPr>
          <w:trHeight w:val="324"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40,893,149.70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0.87643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35,839,983.19</w:t>
            </w:r>
          </w:p>
        </w:tc>
      </w:tr>
      <w:tr>
        <w:trPr>
          <w:trHeight w:val="323"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63" w:right="0"/>
              <w:jc w:val="left"/>
              <w:rPr>
                <w:rFonts w:ascii="宋体" w:hAnsi="宋体" w:cs="宋体" w:eastAsia="宋体" w:hint="default"/>
                <w:sz w:val="18"/>
                <w:szCs w:val="18"/>
              </w:rPr>
            </w:pPr>
            <w:r>
              <w:rPr>
                <w:rFonts w:ascii="宋体" w:hAnsi="宋体" w:cs="宋体" w:eastAsia="宋体" w:hint="default"/>
                <w:sz w:val="18"/>
                <w:szCs w:val="18"/>
              </w:rPr>
              <w:t>澳门元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445,685.43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0.85732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382,095.03</w:t>
            </w:r>
          </w:p>
        </w:tc>
      </w:tr>
      <w:tr>
        <w:trPr>
          <w:trHeight w:val="324"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63"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172,317.99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5.03660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867,896.79</w:t>
            </w:r>
          </w:p>
        </w:tc>
      </w:tr>
      <w:tr>
        <w:trPr>
          <w:trHeight w:val="324"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63" w:right="0"/>
              <w:jc w:val="left"/>
              <w:rPr>
                <w:rFonts w:ascii="宋体" w:hAnsi="宋体" w:cs="宋体" w:eastAsia="宋体" w:hint="default"/>
                <w:sz w:val="18"/>
                <w:szCs w:val="18"/>
              </w:rPr>
            </w:pPr>
            <w:r>
              <w:rPr>
                <w:rFonts w:ascii="宋体" w:hAnsi="宋体" w:cs="宋体" w:eastAsia="宋体" w:hint="default"/>
                <w:sz w:val="18"/>
                <w:szCs w:val="18"/>
              </w:rPr>
              <w:t>林吉特</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737,780.81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1.65703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1,222,524.94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33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9" w:space="0" w:color="D0CECE"/>
              <w:right w:val="single" w:sz="4" w:space="0" w:color="000000"/>
            </w:tcBorders>
            <w:shd w:val="clear" w:color="auto" w:fill="D2D2D2"/>
          </w:tcPr>
          <w:p>
            <w:pPr>
              <w:pStyle w:val="TableParagraph"/>
              <w:spacing w:line="240" w:lineRule="auto" w:before="10"/>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310"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89" w:type="dxa"/>
            <w:tcBorders>
              <w:top w:val="single" w:sz="4" w:space="0" w:color="000000"/>
              <w:left w:val="single" w:sz="13" w:space="0" w:color="D2D2D2"/>
              <w:bottom w:val="single" w:sz="4" w:space="0" w:color="000000"/>
              <w:right w:val="single" w:sz="4" w:space="0" w:color="000000"/>
            </w:tcBorders>
            <w:shd w:val="clear" w:color="auto" w:fill="D0CECE"/>
          </w:tcPr>
          <w:p>
            <w:pPr/>
          </w:p>
        </w:tc>
      </w:tr>
      <w:tr>
        <w:trPr>
          <w:trHeight w:val="331"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21,228,596.49</w:t>
            </w:r>
          </w:p>
        </w:tc>
        <w:tc>
          <w:tcPr>
            <w:tcW w:w="2391"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6.88000</w:t>
            </w:r>
          </w:p>
        </w:tc>
        <w:tc>
          <w:tcPr>
            <w:tcW w:w="2389" w:type="dxa"/>
            <w:tcBorders>
              <w:top w:val="single" w:sz="9" w:space="0" w:color="D0CECE"/>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146,052,743.85</w:t>
            </w:r>
          </w:p>
        </w:tc>
      </w:tr>
      <w:tr>
        <w:trPr>
          <w:trHeight w:val="323"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81,930,650.47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0.87643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71,806,479.99</w:t>
            </w:r>
          </w:p>
        </w:tc>
      </w:tr>
      <w:tr>
        <w:trPr>
          <w:trHeight w:val="331"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63"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4" w:type="dxa"/>
            <w:tcBorders>
              <w:top w:val="single" w:sz="4" w:space="0" w:color="000000"/>
              <w:left w:val="single" w:sz="4" w:space="0" w:color="000000"/>
              <w:bottom w:val="single" w:sz="9" w:space="0" w:color="D0CECE"/>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1,961.85</w:t>
            </w:r>
          </w:p>
        </w:tc>
        <w:tc>
          <w:tcPr>
            <w:tcW w:w="2391" w:type="dxa"/>
            <w:tcBorders>
              <w:top w:val="single" w:sz="4" w:space="0" w:color="000000"/>
              <w:left w:val="single" w:sz="4" w:space="0" w:color="000000"/>
              <w:bottom w:val="single" w:sz="9" w:space="0" w:color="D0CECE"/>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5.03660</w:t>
            </w:r>
          </w:p>
        </w:tc>
        <w:tc>
          <w:tcPr>
            <w:tcW w:w="2389" w:type="dxa"/>
            <w:tcBorders>
              <w:top w:val="single" w:sz="4" w:space="0" w:color="000000"/>
              <w:left w:val="single" w:sz="4" w:space="0" w:color="000000"/>
              <w:bottom w:val="single" w:sz="9" w:space="0" w:color="D0CECE"/>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9,881.05</w:t>
            </w:r>
          </w:p>
        </w:tc>
      </w:tr>
      <w:tr>
        <w:trPr>
          <w:trHeight w:val="310" w:hRule="exact"/>
        </w:trPr>
        <w:tc>
          <w:tcPr>
            <w:tcW w:w="249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294"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2389" w:type="dxa"/>
            <w:tcBorders>
              <w:top w:val="single" w:sz="4" w:space="0" w:color="000000"/>
              <w:left w:val="single" w:sz="4" w:space="0" w:color="000000"/>
              <w:bottom w:val="single" w:sz="4" w:space="0" w:color="000000"/>
              <w:right w:val="single" w:sz="4" w:space="0" w:color="000000"/>
            </w:tcBorders>
            <w:shd w:val="clear" w:color="auto" w:fill="D0CECE"/>
          </w:tcPr>
          <w:p>
            <w:pPr/>
          </w:p>
        </w:tc>
      </w:tr>
      <w:tr>
        <w:trPr>
          <w:trHeight w:val="331"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2" w:right="0"/>
              <w:jc w:val="left"/>
              <w:rPr>
                <w:rFonts w:ascii="宋体" w:hAnsi="宋体" w:cs="宋体" w:eastAsia="宋体" w:hint="default"/>
                <w:sz w:val="18"/>
                <w:szCs w:val="18"/>
              </w:rPr>
            </w:pPr>
            <w:r>
              <w:rPr>
                <w:rFonts w:ascii="宋体" w:hAnsi="宋体" w:cs="宋体" w:eastAsia="宋体" w:hint="default"/>
                <w:sz w:val="18"/>
                <w:szCs w:val="18"/>
              </w:rPr>
              <w:t>其中：欧元</w:t>
            </w:r>
          </w:p>
        </w:tc>
        <w:tc>
          <w:tcPr>
            <w:tcW w:w="2294" w:type="dxa"/>
            <w:tcBorders>
              <w:top w:val="single" w:sz="9" w:space="0" w:color="D0CECE"/>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84,624.00</w:t>
            </w:r>
          </w:p>
        </w:tc>
        <w:tc>
          <w:tcPr>
            <w:tcW w:w="2391" w:type="dxa"/>
            <w:tcBorders>
              <w:top w:val="single" w:sz="9" w:space="0" w:color="D0CECE"/>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7.85000</w:t>
            </w:r>
          </w:p>
        </w:tc>
        <w:tc>
          <w:tcPr>
            <w:tcW w:w="2389" w:type="dxa"/>
            <w:tcBorders>
              <w:top w:val="single" w:sz="9" w:space="0" w:color="D0CECE"/>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664,298.40</w:t>
            </w:r>
          </w:p>
        </w:tc>
      </w:tr>
      <w:tr>
        <w:trPr>
          <w:trHeight w:val="323"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776,763.36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6.88000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5,344,131.92</w:t>
            </w:r>
          </w:p>
        </w:tc>
      </w:tr>
      <w:tr>
        <w:trPr>
          <w:trHeight w:val="323"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7,884,120.00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0.87643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6,909,879.29</w:t>
            </w:r>
          </w:p>
        </w:tc>
      </w:tr>
      <w:tr>
        <w:trPr>
          <w:trHeight w:val="331"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63" w:right="0"/>
              <w:jc w:val="left"/>
              <w:rPr>
                <w:rFonts w:ascii="宋体" w:hAnsi="宋体" w:cs="宋体" w:eastAsia="宋体" w:hint="default"/>
                <w:sz w:val="18"/>
                <w:szCs w:val="18"/>
              </w:rPr>
            </w:pPr>
            <w:r>
              <w:rPr>
                <w:rFonts w:ascii="宋体" w:hAnsi="宋体" w:cs="宋体" w:eastAsia="宋体" w:hint="default"/>
                <w:sz w:val="18"/>
                <w:szCs w:val="18"/>
              </w:rPr>
              <w:t>澳门元</w:t>
            </w:r>
          </w:p>
        </w:tc>
        <w:tc>
          <w:tcPr>
            <w:tcW w:w="2294" w:type="dxa"/>
            <w:tcBorders>
              <w:top w:val="single" w:sz="4" w:space="0" w:color="000000"/>
              <w:left w:val="single" w:sz="4" w:space="0" w:color="000000"/>
              <w:bottom w:val="single" w:sz="9" w:space="0" w:color="D0CECE"/>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40.00</w:t>
            </w:r>
          </w:p>
        </w:tc>
        <w:tc>
          <w:tcPr>
            <w:tcW w:w="2391" w:type="dxa"/>
            <w:tcBorders>
              <w:top w:val="single" w:sz="4" w:space="0" w:color="000000"/>
              <w:left w:val="single" w:sz="4" w:space="0" w:color="000000"/>
              <w:bottom w:val="single" w:sz="9" w:space="0" w:color="D0CECE"/>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0.85732</w:t>
            </w:r>
          </w:p>
        </w:tc>
        <w:tc>
          <w:tcPr>
            <w:tcW w:w="2389" w:type="dxa"/>
            <w:tcBorders>
              <w:top w:val="single" w:sz="4" w:space="0" w:color="000000"/>
              <w:left w:val="single" w:sz="4" w:space="0" w:color="000000"/>
              <w:bottom w:val="single" w:sz="9" w:space="0" w:color="D0CECE"/>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34.29</w:t>
            </w:r>
          </w:p>
        </w:tc>
      </w:tr>
      <w:tr>
        <w:trPr>
          <w:trHeight w:val="310" w:hRule="exact"/>
        </w:trPr>
        <w:tc>
          <w:tcPr>
            <w:tcW w:w="249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94"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2389" w:type="dxa"/>
            <w:tcBorders>
              <w:top w:val="single" w:sz="4" w:space="0" w:color="000000"/>
              <w:left w:val="single" w:sz="4" w:space="0" w:color="000000"/>
              <w:bottom w:val="single" w:sz="4" w:space="0" w:color="000000"/>
              <w:right w:val="single" w:sz="4" w:space="0" w:color="000000"/>
            </w:tcBorders>
            <w:shd w:val="clear" w:color="auto" w:fill="D0CECE"/>
          </w:tcPr>
          <w:p>
            <w:pPr/>
          </w:p>
        </w:tc>
      </w:tr>
      <w:tr>
        <w:trPr>
          <w:trHeight w:val="331"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5" w:space="0" w:color="D0CECE"/>
              <w:left w:val="single" w:sz="4" w:space="0" w:color="000000"/>
              <w:bottom w:val="single" w:sz="4" w:space="0" w:color="000000"/>
              <w:right w:val="single" w:sz="4"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pacing w:val="-1"/>
                <w:sz w:val="18"/>
              </w:rPr>
              <w:t>97,882,415.20</w:t>
            </w:r>
          </w:p>
        </w:tc>
        <w:tc>
          <w:tcPr>
            <w:tcW w:w="2391" w:type="dxa"/>
            <w:tcBorders>
              <w:top w:val="single" w:sz="5" w:space="0" w:color="D0CECE"/>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Times New Roman" w:hAnsi="Times New Roman" w:cs="Times New Roman" w:eastAsia="Times New Roman" w:hint="default"/>
                <w:sz w:val="18"/>
                <w:szCs w:val="18"/>
              </w:rPr>
            </w:pPr>
            <w:r>
              <w:rPr>
                <w:rFonts w:ascii="Times New Roman"/>
                <w:sz w:val="18"/>
              </w:rPr>
              <w:t>6.88000</w:t>
            </w:r>
          </w:p>
        </w:tc>
        <w:tc>
          <w:tcPr>
            <w:tcW w:w="2389" w:type="dxa"/>
            <w:tcBorders>
              <w:top w:val="single" w:sz="5" w:space="0" w:color="D0CECE"/>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673,431,016.58</w:t>
            </w:r>
          </w:p>
        </w:tc>
      </w:tr>
      <w:tr>
        <w:trPr>
          <w:trHeight w:val="323"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1,927,714,173.20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0.87643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1,689,506,532.82</w:t>
            </w:r>
          </w:p>
        </w:tc>
      </w:tr>
      <w:tr>
        <w:trPr>
          <w:trHeight w:val="324"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164,218,492.83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6.88000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1,129,823,230.65</w:t>
            </w:r>
          </w:p>
        </w:tc>
      </w:tr>
      <w:tr>
        <w:trPr>
          <w:trHeight w:val="323"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719,642.76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7.85000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5,649,195.67</w:t>
            </w:r>
          </w:p>
        </w:tc>
      </w:tr>
      <w:tr>
        <w:trPr>
          <w:trHeight w:val="331"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5" w:space="0" w:color="D0CECE"/>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32,774,634.57</w:t>
            </w:r>
          </w:p>
        </w:tc>
        <w:tc>
          <w:tcPr>
            <w:tcW w:w="2391" w:type="dxa"/>
            <w:tcBorders>
              <w:top w:val="single" w:sz="4" w:space="0" w:color="000000"/>
              <w:left w:val="single" w:sz="4" w:space="0" w:color="000000"/>
              <w:bottom w:val="single" w:sz="5" w:space="0" w:color="D0CECE"/>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0.87643</w:t>
            </w:r>
          </w:p>
        </w:tc>
        <w:tc>
          <w:tcPr>
            <w:tcW w:w="2389" w:type="dxa"/>
            <w:tcBorders>
              <w:top w:val="single" w:sz="4" w:space="0" w:color="000000"/>
              <w:left w:val="single" w:sz="4" w:space="0" w:color="000000"/>
              <w:bottom w:val="single" w:sz="5" w:space="0" w:color="D0CECE"/>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28,724,672.98</w:t>
            </w:r>
          </w:p>
        </w:tc>
      </w:tr>
      <w:tr>
        <w:trPr>
          <w:trHeight w:val="310" w:hRule="exact"/>
        </w:trPr>
        <w:tc>
          <w:tcPr>
            <w:tcW w:w="249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294"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2389" w:type="dxa"/>
            <w:tcBorders>
              <w:top w:val="single" w:sz="4" w:space="0" w:color="000000"/>
              <w:left w:val="single" w:sz="4" w:space="0" w:color="000000"/>
              <w:bottom w:val="single" w:sz="4" w:space="0" w:color="000000"/>
              <w:right w:val="single" w:sz="4" w:space="0" w:color="000000"/>
            </w:tcBorders>
            <w:shd w:val="clear" w:color="auto" w:fill="D0CECE"/>
          </w:tcPr>
          <w:p>
            <w:pPr/>
          </w:p>
        </w:tc>
      </w:tr>
      <w:tr>
        <w:trPr>
          <w:trHeight w:val="331"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9" w:space="0" w:color="D0CECE"/>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274,384.80</w:t>
            </w:r>
          </w:p>
        </w:tc>
        <w:tc>
          <w:tcPr>
            <w:tcW w:w="2391" w:type="dxa"/>
            <w:tcBorders>
              <w:top w:val="single" w:sz="9" w:space="0" w:color="D0CECE"/>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6.88000</w:t>
            </w:r>
          </w:p>
        </w:tc>
        <w:tc>
          <w:tcPr>
            <w:tcW w:w="2389" w:type="dxa"/>
            <w:tcBorders>
              <w:top w:val="single" w:sz="9" w:space="0" w:color="D0CECE"/>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1,887,767.42</w:t>
            </w:r>
          </w:p>
        </w:tc>
      </w:tr>
      <w:tr>
        <w:trPr>
          <w:trHeight w:val="323"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70.00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7.85000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549.50</w:t>
            </w:r>
          </w:p>
        </w:tc>
      </w:tr>
      <w:tr>
        <w:trPr>
          <w:trHeight w:val="331"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9" w:space="0" w:color="D0CECE"/>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21.82</w:t>
            </w:r>
          </w:p>
        </w:tc>
        <w:tc>
          <w:tcPr>
            <w:tcW w:w="2391" w:type="dxa"/>
            <w:tcBorders>
              <w:top w:val="single" w:sz="4" w:space="0" w:color="000000"/>
              <w:left w:val="single" w:sz="4" w:space="0" w:color="000000"/>
              <w:bottom w:val="single" w:sz="9" w:space="0" w:color="D0CECE"/>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0.87643</w:t>
            </w:r>
          </w:p>
        </w:tc>
        <w:tc>
          <w:tcPr>
            <w:tcW w:w="2389" w:type="dxa"/>
            <w:tcBorders>
              <w:top w:val="single" w:sz="4" w:space="0" w:color="000000"/>
              <w:left w:val="single" w:sz="4" w:space="0" w:color="000000"/>
              <w:bottom w:val="single" w:sz="9" w:space="0" w:color="D0CECE"/>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19.12</w:t>
            </w:r>
          </w:p>
        </w:tc>
      </w:tr>
      <w:tr>
        <w:trPr>
          <w:trHeight w:val="310" w:hRule="exact"/>
        </w:trPr>
        <w:tc>
          <w:tcPr>
            <w:tcW w:w="249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4"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2389" w:type="dxa"/>
            <w:tcBorders>
              <w:top w:val="single" w:sz="4" w:space="0" w:color="000000"/>
              <w:left w:val="single" w:sz="4" w:space="0" w:color="000000"/>
              <w:bottom w:val="single" w:sz="4" w:space="0" w:color="000000"/>
              <w:right w:val="single" w:sz="4" w:space="0" w:color="000000"/>
            </w:tcBorders>
            <w:shd w:val="clear" w:color="auto" w:fill="D0CECE"/>
          </w:tcPr>
          <w:p>
            <w:pPr/>
          </w:p>
        </w:tc>
      </w:tr>
      <w:tr>
        <w:trPr>
          <w:trHeight w:val="331"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5" w:space="0" w:color="D0CECE"/>
              <w:left w:val="single" w:sz="4" w:space="0" w:color="000000"/>
              <w:bottom w:val="single" w:sz="4" w:space="0" w:color="000000"/>
              <w:right w:val="single" w:sz="4"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pacing w:val="-1"/>
                <w:sz w:val="18"/>
              </w:rPr>
              <w:t>1,989,887.99</w:t>
            </w:r>
          </w:p>
        </w:tc>
        <w:tc>
          <w:tcPr>
            <w:tcW w:w="2391" w:type="dxa"/>
            <w:tcBorders>
              <w:top w:val="single" w:sz="5" w:space="0" w:color="D0CECE"/>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Times New Roman" w:hAnsi="Times New Roman" w:cs="Times New Roman" w:eastAsia="Times New Roman" w:hint="default"/>
                <w:sz w:val="18"/>
                <w:szCs w:val="18"/>
              </w:rPr>
            </w:pPr>
            <w:r>
              <w:rPr>
                <w:rFonts w:ascii="Times New Roman"/>
                <w:sz w:val="18"/>
              </w:rPr>
              <w:t>6.88000</w:t>
            </w:r>
          </w:p>
        </w:tc>
        <w:tc>
          <w:tcPr>
            <w:tcW w:w="2389" w:type="dxa"/>
            <w:tcBorders>
              <w:top w:val="single" w:sz="5" w:space="0" w:color="D0CECE"/>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13,690,429.37</w:t>
            </w:r>
          </w:p>
        </w:tc>
      </w:tr>
      <w:tr>
        <w:trPr>
          <w:trHeight w:val="323"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30,064,794.03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0.87643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26,349,687.43</w:t>
            </w:r>
          </w:p>
        </w:tc>
      </w:tr>
      <w:tr>
        <w:trPr>
          <w:trHeight w:val="324"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63" w:right="0"/>
              <w:jc w:val="left"/>
              <w:rPr>
                <w:rFonts w:ascii="宋体" w:hAnsi="宋体" w:cs="宋体" w:eastAsia="宋体" w:hint="default"/>
                <w:sz w:val="18"/>
                <w:szCs w:val="18"/>
              </w:rPr>
            </w:pPr>
            <w:r>
              <w:rPr>
                <w:rFonts w:ascii="宋体" w:hAnsi="宋体" w:cs="宋体" w:eastAsia="宋体" w:hint="default"/>
                <w:sz w:val="18"/>
                <w:szCs w:val="18"/>
              </w:rPr>
              <w:t>澳门元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77,774.50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0.85732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66,677.63</w:t>
            </w:r>
          </w:p>
        </w:tc>
      </w:tr>
      <w:tr>
        <w:trPr>
          <w:trHeight w:val="324"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63" w:right="0"/>
              <w:jc w:val="left"/>
              <w:rPr>
                <w:rFonts w:ascii="宋体" w:hAnsi="宋体" w:cs="宋体" w:eastAsia="宋体" w:hint="default"/>
                <w:sz w:val="18"/>
                <w:szCs w:val="18"/>
              </w:rPr>
            </w:pPr>
            <w:r>
              <w:rPr>
                <w:rFonts w:ascii="宋体" w:hAnsi="宋体" w:cs="宋体" w:eastAsia="宋体" w:hint="default"/>
                <w:sz w:val="18"/>
                <w:szCs w:val="18"/>
              </w:rPr>
              <w:t>林吉特</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72,225.73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1.65703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119,680.20</w:t>
            </w:r>
          </w:p>
        </w:tc>
      </w:tr>
    </w:tbl>
    <w:p>
      <w:pPr>
        <w:pStyle w:val="BodyText"/>
        <w:spacing w:line="278" w:lineRule="auto" w:before="10"/>
        <w:ind w:right="9852"/>
        <w:jc w:val="left"/>
      </w:pPr>
      <w:r>
        <w:rPr/>
        <w:t>其他说明： 无</w:t>
      </w:r>
    </w:p>
    <w:p>
      <w:pPr>
        <w:spacing w:line="240" w:lineRule="auto" w:before="4"/>
        <w:rPr>
          <w:rFonts w:ascii="宋体" w:hAnsi="宋体" w:cs="宋体" w:eastAsia="宋体" w:hint="default"/>
          <w:sz w:val="22"/>
          <w:szCs w:val="22"/>
        </w:rPr>
      </w:pPr>
    </w:p>
    <w:p>
      <w:pPr>
        <w:pStyle w:val="Heading3"/>
        <w:spacing w:line="272" w:lineRule="exact"/>
        <w:ind w:right="0"/>
        <w:jc w:val="left"/>
        <w:rPr>
          <w:b w:val="0"/>
          <w:bCs w:val="0"/>
        </w:rPr>
      </w:pPr>
      <w:bookmarkStart w:name="（2）境外经营实体说明，包括对于重要的境外经营实体，应披露其境外主要经营地、记账" w:id="333"/>
      <w:bookmarkEnd w:id="333"/>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4"/>
        <w:rPr>
          <w:rFonts w:ascii="宋体" w:hAnsi="宋体" w:cs="宋体" w:eastAsia="宋体" w:hint="default"/>
          <w:b/>
          <w:bCs/>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57、政府补助" w:id="334"/>
      <w:bookmarkEnd w:id="334"/>
      <w:r>
        <w:rPr>
          <w:b w:val="0"/>
          <w:bCs w:val="0"/>
        </w:rPr>
      </w:r>
      <w:r>
        <w:rPr>
          <w:rFonts w:ascii="Times New Roman" w:hAnsi="Times New Roman" w:cs="Times New Roman" w:eastAsia="Times New Roman" w:hint="default"/>
        </w:rPr>
        <w:t>57</w:t>
      </w:r>
      <w:r>
        <w:rPr/>
        <w:t>、政府补助</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bookmarkStart w:name="（1）政府补助基本情况" w:id="335"/>
      <w:bookmarkEnd w:id="335"/>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0" w:right="1130"/>
        <w:jc w:val="right"/>
      </w:pPr>
      <w:r>
        <w:rPr/>
        <w:t>单位： 元</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221"/>
        <w:gridCol w:w="1843"/>
        <w:gridCol w:w="1701"/>
        <w:gridCol w:w="1804"/>
      </w:tblGrid>
      <w:tr>
        <w:trPr>
          <w:trHeight w:val="324" w:hRule="exact"/>
        </w:trPr>
        <w:tc>
          <w:tcPr>
            <w:tcW w:w="42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84"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85"/>
              <w:jc w:val="righ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323" w:hRule="exact"/>
        </w:trPr>
        <w:tc>
          <w:tcPr>
            <w:tcW w:w="4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软件退税</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10,987,400.41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11,328,003.60</w:t>
            </w:r>
          </w:p>
        </w:tc>
      </w:tr>
      <w:tr>
        <w:trPr>
          <w:trHeight w:val="324" w:hRule="exact"/>
        </w:trPr>
        <w:tc>
          <w:tcPr>
            <w:tcW w:w="4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广州开发区投资促进局经营贡献奖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324" w:hRule="exact"/>
        </w:trPr>
        <w:tc>
          <w:tcPr>
            <w:tcW w:w="4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上海市长宁财政局奖励</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9,211,000.00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9,241,000.00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221"/>
        <w:gridCol w:w="1843"/>
        <w:gridCol w:w="1701"/>
        <w:gridCol w:w="1804"/>
      </w:tblGrid>
      <w:tr>
        <w:trPr>
          <w:trHeight w:val="324" w:hRule="exact"/>
        </w:trPr>
        <w:tc>
          <w:tcPr>
            <w:tcW w:w="42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84"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85"/>
              <w:jc w:val="righ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323" w:hRule="exact"/>
        </w:trPr>
        <w:tc>
          <w:tcPr>
            <w:tcW w:w="4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广州市萝岗开发区财政国库</w:t>
            </w:r>
            <w:r>
              <w:rPr>
                <w:rFonts w:ascii="Times New Roman" w:hAnsi="Times New Roman" w:cs="Times New Roman" w:eastAsia="Times New Roman" w:hint="default"/>
                <w:sz w:val="18"/>
                <w:szCs w:val="18"/>
              </w:rPr>
              <w:t>-</w:t>
            </w:r>
            <w:r>
              <w:rPr>
                <w:rFonts w:ascii="宋体" w:hAnsi="宋体" w:cs="宋体" w:eastAsia="宋体" w:hint="default"/>
                <w:sz w:val="18"/>
                <w:szCs w:val="18"/>
              </w:rPr>
              <w:t>华南地区总部项目（注）</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88,000,000.00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8,800,000.00</w:t>
            </w:r>
          </w:p>
        </w:tc>
      </w:tr>
      <w:tr>
        <w:trPr>
          <w:trHeight w:val="557" w:hRule="exact"/>
        </w:trPr>
        <w:tc>
          <w:tcPr>
            <w:tcW w:w="422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136"/>
              <w:jc w:val="left"/>
              <w:rPr>
                <w:rFonts w:ascii="宋体" w:hAnsi="宋体" w:cs="宋体" w:eastAsia="宋体" w:hint="default"/>
                <w:sz w:val="18"/>
                <w:szCs w:val="18"/>
              </w:rPr>
            </w:pPr>
            <w:r>
              <w:rPr>
                <w:rFonts w:ascii="宋体" w:hAnsi="宋体" w:cs="宋体" w:eastAsia="宋体" w:hint="default"/>
                <w:sz w:val="18"/>
                <w:szCs w:val="18"/>
              </w:rPr>
              <w:t>下一代基于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SDN</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的高性能路由交换设备研发及产业 化项目补贴（注）</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5,304,579.76</w:t>
            </w:r>
          </w:p>
        </w:tc>
      </w:tr>
      <w:tr>
        <w:trPr>
          <w:trHeight w:val="324" w:hRule="exact"/>
        </w:trPr>
        <w:tc>
          <w:tcPr>
            <w:tcW w:w="4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深圳南山区企业首次入选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强企业奖励</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323" w:hRule="exact"/>
        </w:trPr>
        <w:tc>
          <w:tcPr>
            <w:tcW w:w="4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深圳市投资推广署产业链薄弱环节投资项目奖励资金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4,500,000.00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4,500,000.00</w:t>
            </w:r>
          </w:p>
        </w:tc>
      </w:tr>
      <w:tr>
        <w:trPr>
          <w:trHeight w:val="324" w:hRule="exact"/>
        </w:trPr>
        <w:tc>
          <w:tcPr>
            <w:tcW w:w="4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广州开发区商务局促进现代服务业发展奖励金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2,850,000.00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2,850,000.00</w:t>
            </w:r>
          </w:p>
        </w:tc>
      </w:tr>
      <w:tr>
        <w:trPr>
          <w:trHeight w:val="323" w:hRule="exact"/>
        </w:trPr>
        <w:tc>
          <w:tcPr>
            <w:tcW w:w="4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武汉东湖综合保税区</w:t>
            </w:r>
            <w:r>
              <w:rPr>
                <w:rFonts w:ascii="Times New Roman" w:hAnsi="Times New Roman" w:cs="Times New Roman" w:eastAsia="Times New Roman" w:hint="default"/>
                <w:sz w:val="18"/>
                <w:szCs w:val="18"/>
              </w:rPr>
              <w:t>"</w:t>
            </w:r>
            <w:r>
              <w:rPr>
                <w:rFonts w:ascii="宋体" w:hAnsi="宋体" w:cs="宋体" w:eastAsia="宋体" w:hint="default"/>
                <w:sz w:val="18"/>
                <w:szCs w:val="18"/>
              </w:rPr>
              <w:t>自贸十条</w:t>
            </w:r>
            <w:r>
              <w:rPr>
                <w:rFonts w:ascii="Times New Roman" w:hAnsi="Times New Roman" w:cs="Times New Roman" w:eastAsia="Times New Roman" w:hint="default"/>
                <w:sz w:val="18"/>
                <w:szCs w:val="18"/>
              </w:rPr>
              <w:t>"</w:t>
            </w:r>
            <w:r>
              <w:rPr>
                <w:rFonts w:ascii="宋体" w:hAnsi="宋体" w:cs="宋体" w:eastAsia="宋体" w:hint="default"/>
                <w:sz w:val="18"/>
                <w:szCs w:val="18"/>
              </w:rPr>
              <w:t>项资金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2,600,000.00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2,600,000.00</w:t>
            </w:r>
          </w:p>
        </w:tc>
      </w:tr>
      <w:tr>
        <w:trPr>
          <w:trHeight w:val="324" w:hRule="exact"/>
        </w:trPr>
        <w:tc>
          <w:tcPr>
            <w:tcW w:w="4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北京市海淀区商务委总部奖励</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2,250,000.00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2,250,000.00</w:t>
            </w:r>
          </w:p>
        </w:tc>
      </w:tr>
      <w:tr>
        <w:trPr>
          <w:trHeight w:val="323" w:hRule="exact"/>
        </w:trPr>
        <w:tc>
          <w:tcPr>
            <w:tcW w:w="4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1,139,295.65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1,139,295.65</w:t>
            </w:r>
          </w:p>
        </w:tc>
      </w:tr>
      <w:tr>
        <w:trPr>
          <w:trHeight w:val="324" w:hRule="exact"/>
        </w:trPr>
        <w:tc>
          <w:tcPr>
            <w:tcW w:w="4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1,151,221.56</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353,191.20</w:t>
            </w:r>
          </w:p>
        </w:tc>
      </w:tr>
      <w:tr>
        <w:trPr>
          <w:trHeight w:val="323" w:hRule="exact"/>
        </w:trPr>
        <w:tc>
          <w:tcPr>
            <w:tcW w:w="4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深圳南山区商贸流通业资助补贴</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324" w:hRule="exact"/>
        </w:trPr>
        <w:tc>
          <w:tcPr>
            <w:tcW w:w="4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北京海淀区企业专利商用化项目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600,000.00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600,000.00</w:t>
            </w:r>
          </w:p>
        </w:tc>
      </w:tr>
      <w:tr>
        <w:trPr>
          <w:trHeight w:val="323" w:hRule="exact"/>
        </w:trPr>
        <w:tc>
          <w:tcPr>
            <w:tcW w:w="4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成都武侯区产业发展专项资金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545,000.00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545,000.00</w:t>
            </w:r>
          </w:p>
        </w:tc>
      </w:tr>
      <w:tr>
        <w:trPr>
          <w:trHeight w:val="558" w:hRule="exact"/>
        </w:trPr>
        <w:tc>
          <w:tcPr>
            <w:tcW w:w="4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46"/>
              <w:jc w:val="left"/>
              <w:rPr>
                <w:rFonts w:ascii="宋体" w:hAnsi="宋体" w:cs="宋体" w:eastAsia="宋体" w:hint="default"/>
                <w:sz w:val="18"/>
                <w:szCs w:val="18"/>
              </w:rPr>
            </w:pPr>
            <w:r>
              <w:rPr>
                <w:rFonts w:ascii="宋体" w:hAnsi="宋体" w:cs="宋体" w:eastAsia="宋体" w:hint="default"/>
                <w:sz w:val="18"/>
                <w:szCs w:val="18"/>
              </w:rPr>
              <w:t>北京海淀区工业及软件和信息服务业平稳发展奖励资 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510,000.00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510,000.00</w:t>
            </w:r>
          </w:p>
        </w:tc>
      </w:tr>
      <w:tr>
        <w:trPr>
          <w:trHeight w:val="323" w:hRule="exact"/>
        </w:trPr>
        <w:tc>
          <w:tcPr>
            <w:tcW w:w="4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武汉市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强、研发投资开办费补助</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400,000.00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400,000.00</w:t>
            </w:r>
          </w:p>
        </w:tc>
      </w:tr>
      <w:tr>
        <w:trPr>
          <w:trHeight w:val="324" w:hRule="exact"/>
        </w:trPr>
        <w:tc>
          <w:tcPr>
            <w:tcW w:w="4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北京中关村国际创新资源支持资金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91,200.00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305,076.50</w:t>
            </w:r>
          </w:p>
        </w:tc>
      </w:tr>
      <w:tr>
        <w:trPr>
          <w:trHeight w:val="323" w:hRule="exact"/>
        </w:trPr>
        <w:tc>
          <w:tcPr>
            <w:tcW w:w="4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上海市闵行区科技小巨人工程项目奖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300,000.00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557" w:hRule="exact"/>
        </w:trPr>
        <w:tc>
          <w:tcPr>
            <w:tcW w:w="422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33"/>
              <w:jc w:val="left"/>
              <w:rPr>
                <w:rFonts w:ascii="宋体" w:hAnsi="宋体" w:cs="宋体" w:eastAsia="宋体" w:hint="default"/>
                <w:sz w:val="18"/>
                <w:szCs w:val="18"/>
              </w:rPr>
            </w:pPr>
            <w:r>
              <w:rPr>
                <w:rFonts w:ascii="宋体" w:hAnsi="宋体" w:cs="宋体" w:eastAsia="宋体" w:hint="default"/>
                <w:sz w:val="18"/>
                <w:szCs w:val="18"/>
              </w:rPr>
              <w:t>武汉东湖新技术开发区第十一批</w:t>
            </w:r>
            <w:r>
              <w:rPr>
                <w:rFonts w:ascii="Times New Roman" w:hAnsi="Times New Roman" w:cs="Times New Roman" w:eastAsia="Times New Roman" w:hint="default"/>
                <w:sz w:val="18"/>
                <w:szCs w:val="18"/>
              </w:rPr>
              <w:t>"3551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光谷人才计划</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无偿资金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324" w:hRule="exact"/>
        </w:trPr>
        <w:tc>
          <w:tcPr>
            <w:tcW w:w="4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深圳南山区上市企业并购重组中介费用补贴</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243,100.00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243,100.00</w:t>
            </w:r>
          </w:p>
        </w:tc>
      </w:tr>
      <w:tr>
        <w:trPr>
          <w:trHeight w:val="557" w:hRule="exact"/>
        </w:trPr>
        <w:tc>
          <w:tcPr>
            <w:tcW w:w="4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35,938.60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3"/>
              <w:ind w:left="22" w:right="177"/>
              <w:jc w:val="left"/>
              <w:rPr>
                <w:rFonts w:ascii="宋体" w:hAnsi="宋体" w:cs="宋体" w:eastAsia="宋体" w:hint="default"/>
                <w:sz w:val="18"/>
                <w:szCs w:val="18"/>
              </w:rPr>
            </w:pP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 入</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33,563.00</w:t>
            </w:r>
          </w:p>
        </w:tc>
      </w:tr>
      <w:tr>
        <w:trPr>
          <w:trHeight w:val="324" w:hRule="exact"/>
        </w:trPr>
        <w:tc>
          <w:tcPr>
            <w:tcW w:w="4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67,602,809.71</w:t>
            </w:r>
          </w:p>
        </w:tc>
      </w:tr>
    </w:tbl>
    <w:p>
      <w:pPr>
        <w:pStyle w:val="BodyText"/>
        <w:spacing w:line="240" w:lineRule="auto" w:before="10"/>
        <w:ind w:right="0"/>
        <w:jc w:val="left"/>
      </w:pPr>
      <w:r>
        <w:rPr/>
        <w:t>注：该项目系以前年度收到的与资产相关的政府补助</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2）政府补助退回情况" w:id="336"/>
      <w:bookmarkEnd w:id="336"/>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1"/>
          <w:szCs w:val="21"/>
        </w:rPr>
      </w:pPr>
    </w:p>
    <w:p>
      <w:pPr>
        <w:pStyle w:val="Heading2"/>
        <w:spacing w:line="240" w:lineRule="auto"/>
        <w:ind w:right="0"/>
        <w:jc w:val="left"/>
        <w:rPr>
          <w:b w:val="0"/>
          <w:bCs w:val="0"/>
        </w:rPr>
      </w:pPr>
      <w:bookmarkStart w:name="八、合并范围的变更" w:id="337"/>
      <w:bookmarkEnd w:id="337"/>
      <w:r>
        <w:rPr>
          <w:b w:val="0"/>
          <w:bCs w:val="0"/>
        </w:rPr>
      </w:r>
      <w:r>
        <w:rPr/>
        <w:t>八、合并范围的变更</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right="0"/>
        <w:jc w:val="left"/>
        <w:rPr>
          <w:b w:val="0"/>
          <w:bCs w:val="0"/>
        </w:rPr>
      </w:pPr>
      <w:bookmarkStart w:name="1、非同一控制下企业合并" w:id="338"/>
      <w:bookmarkEnd w:id="338"/>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bookmarkStart w:name="（1）本期发生的非同一控制下企业合并" w:id="339"/>
      <w:bookmarkEnd w:id="339"/>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4"/>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4"/>
        <w:gridCol w:w="1065"/>
        <w:gridCol w:w="1063"/>
        <w:gridCol w:w="1064"/>
        <w:gridCol w:w="1062"/>
        <w:gridCol w:w="1062"/>
        <w:gridCol w:w="1062"/>
      </w:tblGrid>
      <w:tr>
        <w:trPr>
          <w:trHeight w:val="790"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435"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435"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79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2"/>
              <w:jc w:val="both"/>
              <w:rPr>
                <w:rFonts w:ascii="宋体" w:hAnsi="宋体" w:cs="宋体" w:eastAsia="宋体" w:hint="default"/>
                <w:sz w:val="18"/>
                <w:szCs w:val="18"/>
              </w:rPr>
            </w:pPr>
            <w:r>
              <w:rPr>
                <w:rFonts w:ascii="宋体" w:hAnsi="宋体" w:cs="宋体" w:eastAsia="宋体" w:hint="default"/>
                <w:spacing w:val="-13"/>
                <w:sz w:val="18"/>
                <w:szCs w:val="18"/>
              </w:rPr>
              <w:t>智慧神州（北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3"/>
                <w:sz w:val="18"/>
                <w:szCs w:val="18"/>
              </w:rPr>
              <w:t>京）投资管理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2" w:lineRule="exact"/>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1,644,277.96</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现金购买</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3"/>
          <w:szCs w:val="13"/>
        </w:rPr>
      </w:pPr>
    </w:p>
    <w:p>
      <w:pPr>
        <w:pStyle w:val="BodyText"/>
        <w:spacing w:line="240" w:lineRule="auto" w:before="44"/>
        <w:ind w:right="0"/>
        <w:jc w:val="left"/>
      </w:pPr>
      <w:r>
        <w:rPr/>
        <w:t>其他说明：</w:t>
      </w:r>
    </w:p>
    <w:p>
      <w:pPr>
        <w:spacing w:after="0" w:line="240" w:lineRule="auto"/>
        <w:jc w:val="left"/>
        <w:sectPr>
          <w:pgSz w:w="11910" w:h="16840"/>
          <w:pgMar w:header="877" w:footer="979" w:top="1100" w:bottom="1160" w:left="980" w:right="0"/>
        </w:sectPr>
      </w:pPr>
    </w:p>
    <w:p>
      <w:pPr>
        <w:spacing w:line="240" w:lineRule="auto" w:before="10"/>
        <w:rPr>
          <w:rFonts w:ascii="宋体" w:hAnsi="宋体" w:cs="宋体" w:eastAsia="宋体" w:hint="default"/>
          <w:sz w:val="18"/>
          <w:szCs w:val="18"/>
        </w:rPr>
      </w:pPr>
    </w:p>
    <w:p>
      <w:pPr>
        <w:pStyle w:val="BodyText"/>
        <w:spacing w:line="225" w:lineRule="auto" w:before="57"/>
        <w:ind w:right="951"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日，本公司之子公司神州数码（中国）有限公司与深圳神州普惠信息有限公司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神州普惠</w:t>
      </w:r>
      <w:r>
        <w:rPr>
          <w:rFonts w:ascii="Times New Roman" w:hAnsi="Times New Roman" w:cs="Times New Roman" w:eastAsia="Times New Roman" w:hint="default"/>
        </w:rPr>
        <w:t>”</w:t>
      </w:r>
      <w:r>
        <w:rPr>
          <w:rFonts w:ascii="Times New Roman" w:hAnsi="Times New Roman" w:cs="Times New Roman" w:eastAsia="Times New Roman" w:hint="default"/>
        </w:rPr>
        <w:t>)</w:t>
      </w:r>
      <w:r>
        <w:rPr/>
        <w:t>、神</w:t>
      </w:r>
      <w:r>
        <w:rPr>
          <w:w w:val="99"/>
        </w:rPr>
        <w:t> </w:t>
      </w:r>
      <w:r>
        <w:rPr/>
        <w:t>州数码金融服务（深圳）有限公司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神州金融</w:t>
      </w:r>
      <w:r>
        <w:rPr>
          <w:rFonts w:ascii="Times New Roman" w:hAnsi="Times New Roman" w:cs="Times New Roman" w:eastAsia="Times New Roman" w:hint="default"/>
        </w:rPr>
        <w:t>”</w:t>
      </w:r>
      <w:r>
        <w:rPr>
          <w:rFonts w:ascii="Times New Roman" w:hAnsi="Times New Roman" w:cs="Times New Roman" w:eastAsia="Times New Roman" w:hint="default"/>
        </w:rPr>
        <w:t>)</w:t>
      </w:r>
      <w:r>
        <w:rPr/>
        <w:t>签订股权转让协议，购买其合计持有的智慧神州（北京）投资管理</w:t>
      </w:r>
      <w:r>
        <w:rPr>
          <w:w w:val="99"/>
        </w:rPr>
        <w:t> </w:t>
      </w:r>
      <w:r>
        <w:rPr/>
        <w:t>有限公司（以下简称</w:t>
      </w:r>
      <w:r>
        <w:rPr>
          <w:rFonts w:ascii="Times New Roman" w:hAnsi="Times New Roman" w:cs="Times New Roman" w:eastAsia="Times New Roman" w:hint="default"/>
        </w:rPr>
        <w:t>“</w:t>
      </w:r>
      <w:r>
        <w:rPr/>
        <w:t>智慧神州</w:t>
      </w:r>
      <w:r>
        <w:rPr>
          <w:rFonts w:ascii="Times New Roman" w:hAnsi="Times New Roman" w:cs="Times New Roman" w:eastAsia="Times New Roman" w:hint="default"/>
        </w:rPr>
        <w:t>”</w:t>
      </w:r>
      <w:r>
        <w:rPr/>
        <w:t>）</w:t>
      </w:r>
      <w:r>
        <w:rPr>
          <w:rFonts w:ascii="Times New Roman" w:hAnsi="Times New Roman" w:cs="Times New Roman" w:eastAsia="Times New Roman" w:hint="default"/>
        </w:rPr>
        <w:t>100%</w:t>
      </w:r>
      <w:r>
        <w:rPr/>
        <w:t>的股权。经各方一致确认，神州数码（中国）有限公司与神州普惠、神州金融以协</w:t>
      </w:r>
      <w:r>
        <w:rPr>
          <w:spacing w:val="-42"/>
        </w:rPr>
        <w:t> </w:t>
      </w:r>
      <w:r>
        <w:rPr>
          <w:spacing w:val="-42"/>
        </w:rPr>
      </w:r>
      <w:r>
        <w:rPr>
          <w:spacing w:val="-1"/>
        </w:rPr>
        <w:t>议签订日上一个月末的净资产为基础，并溢价</w:t>
      </w:r>
      <w:r>
        <w:rPr>
          <w:rFonts w:ascii="Times New Roman" w:hAnsi="Times New Roman" w:cs="Times New Roman" w:eastAsia="Times New Roman" w:hint="default"/>
          <w:spacing w:val="-1"/>
        </w:rPr>
        <w:t>10</w:t>
      </w:r>
      <w:r>
        <w:rPr>
          <w:spacing w:val="-1"/>
        </w:rPr>
        <w:t>万元作为智慧神州股权转让对价，即以总价</w:t>
      </w:r>
      <w:r>
        <w:rPr>
          <w:rFonts w:ascii="Times New Roman" w:hAnsi="Times New Roman" w:cs="Times New Roman" w:eastAsia="Times New Roman" w:hint="default"/>
          <w:spacing w:val="-1"/>
        </w:rPr>
        <w:t>1,644,277.96</w:t>
      </w:r>
      <w:r>
        <w:rPr>
          <w:spacing w:val="-1"/>
        </w:rPr>
        <w:t>元收购智慧神州</w:t>
      </w:r>
      <w:r>
        <w:rPr>
          <w:rFonts w:ascii="Times New Roman" w:hAnsi="Times New Roman" w:cs="Times New Roman" w:eastAsia="Times New Roman" w:hint="default"/>
          <w:spacing w:val="-1"/>
        </w:rPr>
        <w:t>100%</w:t>
      </w:r>
      <w:r>
        <w:rPr>
          <w:rFonts w:ascii="Times New Roman" w:hAnsi="Times New Roman" w:cs="Times New Roman" w:eastAsia="Times New Roman" w:hint="default"/>
          <w:spacing w:val="-20"/>
        </w:rPr>
        <w:t> </w:t>
      </w:r>
      <w:r>
        <w:rPr/>
        <w:t>股权。</w:t>
      </w:r>
    </w:p>
    <w:p>
      <w:pPr>
        <w:pStyle w:val="BodyText"/>
        <w:spacing w:line="234" w:lineRule="exact" w:before="23"/>
        <w:ind w:right="0" w:firstLine="360"/>
        <w:jc w:val="left"/>
      </w:pPr>
      <w:r>
        <w:rPr/>
        <w:t>智慧神州于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日召开股东大会审议通过了股权转让协议、变更法定代表人、改选董事、监事等议案，</w:t>
      </w:r>
      <w:r>
        <w:rPr>
          <w:rFonts w:ascii="Times New Roman" w:hAnsi="Times New Roman" w:cs="Times New Roman" w:eastAsia="Times New Roman" w:hint="default"/>
        </w:rPr>
        <w:t>2018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日神州数码（中国）有限公司完成交易对价的支付，因此以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日作为购买日。</w:t>
      </w: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2）合并成本及商誉" w:id="340"/>
      <w:bookmarkEnd w:id="340"/>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0" w:right="1130"/>
        <w:jc w:val="right"/>
      </w:pPr>
      <w:r>
        <w:rPr/>
        <w:t>单位： 元</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32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智慧神州</w:t>
            </w:r>
          </w:p>
        </w:tc>
      </w:tr>
      <w:tr>
        <w:trPr>
          <w:trHeight w:val="32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1,644,277.96</w:t>
            </w:r>
          </w:p>
        </w:tc>
      </w:tr>
      <w:tr>
        <w:trPr>
          <w:trHeight w:val="32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1,644,277.96</w:t>
            </w:r>
          </w:p>
        </w:tc>
      </w:tr>
      <w:tr>
        <w:trPr>
          <w:trHeight w:val="32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1,644,277.96</w:t>
            </w:r>
          </w:p>
        </w:tc>
      </w:tr>
      <w:tr>
        <w:trPr>
          <w:trHeight w:val="55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199"/>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3）被购买方于购买日可辨认资产、负债" w:id="341"/>
      <w:bookmarkEnd w:id="341"/>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3" w:space="0" w:color="D2D2D2"/>
              <w:bottom w:val="single" w:sz="4" w:space="0" w:color="000000"/>
              <w:right w:val="single" w:sz="4" w:space="0" w:color="000000"/>
            </w:tcBorders>
            <w:shd w:val="clear" w:color="auto" w:fill="D0CECE"/>
          </w:tcPr>
          <w:p>
            <w:pPr>
              <w:pStyle w:val="TableParagraph"/>
              <w:spacing w:line="240" w:lineRule="auto" w:before="10"/>
              <w:ind w:right="8"/>
              <w:jc w:val="center"/>
              <w:rPr>
                <w:rFonts w:ascii="宋体" w:hAnsi="宋体" w:cs="宋体" w:eastAsia="宋体" w:hint="default"/>
                <w:sz w:val="18"/>
                <w:szCs w:val="18"/>
              </w:rPr>
            </w:pPr>
            <w:r>
              <w:rPr>
                <w:rFonts w:ascii="宋体" w:hAnsi="宋体" w:cs="宋体" w:eastAsia="宋体" w:hint="default"/>
                <w:sz w:val="18"/>
                <w:szCs w:val="18"/>
              </w:rPr>
              <w:t>智慧神州</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6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1,443,155.71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1,443,155.71</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200,243.05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200,243.05</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879.20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879.20</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1,644,277.96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1,644,277.96</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1,644,277.96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1,644,277.96</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4）购买日之前持有的股权按照公允价值重新计量产生的利得或损失" w:id="342"/>
      <w:bookmarkEnd w:id="342"/>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right="0"/>
        <w:jc w:val="left"/>
      </w:pPr>
      <w:r>
        <w:rPr/>
        <w:t>是否存在通过多次交易分步实现企业合并且在报告期内取得控制权的交易</w:t>
      </w:r>
    </w:p>
    <w:p>
      <w:pPr>
        <w:pStyle w:val="BodyText"/>
        <w:spacing w:line="240" w:lineRule="auto" w:before="38"/>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2、其他原因的合并范围变动" w:id="343"/>
      <w:bookmarkEnd w:id="343"/>
      <w:r>
        <w:rPr>
          <w:b w:val="0"/>
          <w:bCs w:val="0"/>
        </w:rPr>
      </w:r>
      <w:r>
        <w:rPr>
          <w:rFonts w:ascii="Times New Roman" w:hAnsi="Times New Roman" w:cs="Times New Roman" w:eastAsia="Times New Roman" w:hint="default"/>
        </w:rPr>
        <w:t>2</w:t>
      </w:r>
      <w:r>
        <w:rPr/>
        <w:t>、其他原因的合并范围变动</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514" w:right="2211" w:hanging="360"/>
        <w:jc w:val="left"/>
      </w:pPr>
      <w:r>
        <w:rPr/>
        <w:t>说明其他原因导致的合并范围变动（如，新设子公司、清算子公司等）及其相关情况： 本年因设立新增深圳神州数码电商服务有限公司及</w:t>
      </w:r>
      <w:r>
        <w:rPr>
          <w:rFonts w:ascii="Times New Roman" w:hAnsi="Times New Roman" w:cs="Times New Roman" w:eastAsia="Times New Roman" w:hint="default"/>
        </w:rPr>
        <w:t>Digital China Technology (Malaysia) Sdn.Bhd</w:t>
      </w:r>
      <w:r>
        <w:rPr>
          <w:rFonts w:ascii="Times New Roman" w:hAnsi="Times New Roman" w:cs="Times New Roman" w:eastAsia="Times New Roman" w:hint="default"/>
          <w:spacing w:val="-9"/>
        </w:rPr>
        <w:t> </w:t>
      </w:r>
      <w:r>
        <w:rPr>
          <w:rFonts w:ascii="Times New Roman" w:hAnsi="Times New Roman" w:cs="Times New Roman" w:eastAsia="Times New Roman" w:hint="default"/>
        </w:rPr>
        <w:t>2</w:t>
      </w:r>
      <w:r>
        <w:rPr/>
        <w:t>家公司。</w:t>
      </w:r>
    </w:p>
    <w:p>
      <w:pPr>
        <w:spacing w:line="240" w:lineRule="auto" w:before="13"/>
        <w:rPr>
          <w:rFonts w:ascii="宋体" w:hAnsi="宋体" w:cs="宋体" w:eastAsia="宋体" w:hint="default"/>
          <w:sz w:val="20"/>
          <w:szCs w:val="20"/>
        </w:rPr>
      </w:pPr>
    </w:p>
    <w:p>
      <w:pPr>
        <w:pStyle w:val="Heading2"/>
        <w:spacing w:line="240" w:lineRule="auto"/>
        <w:ind w:right="0"/>
        <w:jc w:val="left"/>
        <w:rPr>
          <w:b w:val="0"/>
          <w:bCs w:val="0"/>
        </w:rPr>
      </w:pPr>
      <w:bookmarkStart w:name="九、在其他主体中的权益" w:id="344"/>
      <w:bookmarkEnd w:id="344"/>
      <w:r>
        <w:rPr>
          <w:b w:val="0"/>
          <w:bCs w:val="0"/>
        </w:rPr>
      </w:r>
      <w:r>
        <w:rPr/>
        <w:t>九、在其他主体中的权益</w:t>
      </w:r>
      <w:r>
        <w:rPr>
          <w:b w:val="0"/>
          <w:bCs w:val="0"/>
        </w:rPr>
      </w:r>
    </w:p>
    <w:p>
      <w:pPr>
        <w:spacing w:line="240" w:lineRule="auto" w:before="2"/>
        <w:rPr>
          <w:rFonts w:ascii="宋体" w:hAnsi="宋体" w:cs="宋体" w:eastAsia="宋体" w:hint="default"/>
          <w:b/>
          <w:bCs/>
          <w:sz w:val="23"/>
          <w:szCs w:val="23"/>
        </w:rPr>
      </w:pPr>
    </w:p>
    <w:p>
      <w:pPr>
        <w:pStyle w:val="Heading3"/>
        <w:spacing w:line="240" w:lineRule="auto"/>
        <w:ind w:right="0"/>
        <w:jc w:val="left"/>
        <w:rPr>
          <w:b w:val="0"/>
          <w:bCs w:val="0"/>
        </w:rPr>
      </w:pPr>
      <w:bookmarkStart w:name="1、在子公司中的权益" w:id="345"/>
      <w:bookmarkEnd w:id="345"/>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0"/>
        <w:jc w:val="left"/>
        <w:rPr>
          <w:b w:val="0"/>
          <w:bCs w:val="0"/>
        </w:rPr>
      </w:pPr>
      <w:r>
        <w:rPr/>
        <w:pict>
          <v:group style="position:absolute;margin-left:125.540001pt;margin-top:63.433674pt;width:66.7pt;height:15.5pt;mso-position-horizontal-relative:page;mso-position-vertical-relative:paragraph;z-index:-1464880" coordorigin="2511,1269" coordsize="1334,310">
            <v:group style="position:absolute;left:2522;top:1280;width:2;height:287" coordorigin="2522,1280" coordsize="2,287">
              <v:shape style="position:absolute;left:2522;top:1280;width:2;height:287" coordorigin="2522,1280" coordsize="0,287" path="m2522,1280l2522,1567e" filled="false" stroked="true" strokeweight="1.140pt" strokecolor="#ffffff">
                <v:path arrowok="t"/>
              </v:shape>
            </v:group>
            <v:group style="position:absolute;left:2534;top:1280;width:1311;height:287" coordorigin="2534,1280" coordsize="1311,287">
              <v:shape style="position:absolute;left:2534;top:1280;width:1311;height:287" coordorigin="2534,1280" coordsize="1311,287" path="m2534,1567l3844,1567,3844,1280,2534,1280,2534,1567xe" filled="true" fillcolor="#ffffff" stroked="false">
                <v:path arrowok="t"/>
                <v:fill type="solid"/>
              </v:shape>
            </v:group>
            <w10:wrap type="none"/>
          </v:group>
        </w:pict>
      </w:r>
      <w:bookmarkStart w:name="（1）企业集团的构成" w:id="346"/>
      <w:bookmarkEnd w:id="346"/>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5"/>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23"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23"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pacing w:val="-5"/>
                <w:sz w:val="18"/>
                <w:szCs w:val="18"/>
              </w:rPr>
              <w:t>神州数码（中国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90"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b/>
          <w:bCs/>
          <w:sz w:val="22"/>
          <w:szCs w:val="22"/>
        </w:rPr>
      </w:pPr>
    </w:p>
    <w:p>
      <w:pPr>
        <w:pStyle w:val="BodyText"/>
        <w:tabs>
          <w:tab w:pos="1758" w:val="left" w:leader="none"/>
          <w:tab w:pos="3305" w:val="left" w:leader="none"/>
          <w:tab w:pos="4582" w:val="left" w:leader="none"/>
          <w:tab w:pos="6632" w:val="left" w:leader="none"/>
          <w:tab w:pos="8683" w:val="left" w:leader="none"/>
        </w:tabs>
        <w:spacing w:line="240" w:lineRule="auto" w:before="44"/>
        <w:ind w:left="389" w:right="0"/>
        <w:jc w:val="left"/>
      </w:pPr>
      <w:r>
        <w:rPr/>
        <w:t>子公司名称</w:t>
        <w:tab/>
        <w:t>主要经营地</w:t>
        <w:tab/>
        <w:t>注册地</w:t>
        <w:tab/>
        <w:t>业务性质</w:t>
        <w:tab/>
        <w:t>持股比例</w:t>
        <w:tab/>
        <w:t>取得方式</w:t>
      </w:r>
    </w:p>
    <w:p>
      <w:pPr>
        <w:spacing w:after="0" w:line="240" w:lineRule="auto"/>
        <w:jc w:val="left"/>
        <w:sectPr>
          <w:pgSz w:w="11910" w:h="16840"/>
          <w:pgMar w:header="877" w:footer="979" w:top="1100" w:bottom="1160" w:left="980" w:right="0"/>
        </w:sectPr>
      </w:pPr>
    </w:p>
    <w:p>
      <w:pPr>
        <w:pStyle w:val="BodyText"/>
        <w:spacing w:line="240" w:lineRule="auto" w:before="47"/>
        <w:ind w:left="181" w:right="-8"/>
        <w:jc w:val="left"/>
      </w:pPr>
      <w:r>
        <w:rPr/>
        <w:t>有限公司（注</w:t>
      </w:r>
      <w:r>
        <w:rPr>
          <w:spacing w:val="-46"/>
        </w:rPr>
        <w:t> </w:t>
      </w:r>
      <w:r>
        <w:rPr>
          <w:rFonts w:ascii="Times New Roman" w:hAnsi="Times New Roman" w:cs="Times New Roman" w:eastAsia="Times New Roman" w:hint="default"/>
        </w:rPr>
        <w:t>1</w:t>
      </w:r>
      <w:r>
        <w:rPr/>
        <w:t>）</w:t>
      </w:r>
    </w:p>
    <w:p>
      <w:pPr>
        <w:pStyle w:val="BodyText"/>
        <w:spacing w:line="240" w:lineRule="auto" w:before="73"/>
        <w:ind w:left="181" w:right="126"/>
        <w:jc w:val="left"/>
      </w:pPr>
      <w:r>
        <w:rPr/>
        <w:t>上海神州数码有 限公司（注</w:t>
      </w:r>
      <w:r>
        <w:rPr>
          <w:spacing w:val="-46"/>
        </w:rPr>
        <w:t> </w:t>
      </w:r>
      <w:r>
        <w:rPr>
          <w:rFonts w:ascii="Times New Roman" w:hAnsi="Times New Roman" w:cs="Times New Roman" w:eastAsia="Times New Roman" w:hint="default"/>
        </w:rPr>
        <w:t>2</w:t>
      </w:r>
      <w:r>
        <w:rPr/>
        <w:t>）</w:t>
      </w:r>
    </w:p>
    <w:p>
      <w:pPr>
        <w:pStyle w:val="BodyText"/>
        <w:spacing w:line="240" w:lineRule="auto" w:before="74"/>
        <w:ind w:left="181" w:right="126"/>
        <w:jc w:val="left"/>
      </w:pPr>
      <w:r>
        <w:rPr/>
        <w:t>广州神州数码有 限公司（注</w:t>
      </w:r>
      <w:r>
        <w:rPr>
          <w:spacing w:val="-46"/>
        </w:rPr>
        <w:t> </w:t>
      </w:r>
      <w:r>
        <w:rPr>
          <w:rFonts w:ascii="Times New Roman" w:hAnsi="Times New Roman" w:cs="Times New Roman" w:eastAsia="Times New Roman" w:hint="default"/>
        </w:rPr>
        <w:t>3</w:t>
      </w:r>
      <w:r>
        <w:rPr/>
        <w:t>）</w:t>
      </w:r>
    </w:p>
    <w:p>
      <w:pPr>
        <w:pStyle w:val="BodyText"/>
        <w:spacing w:line="240" w:lineRule="auto" w:before="73"/>
        <w:ind w:left="181" w:right="-8"/>
        <w:jc w:val="left"/>
      </w:pPr>
      <w:r>
        <w:rPr/>
        <w:t>沈阳神州数码有 限公司（注</w:t>
      </w:r>
      <w:r>
        <w:rPr>
          <w:spacing w:val="-46"/>
        </w:rPr>
        <w:t> </w:t>
      </w:r>
      <w:r>
        <w:rPr>
          <w:rFonts w:ascii="Times New Roman" w:hAnsi="Times New Roman" w:cs="Times New Roman" w:eastAsia="Times New Roman" w:hint="default"/>
        </w:rPr>
        <w:t>4</w:t>
      </w:r>
      <w:r>
        <w:rPr/>
        <w:t>）</w:t>
      </w:r>
    </w:p>
    <w:p>
      <w:pPr>
        <w:pStyle w:val="BodyText"/>
        <w:spacing w:line="240" w:lineRule="auto" w:before="73"/>
        <w:ind w:left="181" w:right="-14"/>
        <w:jc w:val="left"/>
      </w:pPr>
      <w:r>
        <w:rPr>
          <w:spacing w:val="-5"/>
        </w:rPr>
        <w:t>神州数码（深圳）</w:t>
      </w:r>
      <w:r>
        <w:rPr>
          <w:spacing w:val="-85"/>
        </w:rPr>
        <w:t> </w:t>
      </w:r>
      <w:r>
        <w:rPr>
          <w:spacing w:val="-85"/>
        </w:rPr>
      </w:r>
      <w:r>
        <w:rPr/>
        <w:t>有限公司（注</w:t>
      </w:r>
      <w:r>
        <w:rPr>
          <w:spacing w:val="-46"/>
        </w:rPr>
        <w:t> </w:t>
      </w:r>
      <w:r>
        <w:rPr>
          <w:rFonts w:ascii="Times New Roman" w:hAnsi="Times New Roman" w:cs="Times New Roman" w:eastAsia="Times New Roman" w:hint="default"/>
        </w:rPr>
        <w:t>5</w:t>
      </w:r>
      <w:r>
        <w:rPr/>
        <w:t>）</w:t>
      </w:r>
    </w:p>
    <w:p>
      <w:pPr>
        <w:pStyle w:val="BodyText"/>
        <w:spacing w:line="240" w:lineRule="auto" w:before="73"/>
        <w:ind w:left="181" w:right="126"/>
        <w:jc w:val="left"/>
      </w:pPr>
      <w:r>
        <w:rPr/>
        <w:t>南京神州数码有 限公司（注</w:t>
      </w:r>
      <w:r>
        <w:rPr>
          <w:spacing w:val="-46"/>
        </w:rPr>
        <w:t> </w:t>
      </w:r>
      <w:r>
        <w:rPr>
          <w:rFonts w:ascii="Times New Roman" w:hAnsi="Times New Roman" w:cs="Times New Roman" w:eastAsia="Times New Roman" w:hint="default"/>
        </w:rPr>
        <w:t>6</w:t>
      </w:r>
      <w:r>
        <w:rPr/>
        <w:t>）</w:t>
      </w:r>
    </w:p>
    <w:p>
      <w:pPr>
        <w:pStyle w:val="BodyText"/>
        <w:spacing w:line="240" w:lineRule="auto" w:before="73"/>
        <w:ind w:left="181" w:right="126"/>
        <w:jc w:val="left"/>
      </w:pPr>
      <w:r>
        <w:rPr/>
        <w:t>济南神州数码有 限公司（注</w:t>
      </w:r>
      <w:r>
        <w:rPr>
          <w:spacing w:val="-46"/>
        </w:rPr>
        <w:t> </w:t>
      </w:r>
      <w:r>
        <w:rPr>
          <w:rFonts w:ascii="Times New Roman" w:hAnsi="Times New Roman" w:cs="Times New Roman" w:eastAsia="Times New Roman" w:hint="default"/>
        </w:rPr>
        <w:t>7</w:t>
      </w:r>
      <w:r>
        <w:rPr/>
        <w:t>）</w:t>
      </w:r>
    </w:p>
    <w:p>
      <w:pPr>
        <w:pStyle w:val="BodyText"/>
        <w:spacing w:line="240" w:lineRule="auto" w:before="73"/>
        <w:ind w:left="181" w:right="126"/>
        <w:jc w:val="left"/>
      </w:pPr>
      <w:r>
        <w:rPr/>
        <w:t>杭州神州数码有 限公司（注</w:t>
      </w:r>
      <w:r>
        <w:rPr>
          <w:spacing w:val="-46"/>
        </w:rPr>
        <w:t> </w:t>
      </w:r>
      <w:r>
        <w:rPr>
          <w:rFonts w:ascii="Times New Roman" w:hAnsi="Times New Roman" w:cs="Times New Roman" w:eastAsia="Times New Roman" w:hint="default"/>
        </w:rPr>
        <w:t>8</w:t>
      </w:r>
      <w:r>
        <w:rPr/>
        <w:t>）</w:t>
      </w:r>
    </w:p>
    <w:p>
      <w:pPr>
        <w:pStyle w:val="BodyText"/>
        <w:spacing w:line="232" w:lineRule="exact" w:before="99"/>
        <w:ind w:left="181" w:right="126"/>
        <w:jc w:val="left"/>
      </w:pPr>
      <w:r>
        <w:rPr/>
        <w:t>西安神州数码有 限公司（注</w:t>
      </w:r>
      <w:r>
        <w:rPr>
          <w:spacing w:val="-46"/>
        </w:rPr>
        <w:t> </w:t>
      </w:r>
      <w:r>
        <w:rPr>
          <w:rFonts w:ascii="Times New Roman" w:hAnsi="Times New Roman" w:cs="Times New Roman" w:eastAsia="Times New Roman" w:hint="default"/>
        </w:rPr>
        <w:t>9</w:t>
      </w:r>
      <w:r>
        <w:rPr/>
        <w:t>）</w:t>
      </w:r>
    </w:p>
    <w:p>
      <w:pPr>
        <w:pStyle w:val="BodyText"/>
        <w:spacing w:line="232" w:lineRule="exact" w:before="92"/>
        <w:ind w:left="181" w:right="82"/>
        <w:jc w:val="left"/>
      </w:pPr>
      <w:r>
        <w:rPr/>
        <w:t>福州神州数码有 限公司（注</w:t>
      </w:r>
      <w:r>
        <w:rPr>
          <w:spacing w:val="-46"/>
        </w:rPr>
        <w:t> </w:t>
      </w:r>
      <w:r>
        <w:rPr>
          <w:rFonts w:ascii="Times New Roman" w:hAnsi="Times New Roman" w:cs="Times New Roman" w:eastAsia="Times New Roman" w:hint="default"/>
        </w:rPr>
        <w:t>10</w:t>
      </w:r>
      <w:r>
        <w:rPr/>
        <w:t>）</w:t>
      </w:r>
    </w:p>
    <w:p>
      <w:pPr>
        <w:pStyle w:val="BodyText"/>
        <w:spacing w:line="232" w:lineRule="exact" w:before="92"/>
        <w:ind w:left="181" w:right="126"/>
        <w:jc w:val="left"/>
      </w:pPr>
      <w:r>
        <w:rPr/>
        <w:t>广州神州数码信 息科技有限公司</w:t>
      </w:r>
    </w:p>
    <w:p>
      <w:pPr>
        <w:pStyle w:val="BodyText"/>
        <w:spacing w:line="227" w:lineRule="exact"/>
        <w:ind w:left="181" w:right="-8"/>
        <w:jc w:val="left"/>
      </w:pPr>
      <w:r>
        <w:rPr/>
        <w:t>（注</w:t>
      </w:r>
      <w:r>
        <w:rPr>
          <w:spacing w:val="-45"/>
        </w:rPr>
        <w:t> </w:t>
      </w:r>
      <w:r>
        <w:rPr>
          <w:rFonts w:ascii="Times New Roman" w:hAnsi="Times New Roman" w:cs="Times New Roman" w:eastAsia="Times New Roman" w:hint="default"/>
          <w:spacing w:val="-3"/>
        </w:rPr>
        <w:t>11</w:t>
      </w:r>
      <w:r>
        <w:rPr>
          <w:spacing w:val="-3"/>
        </w:rPr>
        <w:t>）</w:t>
      </w:r>
    </w:p>
    <w:p>
      <w:pPr>
        <w:pStyle w:val="BodyText"/>
        <w:spacing w:line="240" w:lineRule="auto" w:before="73"/>
        <w:ind w:left="181" w:right="82"/>
        <w:jc w:val="left"/>
      </w:pPr>
      <w:r>
        <w:rPr/>
        <w:t>成都神州数码有 限公司（注</w:t>
      </w:r>
      <w:r>
        <w:rPr>
          <w:spacing w:val="-46"/>
        </w:rPr>
        <w:t> </w:t>
      </w:r>
      <w:r>
        <w:rPr>
          <w:rFonts w:ascii="Times New Roman" w:hAnsi="Times New Roman" w:cs="Times New Roman" w:eastAsia="Times New Roman" w:hint="default"/>
        </w:rPr>
        <w:t>12</w:t>
      </w:r>
      <w:r>
        <w:rPr/>
        <w:t>）</w:t>
      </w:r>
    </w:p>
    <w:p>
      <w:pPr>
        <w:pStyle w:val="BodyText"/>
        <w:spacing w:line="240" w:lineRule="auto" w:before="74"/>
        <w:ind w:left="181" w:right="82"/>
        <w:jc w:val="left"/>
      </w:pPr>
      <w:r>
        <w:rPr/>
        <w:t>北京神州数码有 限公司（注</w:t>
      </w:r>
      <w:r>
        <w:rPr>
          <w:spacing w:val="-46"/>
        </w:rPr>
        <w:t> </w:t>
      </w:r>
      <w:r>
        <w:rPr>
          <w:rFonts w:ascii="Times New Roman" w:hAnsi="Times New Roman" w:cs="Times New Roman" w:eastAsia="Times New Roman" w:hint="default"/>
        </w:rPr>
        <w:t>13</w:t>
      </w:r>
      <w:r>
        <w:rPr/>
        <w:t>）</w:t>
      </w:r>
    </w:p>
    <w:p>
      <w:pPr>
        <w:pStyle w:val="BodyText"/>
        <w:spacing w:line="240" w:lineRule="auto" w:before="73"/>
        <w:ind w:left="181" w:right="-8"/>
        <w:jc w:val="left"/>
      </w:pPr>
      <w:r>
        <w:rPr/>
        <w:t>北京神州数码供 应链服务有限公 司（注</w:t>
      </w:r>
      <w:r>
        <w:rPr>
          <w:spacing w:val="-46"/>
        </w:rPr>
        <w:t> </w:t>
      </w:r>
      <w:r>
        <w:rPr>
          <w:rFonts w:ascii="Times New Roman" w:hAnsi="Times New Roman" w:cs="Times New Roman" w:eastAsia="Times New Roman" w:hint="default"/>
        </w:rPr>
        <w:t>14</w:t>
      </w:r>
      <w:r>
        <w:rPr/>
        <w:t>）</w:t>
      </w:r>
    </w:p>
    <w:p>
      <w:pPr>
        <w:pStyle w:val="BodyText"/>
        <w:spacing w:line="240" w:lineRule="auto" w:before="73"/>
        <w:ind w:left="181" w:right="-18"/>
        <w:jc w:val="left"/>
      </w:pPr>
      <w:r>
        <w:rPr>
          <w:spacing w:val="-5"/>
        </w:rPr>
        <w:t>神州数码（郑州）</w:t>
      </w:r>
      <w:r>
        <w:rPr>
          <w:spacing w:val="-85"/>
        </w:rPr>
        <w:t> </w:t>
      </w:r>
      <w:r>
        <w:rPr>
          <w:spacing w:val="-85"/>
        </w:rPr>
      </w:r>
      <w:r>
        <w:rPr>
          <w:spacing w:val="-14"/>
        </w:rPr>
        <w:t>有限公司（注</w:t>
      </w:r>
      <w:r>
        <w:rPr>
          <w:spacing w:val="-42"/>
        </w:rPr>
        <w:t> </w:t>
      </w:r>
      <w:r>
        <w:rPr>
          <w:rFonts w:ascii="Times New Roman" w:hAnsi="Times New Roman" w:cs="Times New Roman" w:eastAsia="Times New Roman" w:hint="default"/>
        </w:rPr>
        <w:t>15</w:t>
      </w:r>
      <w:r>
        <w:rPr/>
        <w:t>）</w:t>
      </w:r>
    </w:p>
    <w:p>
      <w:pPr>
        <w:pStyle w:val="BodyText"/>
        <w:spacing w:line="240" w:lineRule="auto" w:before="73"/>
        <w:ind w:left="181" w:right="82"/>
        <w:jc w:val="left"/>
      </w:pPr>
      <w:r>
        <w:rPr/>
        <w:t>重庆神州数码有 限公司（注</w:t>
      </w:r>
      <w:r>
        <w:rPr>
          <w:spacing w:val="-46"/>
        </w:rPr>
        <w:t> </w:t>
      </w:r>
      <w:r>
        <w:rPr>
          <w:rFonts w:ascii="Times New Roman" w:hAnsi="Times New Roman" w:cs="Times New Roman" w:eastAsia="Times New Roman" w:hint="default"/>
        </w:rPr>
        <w:t>16</w:t>
      </w:r>
      <w:r>
        <w:rPr/>
        <w:t>）</w:t>
      </w:r>
    </w:p>
    <w:p>
      <w:pPr>
        <w:pStyle w:val="BodyText"/>
        <w:spacing w:line="237" w:lineRule="auto" w:before="75"/>
        <w:ind w:left="181" w:right="143"/>
        <w:jc w:val="both"/>
      </w:pPr>
      <w:r>
        <w:rPr/>
        <w:t>北京神州数码云 科信息技术有限 公司（注</w:t>
      </w:r>
      <w:r>
        <w:rPr>
          <w:spacing w:val="-46"/>
        </w:rPr>
        <w:t> </w:t>
      </w:r>
      <w:r>
        <w:rPr>
          <w:rFonts w:ascii="Times New Roman" w:hAnsi="Times New Roman" w:cs="Times New Roman" w:eastAsia="Times New Roman" w:hint="default"/>
        </w:rPr>
        <w:t>17</w:t>
      </w:r>
      <w:r>
        <w:rPr/>
        <w:t>）</w:t>
      </w:r>
    </w:p>
    <w:p>
      <w:pPr>
        <w:pStyle w:val="BodyText"/>
        <w:spacing w:line="240" w:lineRule="auto" w:before="75"/>
        <w:ind w:left="181" w:right="126"/>
        <w:jc w:val="left"/>
      </w:pPr>
      <w:r>
        <w:rPr/>
        <w:t>上海神州数码通 信技术有限公司</w:t>
      </w:r>
    </w:p>
    <w:p>
      <w:pPr>
        <w:pStyle w:val="BodyText"/>
        <w:spacing w:line="246" w:lineRule="exact"/>
        <w:ind w:left="181" w:right="-8"/>
        <w:jc w:val="left"/>
      </w:pPr>
      <w:r>
        <w:rPr/>
        <w:t>（注</w:t>
      </w:r>
      <w:r>
        <w:rPr>
          <w:spacing w:val="-46"/>
        </w:rPr>
        <w:t> </w:t>
      </w:r>
      <w:r>
        <w:rPr>
          <w:rFonts w:ascii="Times New Roman" w:hAnsi="Times New Roman" w:cs="Times New Roman" w:eastAsia="Times New Roman" w:hint="default"/>
        </w:rPr>
        <w:t>18</w:t>
      </w:r>
      <w:r>
        <w:rPr/>
        <w:t>）</w:t>
      </w:r>
    </w:p>
    <w:p>
      <w:pPr>
        <w:pStyle w:val="BodyText"/>
        <w:spacing w:line="240" w:lineRule="auto" w:before="99"/>
        <w:ind w:left="181" w:right="413"/>
        <w:jc w:val="left"/>
        <w:rPr>
          <w:rFonts w:ascii="Times New Roman" w:hAnsi="Times New Roman" w:cs="Times New Roman" w:eastAsia="Times New Roman" w:hint="default"/>
        </w:rPr>
      </w:pPr>
      <w:r>
        <w:rPr>
          <w:rFonts w:ascii="Times New Roman"/>
        </w:rPr>
        <w:t>Digital</w:t>
      </w:r>
      <w:r>
        <w:rPr>
          <w:rFonts w:ascii="Times New Roman"/>
          <w:spacing w:val="-2"/>
        </w:rPr>
        <w:t> </w:t>
      </w:r>
      <w:r>
        <w:rPr>
          <w:rFonts w:ascii="Times New Roman"/>
        </w:rPr>
        <w:t>China</w:t>
      </w:r>
      <w:r>
        <w:rPr>
          <w:rFonts w:ascii="Times New Roman"/>
          <w:w w:val="99"/>
        </w:rPr>
        <w:t> </w:t>
      </w:r>
      <w:r>
        <w:rPr>
          <w:rFonts w:ascii="Times New Roman"/>
        </w:rPr>
        <w:t>Marketing</w:t>
      </w:r>
      <w:r>
        <w:rPr>
          <w:rFonts w:ascii="Times New Roman"/>
          <w:spacing w:val="-2"/>
        </w:rPr>
        <w:t> </w:t>
      </w:r>
      <w:r>
        <w:rPr>
          <w:rFonts w:ascii="Times New Roman"/>
        </w:rPr>
        <w:t>&amp;</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3"/>
          <w:szCs w:val="23"/>
        </w:rPr>
      </w:pPr>
    </w:p>
    <w:p>
      <w:pPr>
        <w:pStyle w:val="BodyText"/>
        <w:tabs>
          <w:tab w:pos="1548" w:val="left" w:leader="none"/>
        </w:tabs>
        <w:spacing w:line="158" w:lineRule="auto"/>
        <w:ind w:left="1548" w:right="0" w:hanging="1368"/>
        <w:jc w:val="left"/>
      </w:pPr>
      <w:r>
        <w:rPr/>
        <w:pict>
          <v:shape style="position:absolute;margin-left:193.639999pt;margin-top:-446.776642pt;width:205.05pt;height:427.7pt;mso-position-horizontal-relative:page;mso-position-vertical-relative:paragraph;z-index:26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7"/>
                    <w:gridCol w:w="1367"/>
                    <w:gridCol w:w="1367"/>
                  </w:tblGrid>
                  <w:tr>
                    <w:trPr>
                      <w:trHeight w:val="469" w:hRule="exact"/>
                    </w:trPr>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7"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7"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w:t>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4"/>
                          <w:jc w:val="right"/>
                          <w:rPr>
                            <w:rFonts w:ascii="Times New Roman" w:hAnsi="Times New Roman" w:cs="Times New Roman" w:eastAsia="Times New Roman" w:hint="default"/>
                            <w:sz w:val="18"/>
                            <w:szCs w:val="18"/>
                          </w:rPr>
                        </w:pPr>
                        <w:r>
                          <w:rPr>
                            <w:rFonts w:ascii="Times New Roman"/>
                            <w:sz w:val="18"/>
                          </w:rPr>
                          <w:t>100.00%</w:t>
                        </w:r>
                      </w:p>
                    </w:tc>
                  </w:tr>
                  <w:tr>
                    <w:trPr>
                      <w:trHeight w:val="557" w:hRule="exact"/>
                    </w:trPr>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27"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27"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w:t>
                        </w:r>
                      </w:p>
                    </w:tc>
                    <w:tc>
                      <w:tcPr>
                        <w:tcW w:w="1367" w:type="dxa"/>
                        <w:tcBorders>
                          <w:top w:val="nil" w:sz="6" w:space="0" w:color="auto"/>
                          <w:left w:val="nil" w:sz="6" w:space="0" w:color="auto"/>
                          <w:bottom w:val="nil" w:sz="6" w:space="0" w:color="auto"/>
                          <w:right w:val="nil" w:sz="6" w:space="0" w:color="auto"/>
                        </w:tcBorders>
                      </w:tcPr>
                      <w:p>
                        <w:pPr/>
                      </w:p>
                    </w:tc>
                  </w:tr>
                  <w:tr>
                    <w:trPr>
                      <w:trHeight w:val="557" w:hRule="exact"/>
                    </w:trPr>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27"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27"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w:t>
                        </w:r>
                      </w:p>
                    </w:tc>
                    <w:tc>
                      <w:tcPr>
                        <w:tcW w:w="1367" w:type="dxa"/>
                        <w:tcBorders>
                          <w:top w:val="nil" w:sz="6" w:space="0" w:color="auto"/>
                          <w:left w:val="nil" w:sz="6" w:space="0" w:color="auto"/>
                          <w:bottom w:val="nil" w:sz="6" w:space="0" w:color="auto"/>
                          <w:right w:val="nil" w:sz="6" w:space="0" w:color="auto"/>
                        </w:tcBorders>
                      </w:tcPr>
                      <w:p>
                        <w:pPr/>
                      </w:p>
                    </w:tc>
                  </w:tr>
                  <w:tr>
                    <w:trPr>
                      <w:trHeight w:val="557" w:hRule="exact"/>
                    </w:trPr>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7"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7"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w:t>
                        </w:r>
                      </w:p>
                    </w:tc>
                    <w:tc>
                      <w:tcPr>
                        <w:tcW w:w="1367" w:type="dxa"/>
                        <w:tcBorders>
                          <w:top w:val="nil" w:sz="6" w:space="0" w:color="auto"/>
                          <w:left w:val="nil" w:sz="6" w:space="0" w:color="auto"/>
                          <w:bottom w:val="nil" w:sz="6" w:space="0" w:color="auto"/>
                          <w:right w:val="nil" w:sz="6" w:space="0" w:color="auto"/>
                        </w:tcBorders>
                      </w:tcPr>
                      <w:p>
                        <w:pPr/>
                      </w:p>
                    </w:tc>
                  </w:tr>
                  <w:tr>
                    <w:trPr>
                      <w:trHeight w:val="557" w:hRule="exact"/>
                    </w:trPr>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7"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7"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w:t>
                        </w:r>
                      </w:p>
                    </w:tc>
                    <w:tc>
                      <w:tcPr>
                        <w:tcW w:w="1367" w:type="dxa"/>
                        <w:tcBorders>
                          <w:top w:val="nil" w:sz="6" w:space="0" w:color="auto"/>
                          <w:left w:val="nil" w:sz="6" w:space="0" w:color="auto"/>
                          <w:bottom w:val="nil" w:sz="6" w:space="0" w:color="auto"/>
                          <w:right w:val="nil" w:sz="6" w:space="0" w:color="auto"/>
                        </w:tcBorders>
                      </w:tcPr>
                      <w:p>
                        <w:pPr/>
                      </w:p>
                    </w:tc>
                  </w:tr>
                  <w:tr>
                    <w:trPr>
                      <w:trHeight w:val="557" w:hRule="exact"/>
                    </w:trPr>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7"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7"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w:t>
                        </w:r>
                      </w:p>
                    </w:tc>
                    <w:tc>
                      <w:tcPr>
                        <w:tcW w:w="1367" w:type="dxa"/>
                        <w:tcBorders>
                          <w:top w:val="nil" w:sz="6" w:space="0" w:color="auto"/>
                          <w:left w:val="nil" w:sz="6" w:space="0" w:color="auto"/>
                          <w:bottom w:val="nil" w:sz="6" w:space="0" w:color="auto"/>
                          <w:right w:val="nil" w:sz="6" w:space="0" w:color="auto"/>
                        </w:tcBorders>
                      </w:tcPr>
                      <w:p>
                        <w:pPr/>
                      </w:p>
                    </w:tc>
                  </w:tr>
                  <w:tr>
                    <w:trPr>
                      <w:trHeight w:val="557" w:hRule="exact"/>
                    </w:trPr>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7"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7"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w:t>
                        </w:r>
                      </w:p>
                    </w:tc>
                    <w:tc>
                      <w:tcPr>
                        <w:tcW w:w="1367" w:type="dxa"/>
                        <w:tcBorders>
                          <w:top w:val="nil" w:sz="6" w:space="0" w:color="auto"/>
                          <w:left w:val="nil" w:sz="6" w:space="0" w:color="auto"/>
                          <w:bottom w:val="nil" w:sz="6" w:space="0" w:color="auto"/>
                          <w:right w:val="nil" w:sz="6" w:space="0" w:color="auto"/>
                        </w:tcBorders>
                      </w:tcPr>
                      <w:p>
                        <w:pPr/>
                      </w:p>
                    </w:tc>
                  </w:tr>
                  <w:tr>
                    <w:trPr>
                      <w:trHeight w:val="557" w:hRule="exact"/>
                    </w:trPr>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7"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7"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w:t>
                        </w:r>
                      </w:p>
                    </w:tc>
                    <w:tc>
                      <w:tcPr>
                        <w:tcW w:w="1367" w:type="dxa"/>
                        <w:tcBorders>
                          <w:top w:val="nil" w:sz="6" w:space="0" w:color="auto"/>
                          <w:left w:val="nil" w:sz="6" w:space="0" w:color="auto"/>
                          <w:bottom w:val="nil" w:sz="6" w:space="0" w:color="auto"/>
                          <w:right w:val="nil" w:sz="6" w:space="0" w:color="auto"/>
                        </w:tcBorders>
                      </w:tcPr>
                      <w:p>
                        <w:pPr/>
                      </w:p>
                    </w:tc>
                  </w:tr>
                  <w:tr>
                    <w:trPr>
                      <w:trHeight w:val="557" w:hRule="exact"/>
                    </w:trPr>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7"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7"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w:t>
                        </w:r>
                      </w:p>
                    </w:tc>
                    <w:tc>
                      <w:tcPr>
                        <w:tcW w:w="1367" w:type="dxa"/>
                        <w:tcBorders>
                          <w:top w:val="nil" w:sz="6" w:space="0" w:color="auto"/>
                          <w:left w:val="nil" w:sz="6" w:space="0" w:color="auto"/>
                          <w:bottom w:val="nil" w:sz="6" w:space="0" w:color="auto"/>
                          <w:right w:val="nil" w:sz="6" w:space="0" w:color="auto"/>
                        </w:tcBorders>
                      </w:tcPr>
                      <w:p>
                        <w:pPr/>
                      </w:p>
                    </w:tc>
                  </w:tr>
                  <w:tr>
                    <w:trPr>
                      <w:trHeight w:val="791" w:hRule="exact"/>
                    </w:trPr>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w:t>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100.00%</w:t>
                        </w:r>
                      </w:p>
                    </w:tc>
                  </w:tr>
                  <w:tr>
                    <w:trPr>
                      <w:trHeight w:val="557" w:hRule="exact"/>
                    </w:trPr>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27"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27"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w:t>
                        </w:r>
                      </w:p>
                    </w:tc>
                    <w:tc>
                      <w:tcPr>
                        <w:tcW w:w="1367" w:type="dxa"/>
                        <w:tcBorders>
                          <w:top w:val="nil" w:sz="6" w:space="0" w:color="auto"/>
                          <w:left w:val="nil" w:sz="6" w:space="0" w:color="auto"/>
                          <w:bottom w:val="nil" w:sz="6" w:space="0" w:color="auto"/>
                          <w:right w:val="nil" w:sz="6" w:space="0" w:color="auto"/>
                        </w:tcBorders>
                      </w:tcPr>
                      <w:p>
                        <w:pPr/>
                      </w:p>
                    </w:tc>
                  </w:tr>
                  <w:tr>
                    <w:trPr>
                      <w:trHeight w:val="557" w:hRule="exact"/>
                    </w:trPr>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7"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7"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w:t>
                        </w:r>
                      </w:p>
                    </w:tc>
                    <w:tc>
                      <w:tcPr>
                        <w:tcW w:w="1367" w:type="dxa"/>
                        <w:tcBorders>
                          <w:top w:val="nil" w:sz="6" w:space="0" w:color="auto"/>
                          <w:left w:val="nil" w:sz="6" w:space="0" w:color="auto"/>
                          <w:bottom w:val="nil" w:sz="6" w:space="0" w:color="auto"/>
                          <w:right w:val="nil" w:sz="6" w:space="0" w:color="auto"/>
                        </w:tcBorders>
                      </w:tcPr>
                      <w:p>
                        <w:pPr/>
                      </w:p>
                    </w:tc>
                  </w:tr>
                  <w:tr>
                    <w:trPr>
                      <w:trHeight w:val="791" w:hRule="exact"/>
                    </w:trPr>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w:t>
                        </w:r>
                      </w:p>
                    </w:tc>
                    <w:tc>
                      <w:tcPr>
                        <w:tcW w:w="1367" w:type="dxa"/>
                        <w:tcBorders>
                          <w:top w:val="nil" w:sz="6" w:space="0" w:color="auto"/>
                          <w:left w:val="nil" w:sz="6" w:space="0" w:color="auto"/>
                          <w:bottom w:val="nil" w:sz="6" w:space="0" w:color="auto"/>
                          <w:right w:val="nil" w:sz="6" w:space="0" w:color="auto"/>
                        </w:tcBorders>
                      </w:tcPr>
                      <w:p>
                        <w:pPr/>
                      </w:p>
                    </w:tc>
                  </w:tr>
                  <w:tr>
                    <w:trPr>
                      <w:trHeight w:val="557" w:hRule="exact"/>
                    </w:trPr>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27"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27"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w:t>
                        </w:r>
                      </w:p>
                    </w:tc>
                    <w:tc>
                      <w:tcPr>
                        <w:tcW w:w="1367" w:type="dxa"/>
                        <w:tcBorders>
                          <w:top w:val="nil" w:sz="6" w:space="0" w:color="auto"/>
                          <w:left w:val="nil" w:sz="6" w:space="0" w:color="auto"/>
                          <w:bottom w:val="nil" w:sz="6" w:space="0" w:color="auto"/>
                          <w:right w:val="nil" w:sz="6" w:space="0" w:color="auto"/>
                        </w:tcBorders>
                      </w:tcPr>
                      <w:p>
                        <w:pPr/>
                      </w:p>
                    </w:tc>
                  </w:tr>
                  <w:tr>
                    <w:trPr>
                      <w:trHeight w:val="377" w:hRule="exact"/>
                    </w:trPr>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27"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27"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w:t>
                        </w:r>
                      </w:p>
                    </w:tc>
                    <w:tc>
                      <w:tcPr>
                        <w:tcW w:w="1367"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position w:val="-11"/>
        </w:rPr>
        <w:t>北京</w:t>
        <w:tab/>
      </w:r>
      <w:r>
        <w:rPr>
          <w:spacing w:val="-6"/>
        </w:rPr>
        <w:t>生产、分销</w:t>
      </w:r>
      <w:r>
        <w:rPr>
          <w:spacing w:val="-46"/>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产 品</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BodyText"/>
        <w:tabs>
          <w:tab w:pos="1548" w:val="left" w:leader="none"/>
        </w:tabs>
        <w:spacing w:line="158" w:lineRule="auto"/>
        <w:ind w:left="1548" w:right="0" w:hanging="1368"/>
        <w:jc w:val="left"/>
      </w:pPr>
      <w:r>
        <w:rPr>
          <w:position w:val="-11"/>
        </w:rPr>
        <w:t>上海</w:t>
        <w:tab/>
      </w:r>
      <w:r>
        <w:rPr>
          <w:spacing w:val="-6"/>
        </w:rPr>
        <w:t>生产、分销</w:t>
      </w:r>
      <w:r>
        <w:rPr>
          <w:spacing w:val="-46"/>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产 品</w:t>
      </w:r>
    </w:p>
    <w:p>
      <w:pPr>
        <w:spacing w:before="47"/>
        <w:ind w:left="882" w:right="1258" w:firstLine="0"/>
        <w:jc w:val="left"/>
        <w:rPr>
          <w:rFonts w:ascii="宋体" w:hAnsi="宋体" w:cs="宋体" w:eastAsia="宋体" w:hint="default"/>
          <w:sz w:val="18"/>
          <w:szCs w:val="18"/>
        </w:rPr>
      </w:pPr>
      <w:r>
        <w:rPr/>
        <w:br w:type="column"/>
      </w:r>
      <w:r>
        <w:rPr>
          <w:rFonts w:ascii="宋体" w:hAnsi="宋体" w:cs="宋体" w:eastAsia="宋体" w:hint="default"/>
          <w:sz w:val="18"/>
          <w:szCs w:val="18"/>
        </w:rPr>
        <w:t>业合并</w:t>
      </w:r>
    </w:p>
    <w:p>
      <w:pPr>
        <w:pStyle w:val="BodyText"/>
        <w:spacing w:line="240" w:lineRule="auto" w:before="87"/>
        <w:ind w:left="882" w:right="1258"/>
        <w:jc w:val="left"/>
      </w:pPr>
      <w:r>
        <w:rPr/>
        <w:t>非同一控制下企 业合并</w:t>
      </w:r>
    </w:p>
    <w:p>
      <w:pPr>
        <w:pStyle w:val="BodyText"/>
        <w:spacing w:line="196" w:lineRule="exact" w:before="87"/>
        <w:ind w:left="882" w:right="0"/>
        <w:jc w:val="left"/>
      </w:pPr>
      <w:r>
        <w:rPr/>
        <w:t>非同一控制下企</w:t>
      </w:r>
    </w:p>
    <w:p>
      <w:pPr>
        <w:pStyle w:val="BodyText"/>
        <w:spacing w:line="274" w:lineRule="exact"/>
        <w:ind w:left="181" w:right="1258"/>
        <w:jc w:val="left"/>
      </w:pPr>
      <w:r>
        <w:rPr>
          <w:rFonts w:ascii="Times New Roman" w:hAnsi="Times New Roman" w:cs="Times New Roman" w:eastAsia="Times New Roman" w:hint="default"/>
        </w:rPr>
        <w:t>100.00%</w:t>
      </w:r>
      <w:r>
        <w:rPr>
          <w:rFonts w:ascii="Times New Roman" w:hAnsi="Times New Roman" w:cs="Times New Roman" w:eastAsia="Times New Roman" w:hint="default"/>
          <w:spacing w:val="10"/>
        </w:rPr>
        <w:t> </w:t>
      </w:r>
      <w:r>
        <w:rPr>
          <w:position w:val="-11"/>
        </w:rPr>
        <w:t>业合并</w:t>
      </w:r>
      <w:r>
        <w:rPr/>
      </w:r>
    </w:p>
    <w:p>
      <w:pPr>
        <w:pStyle w:val="BodyText"/>
        <w:spacing w:line="196" w:lineRule="exact" w:before="87"/>
        <w:ind w:left="882" w:right="0"/>
        <w:jc w:val="left"/>
      </w:pPr>
      <w:r>
        <w:rPr/>
        <w:t>非同一控制下企</w:t>
      </w:r>
    </w:p>
    <w:p>
      <w:pPr>
        <w:pStyle w:val="BodyText"/>
        <w:spacing w:line="274" w:lineRule="exact"/>
        <w:ind w:left="181" w:right="1258"/>
        <w:jc w:val="left"/>
      </w:pPr>
      <w:r>
        <w:rPr>
          <w:rFonts w:ascii="Times New Roman" w:hAnsi="Times New Roman" w:cs="Times New Roman" w:eastAsia="Times New Roman" w:hint="default"/>
        </w:rPr>
        <w:t>100.00%</w:t>
      </w:r>
      <w:r>
        <w:rPr>
          <w:rFonts w:ascii="Times New Roman" w:hAnsi="Times New Roman" w:cs="Times New Roman" w:eastAsia="Times New Roman" w:hint="default"/>
          <w:spacing w:val="10"/>
        </w:rPr>
        <w:t> </w:t>
      </w:r>
      <w:r>
        <w:rPr>
          <w:position w:val="-11"/>
        </w:rPr>
        <w:t>业合并</w:t>
      </w:r>
      <w:r>
        <w:rPr/>
      </w:r>
    </w:p>
    <w:p>
      <w:pPr>
        <w:pStyle w:val="BodyText"/>
        <w:spacing w:line="196" w:lineRule="exact" w:before="87"/>
        <w:ind w:left="882" w:right="0"/>
        <w:jc w:val="left"/>
      </w:pPr>
      <w:r>
        <w:rPr/>
        <w:t>非同一控制下企</w:t>
      </w:r>
    </w:p>
    <w:p>
      <w:pPr>
        <w:pStyle w:val="BodyText"/>
        <w:spacing w:line="274" w:lineRule="exact"/>
        <w:ind w:left="181" w:right="1258"/>
        <w:jc w:val="left"/>
      </w:pPr>
      <w:r>
        <w:rPr>
          <w:rFonts w:ascii="Times New Roman" w:hAnsi="Times New Roman" w:cs="Times New Roman" w:eastAsia="Times New Roman" w:hint="default"/>
        </w:rPr>
        <w:t>100.00%</w:t>
      </w:r>
      <w:r>
        <w:rPr>
          <w:rFonts w:ascii="Times New Roman" w:hAnsi="Times New Roman" w:cs="Times New Roman" w:eastAsia="Times New Roman" w:hint="default"/>
          <w:spacing w:val="10"/>
        </w:rPr>
        <w:t> </w:t>
      </w:r>
      <w:r>
        <w:rPr>
          <w:position w:val="-11"/>
        </w:rPr>
        <w:t>业合并</w:t>
      </w:r>
      <w:r>
        <w:rPr/>
      </w:r>
    </w:p>
    <w:p>
      <w:pPr>
        <w:pStyle w:val="BodyText"/>
        <w:spacing w:line="196" w:lineRule="exact" w:before="86"/>
        <w:ind w:left="882" w:right="0"/>
        <w:jc w:val="left"/>
      </w:pPr>
      <w:r>
        <w:rPr/>
        <w:t>非同一控制下企</w:t>
      </w:r>
    </w:p>
    <w:p>
      <w:pPr>
        <w:pStyle w:val="BodyText"/>
        <w:spacing w:line="274" w:lineRule="exact"/>
        <w:ind w:left="181" w:right="1258"/>
        <w:jc w:val="left"/>
      </w:pPr>
      <w:r>
        <w:rPr>
          <w:rFonts w:ascii="Times New Roman" w:hAnsi="Times New Roman" w:cs="Times New Roman" w:eastAsia="Times New Roman" w:hint="default"/>
        </w:rPr>
        <w:t>100.00%</w:t>
      </w:r>
      <w:r>
        <w:rPr>
          <w:rFonts w:ascii="Times New Roman" w:hAnsi="Times New Roman" w:cs="Times New Roman" w:eastAsia="Times New Roman" w:hint="default"/>
          <w:spacing w:val="10"/>
        </w:rPr>
        <w:t> </w:t>
      </w:r>
      <w:r>
        <w:rPr>
          <w:position w:val="-11"/>
        </w:rPr>
        <w:t>业合并</w:t>
      </w:r>
      <w:r>
        <w:rPr/>
      </w:r>
    </w:p>
    <w:p>
      <w:pPr>
        <w:pStyle w:val="BodyText"/>
        <w:spacing w:line="196" w:lineRule="exact" w:before="86"/>
        <w:ind w:left="882" w:right="0"/>
        <w:jc w:val="left"/>
      </w:pPr>
      <w:r>
        <w:rPr/>
        <w:t>非同一控制下企</w:t>
      </w:r>
    </w:p>
    <w:p>
      <w:pPr>
        <w:pStyle w:val="BodyText"/>
        <w:spacing w:line="274" w:lineRule="exact"/>
        <w:ind w:left="181" w:right="1258"/>
        <w:jc w:val="left"/>
      </w:pPr>
      <w:r>
        <w:rPr>
          <w:rFonts w:ascii="Times New Roman" w:hAnsi="Times New Roman" w:cs="Times New Roman" w:eastAsia="Times New Roman" w:hint="default"/>
        </w:rPr>
        <w:t>100.00%</w:t>
      </w:r>
      <w:r>
        <w:rPr>
          <w:rFonts w:ascii="Times New Roman" w:hAnsi="Times New Roman" w:cs="Times New Roman" w:eastAsia="Times New Roman" w:hint="default"/>
          <w:spacing w:val="10"/>
        </w:rPr>
        <w:t> </w:t>
      </w:r>
      <w:r>
        <w:rPr>
          <w:position w:val="-11"/>
        </w:rPr>
        <w:t>业合并</w:t>
      </w:r>
      <w:r>
        <w:rPr/>
      </w:r>
    </w:p>
    <w:p>
      <w:pPr>
        <w:pStyle w:val="BodyText"/>
        <w:spacing w:line="196" w:lineRule="exact" w:before="86"/>
        <w:ind w:left="882" w:right="0"/>
        <w:jc w:val="left"/>
      </w:pPr>
      <w:r>
        <w:rPr/>
        <w:t>非同一控制下企</w:t>
      </w:r>
    </w:p>
    <w:p>
      <w:pPr>
        <w:pStyle w:val="BodyText"/>
        <w:spacing w:line="274" w:lineRule="exact"/>
        <w:ind w:left="181" w:right="1258"/>
        <w:jc w:val="left"/>
      </w:pPr>
      <w:r>
        <w:rPr>
          <w:rFonts w:ascii="Times New Roman" w:hAnsi="Times New Roman" w:cs="Times New Roman" w:eastAsia="Times New Roman" w:hint="default"/>
        </w:rPr>
        <w:t>100.00%</w:t>
      </w:r>
      <w:r>
        <w:rPr>
          <w:rFonts w:ascii="Times New Roman" w:hAnsi="Times New Roman" w:cs="Times New Roman" w:eastAsia="Times New Roman" w:hint="default"/>
          <w:spacing w:val="10"/>
        </w:rPr>
        <w:t> </w:t>
      </w:r>
      <w:r>
        <w:rPr>
          <w:position w:val="-11"/>
        </w:rPr>
        <w:t>业合并</w:t>
      </w:r>
      <w:r>
        <w:rPr/>
      </w:r>
    </w:p>
    <w:p>
      <w:pPr>
        <w:pStyle w:val="BodyText"/>
        <w:spacing w:line="196" w:lineRule="exact" w:before="87"/>
        <w:ind w:left="882" w:right="0"/>
        <w:jc w:val="left"/>
      </w:pPr>
      <w:r>
        <w:rPr/>
        <w:t>非同一控制下企</w:t>
      </w:r>
    </w:p>
    <w:p>
      <w:pPr>
        <w:pStyle w:val="BodyText"/>
        <w:spacing w:line="274" w:lineRule="exact"/>
        <w:ind w:left="181" w:right="1258"/>
        <w:jc w:val="left"/>
      </w:pPr>
      <w:r>
        <w:rPr>
          <w:rFonts w:ascii="Times New Roman" w:hAnsi="Times New Roman" w:cs="Times New Roman" w:eastAsia="Times New Roman" w:hint="default"/>
        </w:rPr>
        <w:t>100.00%</w:t>
      </w:r>
      <w:r>
        <w:rPr>
          <w:rFonts w:ascii="Times New Roman" w:hAnsi="Times New Roman" w:cs="Times New Roman" w:eastAsia="Times New Roman" w:hint="default"/>
          <w:spacing w:val="10"/>
        </w:rPr>
        <w:t> </w:t>
      </w:r>
      <w:r>
        <w:rPr>
          <w:position w:val="-11"/>
        </w:rPr>
        <w:t>业合并</w:t>
      </w:r>
      <w:r>
        <w:rPr/>
      </w:r>
    </w:p>
    <w:p>
      <w:pPr>
        <w:pStyle w:val="BodyText"/>
        <w:spacing w:line="196" w:lineRule="exact" w:before="87"/>
        <w:ind w:left="882" w:right="0"/>
        <w:jc w:val="left"/>
      </w:pPr>
      <w:r>
        <w:rPr/>
        <w:t>非同一控制下企</w:t>
      </w:r>
    </w:p>
    <w:p>
      <w:pPr>
        <w:pStyle w:val="BodyText"/>
        <w:spacing w:line="274" w:lineRule="exact"/>
        <w:ind w:left="181" w:right="1258"/>
        <w:jc w:val="left"/>
      </w:pPr>
      <w:r>
        <w:rPr>
          <w:rFonts w:ascii="Times New Roman" w:hAnsi="Times New Roman" w:cs="Times New Roman" w:eastAsia="Times New Roman" w:hint="default"/>
        </w:rPr>
        <w:t>100.00%</w:t>
      </w:r>
      <w:r>
        <w:rPr>
          <w:rFonts w:ascii="Times New Roman" w:hAnsi="Times New Roman" w:cs="Times New Roman" w:eastAsia="Times New Roman" w:hint="default"/>
          <w:spacing w:val="10"/>
        </w:rPr>
        <w:t> </w:t>
      </w:r>
      <w:r>
        <w:rPr>
          <w:position w:val="-11"/>
        </w:rPr>
        <w:t>业合并</w:t>
      </w:r>
      <w:r>
        <w:rPr/>
      </w:r>
    </w:p>
    <w:p>
      <w:pPr>
        <w:pStyle w:val="BodyText"/>
        <w:spacing w:line="240" w:lineRule="auto" w:before="203"/>
        <w:ind w:left="882" w:right="1258"/>
        <w:jc w:val="left"/>
      </w:pPr>
      <w:r>
        <w:rPr/>
        <w:t>非同一控制下企 业合并</w:t>
      </w:r>
    </w:p>
    <w:p>
      <w:pPr>
        <w:spacing w:line="240" w:lineRule="auto" w:before="7"/>
        <w:rPr>
          <w:rFonts w:ascii="宋体" w:hAnsi="宋体" w:cs="宋体" w:eastAsia="宋体" w:hint="default"/>
          <w:sz w:val="15"/>
          <w:szCs w:val="15"/>
        </w:rPr>
      </w:pPr>
    </w:p>
    <w:p>
      <w:pPr>
        <w:pStyle w:val="BodyText"/>
        <w:spacing w:line="196" w:lineRule="exact"/>
        <w:ind w:left="882" w:right="0"/>
        <w:jc w:val="left"/>
      </w:pPr>
      <w:r>
        <w:rPr/>
        <w:t>非同一控制下企</w:t>
      </w:r>
    </w:p>
    <w:p>
      <w:pPr>
        <w:pStyle w:val="BodyText"/>
        <w:spacing w:line="274" w:lineRule="exact"/>
        <w:ind w:left="181" w:right="1258"/>
        <w:jc w:val="left"/>
      </w:pPr>
      <w:r>
        <w:rPr>
          <w:rFonts w:ascii="Times New Roman" w:hAnsi="Times New Roman" w:cs="Times New Roman" w:eastAsia="Times New Roman" w:hint="default"/>
        </w:rPr>
        <w:t>100.00%</w:t>
      </w:r>
      <w:r>
        <w:rPr>
          <w:rFonts w:ascii="Times New Roman" w:hAnsi="Times New Roman" w:cs="Times New Roman" w:eastAsia="Times New Roman" w:hint="default"/>
          <w:spacing w:val="10"/>
        </w:rPr>
        <w:t> </w:t>
      </w:r>
      <w:r>
        <w:rPr>
          <w:position w:val="-11"/>
        </w:rPr>
        <w:t>业合并</w:t>
      </w:r>
      <w:r>
        <w:rPr/>
      </w:r>
    </w:p>
    <w:p>
      <w:pPr>
        <w:pStyle w:val="BodyText"/>
        <w:spacing w:line="196" w:lineRule="exact" w:before="86"/>
        <w:ind w:left="882" w:right="0"/>
        <w:jc w:val="left"/>
      </w:pPr>
      <w:r>
        <w:rPr/>
        <w:t>非同一控制下企</w:t>
      </w:r>
    </w:p>
    <w:p>
      <w:pPr>
        <w:pStyle w:val="BodyText"/>
        <w:spacing w:line="274" w:lineRule="exact"/>
        <w:ind w:left="181" w:right="1258"/>
        <w:jc w:val="left"/>
      </w:pPr>
      <w:r>
        <w:rPr>
          <w:rFonts w:ascii="Times New Roman" w:hAnsi="Times New Roman" w:cs="Times New Roman" w:eastAsia="Times New Roman" w:hint="default"/>
        </w:rPr>
        <w:t>100.00%</w:t>
      </w:r>
      <w:r>
        <w:rPr>
          <w:rFonts w:ascii="Times New Roman" w:hAnsi="Times New Roman" w:cs="Times New Roman" w:eastAsia="Times New Roman" w:hint="default"/>
          <w:spacing w:val="10"/>
        </w:rPr>
        <w:t> </w:t>
      </w:r>
      <w:r>
        <w:rPr>
          <w:position w:val="-11"/>
        </w:rPr>
        <w:t>业合并</w:t>
      </w:r>
      <w:r>
        <w:rPr/>
      </w:r>
    </w:p>
    <w:p>
      <w:pPr>
        <w:pStyle w:val="BodyText"/>
        <w:spacing w:line="196" w:lineRule="exact" w:before="203"/>
        <w:ind w:left="882" w:right="0"/>
        <w:jc w:val="left"/>
      </w:pPr>
      <w:r>
        <w:rPr/>
        <w:t>非同一控制下企</w:t>
      </w:r>
    </w:p>
    <w:p>
      <w:pPr>
        <w:pStyle w:val="BodyText"/>
        <w:spacing w:line="274" w:lineRule="exact"/>
        <w:ind w:left="181" w:right="1258"/>
        <w:jc w:val="left"/>
      </w:pPr>
      <w:r>
        <w:rPr>
          <w:rFonts w:ascii="Times New Roman" w:hAnsi="Times New Roman" w:cs="Times New Roman" w:eastAsia="Times New Roman" w:hint="default"/>
        </w:rPr>
        <w:t>100.00%</w:t>
      </w:r>
      <w:r>
        <w:rPr>
          <w:rFonts w:ascii="Times New Roman" w:hAnsi="Times New Roman" w:cs="Times New Roman" w:eastAsia="Times New Roman" w:hint="default"/>
          <w:spacing w:val="10"/>
        </w:rPr>
        <w:t> </w:t>
      </w:r>
      <w:r>
        <w:rPr>
          <w:position w:val="-11"/>
        </w:rPr>
        <w:t>业合并</w:t>
      </w:r>
      <w:r>
        <w:rPr/>
      </w:r>
    </w:p>
    <w:p>
      <w:pPr>
        <w:pStyle w:val="BodyText"/>
        <w:spacing w:line="196" w:lineRule="exact" w:before="203"/>
        <w:ind w:left="882" w:right="0"/>
        <w:jc w:val="left"/>
      </w:pPr>
      <w:r>
        <w:rPr/>
        <w:t>非同一控制下企</w:t>
      </w:r>
    </w:p>
    <w:p>
      <w:pPr>
        <w:pStyle w:val="BodyText"/>
        <w:spacing w:line="274" w:lineRule="exact"/>
        <w:ind w:left="181" w:right="1258"/>
        <w:jc w:val="left"/>
      </w:pPr>
      <w:r>
        <w:rPr>
          <w:rFonts w:ascii="Times New Roman" w:hAnsi="Times New Roman" w:cs="Times New Roman" w:eastAsia="Times New Roman" w:hint="default"/>
        </w:rPr>
        <w:t>100.00%</w:t>
      </w:r>
      <w:r>
        <w:rPr>
          <w:rFonts w:ascii="Times New Roman" w:hAnsi="Times New Roman" w:cs="Times New Roman" w:eastAsia="Times New Roman" w:hint="default"/>
          <w:spacing w:val="10"/>
        </w:rPr>
        <w:t> </w:t>
      </w:r>
      <w:r>
        <w:rPr>
          <w:position w:val="-11"/>
        </w:rPr>
        <w:t>业合并</w:t>
      </w:r>
      <w:r>
        <w:rPr/>
      </w:r>
    </w:p>
    <w:p>
      <w:pPr>
        <w:pStyle w:val="BodyText"/>
        <w:spacing w:line="196" w:lineRule="exact" w:before="87"/>
        <w:ind w:left="882" w:right="0"/>
        <w:jc w:val="left"/>
      </w:pPr>
      <w:r>
        <w:rPr/>
        <w:t>非同一控制下企</w:t>
      </w:r>
    </w:p>
    <w:p>
      <w:pPr>
        <w:pStyle w:val="BodyText"/>
        <w:spacing w:line="274" w:lineRule="exact"/>
        <w:ind w:left="181" w:right="1258"/>
        <w:jc w:val="left"/>
      </w:pPr>
      <w:r>
        <w:rPr>
          <w:rFonts w:ascii="Times New Roman" w:hAnsi="Times New Roman" w:cs="Times New Roman" w:eastAsia="Times New Roman" w:hint="default"/>
        </w:rPr>
        <w:t>100.00%</w:t>
      </w:r>
      <w:r>
        <w:rPr>
          <w:rFonts w:ascii="Times New Roman" w:hAnsi="Times New Roman" w:cs="Times New Roman" w:eastAsia="Times New Roman" w:hint="default"/>
          <w:spacing w:val="10"/>
        </w:rPr>
        <w:t> </w:t>
      </w:r>
      <w:r>
        <w:rPr>
          <w:position w:val="-11"/>
        </w:rPr>
        <w:t>业合并</w:t>
      </w:r>
      <w:r>
        <w:rPr/>
      </w:r>
    </w:p>
    <w:p>
      <w:pPr>
        <w:pStyle w:val="BodyText"/>
        <w:spacing w:line="196" w:lineRule="exact" w:before="203"/>
        <w:ind w:left="882" w:right="0"/>
        <w:jc w:val="left"/>
      </w:pPr>
      <w:r>
        <w:rPr/>
        <w:t>非同一控制下企</w:t>
      </w:r>
    </w:p>
    <w:p>
      <w:pPr>
        <w:pStyle w:val="BodyText"/>
        <w:spacing w:line="274" w:lineRule="exact"/>
        <w:ind w:left="181" w:right="1258"/>
        <w:jc w:val="left"/>
      </w:pPr>
      <w:r>
        <w:rPr>
          <w:rFonts w:ascii="Times New Roman" w:hAnsi="Times New Roman" w:cs="Times New Roman" w:eastAsia="Times New Roman" w:hint="default"/>
        </w:rPr>
        <w:t>100.00%</w:t>
      </w:r>
      <w:r>
        <w:rPr>
          <w:rFonts w:ascii="Times New Roman" w:hAnsi="Times New Roman" w:cs="Times New Roman" w:eastAsia="Times New Roman" w:hint="default"/>
          <w:spacing w:val="10"/>
        </w:rPr>
        <w:t> </w:t>
      </w:r>
      <w:r>
        <w:rPr>
          <w:position w:val="-11"/>
        </w:rPr>
        <w:t>业合并</w:t>
      </w:r>
      <w:r>
        <w:rPr/>
      </w:r>
    </w:p>
    <w:p>
      <w:pPr>
        <w:spacing w:line="240" w:lineRule="auto" w:before="6"/>
        <w:rPr>
          <w:rFonts w:ascii="宋体" w:hAnsi="宋体" w:cs="宋体" w:eastAsia="宋体" w:hint="default"/>
          <w:sz w:val="24"/>
          <w:szCs w:val="24"/>
        </w:rPr>
      </w:pPr>
    </w:p>
    <w:p>
      <w:pPr>
        <w:pStyle w:val="BodyText"/>
        <w:spacing w:line="196" w:lineRule="exact"/>
        <w:ind w:left="882" w:right="0"/>
        <w:jc w:val="left"/>
      </w:pPr>
      <w:r>
        <w:rPr/>
        <w:t>非同一控制下企</w:t>
      </w:r>
    </w:p>
    <w:p>
      <w:pPr>
        <w:pStyle w:val="BodyText"/>
        <w:spacing w:line="274" w:lineRule="exact"/>
        <w:ind w:left="181" w:right="1258"/>
        <w:jc w:val="left"/>
      </w:pPr>
      <w:r>
        <w:rPr>
          <w:rFonts w:ascii="Times New Roman" w:hAnsi="Times New Roman" w:cs="Times New Roman" w:eastAsia="Times New Roman" w:hint="default"/>
        </w:rPr>
        <w:t>100.00%</w:t>
      </w:r>
      <w:r>
        <w:rPr>
          <w:rFonts w:ascii="Times New Roman" w:hAnsi="Times New Roman" w:cs="Times New Roman" w:eastAsia="Times New Roman" w:hint="default"/>
          <w:spacing w:val="10"/>
        </w:rPr>
        <w:t> </w:t>
      </w:r>
      <w:r>
        <w:rPr>
          <w:position w:val="-11"/>
        </w:rPr>
        <w:t>业合并</w:t>
      </w:r>
      <w:r>
        <w:rPr/>
      </w:r>
    </w:p>
    <w:p>
      <w:pPr>
        <w:spacing w:line="240" w:lineRule="auto" w:before="6"/>
        <w:rPr>
          <w:rFonts w:ascii="宋体" w:hAnsi="宋体" w:cs="宋体" w:eastAsia="宋体" w:hint="default"/>
          <w:sz w:val="31"/>
          <w:szCs w:val="31"/>
        </w:rPr>
      </w:pPr>
    </w:p>
    <w:p>
      <w:pPr>
        <w:pStyle w:val="BodyText"/>
        <w:spacing w:line="173" w:lineRule="exact"/>
        <w:ind w:left="882" w:right="0"/>
        <w:jc w:val="left"/>
      </w:pPr>
      <w:r>
        <w:rPr/>
        <w:t>非同一控制下企</w:t>
      </w:r>
    </w:p>
    <w:p>
      <w:pPr>
        <w:spacing w:after="0" w:line="173" w:lineRule="exact"/>
        <w:jc w:val="left"/>
        <w:sectPr>
          <w:type w:val="continuous"/>
          <w:pgSz w:w="11910" w:h="16840"/>
          <w:pgMar w:top="1580" w:bottom="700" w:left="980" w:right="0"/>
          <w:cols w:num="3" w:equalWidth="0">
            <w:col w:w="1588" w:space="1151"/>
            <w:col w:w="2860" w:space="1907"/>
            <w:col w:w="3424"/>
          </w:cols>
        </w:sectPr>
      </w:pPr>
    </w:p>
    <w:p>
      <w:pPr>
        <w:pStyle w:val="BodyText"/>
        <w:spacing w:line="223" w:lineRule="auto"/>
        <w:ind w:left="181" w:right="0"/>
        <w:jc w:val="both"/>
      </w:pPr>
      <w:r>
        <w:rPr>
          <w:rFonts w:ascii="Times New Roman" w:hAnsi="Times New Roman" w:cs="Times New Roman" w:eastAsia="Times New Roman" w:hint="default"/>
        </w:rPr>
        <w:t>Services</w:t>
      </w:r>
      <w:r>
        <w:rPr>
          <w:rFonts w:ascii="Times New Roman" w:hAnsi="Times New Roman" w:cs="Times New Roman" w:eastAsia="Times New Roman" w:hint="default"/>
          <w:spacing w:val="-6"/>
        </w:rPr>
        <w:t> </w:t>
      </w:r>
      <w:r>
        <w:rPr>
          <w:rFonts w:ascii="Times New Roman" w:hAnsi="Times New Roman" w:cs="Times New Roman" w:eastAsia="Times New Roman" w:hint="default"/>
        </w:rPr>
        <w:t>Ltd.</w:t>
      </w:r>
      <w:r>
        <w:rPr/>
        <w:t>（注</w:t>
      </w:r>
      <w:r>
        <w:rPr>
          <w:spacing w:val="-2"/>
        </w:rPr>
        <w:t> </w:t>
      </w:r>
      <w:r>
        <w:rPr>
          <w:rFonts w:ascii="Times New Roman" w:hAnsi="Times New Roman" w:cs="Times New Roman" w:eastAsia="Times New Roman" w:hint="default"/>
        </w:rPr>
        <w:t>19</w:t>
      </w:r>
      <w:r>
        <w:rPr/>
        <w:t>）</w:t>
      </w:r>
    </w:p>
    <w:p>
      <w:pPr>
        <w:pStyle w:val="BodyText"/>
        <w:spacing w:line="240" w:lineRule="auto" w:before="76"/>
        <w:ind w:left="181" w:right="46"/>
        <w:jc w:val="both"/>
      </w:pPr>
      <w:r>
        <w:rPr/>
        <w:t>神州数码科技发 展有限公司（注 </w:t>
      </w:r>
      <w:r>
        <w:rPr>
          <w:rFonts w:ascii="Times New Roman" w:hAnsi="Times New Roman" w:cs="Times New Roman" w:eastAsia="Times New Roman" w:hint="default"/>
        </w:rPr>
        <w:t>20</w:t>
      </w:r>
      <w:r>
        <w:rPr/>
        <w:t>）</w:t>
      </w:r>
    </w:p>
    <w:p>
      <w:pPr>
        <w:pStyle w:val="BodyText"/>
        <w:tabs>
          <w:tab w:pos="1548" w:val="left" w:leader="none"/>
          <w:tab w:pos="4948" w:val="left" w:leader="none"/>
        </w:tabs>
        <w:spacing w:line="241" w:lineRule="exact"/>
        <w:ind w:left="181" w:right="0"/>
        <w:jc w:val="left"/>
      </w:pPr>
      <w:r>
        <w:rPr>
          <w:w w:val="95"/>
        </w:rPr>
        <w:br w:type="column"/>
      </w:r>
      <w:r>
        <w:rPr>
          <w:rFonts w:ascii="Times New Roman" w:hAnsi="Times New Roman" w:cs="Times New Roman" w:eastAsia="Times New Roman" w:hint="default"/>
          <w:w w:val="95"/>
        </w:rPr>
        <w:t>BVI</w:t>
        <w:tab/>
      </w:r>
      <w:r>
        <w:rPr/>
        <w:t>投资控股</w:t>
        <w:tab/>
      </w:r>
      <w:r>
        <w:rPr>
          <w:rFonts w:ascii="Times New Roman" w:hAnsi="Times New Roman" w:cs="Times New Roman" w:eastAsia="Times New Roman" w:hint="default"/>
        </w:rPr>
        <w:t>100.00%</w:t>
      </w:r>
      <w:r>
        <w:rPr>
          <w:rFonts w:ascii="Times New Roman" w:hAnsi="Times New Roman" w:cs="Times New Roman" w:eastAsia="Times New Roman" w:hint="default"/>
          <w:spacing w:val="10"/>
        </w:rPr>
        <w:t> </w:t>
      </w:r>
      <w:r>
        <w:rPr>
          <w:position w:val="-11"/>
        </w:rPr>
        <w:t>业合并</w:t>
      </w:r>
      <w:r>
        <w:rPr/>
      </w:r>
    </w:p>
    <w:p>
      <w:pPr>
        <w:spacing w:line="240" w:lineRule="auto" w:before="1"/>
        <w:rPr>
          <w:rFonts w:ascii="宋体" w:hAnsi="宋体" w:cs="宋体" w:eastAsia="宋体" w:hint="default"/>
          <w:sz w:val="40"/>
          <w:szCs w:val="40"/>
        </w:rPr>
      </w:pPr>
    </w:p>
    <w:p>
      <w:pPr>
        <w:pStyle w:val="BodyText"/>
        <w:tabs>
          <w:tab w:pos="1548" w:val="left" w:leader="none"/>
          <w:tab w:pos="4948" w:val="left" w:leader="none"/>
        </w:tabs>
        <w:spacing w:line="153" w:lineRule="auto"/>
        <w:ind w:left="5649" w:right="1276" w:hanging="5468"/>
        <w:jc w:val="left"/>
      </w:pPr>
      <w:r>
        <w:rPr/>
        <w:t>香港</w:t>
        <w:tab/>
        <w:t>分销</w:t>
      </w:r>
      <w:r>
        <w:rPr>
          <w:spacing w:val="-46"/>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产品</w:t>
        <w:tab/>
      </w:r>
      <w:r>
        <w:rPr>
          <w:rFonts w:ascii="Times New Roman" w:hAnsi="Times New Roman" w:cs="Times New Roman" w:eastAsia="Times New Roman" w:hint="default"/>
        </w:rPr>
        <w:t>100.00%</w:t>
      </w:r>
      <w:r>
        <w:rPr>
          <w:rFonts w:ascii="Times New Roman" w:hAnsi="Times New Roman" w:cs="Times New Roman" w:eastAsia="Times New Roman" w:hint="default"/>
          <w:spacing w:val="10"/>
        </w:rPr>
        <w:t> </w:t>
      </w:r>
      <w:r>
        <w:rPr>
          <w:position w:val="12"/>
        </w:rPr>
        <w:t>非同一控制下企 </w:t>
      </w:r>
      <w:r>
        <w:rPr/>
        <w:t>业合并</w:t>
      </w:r>
    </w:p>
    <w:p>
      <w:pPr>
        <w:spacing w:after="0" w:line="153" w:lineRule="auto"/>
        <w:jc w:val="left"/>
        <w:sectPr>
          <w:type w:val="continuous"/>
          <w:pgSz w:w="11910" w:h="16840"/>
          <w:pgMar w:top="1580" w:bottom="700" w:left="980" w:right="0"/>
          <w:cols w:num="2" w:equalWidth="0">
            <w:col w:w="1491" w:space="1248"/>
            <w:col w:w="8191"/>
          </w:cols>
        </w:sectPr>
      </w:pPr>
    </w:p>
    <w:p>
      <w:pPr>
        <w:pStyle w:val="BodyText"/>
        <w:spacing w:line="173" w:lineRule="exact" w:before="73"/>
        <w:ind w:left="181" w:right="-15"/>
        <w:jc w:val="left"/>
      </w:pPr>
      <w:r>
        <w:rPr>
          <w:spacing w:val="-5"/>
        </w:rPr>
        <w:t>神州数码（香港）</w:t>
      </w:r>
    </w:p>
    <w:p>
      <w:pPr>
        <w:pStyle w:val="BodyText"/>
        <w:spacing w:line="173" w:lineRule="exact" w:before="73"/>
        <w:ind w:left="181" w:right="-17"/>
        <w:jc w:val="left"/>
      </w:pPr>
      <w:r>
        <w:rPr/>
        <w:br w:type="column"/>
      </w:r>
      <w:r>
        <w:rPr/>
        <w:t>分销</w:t>
      </w:r>
      <w:r>
        <w:rPr>
          <w:spacing w:val="-45"/>
        </w:rPr>
        <w:t> </w:t>
      </w:r>
      <w:r>
        <w:rPr>
          <w:rFonts w:ascii="Times New Roman" w:hAnsi="Times New Roman" w:cs="Times New Roman" w:eastAsia="Times New Roman" w:hint="default"/>
        </w:rPr>
        <w:t>IT </w:t>
      </w:r>
      <w:r>
        <w:rPr>
          <w:spacing w:val="-8"/>
        </w:rPr>
        <w:t>产品、投</w:t>
      </w:r>
    </w:p>
    <w:p>
      <w:pPr>
        <w:pStyle w:val="BodyText"/>
        <w:spacing w:line="173" w:lineRule="exact" w:before="73"/>
        <w:ind w:left="181" w:right="0"/>
        <w:jc w:val="left"/>
      </w:pPr>
      <w:r>
        <w:rPr/>
        <w:br w:type="column"/>
      </w:r>
      <w:r>
        <w:rPr/>
        <w:t>非同一控制下企</w:t>
      </w:r>
    </w:p>
    <w:p>
      <w:pPr>
        <w:spacing w:after="0" w:line="173" w:lineRule="exact"/>
        <w:jc w:val="left"/>
        <w:sectPr>
          <w:type w:val="continuous"/>
          <w:pgSz w:w="11910" w:h="16840"/>
          <w:pgMar w:top="1580" w:bottom="700" w:left="980" w:right="0"/>
          <w:cols w:num="3" w:equalWidth="0">
            <w:col w:w="1587" w:space="2519"/>
            <w:col w:w="1493" w:space="2608"/>
            <w:col w:w="2723"/>
          </w:cols>
        </w:sectPr>
      </w:pPr>
    </w:p>
    <w:p>
      <w:pPr>
        <w:pStyle w:val="BodyText"/>
        <w:spacing w:line="240" w:lineRule="auto" w:before="61"/>
        <w:ind w:left="181" w:right="-18"/>
        <w:jc w:val="left"/>
      </w:pPr>
      <w:r>
        <w:rPr/>
        <w:t>有限公</w:t>
      </w:r>
      <w:r>
        <w:rPr>
          <w:spacing w:val="-81"/>
        </w:rPr>
        <w:t>司</w:t>
      </w:r>
      <w:r>
        <w:rPr/>
        <w:t>（注</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1</w:t>
      </w:r>
      <w:r>
        <w:rPr/>
        <w:t>）</w:t>
      </w:r>
    </w:p>
    <w:p>
      <w:pPr>
        <w:pStyle w:val="BodyText"/>
        <w:tabs>
          <w:tab w:pos="1548" w:val="left" w:leader="none"/>
          <w:tab w:pos="4948" w:val="left" w:leader="none"/>
        </w:tabs>
        <w:spacing w:line="300" w:lineRule="exact"/>
        <w:ind w:left="181" w:right="0"/>
        <w:jc w:val="left"/>
      </w:pPr>
      <w:r>
        <w:rPr/>
        <w:br w:type="column"/>
      </w:r>
      <w:r>
        <w:rPr/>
        <w:t>香港</w:t>
        <w:tab/>
      </w:r>
      <w:r>
        <w:rPr>
          <w:position w:val="-11"/>
        </w:rPr>
        <w:t>资控股</w:t>
        <w:tab/>
      </w:r>
      <w:r>
        <w:rPr>
          <w:rFonts w:ascii="Times New Roman" w:hAnsi="Times New Roman" w:cs="Times New Roman" w:eastAsia="Times New Roman" w:hint="default"/>
        </w:rPr>
        <w:t>100.00%</w:t>
      </w:r>
      <w:r>
        <w:rPr>
          <w:rFonts w:ascii="Times New Roman" w:hAnsi="Times New Roman" w:cs="Times New Roman" w:eastAsia="Times New Roman" w:hint="default"/>
          <w:spacing w:val="10"/>
        </w:rPr>
        <w:t> </w:t>
      </w:r>
      <w:r>
        <w:rPr>
          <w:position w:val="-11"/>
        </w:rPr>
        <w:t>业合并</w:t>
      </w:r>
      <w:r>
        <w:rPr/>
      </w:r>
    </w:p>
    <w:p>
      <w:pPr>
        <w:spacing w:after="0" w:line="300" w:lineRule="exact"/>
        <w:jc w:val="left"/>
        <w:sectPr>
          <w:type w:val="continuous"/>
          <w:pgSz w:w="11910" w:h="16840"/>
          <w:pgMar w:top="1580" w:bottom="700" w:left="980" w:right="0"/>
          <w:cols w:num="2" w:equalWidth="0">
            <w:col w:w="1588" w:space="1151"/>
            <w:col w:w="8191"/>
          </w:cols>
        </w:sectPr>
      </w:pPr>
    </w:p>
    <w:p>
      <w:pPr>
        <w:pStyle w:val="BodyText"/>
        <w:spacing w:line="232" w:lineRule="exact" w:before="118"/>
        <w:ind w:left="181" w:right="-20"/>
        <w:jc w:val="left"/>
      </w:pPr>
      <w:r>
        <w:rPr/>
        <w:pict>
          <v:group style="position:absolute;margin-left:56.459999pt;margin-top:71.759979pt;width:479.1pt;height:695.2pt;mso-position-horizontal-relative:page;mso-position-vertical-relative:page;z-index:-1464856" coordorigin="1129,1435" coordsize="9582,13904">
            <v:group style="position:absolute;left:1150;top:1450;width:2;height:315" coordorigin="1150,1450" coordsize="2,315">
              <v:shape style="position:absolute;left:1150;top:1450;width:2;height:315" coordorigin="1150,1450" coordsize="0,315" path="m1150,1450l1150,1764e" filled="false" stroked="true" strokeweight="1.140pt" strokecolor="#d2d2d2">
                <v:path arrowok="t"/>
              </v:shape>
            </v:group>
            <v:group style="position:absolute;left:2489;top:1450;width:2;height:315" coordorigin="2489,1450" coordsize="2,315">
              <v:shape style="position:absolute;left:2489;top:1450;width:2;height:315" coordorigin="2489,1450" coordsize="0,315" path="m2489,1450l2489,1764e" filled="false" stroked="true" strokeweight="1.140pt" strokecolor="#d2d2d2">
                <v:path arrowok="t"/>
              </v:shape>
            </v:group>
            <v:group style="position:absolute;left:1162;top:1450;width:1316;height:315" coordorigin="1162,1450" coordsize="1316,315">
              <v:shape style="position:absolute;left:1162;top:1450;width:1316;height:315" coordorigin="1162,1450" coordsize="1316,315" path="m1162,1764l2477,1764,2477,1450,1162,1450,1162,1764xe" filled="true" fillcolor="#d2d2d2" stroked="false">
                <v:path arrowok="t"/>
                <v:fill type="solid"/>
              </v:shape>
            </v:group>
            <v:group style="position:absolute;left:2522;top:1450;width:2;height:315" coordorigin="2522,1450" coordsize="2,315">
              <v:shape style="position:absolute;left:2522;top:1450;width:2;height:315" coordorigin="2522,1450" coordsize="0,315" path="m2522,1450l2522,1764e" filled="false" stroked="true" strokeweight="1.140pt" strokecolor="#d2d2d2">
                <v:path arrowok="t"/>
              </v:shape>
            </v:group>
            <v:group style="position:absolute;left:3856;top:1450;width:2;height:315" coordorigin="3856,1450" coordsize="2,315">
              <v:shape style="position:absolute;left:3856;top:1450;width:2;height:315" coordorigin="3856,1450" coordsize="0,315" path="m3856,1450l3856,1764e" filled="false" stroked="true" strokeweight="1.2pt" strokecolor="#d2d2d2">
                <v:path arrowok="t"/>
              </v:shape>
            </v:group>
            <v:group style="position:absolute;left:2534;top:1450;width:1311;height:315" coordorigin="2534,1450" coordsize="1311,315">
              <v:shape style="position:absolute;left:2534;top:1450;width:1311;height:315" coordorigin="2534,1450" coordsize="1311,315" path="m2534,1764l3844,1764,3844,1450,2534,1450,2534,1764xe" filled="true" fillcolor="#d2d2d2" stroked="false">
                <v:path arrowok="t"/>
                <v:fill type="solid"/>
              </v:shape>
            </v:group>
            <v:group style="position:absolute;left:3889;top:1450;width:2;height:315" coordorigin="3889,1450" coordsize="2,315">
              <v:shape style="position:absolute;left:3889;top:1450;width:2;height:315" coordorigin="3889,1450" coordsize="0,315" path="m3889,1450l3889,1764e" filled="false" stroked="true" strokeweight="1.140pt" strokecolor="#d2d2d2">
                <v:path arrowok="t"/>
              </v:shape>
            </v:group>
            <v:group style="position:absolute;left:5223;top:1450;width:2;height:315" coordorigin="5223,1450" coordsize="2,315">
              <v:shape style="position:absolute;left:5223;top:1450;width:2;height:315" coordorigin="5223,1450" coordsize="0,315" path="m5223,1450l5223,1764e" filled="false" stroked="true" strokeweight="1.2pt" strokecolor="#d2d2d2">
                <v:path arrowok="t"/>
              </v:shape>
            </v:group>
            <v:group style="position:absolute;left:3900;top:1450;width:1311;height:315" coordorigin="3900,1450" coordsize="1311,315">
              <v:shape style="position:absolute;left:3900;top:1450;width:1311;height:315" coordorigin="3900,1450" coordsize="1311,315" path="m3900,1764l5211,1764,5211,1450,3900,1450,3900,1764xe" filled="true" fillcolor="#d2d2d2" stroked="false">
                <v:path arrowok="t"/>
                <v:fill type="solid"/>
              </v:shape>
            </v:group>
            <v:group style="position:absolute;left:5256;top:1450;width:2;height:315" coordorigin="5256,1450" coordsize="2,315">
              <v:shape style="position:absolute;left:5256;top:1450;width:2;height:315" coordorigin="5256,1450" coordsize="0,315" path="m5256,1450l5256,1764e" filled="false" stroked="true" strokeweight="1.140pt" strokecolor="#d2d2d2">
                <v:path arrowok="t"/>
              </v:shape>
            </v:group>
            <v:group style="position:absolute;left:6591;top:1450;width:2;height:315" coordorigin="6591,1450" coordsize="2,315">
              <v:shape style="position:absolute;left:6591;top:1450;width:2;height:315" coordorigin="6591,1450" coordsize="0,315" path="m6591,1450l6591,1764e" filled="false" stroked="true" strokeweight="1.140pt" strokecolor="#d2d2d2">
                <v:path arrowok="t"/>
              </v:shape>
            </v:group>
            <v:group style="position:absolute;left:5268;top:1450;width:1312;height:315" coordorigin="5268,1450" coordsize="1312,315">
              <v:shape style="position:absolute;left:5268;top:1450;width:1312;height:315" coordorigin="5268,1450" coordsize="1312,315" path="m5268,1764l6579,1764,6579,1450,5268,1450,5268,1764xe" filled="true" fillcolor="#d2d2d2" stroked="false">
                <v:path arrowok="t"/>
                <v:fill type="solid"/>
              </v:shape>
            </v:group>
            <v:group style="position:absolute;left:6623;top:1450;width:2;height:315" coordorigin="6623,1450" coordsize="2,315">
              <v:shape style="position:absolute;left:6623;top:1450;width:2;height:315" coordorigin="6623,1450" coordsize="0,315" path="m6623,1450l6623,1764e" filled="false" stroked="true" strokeweight="1.140pt" strokecolor="#d2d2d2">
                <v:path arrowok="t"/>
              </v:shape>
            </v:group>
            <v:group style="position:absolute;left:9323;top:1450;width:2;height:315" coordorigin="9323,1450" coordsize="2,315">
              <v:shape style="position:absolute;left:9323;top:1450;width:2;height:315" coordorigin="9323,1450" coordsize="0,315" path="m9323,1450l9323,1764e" filled="false" stroked="true" strokeweight="1.140pt" strokecolor="#d2d2d2">
                <v:path arrowok="t"/>
              </v:shape>
            </v:group>
            <v:group style="position:absolute;left:6634;top:1450;width:2678;height:315" coordorigin="6634,1450" coordsize="2678,315">
              <v:shape style="position:absolute;left:6634;top:1450;width:2678;height:315" coordorigin="6634,1450" coordsize="2678,315" path="m6634,1764l9312,1764,9312,1450,6634,1450,6634,1764xe" filled="true" fillcolor="#d2d2d2" stroked="false">
                <v:path arrowok="t"/>
                <v:fill type="solid"/>
              </v:shape>
            </v:group>
            <v:group style="position:absolute;left:9357;top:1450;width:2;height:315" coordorigin="9357,1450" coordsize="2,315">
              <v:shape style="position:absolute;left:9357;top:1450;width:2;height:315" coordorigin="9357,1450" coordsize="0,315" path="m9357,1450l9357,1764e" filled="false" stroked="true" strokeweight="1.140pt" strokecolor="#d2d2d2">
                <v:path arrowok="t"/>
              </v:shape>
            </v:group>
            <v:group style="position:absolute;left:10690;top:1450;width:2;height:315" coordorigin="10690,1450" coordsize="2,315">
              <v:shape style="position:absolute;left:10690;top:1450;width:2;height:315" coordorigin="10690,1450" coordsize="0,315" path="m10690,1450l10690,1764e" filled="false" stroked="true" strokeweight="1.2pt" strokecolor="#d2d2d2">
                <v:path arrowok="t"/>
              </v:shape>
            </v:group>
            <v:group style="position:absolute;left:9368;top:1450;width:1310;height:315" coordorigin="9368,1450" coordsize="1310,315">
              <v:shape style="position:absolute;left:9368;top:1450;width:1310;height:315" coordorigin="9368,1450" coordsize="1310,315" path="m9368,1764l10678,1764,10678,1450,9368,1450,9368,1764xe" filled="true" fillcolor="#d2d2d2" stroked="false">
                <v:path arrowok="t"/>
                <v:fill type="solid"/>
              </v:shape>
            </v:group>
            <v:group style="position:absolute;left:1139;top:1445;width:1363;height:2" coordorigin="1139,1445" coordsize="1363,2">
              <v:shape style="position:absolute;left:1139;top:1445;width:1363;height:2" coordorigin="1139,1445" coordsize="1363,0" path="m1139,1445l2501,1445e" filled="false" stroked="true" strokeweight=".48pt" strokecolor="#000000">
                <v:path arrowok="t"/>
              </v:shape>
            </v:group>
            <v:group style="position:absolute;left:2511;top:1445;width:1358;height:2" coordorigin="2511,1445" coordsize="1358,2">
              <v:shape style="position:absolute;left:2511;top:1445;width:1358;height:2" coordorigin="2511,1445" coordsize="1358,0" path="m2511,1445l3868,1445e" filled="false" stroked="true" strokeweight=".48pt" strokecolor="#000000">
                <v:path arrowok="t"/>
              </v:shape>
            </v:group>
            <v:group style="position:absolute;left:3878;top:1445;width:1358;height:2" coordorigin="3878,1445" coordsize="1358,2">
              <v:shape style="position:absolute;left:3878;top:1445;width:1358;height:2" coordorigin="3878,1445" coordsize="1358,0" path="m3878,1445l5235,1445e" filled="false" stroked="true" strokeweight=".48pt" strokecolor="#000000">
                <v:path arrowok="t"/>
              </v:shape>
            </v:group>
            <v:group style="position:absolute;left:5245;top:1445;width:1358;height:2" coordorigin="5245,1445" coordsize="1358,2">
              <v:shape style="position:absolute;left:5245;top:1445;width:1358;height:2" coordorigin="5245,1445" coordsize="1358,0" path="m5245,1445l6602,1445e" filled="false" stroked="true" strokeweight=".48pt" strokecolor="#000000">
                <v:path arrowok="t"/>
              </v:shape>
            </v:group>
            <v:group style="position:absolute;left:6612;top:1445;width:2725;height:2" coordorigin="6612,1445" coordsize="2725,2">
              <v:shape style="position:absolute;left:6612;top:1445;width:2725;height:2" coordorigin="6612,1445" coordsize="2725,0" path="m6612,1445l9336,1445e" filled="false" stroked="true" strokeweight=".48pt" strokecolor="#000000">
                <v:path arrowok="t"/>
              </v:shape>
            </v:group>
            <v:group style="position:absolute;left:9346;top:1445;width:1356;height:2" coordorigin="9346,1445" coordsize="1356,2">
              <v:shape style="position:absolute;left:9346;top:1445;width:1356;height:2" coordorigin="9346,1445" coordsize="1356,0" path="m9346,1445l10702,1445e" filled="false" stroked="true" strokeweight=".48pt" strokecolor="#000000">
                <v:path arrowok="t"/>
              </v:shape>
            </v:group>
            <v:group style="position:absolute;left:2511;top:1774;width:1358;height:274" coordorigin="2511,1774" coordsize="1358,274">
              <v:shape style="position:absolute;left:2511;top:1774;width:1358;height:274" coordorigin="2511,1774" coordsize="1358,274" path="m2511,2047l3868,2047,3868,1774,2511,1774,2511,2047xe" filled="true" fillcolor="#ffffff" stroked="false">
                <v:path arrowok="t"/>
                <v:fill type="solid"/>
              </v:shape>
            </v:group>
            <v:group style="position:absolute;left:1139;top:1769;width:1363;height:2" coordorigin="1139,1769" coordsize="1363,2">
              <v:shape style="position:absolute;left:1139;top:1769;width:1363;height:2" coordorigin="1139,1769" coordsize="1363,0" path="m1139,1769l2501,1769e" filled="false" stroked="true" strokeweight=".48pt" strokecolor="#000000">
                <v:path arrowok="t"/>
              </v:shape>
            </v:group>
            <v:group style="position:absolute;left:2511;top:1769;width:1358;height:2" coordorigin="2511,1769" coordsize="1358,2">
              <v:shape style="position:absolute;left:2511;top:1769;width:1358;height:2" coordorigin="2511,1769" coordsize="1358,0" path="m2511,1769l3868,1769e" filled="false" stroked="true" strokeweight=".48pt" strokecolor="#000000">
                <v:path arrowok="t"/>
              </v:shape>
            </v:group>
            <v:group style="position:absolute;left:3878;top:1769;width:1358;height:2" coordorigin="3878,1769" coordsize="1358,2">
              <v:shape style="position:absolute;left:3878;top:1769;width:1358;height:2" coordorigin="3878,1769" coordsize="1358,0" path="m3878,1769l5235,1769e" filled="false" stroked="true" strokeweight=".48pt" strokecolor="#000000">
                <v:path arrowok="t"/>
              </v:shape>
            </v:group>
            <v:group style="position:absolute;left:5245;top:1769;width:1358;height:2" coordorigin="5245,1769" coordsize="1358,2">
              <v:shape style="position:absolute;left:5245;top:1769;width:1358;height:2" coordorigin="5245,1769" coordsize="1358,0" path="m5245,1769l6602,1769e" filled="false" stroked="true" strokeweight=".48pt" strokecolor="#000000">
                <v:path arrowok="t"/>
              </v:shape>
            </v:group>
            <v:group style="position:absolute;left:6612;top:1769;width:1358;height:2" coordorigin="6612,1769" coordsize="1358,2">
              <v:shape style="position:absolute;left:6612;top:1769;width:1358;height:2" coordorigin="6612,1769" coordsize="1358,0" path="m6612,1769l7969,1769e" filled="false" stroked="true" strokeweight=".48pt" strokecolor="#000000">
                <v:path arrowok="t"/>
              </v:shape>
            </v:group>
            <v:group style="position:absolute;left:7978;top:1769;width:1358;height:2" coordorigin="7978,1769" coordsize="1358,2">
              <v:shape style="position:absolute;left:7978;top:1769;width:1358;height:2" coordorigin="7978,1769" coordsize="1358,0" path="m7978,1769l9336,1769e" filled="false" stroked="true" strokeweight=".48pt" strokecolor="#000000">
                <v:path arrowok="t"/>
              </v:shape>
            </v:group>
            <v:group style="position:absolute;left:9346;top:1769;width:1356;height:2" coordorigin="9346,1769" coordsize="1356,2">
              <v:shape style="position:absolute;left:9346;top:1769;width:1356;height:2" coordorigin="9346,1769" coordsize="1356,0" path="m9346,1769l10702,1769e" filled="false" stroked="true" strokeweight=".48pt" strokecolor="#000000">
                <v:path arrowok="t"/>
              </v:shape>
            </v:group>
            <v:group style="position:absolute;left:1139;top:2052;width:1363;height:2" coordorigin="1139,2052" coordsize="1363,2">
              <v:shape style="position:absolute;left:1139;top:2052;width:1363;height:2" coordorigin="1139,2052" coordsize="1363,0" path="m1139,2052l2501,2052e" filled="false" stroked="true" strokeweight=".48pt" strokecolor="#000000">
                <v:path arrowok="t"/>
              </v:shape>
            </v:group>
            <v:group style="position:absolute;left:2511;top:2052;width:1358;height:2" coordorigin="2511,2052" coordsize="1358,2">
              <v:shape style="position:absolute;left:2511;top:2052;width:1358;height:2" coordorigin="2511,2052" coordsize="1358,0" path="m2511,2052l3868,2052e" filled="false" stroked="true" strokeweight=".48pt" strokecolor="#000000">
                <v:path arrowok="t"/>
              </v:shape>
            </v:group>
            <v:group style="position:absolute;left:3878;top:2052;width:1358;height:2" coordorigin="3878,2052" coordsize="1358,2">
              <v:shape style="position:absolute;left:3878;top:2052;width:1358;height:2" coordorigin="3878,2052" coordsize="1358,0" path="m3878,2052l5235,2052e" filled="false" stroked="true" strokeweight=".48pt" strokecolor="#000000">
                <v:path arrowok="t"/>
              </v:shape>
            </v:group>
            <v:group style="position:absolute;left:5245;top:2052;width:1358;height:2" coordorigin="5245,2052" coordsize="1358,2">
              <v:shape style="position:absolute;left:5245;top:2052;width:1358;height:2" coordorigin="5245,2052" coordsize="1358,0" path="m5245,2052l6602,2052e" filled="false" stroked="true" strokeweight=".48pt" strokecolor="#000000">
                <v:path arrowok="t"/>
              </v:shape>
            </v:group>
            <v:group style="position:absolute;left:6612;top:2052;width:1358;height:2" coordorigin="6612,2052" coordsize="1358,2">
              <v:shape style="position:absolute;left:6612;top:2052;width:1358;height:2" coordorigin="6612,2052" coordsize="1358,0" path="m6612,2052l7969,2052e" filled="false" stroked="true" strokeweight=".48pt" strokecolor="#000000">
                <v:path arrowok="t"/>
              </v:shape>
            </v:group>
            <v:group style="position:absolute;left:7978;top:2052;width:1358;height:2" coordorigin="7978,2052" coordsize="1358,2">
              <v:shape style="position:absolute;left:7978;top:2052;width:1358;height:2" coordorigin="7978,2052" coordsize="1358,0" path="m7978,2052l9336,2052e" filled="false" stroked="true" strokeweight=".48pt" strokecolor="#000000">
                <v:path arrowok="t"/>
              </v:shape>
            </v:group>
            <v:group style="position:absolute;left:9346;top:2052;width:1356;height:2" coordorigin="9346,2052" coordsize="1356,2">
              <v:shape style="position:absolute;left:9346;top:2052;width:1356;height:2" coordorigin="9346,2052" coordsize="1356,0" path="m9346,2052l10702,2052e" filled="false" stroked="true" strokeweight=".48pt" strokecolor="#000000">
                <v:path arrowok="t"/>
              </v:shape>
            </v:group>
            <v:group style="position:absolute;left:1139;top:2609;width:1363;height:2" coordorigin="1139,2609" coordsize="1363,2">
              <v:shape style="position:absolute;left:1139;top:2609;width:1363;height:2" coordorigin="1139,2609" coordsize="1363,0" path="m1139,2609l2501,2609e" filled="false" stroked="true" strokeweight=".48pt" strokecolor="#000000">
                <v:path arrowok="t"/>
              </v:shape>
            </v:group>
            <v:group style="position:absolute;left:2511;top:2609;width:1358;height:2" coordorigin="2511,2609" coordsize="1358,2">
              <v:shape style="position:absolute;left:2511;top:2609;width:1358;height:2" coordorigin="2511,2609" coordsize="1358,0" path="m2511,2609l3868,2609e" filled="false" stroked="true" strokeweight=".48pt" strokecolor="#000000">
                <v:path arrowok="t"/>
              </v:shape>
            </v:group>
            <v:group style="position:absolute;left:3878;top:2609;width:1358;height:2" coordorigin="3878,2609" coordsize="1358,2">
              <v:shape style="position:absolute;left:3878;top:2609;width:1358;height:2" coordorigin="3878,2609" coordsize="1358,0" path="m3878,2609l5235,2609e" filled="false" stroked="true" strokeweight=".48pt" strokecolor="#000000">
                <v:path arrowok="t"/>
              </v:shape>
            </v:group>
            <v:group style="position:absolute;left:5245;top:2609;width:1358;height:2" coordorigin="5245,2609" coordsize="1358,2">
              <v:shape style="position:absolute;left:5245;top:2609;width:1358;height:2" coordorigin="5245,2609" coordsize="1358,0" path="m5245,2609l6602,2609e" filled="false" stroked="true" strokeweight=".48pt" strokecolor="#000000">
                <v:path arrowok="t"/>
              </v:shape>
            </v:group>
            <v:group style="position:absolute;left:6612;top:2609;width:1358;height:2" coordorigin="6612,2609" coordsize="1358,2">
              <v:shape style="position:absolute;left:6612;top:2609;width:1358;height:2" coordorigin="6612,2609" coordsize="1358,0" path="m6612,2609l7969,2609e" filled="false" stroked="true" strokeweight=".48pt" strokecolor="#000000">
                <v:path arrowok="t"/>
              </v:shape>
            </v:group>
            <v:group style="position:absolute;left:7978;top:2609;width:1358;height:2" coordorigin="7978,2609" coordsize="1358,2">
              <v:shape style="position:absolute;left:7978;top:2609;width:1358;height:2" coordorigin="7978,2609" coordsize="1358,0" path="m7978,2609l9336,2609e" filled="false" stroked="true" strokeweight=".48pt" strokecolor="#000000">
                <v:path arrowok="t"/>
              </v:shape>
            </v:group>
            <v:group style="position:absolute;left:9346;top:2609;width:1356;height:2" coordorigin="9346,2609" coordsize="1356,2">
              <v:shape style="position:absolute;left:9346;top:2609;width:1356;height:2" coordorigin="9346,2609" coordsize="1356,0" path="m9346,2609l10702,2609e" filled="false" stroked="true" strokeweight=".48pt" strokecolor="#000000">
                <v:path arrowok="t"/>
              </v:shape>
            </v:group>
            <v:group style="position:absolute;left:1139;top:3166;width:1363;height:2" coordorigin="1139,3166" coordsize="1363,2">
              <v:shape style="position:absolute;left:1139;top:3166;width:1363;height:2" coordorigin="1139,3166" coordsize="1363,0" path="m1139,3166l2501,3166e" filled="false" stroked="true" strokeweight=".48pt" strokecolor="#000000">
                <v:path arrowok="t"/>
              </v:shape>
            </v:group>
            <v:group style="position:absolute;left:2511;top:3166;width:1358;height:2" coordorigin="2511,3166" coordsize="1358,2">
              <v:shape style="position:absolute;left:2511;top:3166;width:1358;height:2" coordorigin="2511,3166" coordsize="1358,0" path="m2511,3166l3868,3166e" filled="false" stroked="true" strokeweight=".48pt" strokecolor="#000000">
                <v:path arrowok="t"/>
              </v:shape>
            </v:group>
            <v:group style="position:absolute;left:3878;top:3166;width:1358;height:2" coordorigin="3878,3166" coordsize="1358,2">
              <v:shape style="position:absolute;left:3878;top:3166;width:1358;height:2" coordorigin="3878,3166" coordsize="1358,0" path="m3878,3166l5235,3166e" filled="false" stroked="true" strokeweight=".48pt" strokecolor="#000000">
                <v:path arrowok="t"/>
              </v:shape>
            </v:group>
            <v:group style="position:absolute;left:5245;top:3166;width:1358;height:2" coordorigin="5245,3166" coordsize="1358,2">
              <v:shape style="position:absolute;left:5245;top:3166;width:1358;height:2" coordorigin="5245,3166" coordsize="1358,0" path="m5245,3166l6602,3166e" filled="false" stroked="true" strokeweight=".48pt" strokecolor="#000000">
                <v:path arrowok="t"/>
              </v:shape>
            </v:group>
            <v:group style="position:absolute;left:6612;top:3166;width:1358;height:2" coordorigin="6612,3166" coordsize="1358,2">
              <v:shape style="position:absolute;left:6612;top:3166;width:1358;height:2" coordorigin="6612,3166" coordsize="1358,0" path="m6612,3166l7969,3166e" filled="false" stroked="true" strokeweight=".48pt" strokecolor="#000000">
                <v:path arrowok="t"/>
              </v:shape>
            </v:group>
            <v:group style="position:absolute;left:7978;top:3166;width:1358;height:2" coordorigin="7978,3166" coordsize="1358,2">
              <v:shape style="position:absolute;left:7978;top:3166;width:1358;height:2" coordorigin="7978,3166" coordsize="1358,0" path="m7978,3166l9336,3166e" filled="false" stroked="true" strokeweight=".48pt" strokecolor="#000000">
                <v:path arrowok="t"/>
              </v:shape>
            </v:group>
            <v:group style="position:absolute;left:9346;top:3166;width:1356;height:2" coordorigin="9346,3166" coordsize="1356,2">
              <v:shape style="position:absolute;left:9346;top:3166;width:1356;height:2" coordorigin="9346,3166" coordsize="1356,0" path="m9346,3166l10702,3166e" filled="false" stroked="true" strokeweight=".48pt" strokecolor="#000000">
                <v:path arrowok="t"/>
              </v:shape>
            </v:group>
            <v:group style="position:absolute;left:2511;top:3728;width:1358;height:131" coordorigin="2511,3728" coordsize="1358,131">
              <v:shape style="position:absolute;left:2511;top:3728;width:1358;height:131" coordorigin="2511,3728" coordsize="1358,131" path="m2511,3858l3868,3858,3868,3728,2511,3728,2511,3858xe" filled="true" fillcolor="#ffffff" stroked="false">
                <v:path arrowok="t"/>
                <v:fill type="solid"/>
              </v:shape>
            </v:group>
            <v:group style="position:absolute;left:2522;top:3858;width:2;height:287" coordorigin="2522,3858" coordsize="2,287">
              <v:shape style="position:absolute;left:2522;top:3858;width:2;height:287" coordorigin="2522,3858" coordsize="0,287" path="m2522,3858l2522,4145e" filled="false" stroked="true" strokeweight="1.140pt" strokecolor="#ffffff">
                <v:path arrowok="t"/>
              </v:shape>
            </v:group>
            <v:group style="position:absolute;left:2511;top:4145;width:1358;height:130" coordorigin="2511,4145" coordsize="1358,130">
              <v:shape style="position:absolute;left:2511;top:4145;width:1358;height:130" coordorigin="2511,4145" coordsize="1358,130" path="m2511,4275l3868,4275,3868,4145,2511,4145,2511,4275xe" filled="true" fillcolor="#ffffff" stroked="false">
                <v:path arrowok="t"/>
                <v:fill type="solid"/>
              </v:shape>
            </v:group>
            <v:group style="position:absolute;left:2534;top:3858;width:1311;height:287" coordorigin="2534,3858" coordsize="1311,287">
              <v:shape style="position:absolute;left:2534;top:3858;width:1311;height:287" coordorigin="2534,3858" coordsize="1311,287" path="m2534,4145l3844,4145,3844,3858,2534,3858,2534,4145xe" filled="true" fillcolor="#ffffff" stroked="false">
                <v:path arrowok="t"/>
                <v:fill type="solid"/>
              </v:shape>
            </v:group>
            <v:group style="position:absolute;left:1139;top:3723;width:1363;height:2" coordorigin="1139,3723" coordsize="1363,2">
              <v:shape style="position:absolute;left:1139;top:3723;width:1363;height:2" coordorigin="1139,3723" coordsize="1363,0" path="m1139,3723l2501,3723e" filled="false" stroked="true" strokeweight=".48pt" strokecolor="#000000">
                <v:path arrowok="t"/>
              </v:shape>
            </v:group>
            <v:group style="position:absolute;left:2511;top:3723;width:1358;height:2" coordorigin="2511,3723" coordsize="1358,2">
              <v:shape style="position:absolute;left:2511;top:3723;width:1358;height:2" coordorigin="2511,3723" coordsize="1358,0" path="m2511,3723l3868,3723e" filled="false" stroked="true" strokeweight=".48pt" strokecolor="#000000">
                <v:path arrowok="t"/>
              </v:shape>
            </v:group>
            <v:group style="position:absolute;left:3878;top:3723;width:1358;height:2" coordorigin="3878,3723" coordsize="1358,2">
              <v:shape style="position:absolute;left:3878;top:3723;width:1358;height:2" coordorigin="3878,3723" coordsize="1358,0" path="m3878,3723l5235,3723e" filled="false" stroked="true" strokeweight=".48pt" strokecolor="#000000">
                <v:path arrowok="t"/>
              </v:shape>
            </v:group>
            <v:group style="position:absolute;left:5245;top:3723;width:1358;height:2" coordorigin="5245,3723" coordsize="1358,2">
              <v:shape style="position:absolute;left:5245;top:3723;width:1358;height:2" coordorigin="5245,3723" coordsize="1358,0" path="m5245,3723l6602,3723e" filled="false" stroked="true" strokeweight=".48pt" strokecolor="#000000">
                <v:path arrowok="t"/>
              </v:shape>
            </v:group>
            <v:group style="position:absolute;left:6612;top:3723;width:1358;height:2" coordorigin="6612,3723" coordsize="1358,2">
              <v:shape style="position:absolute;left:6612;top:3723;width:1358;height:2" coordorigin="6612,3723" coordsize="1358,0" path="m6612,3723l7969,3723e" filled="false" stroked="true" strokeweight=".48pt" strokecolor="#000000">
                <v:path arrowok="t"/>
              </v:shape>
            </v:group>
            <v:group style="position:absolute;left:7978;top:3723;width:1358;height:2" coordorigin="7978,3723" coordsize="1358,2">
              <v:shape style="position:absolute;left:7978;top:3723;width:1358;height:2" coordorigin="7978,3723" coordsize="1358,0" path="m7978,3723l9336,3723e" filled="false" stroked="true" strokeweight=".48pt" strokecolor="#000000">
                <v:path arrowok="t"/>
              </v:shape>
            </v:group>
            <v:group style="position:absolute;left:9346;top:3723;width:1356;height:2" coordorigin="9346,3723" coordsize="1356,2">
              <v:shape style="position:absolute;left:9346;top:3723;width:1356;height:2" coordorigin="9346,3723" coordsize="1356,0" path="m9346,3723l10702,3723e" filled="false" stroked="true" strokeweight=".48pt" strokecolor="#000000">
                <v:path arrowok="t"/>
              </v:shape>
            </v:group>
            <v:group style="position:absolute;left:1139;top:4280;width:1363;height:2" coordorigin="1139,4280" coordsize="1363,2">
              <v:shape style="position:absolute;left:1139;top:4280;width:1363;height:2" coordorigin="1139,4280" coordsize="1363,0" path="m1139,4280l2501,4280e" filled="false" stroked="true" strokeweight=".48001pt" strokecolor="#000000">
                <v:path arrowok="t"/>
              </v:shape>
            </v:group>
            <v:group style="position:absolute;left:2511;top:4280;width:1358;height:2" coordorigin="2511,4280" coordsize="1358,2">
              <v:shape style="position:absolute;left:2511;top:4280;width:1358;height:2" coordorigin="2511,4280" coordsize="1358,0" path="m2511,4280l3868,4280e" filled="false" stroked="true" strokeweight=".48001pt" strokecolor="#000000">
                <v:path arrowok="t"/>
              </v:shape>
            </v:group>
            <v:group style="position:absolute;left:3878;top:4280;width:1358;height:2" coordorigin="3878,4280" coordsize="1358,2">
              <v:shape style="position:absolute;left:3878;top:4280;width:1358;height:2" coordorigin="3878,4280" coordsize="1358,0" path="m3878,4280l5235,4280e" filled="false" stroked="true" strokeweight=".48001pt" strokecolor="#000000">
                <v:path arrowok="t"/>
              </v:shape>
            </v:group>
            <v:group style="position:absolute;left:5245;top:4280;width:1358;height:2" coordorigin="5245,4280" coordsize="1358,2">
              <v:shape style="position:absolute;left:5245;top:4280;width:1358;height:2" coordorigin="5245,4280" coordsize="1358,0" path="m5245,4280l6602,4280e" filled="false" stroked="true" strokeweight=".48001pt" strokecolor="#000000">
                <v:path arrowok="t"/>
              </v:shape>
            </v:group>
            <v:group style="position:absolute;left:6612;top:4280;width:1358;height:2" coordorigin="6612,4280" coordsize="1358,2">
              <v:shape style="position:absolute;left:6612;top:4280;width:1358;height:2" coordorigin="6612,4280" coordsize="1358,0" path="m6612,4280l7969,4280e" filled="false" stroked="true" strokeweight=".48001pt" strokecolor="#000000">
                <v:path arrowok="t"/>
              </v:shape>
            </v:group>
            <v:group style="position:absolute;left:7978;top:4280;width:1358;height:2" coordorigin="7978,4280" coordsize="1358,2">
              <v:shape style="position:absolute;left:7978;top:4280;width:1358;height:2" coordorigin="7978,4280" coordsize="1358,0" path="m7978,4280l9336,4280e" filled="false" stroked="true" strokeweight=".48001pt" strokecolor="#000000">
                <v:path arrowok="t"/>
              </v:shape>
            </v:group>
            <v:group style="position:absolute;left:9346;top:4280;width:1356;height:2" coordorigin="9346,4280" coordsize="1356,2">
              <v:shape style="position:absolute;left:9346;top:4280;width:1356;height:2" coordorigin="9346,4280" coordsize="1356,0" path="m9346,4280l10702,4280e" filled="false" stroked="true" strokeweight=".48001pt" strokecolor="#000000">
                <v:path arrowok="t"/>
              </v:shape>
            </v:group>
            <v:group style="position:absolute;left:1139;top:4836;width:1363;height:2" coordorigin="1139,4836" coordsize="1363,2">
              <v:shape style="position:absolute;left:1139;top:4836;width:1363;height:2" coordorigin="1139,4836" coordsize="1363,0" path="m1139,4836l2501,4836e" filled="false" stroked="true" strokeweight=".48pt" strokecolor="#000000">
                <v:path arrowok="t"/>
              </v:shape>
            </v:group>
            <v:group style="position:absolute;left:2511;top:4836;width:1358;height:2" coordorigin="2511,4836" coordsize="1358,2">
              <v:shape style="position:absolute;left:2511;top:4836;width:1358;height:2" coordorigin="2511,4836" coordsize="1358,0" path="m2511,4836l3868,4836e" filled="false" stroked="true" strokeweight=".48pt" strokecolor="#000000">
                <v:path arrowok="t"/>
              </v:shape>
            </v:group>
            <v:group style="position:absolute;left:3878;top:4836;width:1358;height:2" coordorigin="3878,4836" coordsize="1358,2">
              <v:shape style="position:absolute;left:3878;top:4836;width:1358;height:2" coordorigin="3878,4836" coordsize="1358,0" path="m3878,4836l5235,4836e" filled="false" stroked="true" strokeweight=".48pt" strokecolor="#000000">
                <v:path arrowok="t"/>
              </v:shape>
            </v:group>
            <v:group style="position:absolute;left:5245;top:4836;width:1358;height:2" coordorigin="5245,4836" coordsize="1358,2">
              <v:shape style="position:absolute;left:5245;top:4836;width:1358;height:2" coordorigin="5245,4836" coordsize="1358,0" path="m5245,4836l6602,4836e" filled="false" stroked="true" strokeweight=".48pt" strokecolor="#000000">
                <v:path arrowok="t"/>
              </v:shape>
            </v:group>
            <v:group style="position:absolute;left:6612;top:4836;width:1358;height:2" coordorigin="6612,4836" coordsize="1358,2">
              <v:shape style="position:absolute;left:6612;top:4836;width:1358;height:2" coordorigin="6612,4836" coordsize="1358,0" path="m6612,4836l7969,4836e" filled="false" stroked="true" strokeweight=".48pt" strokecolor="#000000">
                <v:path arrowok="t"/>
              </v:shape>
            </v:group>
            <v:group style="position:absolute;left:7978;top:4836;width:1358;height:2" coordorigin="7978,4836" coordsize="1358,2">
              <v:shape style="position:absolute;left:7978;top:4836;width:1358;height:2" coordorigin="7978,4836" coordsize="1358,0" path="m7978,4836l9336,4836e" filled="false" stroked="true" strokeweight=".48pt" strokecolor="#000000">
                <v:path arrowok="t"/>
              </v:shape>
            </v:group>
            <v:group style="position:absolute;left:9346;top:4836;width:1356;height:2" coordorigin="9346,4836" coordsize="1356,2">
              <v:shape style="position:absolute;left:9346;top:4836;width:1356;height:2" coordorigin="9346,4836" coordsize="1356,0" path="m9346,4836l10702,4836e" filled="false" stroked="true" strokeweight=".48pt" strokecolor="#000000">
                <v:path arrowok="t"/>
              </v:shape>
            </v:group>
            <v:group style="position:absolute;left:1139;top:5393;width:1363;height:2" coordorigin="1139,5393" coordsize="1363,2">
              <v:shape style="position:absolute;left:1139;top:5393;width:1363;height:2" coordorigin="1139,5393" coordsize="1363,0" path="m1139,5393l2501,5393e" filled="false" stroked="true" strokeweight=".48001pt" strokecolor="#000000">
                <v:path arrowok="t"/>
              </v:shape>
            </v:group>
            <v:group style="position:absolute;left:2511;top:5393;width:1358;height:2" coordorigin="2511,5393" coordsize="1358,2">
              <v:shape style="position:absolute;left:2511;top:5393;width:1358;height:2" coordorigin="2511,5393" coordsize="1358,0" path="m2511,5393l3868,5393e" filled="false" stroked="true" strokeweight=".48001pt" strokecolor="#000000">
                <v:path arrowok="t"/>
              </v:shape>
            </v:group>
            <v:group style="position:absolute;left:3878;top:5393;width:1358;height:2" coordorigin="3878,5393" coordsize="1358,2">
              <v:shape style="position:absolute;left:3878;top:5393;width:1358;height:2" coordorigin="3878,5393" coordsize="1358,0" path="m3878,5393l5235,5393e" filled="false" stroked="true" strokeweight=".48001pt" strokecolor="#000000">
                <v:path arrowok="t"/>
              </v:shape>
            </v:group>
            <v:group style="position:absolute;left:5245;top:5393;width:1358;height:2" coordorigin="5245,5393" coordsize="1358,2">
              <v:shape style="position:absolute;left:5245;top:5393;width:1358;height:2" coordorigin="5245,5393" coordsize="1358,0" path="m5245,5393l6602,5393e" filled="false" stroked="true" strokeweight=".48001pt" strokecolor="#000000">
                <v:path arrowok="t"/>
              </v:shape>
            </v:group>
            <v:group style="position:absolute;left:6612;top:5393;width:1358;height:2" coordorigin="6612,5393" coordsize="1358,2">
              <v:shape style="position:absolute;left:6612;top:5393;width:1358;height:2" coordorigin="6612,5393" coordsize="1358,0" path="m6612,5393l7969,5393e" filled="false" stroked="true" strokeweight=".48001pt" strokecolor="#000000">
                <v:path arrowok="t"/>
              </v:shape>
            </v:group>
            <v:group style="position:absolute;left:7978;top:5393;width:1358;height:2" coordorigin="7978,5393" coordsize="1358,2">
              <v:shape style="position:absolute;left:7978;top:5393;width:1358;height:2" coordorigin="7978,5393" coordsize="1358,0" path="m7978,5393l9336,5393e" filled="false" stroked="true" strokeweight=".48001pt" strokecolor="#000000">
                <v:path arrowok="t"/>
              </v:shape>
            </v:group>
            <v:group style="position:absolute;left:9346;top:5393;width:1356;height:2" coordorigin="9346,5393" coordsize="1356,2">
              <v:shape style="position:absolute;left:9346;top:5393;width:1356;height:2" coordorigin="9346,5393" coordsize="1356,0" path="m9346,5393l10702,5393e" filled="false" stroked="true" strokeweight=".48001pt" strokecolor="#000000">
                <v:path arrowok="t"/>
              </v:shape>
            </v:group>
            <v:group style="position:absolute;left:1139;top:5950;width:1363;height:2" coordorigin="1139,5950" coordsize="1363,2">
              <v:shape style="position:absolute;left:1139;top:5950;width:1363;height:2" coordorigin="1139,5950" coordsize="1363,0" path="m1139,5950l2501,5950e" filled="false" stroked="true" strokeweight=".48001pt" strokecolor="#000000">
                <v:path arrowok="t"/>
              </v:shape>
            </v:group>
            <v:group style="position:absolute;left:2511;top:5950;width:1358;height:2" coordorigin="2511,5950" coordsize="1358,2">
              <v:shape style="position:absolute;left:2511;top:5950;width:1358;height:2" coordorigin="2511,5950" coordsize="1358,0" path="m2511,5950l3868,5950e" filled="false" stroked="true" strokeweight=".48001pt" strokecolor="#000000">
                <v:path arrowok="t"/>
              </v:shape>
            </v:group>
            <v:group style="position:absolute;left:3878;top:5950;width:1358;height:2" coordorigin="3878,5950" coordsize="1358,2">
              <v:shape style="position:absolute;left:3878;top:5950;width:1358;height:2" coordorigin="3878,5950" coordsize="1358,0" path="m3878,5950l5235,5950e" filled="false" stroked="true" strokeweight=".48001pt" strokecolor="#000000">
                <v:path arrowok="t"/>
              </v:shape>
            </v:group>
            <v:group style="position:absolute;left:5245;top:5950;width:1358;height:2" coordorigin="5245,5950" coordsize="1358,2">
              <v:shape style="position:absolute;left:5245;top:5950;width:1358;height:2" coordorigin="5245,5950" coordsize="1358,0" path="m5245,5950l6602,5950e" filled="false" stroked="true" strokeweight=".48001pt" strokecolor="#000000">
                <v:path arrowok="t"/>
              </v:shape>
            </v:group>
            <v:group style="position:absolute;left:6612;top:5950;width:1358;height:2" coordorigin="6612,5950" coordsize="1358,2">
              <v:shape style="position:absolute;left:6612;top:5950;width:1358;height:2" coordorigin="6612,5950" coordsize="1358,0" path="m6612,5950l7969,5950e" filled="false" stroked="true" strokeweight=".48001pt" strokecolor="#000000">
                <v:path arrowok="t"/>
              </v:shape>
            </v:group>
            <v:group style="position:absolute;left:7978;top:5950;width:1358;height:2" coordorigin="7978,5950" coordsize="1358,2">
              <v:shape style="position:absolute;left:7978;top:5950;width:1358;height:2" coordorigin="7978,5950" coordsize="1358,0" path="m7978,5950l9336,5950e" filled="false" stroked="true" strokeweight=".48001pt" strokecolor="#000000">
                <v:path arrowok="t"/>
              </v:shape>
            </v:group>
            <v:group style="position:absolute;left:9346;top:5950;width:1356;height:2" coordorigin="9346,5950" coordsize="1356,2">
              <v:shape style="position:absolute;left:9346;top:5950;width:1356;height:2" coordorigin="9346,5950" coordsize="1356,0" path="m9346,5950l10702,5950e" filled="false" stroked="true" strokeweight=".48001pt" strokecolor="#000000">
                <v:path arrowok="t"/>
              </v:shape>
            </v:group>
            <v:group style="position:absolute;left:1139;top:6507;width:1363;height:2" coordorigin="1139,6507" coordsize="1363,2">
              <v:shape style="position:absolute;left:1139;top:6507;width:1363;height:2" coordorigin="1139,6507" coordsize="1363,0" path="m1139,6507l2501,6507e" filled="false" stroked="true" strokeweight=".47998pt" strokecolor="#000000">
                <v:path arrowok="t"/>
              </v:shape>
            </v:group>
            <v:group style="position:absolute;left:2511;top:6507;width:1358;height:2" coordorigin="2511,6507" coordsize="1358,2">
              <v:shape style="position:absolute;left:2511;top:6507;width:1358;height:2" coordorigin="2511,6507" coordsize="1358,0" path="m2511,6507l3868,6507e" filled="false" stroked="true" strokeweight=".47998pt" strokecolor="#000000">
                <v:path arrowok="t"/>
              </v:shape>
            </v:group>
            <v:group style="position:absolute;left:3878;top:6507;width:1358;height:2" coordorigin="3878,6507" coordsize="1358,2">
              <v:shape style="position:absolute;left:3878;top:6507;width:1358;height:2" coordorigin="3878,6507" coordsize="1358,0" path="m3878,6507l5235,6507e" filled="false" stroked="true" strokeweight=".47998pt" strokecolor="#000000">
                <v:path arrowok="t"/>
              </v:shape>
            </v:group>
            <v:group style="position:absolute;left:5245;top:6507;width:1358;height:2" coordorigin="5245,6507" coordsize="1358,2">
              <v:shape style="position:absolute;left:5245;top:6507;width:1358;height:2" coordorigin="5245,6507" coordsize="1358,0" path="m5245,6507l6602,6507e" filled="false" stroked="true" strokeweight=".47998pt" strokecolor="#000000">
                <v:path arrowok="t"/>
              </v:shape>
            </v:group>
            <v:group style="position:absolute;left:6612;top:6507;width:1358;height:2" coordorigin="6612,6507" coordsize="1358,2">
              <v:shape style="position:absolute;left:6612;top:6507;width:1358;height:2" coordorigin="6612,6507" coordsize="1358,0" path="m6612,6507l7969,6507e" filled="false" stroked="true" strokeweight=".47998pt" strokecolor="#000000">
                <v:path arrowok="t"/>
              </v:shape>
            </v:group>
            <v:group style="position:absolute;left:7978;top:6507;width:1358;height:2" coordorigin="7978,6507" coordsize="1358,2">
              <v:shape style="position:absolute;left:7978;top:6507;width:1358;height:2" coordorigin="7978,6507" coordsize="1358,0" path="m7978,6507l9336,6507e" filled="false" stroked="true" strokeweight=".47998pt" strokecolor="#000000">
                <v:path arrowok="t"/>
              </v:shape>
            </v:group>
            <v:group style="position:absolute;left:9346;top:6507;width:1356;height:2" coordorigin="9346,6507" coordsize="1356,2">
              <v:shape style="position:absolute;left:9346;top:6507;width:1356;height:2" coordorigin="9346,6507" coordsize="1356,0" path="m9346,6507l10702,6507e" filled="false" stroked="true" strokeweight=".47998pt" strokecolor="#000000">
                <v:path arrowok="t"/>
              </v:shape>
            </v:group>
            <v:group style="position:absolute;left:1139;top:7064;width:1363;height:2" coordorigin="1139,7064" coordsize="1363,2">
              <v:shape style="position:absolute;left:1139;top:7064;width:1363;height:2" coordorigin="1139,7064" coordsize="1363,0" path="m1139,7064l2501,7064e" filled="false" stroked="true" strokeweight=".47998pt" strokecolor="#000000">
                <v:path arrowok="t"/>
              </v:shape>
            </v:group>
            <v:group style="position:absolute;left:2511;top:7064;width:1358;height:2" coordorigin="2511,7064" coordsize="1358,2">
              <v:shape style="position:absolute;left:2511;top:7064;width:1358;height:2" coordorigin="2511,7064" coordsize="1358,0" path="m2511,7064l3868,7064e" filled="false" stroked="true" strokeweight=".47998pt" strokecolor="#000000">
                <v:path arrowok="t"/>
              </v:shape>
            </v:group>
            <v:group style="position:absolute;left:3878;top:7064;width:1358;height:2" coordorigin="3878,7064" coordsize="1358,2">
              <v:shape style="position:absolute;left:3878;top:7064;width:1358;height:2" coordorigin="3878,7064" coordsize="1358,0" path="m3878,7064l5235,7064e" filled="false" stroked="true" strokeweight=".47998pt" strokecolor="#000000">
                <v:path arrowok="t"/>
              </v:shape>
            </v:group>
            <v:group style="position:absolute;left:5245;top:7064;width:1358;height:2" coordorigin="5245,7064" coordsize="1358,2">
              <v:shape style="position:absolute;left:5245;top:7064;width:1358;height:2" coordorigin="5245,7064" coordsize="1358,0" path="m5245,7064l6602,7064e" filled="false" stroked="true" strokeweight=".47998pt" strokecolor="#000000">
                <v:path arrowok="t"/>
              </v:shape>
            </v:group>
            <v:group style="position:absolute;left:6612;top:7064;width:1358;height:2" coordorigin="6612,7064" coordsize="1358,2">
              <v:shape style="position:absolute;left:6612;top:7064;width:1358;height:2" coordorigin="6612,7064" coordsize="1358,0" path="m6612,7064l7969,7064e" filled="false" stroked="true" strokeweight=".47998pt" strokecolor="#000000">
                <v:path arrowok="t"/>
              </v:shape>
            </v:group>
            <v:group style="position:absolute;left:7978;top:7064;width:1358;height:2" coordorigin="7978,7064" coordsize="1358,2">
              <v:shape style="position:absolute;left:7978;top:7064;width:1358;height:2" coordorigin="7978,7064" coordsize="1358,0" path="m7978,7064l9336,7064e" filled="false" stroked="true" strokeweight=".47998pt" strokecolor="#000000">
                <v:path arrowok="t"/>
              </v:shape>
            </v:group>
            <v:group style="position:absolute;left:9346;top:7064;width:1356;height:2" coordorigin="9346,7064" coordsize="1356,2">
              <v:shape style="position:absolute;left:9346;top:7064;width:1356;height:2" coordorigin="9346,7064" coordsize="1356,0" path="m9346,7064l10702,7064e" filled="false" stroked="true" strokeweight=".47998pt" strokecolor="#000000">
                <v:path arrowok="t"/>
              </v:shape>
            </v:group>
            <v:group style="position:absolute;left:1139;top:7854;width:1363;height:2" coordorigin="1139,7854" coordsize="1363,2">
              <v:shape style="position:absolute;left:1139;top:7854;width:1363;height:2" coordorigin="1139,7854" coordsize="1363,0" path="m1139,7854l2501,7854e" filled="false" stroked="true" strokeweight=".48001pt" strokecolor="#000000">
                <v:path arrowok="t"/>
              </v:shape>
            </v:group>
            <v:group style="position:absolute;left:2511;top:7854;width:1358;height:2" coordorigin="2511,7854" coordsize="1358,2">
              <v:shape style="position:absolute;left:2511;top:7854;width:1358;height:2" coordorigin="2511,7854" coordsize="1358,0" path="m2511,7854l3868,7854e" filled="false" stroked="true" strokeweight=".48001pt" strokecolor="#000000">
                <v:path arrowok="t"/>
              </v:shape>
            </v:group>
            <v:group style="position:absolute;left:3878;top:7854;width:1358;height:2" coordorigin="3878,7854" coordsize="1358,2">
              <v:shape style="position:absolute;left:3878;top:7854;width:1358;height:2" coordorigin="3878,7854" coordsize="1358,0" path="m3878,7854l5235,7854e" filled="false" stroked="true" strokeweight=".48001pt" strokecolor="#000000">
                <v:path arrowok="t"/>
              </v:shape>
            </v:group>
            <v:group style="position:absolute;left:5245;top:7854;width:1358;height:2" coordorigin="5245,7854" coordsize="1358,2">
              <v:shape style="position:absolute;left:5245;top:7854;width:1358;height:2" coordorigin="5245,7854" coordsize="1358,0" path="m5245,7854l6602,7854e" filled="false" stroked="true" strokeweight=".48001pt" strokecolor="#000000">
                <v:path arrowok="t"/>
              </v:shape>
            </v:group>
            <v:group style="position:absolute;left:6612;top:7854;width:1358;height:2" coordorigin="6612,7854" coordsize="1358,2">
              <v:shape style="position:absolute;left:6612;top:7854;width:1358;height:2" coordorigin="6612,7854" coordsize="1358,0" path="m6612,7854l7969,7854e" filled="false" stroked="true" strokeweight=".48001pt" strokecolor="#000000">
                <v:path arrowok="t"/>
              </v:shape>
            </v:group>
            <v:group style="position:absolute;left:7978;top:7854;width:1358;height:2" coordorigin="7978,7854" coordsize="1358,2">
              <v:shape style="position:absolute;left:7978;top:7854;width:1358;height:2" coordorigin="7978,7854" coordsize="1358,0" path="m7978,7854l9336,7854e" filled="false" stroked="true" strokeweight=".48001pt" strokecolor="#000000">
                <v:path arrowok="t"/>
              </v:shape>
            </v:group>
            <v:group style="position:absolute;left:9346;top:7854;width:1356;height:2" coordorigin="9346,7854" coordsize="1356,2">
              <v:shape style="position:absolute;left:9346;top:7854;width:1356;height:2" coordorigin="9346,7854" coordsize="1356,0" path="m9346,7854l10702,7854e" filled="false" stroked="true" strokeweight=".48001pt" strokecolor="#000000">
                <v:path arrowok="t"/>
              </v:shape>
            </v:group>
            <v:group style="position:absolute;left:1139;top:8411;width:1363;height:2" coordorigin="1139,8411" coordsize="1363,2">
              <v:shape style="position:absolute;left:1139;top:8411;width:1363;height:2" coordorigin="1139,8411" coordsize="1363,0" path="m1139,8411l2501,8411e" filled="false" stroked="true" strokeweight=".5pt" strokecolor="#000000">
                <v:path arrowok="t"/>
              </v:shape>
            </v:group>
            <v:group style="position:absolute;left:2511;top:8411;width:1358;height:2" coordorigin="2511,8411" coordsize="1358,2">
              <v:shape style="position:absolute;left:2511;top:8411;width:1358;height:2" coordorigin="2511,8411" coordsize="1358,0" path="m2511,8411l3868,8411e" filled="false" stroked="true" strokeweight=".5pt" strokecolor="#000000">
                <v:path arrowok="t"/>
              </v:shape>
            </v:group>
            <v:group style="position:absolute;left:3878;top:8411;width:1358;height:2" coordorigin="3878,8411" coordsize="1358,2">
              <v:shape style="position:absolute;left:3878;top:8411;width:1358;height:2" coordorigin="3878,8411" coordsize="1358,0" path="m3878,8411l5235,8411e" filled="false" stroked="true" strokeweight=".5pt" strokecolor="#000000">
                <v:path arrowok="t"/>
              </v:shape>
            </v:group>
            <v:group style="position:absolute;left:5245;top:8411;width:1358;height:2" coordorigin="5245,8411" coordsize="1358,2">
              <v:shape style="position:absolute;left:5245;top:8411;width:1358;height:2" coordorigin="5245,8411" coordsize="1358,0" path="m5245,8411l6602,8411e" filled="false" stroked="true" strokeweight=".5pt" strokecolor="#000000">
                <v:path arrowok="t"/>
              </v:shape>
            </v:group>
            <v:group style="position:absolute;left:6612;top:8411;width:1358;height:2" coordorigin="6612,8411" coordsize="1358,2">
              <v:shape style="position:absolute;left:6612;top:8411;width:1358;height:2" coordorigin="6612,8411" coordsize="1358,0" path="m6612,8411l7969,8411e" filled="false" stroked="true" strokeweight=".5pt" strokecolor="#000000">
                <v:path arrowok="t"/>
              </v:shape>
            </v:group>
            <v:group style="position:absolute;left:7978;top:8411;width:1358;height:2" coordorigin="7978,8411" coordsize="1358,2">
              <v:shape style="position:absolute;left:7978;top:8411;width:1358;height:2" coordorigin="7978,8411" coordsize="1358,0" path="m7978,8411l9336,8411e" filled="false" stroked="true" strokeweight=".5pt" strokecolor="#000000">
                <v:path arrowok="t"/>
              </v:shape>
            </v:group>
            <v:group style="position:absolute;left:9346;top:8411;width:1356;height:2" coordorigin="9346,8411" coordsize="1356,2">
              <v:shape style="position:absolute;left:9346;top:8411;width:1356;height:2" coordorigin="9346,8411" coordsize="1356,0" path="m9346,8411l10702,8411e" filled="false" stroked="true" strokeweight=".5pt" strokecolor="#000000">
                <v:path arrowok="t"/>
              </v:shape>
            </v:group>
            <v:group style="position:absolute;left:1139;top:8968;width:1363;height:2" coordorigin="1139,8968" coordsize="1363,2">
              <v:shape style="position:absolute;left:1139;top:8968;width:1363;height:2" coordorigin="1139,8968" coordsize="1363,0" path="m1139,8968l2501,8968e" filled="false" stroked="true" strokeweight=".48001pt" strokecolor="#000000">
                <v:path arrowok="t"/>
              </v:shape>
            </v:group>
            <v:group style="position:absolute;left:2511;top:8968;width:1358;height:2" coordorigin="2511,8968" coordsize="1358,2">
              <v:shape style="position:absolute;left:2511;top:8968;width:1358;height:2" coordorigin="2511,8968" coordsize="1358,0" path="m2511,8968l3868,8968e" filled="false" stroked="true" strokeweight=".48001pt" strokecolor="#000000">
                <v:path arrowok="t"/>
              </v:shape>
            </v:group>
            <v:group style="position:absolute;left:3878;top:8968;width:1358;height:2" coordorigin="3878,8968" coordsize="1358,2">
              <v:shape style="position:absolute;left:3878;top:8968;width:1358;height:2" coordorigin="3878,8968" coordsize="1358,0" path="m3878,8968l5235,8968e" filled="false" stroked="true" strokeweight=".48001pt" strokecolor="#000000">
                <v:path arrowok="t"/>
              </v:shape>
            </v:group>
            <v:group style="position:absolute;left:5245;top:8968;width:1358;height:2" coordorigin="5245,8968" coordsize="1358,2">
              <v:shape style="position:absolute;left:5245;top:8968;width:1358;height:2" coordorigin="5245,8968" coordsize="1358,0" path="m5245,8968l6602,8968e" filled="false" stroked="true" strokeweight=".48001pt" strokecolor="#000000">
                <v:path arrowok="t"/>
              </v:shape>
            </v:group>
            <v:group style="position:absolute;left:6612;top:8968;width:1358;height:2" coordorigin="6612,8968" coordsize="1358,2">
              <v:shape style="position:absolute;left:6612;top:8968;width:1358;height:2" coordorigin="6612,8968" coordsize="1358,0" path="m6612,8968l7969,8968e" filled="false" stroked="true" strokeweight=".48001pt" strokecolor="#000000">
                <v:path arrowok="t"/>
              </v:shape>
            </v:group>
            <v:group style="position:absolute;left:7978;top:8968;width:1358;height:2" coordorigin="7978,8968" coordsize="1358,2">
              <v:shape style="position:absolute;left:7978;top:8968;width:1358;height:2" coordorigin="7978,8968" coordsize="1358,0" path="m7978,8968l9336,8968e" filled="false" stroked="true" strokeweight=".48001pt" strokecolor="#000000">
                <v:path arrowok="t"/>
              </v:shape>
            </v:group>
            <v:group style="position:absolute;left:9346;top:8968;width:1356;height:2" coordorigin="9346,8968" coordsize="1356,2">
              <v:shape style="position:absolute;left:9346;top:8968;width:1356;height:2" coordorigin="9346,8968" coordsize="1356,0" path="m9346,8968l10702,8968e" filled="false" stroked="true" strokeweight=".48001pt" strokecolor="#000000">
                <v:path arrowok="t"/>
              </v:shape>
            </v:group>
            <v:group style="position:absolute;left:2511;top:9764;width:1358;height:130" coordorigin="2511,9764" coordsize="1358,130">
              <v:shape style="position:absolute;left:2511;top:9764;width:1358;height:130" coordorigin="2511,9764" coordsize="1358,130" path="m2511,9894l3868,9894,3868,9764,2511,9764,2511,9894xe" filled="true" fillcolor="#ffffff" stroked="false">
                <v:path arrowok="t"/>
                <v:fill type="solid"/>
              </v:shape>
            </v:group>
            <v:group style="position:absolute;left:2522;top:9894;width:2;height:287" coordorigin="2522,9894" coordsize="2,287">
              <v:shape style="position:absolute;left:2522;top:9894;width:2;height:287" coordorigin="2522,9894" coordsize="0,287" path="m2522,9894l2522,10180e" filled="false" stroked="true" strokeweight="1.140pt" strokecolor="#ffffff">
                <v:path arrowok="t"/>
              </v:shape>
            </v:group>
            <v:group style="position:absolute;left:2511;top:10180;width:1358;height:131" coordorigin="2511,10180" coordsize="1358,131">
              <v:shape style="position:absolute;left:2511;top:10180;width:1358;height:131" coordorigin="2511,10180" coordsize="1358,131" path="m2511,10311l3868,10311,3868,10180,2511,10180,2511,10311xe" filled="true" fillcolor="#ffffff" stroked="false">
                <v:path arrowok="t"/>
                <v:fill type="solid"/>
              </v:shape>
            </v:group>
            <v:group style="position:absolute;left:2534;top:9894;width:1311;height:287" coordorigin="2534,9894" coordsize="1311,287">
              <v:shape style="position:absolute;left:2534;top:9894;width:1311;height:287" coordorigin="2534,9894" coordsize="1311,287" path="m2534,10180l3844,10180,3844,9894,2534,9894,2534,10180xe" filled="true" fillcolor="#ffffff" stroked="false">
                <v:path arrowok="t"/>
                <v:fill type="solid"/>
              </v:shape>
            </v:group>
            <v:group style="position:absolute;left:1139;top:9759;width:1363;height:2" coordorigin="1139,9759" coordsize="1363,2">
              <v:shape style="position:absolute;left:1139;top:9759;width:1363;height:2" coordorigin="1139,9759" coordsize="1363,0" path="m1139,9759l2501,9759e" filled="false" stroked="true" strokeweight=".47998pt" strokecolor="#000000">
                <v:path arrowok="t"/>
              </v:shape>
            </v:group>
            <v:group style="position:absolute;left:2511;top:9759;width:1358;height:2" coordorigin="2511,9759" coordsize="1358,2">
              <v:shape style="position:absolute;left:2511;top:9759;width:1358;height:2" coordorigin="2511,9759" coordsize="1358,0" path="m2511,9759l3868,9759e" filled="false" stroked="true" strokeweight=".47998pt" strokecolor="#000000">
                <v:path arrowok="t"/>
              </v:shape>
            </v:group>
            <v:group style="position:absolute;left:3878;top:9759;width:1358;height:2" coordorigin="3878,9759" coordsize="1358,2">
              <v:shape style="position:absolute;left:3878;top:9759;width:1358;height:2" coordorigin="3878,9759" coordsize="1358,0" path="m3878,9759l5235,9759e" filled="false" stroked="true" strokeweight=".47998pt" strokecolor="#000000">
                <v:path arrowok="t"/>
              </v:shape>
            </v:group>
            <v:group style="position:absolute;left:5245;top:9759;width:1358;height:2" coordorigin="5245,9759" coordsize="1358,2">
              <v:shape style="position:absolute;left:5245;top:9759;width:1358;height:2" coordorigin="5245,9759" coordsize="1358,0" path="m5245,9759l6602,9759e" filled="false" stroked="true" strokeweight=".47998pt" strokecolor="#000000">
                <v:path arrowok="t"/>
              </v:shape>
            </v:group>
            <v:group style="position:absolute;left:6612;top:9759;width:1358;height:2" coordorigin="6612,9759" coordsize="1358,2">
              <v:shape style="position:absolute;left:6612;top:9759;width:1358;height:2" coordorigin="6612,9759" coordsize="1358,0" path="m6612,9759l7969,9759e" filled="false" stroked="true" strokeweight=".47998pt" strokecolor="#000000">
                <v:path arrowok="t"/>
              </v:shape>
            </v:group>
            <v:group style="position:absolute;left:7978;top:9759;width:1358;height:2" coordorigin="7978,9759" coordsize="1358,2">
              <v:shape style="position:absolute;left:7978;top:9759;width:1358;height:2" coordorigin="7978,9759" coordsize="1358,0" path="m7978,9759l9336,9759e" filled="false" stroked="true" strokeweight=".47998pt" strokecolor="#000000">
                <v:path arrowok="t"/>
              </v:shape>
            </v:group>
            <v:group style="position:absolute;left:9346;top:9759;width:1356;height:2" coordorigin="9346,9759" coordsize="1356,2">
              <v:shape style="position:absolute;left:9346;top:9759;width:1356;height:2" coordorigin="9346,9759" coordsize="1356,0" path="m9346,9759l10702,9759e" filled="false" stroked="true" strokeweight=".47998pt" strokecolor="#000000">
                <v:path arrowok="t"/>
              </v:shape>
            </v:group>
            <v:group style="position:absolute;left:1139;top:10316;width:1363;height:2" coordorigin="1139,10316" coordsize="1363,2">
              <v:shape style="position:absolute;left:1139;top:10316;width:1363;height:2" coordorigin="1139,10316" coordsize="1363,0" path="m1139,10316l2501,10316e" filled="false" stroked="true" strokeweight=".47998pt" strokecolor="#000000">
                <v:path arrowok="t"/>
              </v:shape>
            </v:group>
            <v:group style="position:absolute;left:2511;top:10316;width:1358;height:2" coordorigin="2511,10316" coordsize="1358,2">
              <v:shape style="position:absolute;left:2511;top:10316;width:1358;height:2" coordorigin="2511,10316" coordsize="1358,0" path="m2511,10316l3868,10316e" filled="false" stroked="true" strokeweight=".47998pt" strokecolor="#000000">
                <v:path arrowok="t"/>
              </v:shape>
            </v:group>
            <v:group style="position:absolute;left:3878;top:10316;width:1358;height:2" coordorigin="3878,10316" coordsize="1358,2">
              <v:shape style="position:absolute;left:3878;top:10316;width:1358;height:2" coordorigin="3878,10316" coordsize="1358,0" path="m3878,10316l5235,10316e" filled="false" stroked="true" strokeweight=".47998pt" strokecolor="#000000">
                <v:path arrowok="t"/>
              </v:shape>
            </v:group>
            <v:group style="position:absolute;left:5245;top:10316;width:1358;height:2" coordorigin="5245,10316" coordsize="1358,2">
              <v:shape style="position:absolute;left:5245;top:10316;width:1358;height:2" coordorigin="5245,10316" coordsize="1358,0" path="m5245,10316l6602,10316e" filled="false" stroked="true" strokeweight=".47998pt" strokecolor="#000000">
                <v:path arrowok="t"/>
              </v:shape>
            </v:group>
            <v:group style="position:absolute;left:6612;top:10316;width:1358;height:2" coordorigin="6612,10316" coordsize="1358,2">
              <v:shape style="position:absolute;left:6612;top:10316;width:1358;height:2" coordorigin="6612,10316" coordsize="1358,0" path="m6612,10316l7969,10316e" filled="false" stroked="true" strokeweight=".47998pt" strokecolor="#000000">
                <v:path arrowok="t"/>
              </v:shape>
            </v:group>
            <v:group style="position:absolute;left:7978;top:10316;width:1358;height:2" coordorigin="7978,10316" coordsize="1358,2">
              <v:shape style="position:absolute;left:7978;top:10316;width:1358;height:2" coordorigin="7978,10316" coordsize="1358,0" path="m7978,10316l9336,10316e" filled="false" stroked="true" strokeweight=".47998pt" strokecolor="#000000">
                <v:path arrowok="t"/>
              </v:shape>
            </v:group>
            <v:group style="position:absolute;left:9346;top:10316;width:1356;height:2" coordorigin="9346,10316" coordsize="1356,2">
              <v:shape style="position:absolute;left:9346;top:10316;width:1356;height:2" coordorigin="9346,10316" coordsize="1356,0" path="m9346,10316l10702,10316e" filled="false" stroked="true" strokeweight=".47998pt" strokecolor="#000000">
                <v:path arrowok="t"/>
              </v:shape>
            </v:group>
            <v:group style="position:absolute;left:1139;top:10873;width:1363;height:2" coordorigin="1139,10873" coordsize="1363,2">
              <v:shape style="position:absolute;left:1139;top:10873;width:1363;height:2" coordorigin="1139,10873" coordsize="1363,0" path="m1139,10873l2501,10873e" filled="false" stroked="true" strokeweight=".48004pt" strokecolor="#000000">
                <v:path arrowok="t"/>
              </v:shape>
            </v:group>
            <v:group style="position:absolute;left:2511;top:10873;width:1358;height:2" coordorigin="2511,10873" coordsize="1358,2">
              <v:shape style="position:absolute;left:2511;top:10873;width:1358;height:2" coordorigin="2511,10873" coordsize="1358,0" path="m2511,10873l3868,10873e" filled="false" stroked="true" strokeweight=".48004pt" strokecolor="#000000">
                <v:path arrowok="t"/>
              </v:shape>
            </v:group>
            <v:group style="position:absolute;left:3878;top:10873;width:1358;height:2" coordorigin="3878,10873" coordsize="1358,2">
              <v:shape style="position:absolute;left:3878;top:10873;width:1358;height:2" coordorigin="3878,10873" coordsize="1358,0" path="m3878,10873l5235,10873e" filled="false" stroked="true" strokeweight=".48004pt" strokecolor="#000000">
                <v:path arrowok="t"/>
              </v:shape>
            </v:group>
            <v:group style="position:absolute;left:5245;top:10873;width:1358;height:2" coordorigin="5245,10873" coordsize="1358,2">
              <v:shape style="position:absolute;left:5245;top:10873;width:1358;height:2" coordorigin="5245,10873" coordsize="1358,0" path="m5245,10873l6602,10873e" filled="false" stroked="true" strokeweight=".48004pt" strokecolor="#000000">
                <v:path arrowok="t"/>
              </v:shape>
            </v:group>
            <v:group style="position:absolute;left:6612;top:10873;width:1358;height:2" coordorigin="6612,10873" coordsize="1358,2">
              <v:shape style="position:absolute;left:6612;top:10873;width:1358;height:2" coordorigin="6612,10873" coordsize="1358,0" path="m6612,10873l7969,10873e" filled="false" stroked="true" strokeweight=".48004pt" strokecolor="#000000">
                <v:path arrowok="t"/>
              </v:shape>
            </v:group>
            <v:group style="position:absolute;left:7978;top:10873;width:1358;height:2" coordorigin="7978,10873" coordsize="1358,2">
              <v:shape style="position:absolute;left:7978;top:10873;width:1358;height:2" coordorigin="7978,10873" coordsize="1358,0" path="m7978,10873l9336,10873e" filled="false" stroked="true" strokeweight=".48004pt" strokecolor="#000000">
                <v:path arrowok="t"/>
              </v:shape>
            </v:group>
            <v:group style="position:absolute;left:9346;top:10873;width:1356;height:2" coordorigin="9346,10873" coordsize="1356,2">
              <v:shape style="position:absolute;left:9346;top:10873;width:1356;height:2" coordorigin="9346,10873" coordsize="1356,0" path="m9346,10873l10702,10873e" filled="false" stroked="true" strokeweight=".48004pt" strokecolor="#000000">
                <v:path arrowok="t"/>
              </v:shape>
            </v:group>
            <v:group style="position:absolute;left:1139;top:11662;width:1363;height:2" coordorigin="1139,11662" coordsize="1363,2">
              <v:shape style="position:absolute;left:1139;top:11662;width:1363;height:2" coordorigin="1139,11662" coordsize="1363,0" path="m1139,11662l2501,11662e" filled="false" stroked="true" strokeweight=".47998pt" strokecolor="#000000">
                <v:path arrowok="t"/>
              </v:shape>
            </v:group>
            <v:group style="position:absolute;left:2511;top:11662;width:1358;height:2" coordorigin="2511,11662" coordsize="1358,2">
              <v:shape style="position:absolute;left:2511;top:11662;width:1358;height:2" coordorigin="2511,11662" coordsize="1358,0" path="m2511,11662l3868,11662e" filled="false" stroked="true" strokeweight=".47998pt" strokecolor="#000000">
                <v:path arrowok="t"/>
              </v:shape>
            </v:group>
            <v:group style="position:absolute;left:3878;top:11662;width:1358;height:2" coordorigin="3878,11662" coordsize="1358,2">
              <v:shape style="position:absolute;left:3878;top:11662;width:1358;height:2" coordorigin="3878,11662" coordsize="1358,0" path="m3878,11662l5235,11662e" filled="false" stroked="true" strokeweight=".47998pt" strokecolor="#000000">
                <v:path arrowok="t"/>
              </v:shape>
            </v:group>
            <v:group style="position:absolute;left:5245;top:11662;width:1358;height:2" coordorigin="5245,11662" coordsize="1358,2">
              <v:shape style="position:absolute;left:5245;top:11662;width:1358;height:2" coordorigin="5245,11662" coordsize="1358,0" path="m5245,11662l6602,11662e" filled="false" stroked="true" strokeweight=".47998pt" strokecolor="#000000">
                <v:path arrowok="t"/>
              </v:shape>
            </v:group>
            <v:group style="position:absolute;left:6612;top:11662;width:1358;height:2" coordorigin="6612,11662" coordsize="1358,2">
              <v:shape style="position:absolute;left:6612;top:11662;width:1358;height:2" coordorigin="6612,11662" coordsize="1358,0" path="m6612,11662l7969,11662e" filled="false" stroked="true" strokeweight=".47998pt" strokecolor="#000000">
                <v:path arrowok="t"/>
              </v:shape>
            </v:group>
            <v:group style="position:absolute;left:7978;top:11662;width:1358;height:2" coordorigin="7978,11662" coordsize="1358,2">
              <v:shape style="position:absolute;left:7978;top:11662;width:1358;height:2" coordorigin="7978,11662" coordsize="1358,0" path="m7978,11662l9336,11662e" filled="false" stroked="true" strokeweight=".47998pt" strokecolor="#000000">
                <v:path arrowok="t"/>
              </v:shape>
            </v:group>
            <v:group style="position:absolute;left:9346;top:11662;width:1356;height:2" coordorigin="9346,11662" coordsize="1356,2">
              <v:shape style="position:absolute;left:9346;top:11662;width:1356;height:2" coordorigin="9346,11662" coordsize="1356,0" path="m9346,11662l10702,11662e" filled="false" stroked="true" strokeweight=".47998pt" strokecolor="#000000">
                <v:path arrowok="t"/>
              </v:shape>
            </v:group>
            <v:group style="position:absolute;left:1139;top:12453;width:1363;height:2" coordorigin="1139,12453" coordsize="1363,2">
              <v:shape style="position:absolute;left:1139;top:12453;width:1363;height:2" coordorigin="1139,12453" coordsize="1363,0" path="m1139,12453l2501,12453e" filled="false" stroked="true" strokeweight=".47998pt" strokecolor="#000000">
                <v:path arrowok="t"/>
              </v:shape>
            </v:group>
            <v:group style="position:absolute;left:2511;top:12453;width:1358;height:2" coordorigin="2511,12453" coordsize="1358,2">
              <v:shape style="position:absolute;left:2511;top:12453;width:1358;height:2" coordorigin="2511,12453" coordsize="1358,0" path="m2511,12453l3868,12453e" filled="false" stroked="true" strokeweight=".47998pt" strokecolor="#000000">
                <v:path arrowok="t"/>
              </v:shape>
            </v:group>
            <v:group style="position:absolute;left:3878;top:12453;width:1358;height:2" coordorigin="3878,12453" coordsize="1358,2">
              <v:shape style="position:absolute;left:3878;top:12453;width:1358;height:2" coordorigin="3878,12453" coordsize="1358,0" path="m3878,12453l5235,12453e" filled="false" stroked="true" strokeweight=".47998pt" strokecolor="#000000">
                <v:path arrowok="t"/>
              </v:shape>
            </v:group>
            <v:group style="position:absolute;left:5245;top:12453;width:1358;height:2" coordorigin="5245,12453" coordsize="1358,2">
              <v:shape style="position:absolute;left:5245;top:12453;width:1358;height:2" coordorigin="5245,12453" coordsize="1358,0" path="m5245,12453l6602,12453e" filled="false" stroked="true" strokeweight=".47998pt" strokecolor="#000000">
                <v:path arrowok="t"/>
              </v:shape>
            </v:group>
            <v:group style="position:absolute;left:6612;top:12453;width:1358;height:2" coordorigin="6612,12453" coordsize="1358,2">
              <v:shape style="position:absolute;left:6612;top:12453;width:1358;height:2" coordorigin="6612,12453" coordsize="1358,0" path="m6612,12453l7969,12453e" filled="false" stroked="true" strokeweight=".47998pt" strokecolor="#000000">
                <v:path arrowok="t"/>
              </v:shape>
            </v:group>
            <v:group style="position:absolute;left:7978;top:12453;width:1358;height:2" coordorigin="7978,12453" coordsize="1358,2">
              <v:shape style="position:absolute;left:7978;top:12453;width:1358;height:2" coordorigin="7978,12453" coordsize="1358,0" path="m7978,12453l9336,12453e" filled="false" stroked="true" strokeweight=".47998pt" strokecolor="#000000">
                <v:path arrowok="t"/>
              </v:shape>
            </v:group>
            <v:group style="position:absolute;left:9346;top:12453;width:1356;height:2" coordorigin="9346,12453" coordsize="1356,2">
              <v:shape style="position:absolute;left:9346;top:12453;width:1356;height:2" coordorigin="9346,12453" coordsize="1356,0" path="m9346,12453l10702,12453e" filled="false" stroked="true" strokeweight=".47998pt" strokecolor="#000000">
                <v:path arrowok="t"/>
              </v:shape>
            </v:group>
            <v:group style="position:absolute;left:1139;top:13424;width:1363;height:2" coordorigin="1139,13424" coordsize="1363,2">
              <v:shape style="position:absolute;left:1139;top:13424;width:1363;height:2" coordorigin="1139,13424" coordsize="1363,0" path="m1139,13424l2501,13424e" filled="false" stroked="true" strokeweight=".48004pt" strokecolor="#000000">
                <v:path arrowok="t"/>
              </v:shape>
            </v:group>
            <v:group style="position:absolute;left:2511;top:13424;width:1358;height:2" coordorigin="2511,13424" coordsize="1358,2">
              <v:shape style="position:absolute;left:2511;top:13424;width:1358;height:2" coordorigin="2511,13424" coordsize="1358,0" path="m2511,13424l3868,13424e" filled="false" stroked="true" strokeweight=".48004pt" strokecolor="#000000">
                <v:path arrowok="t"/>
              </v:shape>
            </v:group>
            <v:group style="position:absolute;left:3878;top:13424;width:1358;height:2" coordorigin="3878,13424" coordsize="1358,2">
              <v:shape style="position:absolute;left:3878;top:13424;width:1358;height:2" coordorigin="3878,13424" coordsize="1358,0" path="m3878,13424l5235,13424e" filled="false" stroked="true" strokeweight=".48004pt" strokecolor="#000000">
                <v:path arrowok="t"/>
              </v:shape>
            </v:group>
            <v:group style="position:absolute;left:5245;top:13424;width:1358;height:2" coordorigin="5245,13424" coordsize="1358,2">
              <v:shape style="position:absolute;left:5245;top:13424;width:1358;height:2" coordorigin="5245,13424" coordsize="1358,0" path="m5245,13424l6602,13424e" filled="false" stroked="true" strokeweight=".48004pt" strokecolor="#000000">
                <v:path arrowok="t"/>
              </v:shape>
            </v:group>
            <v:group style="position:absolute;left:6612;top:13424;width:1358;height:2" coordorigin="6612,13424" coordsize="1358,2">
              <v:shape style="position:absolute;left:6612;top:13424;width:1358;height:2" coordorigin="6612,13424" coordsize="1358,0" path="m6612,13424l7969,13424e" filled="false" stroked="true" strokeweight=".48004pt" strokecolor="#000000">
                <v:path arrowok="t"/>
              </v:shape>
            </v:group>
            <v:group style="position:absolute;left:7978;top:13424;width:1358;height:2" coordorigin="7978,13424" coordsize="1358,2">
              <v:shape style="position:absolute;left:7978;top:13424;width:1358;height:2" coordorigin="7978,13424" coordsize="1358,0" path="m7978,13424l9336,13424e" filled="false" stroked="true" strokeweight=".48004pt" strokecolor="#000000">
                <v:path arrowok="t"/>
              </v:shape>
            </v:group>
            <v:group style="position:absolute;left:9346;top:13424;width:1356;height:2" coordorigin="9346,13424" coordsize="1356,2">
              <v:shape style="position:absolute;left:9346;top:13424;width:1356;height:2" coordorigin="9346,13424" coordsize="1356,0" path="m9346,13424l10702,13424e" filled="false" stroked="true" strokeweight=".48004pt" strokecolor="#000000">
                <v:path arrowok="t"/>
              </v:shape>
            </v:group>
            <v:group style="position:absolute;left:2511;top:14220;width:1358;height:130" coordorigin="2511,14220" coordsize="1358,130">
              <v:shape style="position:absolute;left:2511;top:14220;width:1358;height:130" coordorigin="2511,14220" coordsize="1358,130" path="m2511,14350l3868,14350,3868,14220,2511,14220,2511,14350xe" filled="true" fillcolor="#ffffff" stroked="false">
                <v:path arrowok="t"/>
                <v:fill type="solid"/>
              </v:shape>
            </v:group>
            <v:group style="position:absolute;left:2522;top:14350;width:2;height:287" coordorigin="2522,14350" coordsize="2,287">
              <v:shape style="position:absolute;left:2522;top:14350;width:2;height:287" coordorigin="2522,14350" coordsize="0,287" path="m2522,14350l2522,14636e" filled="false" stroked="true" strokeweight="1.140pt" strokecolor="#ffffff">
                <v:path arrowok="t"/>
              </v:shape>
            </v:group>
            <v:group style="position:absolute;left:2511;top:14636;width:1358;height:131" coordorigin="2511,14636" coordsize="1358,131">
              <v:shape style="position:absolute;left:2511;top:14636;width:1358;height:131" coordorigin="2511,14636" coordsize="1358,131" path="m2511,14767l3868,14767,3868,14636,2511,14636,2511,14767xe" filled="true" fillcolor="#ffffff" stroked="false">
                <v:path arrowok="t"/>
                <v:fill type="solid"/>
              </v:shape>
            </v:group>
            <v:group style="position:absolute;left:2534;top:14350;width:1311;height:287" coordorigin="2534,14350" coordsize="1311,287">
              <v:shape style="position:absolute;left:2534;top:14350;width:1311;height:287" coordorigin="2534,14350" coordsize="1311,287" path="m2534,14636l3844,14636,3844,14350,2534,14350,2534,14636xe" filled="true" fillcolor="#ffffff" stroked="false">
                <v:path arrowok="t"/>
                <v:fill type="solid"/>
              </v:shape>
            </v:group>
            <v:group style="position:absolute;left:1139;top:14215;width:1363;height:2" coordorigin="1139,14215" coordsize="1363,2">
              <v:shape style="position:absolute;left:1139;top:14215;width:1363;height:2" coordorigin="1139,14215" coordsize="1363,0" path="m1139,14215l2501,14215e" filled="false" stroked="true" strokeweight=".48004pt" strokecolor="#000000">
                <v:path arrowok="t"/>
              </v:shape>
            </v:group>
            <v:group style="position:absolute;left:2511;top:14215;width:1358;height:2" coordorigin="2511,14215" coordsize="1358,2">
              <v:shape style="position:absolute;left:2511;top:14215;width:1358;height:2" coordorigin="2511,14215" coordsize="1358,0" path="m2511,14215l3868,14215e" filled="false" stroked="true" strokeweight=".48004pt" strokecolor="#000000">
                <v:path arrowok="t"/>
              </v:shape>
            </v:group>
            <v:group style="position:absolute;left:3878;top:14215;width:1358;height:2" coordorigin="3878,14215" coordsize="1358,2">
              <v:shape style="position:absolute;left:3878;top:14215;width:1358;height:2" coordorigin="3878,14215" coordsize="1358,0" path="m3878,14215l5235,14215e" filled="false" stroked="true" strokeweight=".48004pt" strokecolor="#000000">
                <v:path arrowok="t"/>
              </v:shape>
            </v:group>
            <v:group style="position:absolute;left:5245;top:14215;width:1358;height:2" coordorigin="5245,14215" coordsize="1358,2">
              <v:shape style="position:absolute;left:5245;top:14215;width:1358;height:2" coordorigin="5245,14215" coordsize="1358,0" path="m5245,14215l6602,14215e" filled="false" stroked="true" strokeweight=".48004pt" strokecolor="#000000">
                <v:path arrowok="t"/>
              </v:shape>
            </v:group>
            <v:group style="position:absolute;left:6612;top:14215;width:1358;height:2" coordorigin="6612,14215" coordsize="1358,2">
              <v:shape style="position:absolute;left:6612;top:14215;width:1358;height:2" coordorigin="6612,14215" coordsize="1358,0" path="m6612,14215l7969,14215e" filled="false" stroked="true" strokeweight=".48004pt" strokecolor="#000000">
                <v:path arrowok="t"/>
              </v:shape>
            </v:group>
            <v:group style="position:absolute;left:7978;top:14215;width:1358;height:2" coordorigin="7978,14215" coordsize="1358,2">
              <v:shape style="position:absolute;left:7978;top:14215;width:1358;height:2" coordorigin="7978,14215" coordsize="1358,0" path="m7978,14215l9336,14215e" filled="false" stroked="true" strokeweight=".48004pt" strokecolor="#000000">
                <v:path arrowok="t"/>
              </v:shape>
            </v:group>
            <v:group style="position:absolute;left:9346;top:14215;width:1356;height:2" coordorigin="9346,14215" coordsize="1356,2">
              <v:shape style="position:absolute;left:9346;top:14215;width:1356;height:2" coordorigin="9346,14215" coordsize="1356,0" path="m9346,14215l10702,14215e" filled="false" stroked="true" strokeweight=".48004pt" strokecolor="#000000">
                <v:path arrowok="t"/>
              </v:shape>
            </v:group>
            <v:group style="position:absolute;left:1139;top:14772;width:1363;height:2" coordorigin="1139,14772" coordsize="1363,2">
              <v:shape style="position:absolute;left:1139;top:14772;width:1363;height:2" coordorigin="1139,14772" coordsize="1363,0" path="m1139,14772l2501,14772e" filled="false" stroked="true" strokeweight=".47998pt" strokecolor="#000000">
                <v:path arrowok="t"/>
              </v:shape>
            </v:group>
            <v:group style="position:absolute;left:2511;top:14772;width:1358;height:2" coordorigin="2511,14772" coordsize="1358,2">
              <v:shape style="position:absolute;left:2511;top:14772;width:1358;height:2" coordorigin="2511,14772" coordsize="1358,0" path="m2511,14772l3868,14772e" filled="false" stroked="true" strokeweight=".47998pt" strokecolor="#000000">
                <v:path arrowok="t"/>
              </v:shape>
            </v:group>
            <v:group style="position:absolute;left:3878;top:14772;width:1358;height:2" coordorigin="3878,14772" coordsize="1358,2">
              <v:shape style="position:absolute;left:3878;top:14772;width:1358;height:2" coordorigin="3878,14772" coordsize="1358,0" path="m3878,14772l5235,14772e" filled="false" stroked="true" strokeweight=".47998pt" strokecolor="#000000">
                <v:path arrowok="t"/>
              </v:shape>
            </v:group>
            <v:group style="position:absolute;left:5245;top:14772;width:1358;height:2" coordorigin="5245,14772" coordsize="1358,2">
              <v:shape style="position:absolute;left:5245;top:14772;width:1358;height:2" coordorigin="5245,14772" coordsize="1358,0" path="m5245,14772l6602,14772e" filled="false" stroked="true" strokeweight=".47998pt" strokecolor="#000000">
                <v:path arrowok="t"/>
              </v:shape>
            </v:group>
            <v:group style="position:absolute;left:6612;top:14772;width:1358;height:2" coordorigin="6612,14772" coordsize="1358,2">
              <v:shape style="position:absolute;left:6612;top:14772;width:1358;height:2" coordorigin="6612,14772" coordsize="1358,0" path="m6612,14772l7969,14772e" filled="false" stroked="true" strokeweight=".47998pt" strokecolor="#000000">
                <v:path arrowok="t"/>
              </v:shape>
            </v:group>
            <v:group style="position:absolute;left:7978;top:14772;width:1358;height:2" coordorigin="7978,14772" coordsize="1358,2">
              <v:shape style="position:absolute;left:7978;top:14772;width:1358;height:2" coordorigin="7978,14772" coordsize="1358,0" path="m7978,14772l9336,14772e" filled="false" stroked="true" strokeweight=".47998pt" strokecolor="#000000">
                <v:path arrowok="t"/>
              </v:shape>
            </v:group>
            <v:group style="position:absolute;left:9346;top:14772;width:1356;height:2" coordorigin="9346,14772" coordsize="1356,2">
              <v:shape style="position:absolute;left:9346;top:14772;width:1356;height:2" coordorigin="9346,14772" coordsize="1356,0" path="m9346,14772l10702,14772e" filled="false" stroked="true" strokeweight=".47998pt" strokecolor="#000000">
                <v:path arrowok="t"/>
              </v:shape>
            </v:group>
            <v:group style="position:absolute;left:1134;top:1440;width:2;height:13894" coordorigin="1134,1440" coordsize="2,13894">
              <v:shape style="position:absolute;left:1134;top:1440;width:2;height:13894" coordorigin="1134,1440" coordsize="0,13894" path="m1134,1440l1134,15334e" filled="false" stroked="true" strokeweight=".48pt" strokecolor="#000000">
                <v:path arrowok="t"/>
              </v:shape>
            </v:group>
            <v:group style="position:absolute;left:1139;top:15329;width:1363;height:2" coordorigin="1139,15329" coordsize="1363,2">
              <v:shape style="position:absolute;left:1139;top:15329;width:1363;height:2" coordorigin="1139,15329" coordsize="1363,0" path="m1139,15329l2501,15329e" filled="false" stroked="true" strokeweight=".47998pt" strokecolor="#000000">
                <v:path arrowok="t"/>
              </v:shape>
            </v:group>
            <v:group style="position:absolute;left:2506;top:1440;width:2;height:13894" coordorigin="2506,1440" coordsize="2,13894">
              <v:shape style="position:absolute;left:2506;top:1440;width:2;height:13894" coordorigin="2506,1440" coordsize="0,13894" path="m2506,1440l2506,15334e" filled="false" stroked="true" strokeweight=".48pt" strokecolor="#000000">
                <v:path arrowok="t"/>
              </v:shape>
            </v:group>
            <v:group style="position:absolute;left:2511;top:15329;width:1358;height:2" coordorigin="2511,15329" coordsize="1358,2">
              <v:shape style="position:absolute;left:2511;top:15329;width:1358;height:2" coordorigin="2511,15329" coordsize="1358,0" path="m2511,15329l3868,15329e" filled="false" stroked="true" strokeweight=".47998pt" strokecolor="#000000">
                <v:path arrowok="t"/>
              </v:shape>
            </v:group>
            <v:group style="position:absolute;left:3873;top:1440;width:2;height:13894" coordorigin="3873,1440" coordsize="2,13894">
              <v:shape style="position:absolute;left:3873;top:1440;width:2;height:13894" coordorigin="3873,1440" coordsize="0,13894" path="m3873,1440l3873,15334e" filled="false" stroked="true" strokeweight=".48pt" strokecolor="#000000">
                <v:path arrowok="t"/>
              </v:shape>
            </v:group>
            <v:group style="position:absolute;left:3878;top:15329;width:1358;height:2" coordorigin="3878,15329" coordsize="1358,2">
              <v:shape style="position:absolute;left:3878;top:15329;width:1358;height:2" coordorigin="3878,15329" coordsize="1358,0" path="m3878,15329l5235,15329e" filled="false" stroked="true" strokeweight=".47998pt" strokecolor="#000000">
                <v:path arrowok="t"/>
              </v:shape>
            </v:group>
            <v:group style="position:absolute;left:5240;top:1440;width:2;height:13894" coordorigin="5240,1440" coordsize="2,13894">
              <v:shape style="position:absolute;left:5240;top:1440;width:2;height:13894" coordorigin="5240,1440" coordsize="0,13894" path="m5240,1440l5240,15334e" filled="false" stroked="true" strokeweight=".48001pt" strokecolor="#000000">
                <v:path arrowok="t"/>
              </v:shape>
            </v:group>
            <v:group style="position:absolute;left:5245;top:15329;width:1358;height:2" coordorigin="5245,15329" coordsize="1358,2">
              <v:shape style="position:absolute;left:5245;top:15329;width:1358;height:2" coordorigin="5245,15329" coordsize="1358,0" path="m5245,15329l6602,15329e" filled="false" stroked="true" strokeweight=".47998pt" strokecolor="#000000">
                <v:path arrowok="t"/>
              </v:shape>
            </v:group>
            <v:group style="position:absolute;left:6607;top:1440;width:2;height:13894" coordorigin="6607,1440" coordsize="2,13894">
              <v:shape style="position:absolute;left:6607;top:1440;width:2;height:13894" coordorigin="6607,1440" coordsize="0,13894" path="m6607,1440l6607,15334e" filled="false" stroked="true" strokeweight=".47998pt" strokecolor="#000000">
                <v:path arrowok="t"/>
              </v:shape>
            </v:group>
            <v:group style="position:absolute;left:6612;top:15329;width:1358;height:2" coordorigin="6612,15329" coordsize="1358,2">
              <v:shape style="position:absolute;left:6612;top:15329;width:1358;height:2" coordorigin="6612,15329" coordsize="1358,0" path="m6612,15329l7969,15329e" filled="false" stroked="true" strokeweight=".47998pt" strokecolor="#000000">
                <v:path arrowok="t"/>
              </v:shape>
            </v:group>
            <v:group style="position:absolute;left:7974;top:1764;width:2;height:13570" coordorigin="7974,1764" coordsize="2,13570">
              <v:shape style="position:absolute;left:7974;top:1764;width:2;height:13570" coordorigin="7974,1764" coordsize="0,13570" path="m7974,1764l7974,15334e" filled="false" stroked="true" strokeweight=".47998pt" strokecolor="#000000">
                <v:path arrowok="t"/>
              </v:shape>
            </v:group>
            <v:group style="position:absolute;left:7978;top:15329;width:1358;height:2" coordorigin="7978,15329" coordsize="1358,2">
              <v:shape style="position:absolute;left:7978;top:15329;width:1358;height:2" coordorigin="7978,15329" coordsize="1358,0" path="m7978,15329l9336,15329e" filled="false" stroked="true" strokeweight=".47998pt" strokecolor="#000000">
                <v:path arrowok="t"/>
              </v:shape>
            </v:group>
            <v:group style="position:absolute;left:9341;top:1440;width:2;height:13894" coordorigin="9341,1440" coordsize="2,13894">
              <v:shape style="position:absolute;left:9341;top:1440;width:2;height:13894" coordorigin="9341,1440" coordsize="0,13894" path="m9341,1440l9341,15334e" filled="false" stroked="true" strokeweight=".48001pt" strokecolor="#000000">
                <v:path arrowok="t"/>
              </v:shape>
            </v:group>
            <v:group style="position:absolute;left:9346;top:15329;width:1356;height:2" coordorigin="9346,15329" coordsize="1356,2">
              <v:shape style="position:absolute;left:9346;top:15329;width:1356;height:2" coordorigin="9346,15329" coordsize="1356,0" path="m9346,15329l10702,15329e" filled="false" stroked="true" strokeweight=".47998pt" strokecolor="#000000">
                <v:path arrowok="t"/>
              </v:shape>
            </v:group>
            <v:group style="position:absolute;left:10706;top:1440;width:2;height:13894" coordorigin="10706,1440" coordsize="2,13894">
              <v:shape style="position:absolute;left:10706;top:1440;width:2;height:13894" coordorigin="10706,1440" coordsize="0,13894" path="m10706,1440l10706,15334e" filled="false" stroked="true" strokeweight=".47998pt" strokecolor="#000000">
                <v:path arrowok="t"/>
              </v:shape>
            </v:group>
            <w10:wrap type="none"/>
          </v:group>
        </w:pict>
      </w:r>
      <w:r>
        <w:rPr/>
        <w:t>神州数码数据服 务（香港）有限</w:t>
      </w:r>
    </w:p>
    <w:p>
      <w:pPr>
        <w:spacing w:line="240" w:lineRule="auto" w:before="7"/>
        <w:rPr>
          <w:rFonts w:ascii="宋体" w:hAnsi="宋体" w:cs="宋体" w:eastAsia="宋体" w:hint="default"/>
          <w:sz w:val="14"/>
          <w:szCs w:val="14"/>
        </w:rPr>
      </w:pPr>
      <w:r>
        <w:rPr/>
        <w:br w:type="column"/>
      </w:r>
      <w:r>
        <w:rPr>
          <w:rFonts w:ascii="宋体"/>
          <w:sz w:val="14"/>
        </w:rPr>
      </w:r>
    </w:p>
    <w:p>
      <w:pPr>
        <w:pStyle w:val="BodyText"/>
        <w:tabs>
          <w:tab w:pos="1548" w:val="left" w:leader="none"/>
          <w:tab w:pos="4948" w:val="left" w:leader="none"/>
        </w:tabs>
        <w:spacing w:line="153" w:lineRule="auto"/>
        <w:ind w:left="5649" w:right="1276" w:hanging="5468"/>
        <w:jc w:val="left"/>
      </w:pPr>
      <w:r>
        <w:rPr/>
        <w:t>香港</w:t>
        <w:tab/>
        <w:t>无业务</w:t>
        <w:tab/>
      </w:r>
      <w:r>
        <w:rPr>
          <w:rFonts w:ascii="Times New Roman" w:hAnsi="Times New Roman" w:cs="Times New Roman" w:eastAsia="Times New Roman" w:hint="default"/>
        </w:rPr>
        <w:t>100.00%</w:t>
      </w:r>
      <w:r>
        <w:rPr>
          <w:rFonts w:ascii="Times New Roman" w:hAnsi="Times New Roman" w:cs="Times New Roman" w:eastAsia="Times New Roman" w:hint="default"/>
          <w:spacing w:val="10"/>
        </w:rPr>
        <w:t> </w:t>
      </w:r>
      <w:r>
        <w:rPr>
          <w:position w:val="12"/>
        </w:rPr>
        <w:t>非同一控制下企 </w:t>
      </w:r>
      <w:r>
        <w:rPr/>
        <w:t>业合并</w:t>
      </w:r>
    </w:p>
    <w:p>
      <w:pPr>
        <w:spacing w:after="0" w:line="153" w:lineRule="auto"/>
        <w:jc w:val="left"/>
        <w:sectPr>
          <w:type w:val="continuous"/>
          <w:pgSz w:w="11910" w:h="16840"/>
          <w:pgMar w:top="1580" w:bottom="700" w:left="980" w:right="0"/>
          <w:cols w:num="2" w:equalWidth="0">
            <w:col w:w="1442" w:space="1297"/>
            <w:col w:w="8191"/>
          </w:cols>
        </w:sectPr>
      </w:pPr>
    </w:p>
    <w:p>
      <w:pPr>
        <w:spacing w:line="240" w:lineRule="auto" w:before="10"/>
        <w:rPr>
          <w:rFonts w:ascii="Times New Roman" w:hAnsi="Times New Roman" w:cs="Times New Roman" w:eastAsia="Times New Roman" w:hint="default"/>
          <w:sz w:val="27"/>
          <w:szCs w:val="27"/>
        </w:rPr>
      </w:pPr>
      <w:r>
        <w:rPr/>
        <w:pict>
          <v:group style="position:absolute;margin-left:331.720001pt;margin-top:538.23999pt;width:65.6pt;height:14.35pt;mso-position-horizontal-relative:page;mso-position-vertical-relative:page;z-index:-1464808" coordorigin="6634,10765" coordsize="1312,287">
            <v:shape style="position:absolute;left:6634;top:10765;width:1312;height:287" coordorigin="6634,10765" coordsize="1312,287" path="m6634,11052l7946,11052,7946,10765,6634,10765,6634,11052xe" filled="true" fillcolor="#ffffff" stroked="false">
              <v:path arrowok="t"/>
              <v:fill type="solid"/>
            </v:shape>
            <w10:wrap type="none"/>
          </v:group>
        </w:pict>
      </w:r>
      <w:r>
        <w:rPr/>
        <w:pict>
          <v:group style="position:absolute;margin-left:331.720001pt;margin-top:674.799988pt;width:65.6pt;height:14.35pt;mso-position-horizontal-relative:page;mso-position-vertical-relative:page;z-index:-1464784" coordorigin="6634,13496" coordsize="1312,287">
            <v:shape style="position:absolute;left:6634;top:13496;width:1312;height:287" coordorigin="6634,13496" coordsize="1312,287" path="m6634,13783l7946,13783,7946,13496,6634,13496,6634,13783xe" filled="true" fillcolor="#ffffff" stroked="false">
              <v:path arrowok="t"/>
              <v:fill type="solid"/>
            </v:shape>
            <w10:wrap type="none"/>
          </v:group>
        </w:pict>
      </w:r>
      <w:r>
        <w:rPr/>
        <w:pict>
          <v:group style="position:absolute;margin-left:125.540001pt;margin-top:747.450012pt;width:67.9pt;height:21.45pt;mso-position-horizontal-relative:page;mso-position-vertical-relative:page;z-index:-1464760" coordorigin="2511,14949" coordsize="1358,429">
            <v:group style="position:absolute;left:2522;top:14960;width:2;height:287" coordorigin="2522,14960" coordsize="2,287">
              <v:shape style="position:absolute;left:2522;top:14960;width:2;height:287" coordorigin="2522,14960" coordsize="0,287" path="m2522,14960l2522,15247e" filled="false" stroked="true" strokeweight="1.140pt" strokecolor="#ffffff">
                <v:path arrowok="t"/>
              </v:shape>
            </v:group>
            <v:group style="position:absolute;left:2511;top:15247;width:1358;height:131" coordorigin="2511,15247" coordsize="1358,131">
              <v:shape style="position:absolute;left:2511;top:15247;width:1358;height:131" coordorigin="2511,15247" coordsize="1358,131" path="m2511,15378l3868,15378,3868,15247,2511,15247,2511,15378xe" filled="true" fillcolor="#ffffff" stroked="false">
                <v:path arrowok="t"/>
                <v:fill type="solid"/>
              </v:shape>
            </v:group>
            <v:group style="position:absolute;left:2534;top:14960;width:1311;height:287" coordorigin="2534,14960" coordsize="1311,287">
              <v:shape style="position:absolute;left:2534;top:14960;width:1311;height:287" coordorigin="2534,14960" coordsize="1311,287" path="m2534,15247l3844,15247,3844,14960,2534,14960,2534,15247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378"/>
        <w:gridCol w:w="989"/>
        <w:gridCol w:w="1367"/>
        <w:gridCol w:w="1366"/>
      </w:tblGrid>
      <w:tr>
        <w:trPr>
          <w:trHeight w:val="324" w:hRule="exact"/>
        </w:trPr>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28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91"/>
              <w:jc w:val="center"/>
              <w:rPr>
                <w:rFonts w:ascii="宋体" w:hAnsi="宋体" w:cs="宋体" w:eastAsia="宋体" w:hint="default"/>
                <w:sz w:val="18"/>
                <w:szCs w:val="18"/>
              </w:rPr>
            </w:pPr>
            <w:r>
              <w:rPr>
                <w:rFonts w:ascii="宋体" w:hAnsi="宋体" w:cs="宋体" w:eastAsia="宋体" w:hint="default"/>
                <w:sz w:val="18"/>
                <w:szCs w:val="18"/>
              </w:rPr>
              <w:t>公司（注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77"/>
              <w:jc w:val="both"/>
              <w:rPr>
                <w:rFonts w:ascii="宋体" w:hAnsi="宋体" w:cs="宋体" w:eastAsia="宋体" w:hint="default"/>
                <w:sz w:val="18"/>
                <w:szCs w:val="18"/>
              </w:rPr>
            </w:pPr>
            <w:r>
              <w:rPr>
                <w:rFonts w:ascii="宋体" w:hAnsi="宋体" w:cs="宋体" w:eastAsia="宋体" w:hint="default"/>
                <w:sz w:val="18"/>
                <w:szCs w:val="18"/>
              </w:rPr>
              <w:t>神州数码澳门离 岸商业服务有限 公司（注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澳门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91"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0"/>
              <w:ind w:left="22" w:right="0"/>
              <w:jc w:val="left"/>
              <w:rPr>
                <w:rFonts w:ascii="宋体" w:hAnsi="宋体" w:cs="宋体" w:eastAsia="宋体" w:hint="default"/>
                <w:sz w:val="18"/>
                <w:szCs w:val="18"/>
              </w:rPr>
            </w:pPr>
            <w:r>
              <w:rPr>
                <w:rFonts w:ascii="宋体" w:hAnsi="宋体" w:cs="宋体" w:eastAsia="宋体" w:hint="default"/>
                <w:sz w:val="18"/>
                <w:szCs w:val="18"/>
              </w:rPr>
              <w:t>系统信息科技</w:t>
            </w:r>
          </w:p>
          <w:p>
            <w:pPr>
              <w:pStyle w:val="TableParagraph"/>
              <w:spacing w:line="232" w:lineRule="exact" w:before="24"/>
              <w:ind w:left="22" w:right="77"/>
              <w:jc w:val="left"/>
              <w:rPr>
                <w:rFonts w:ascii="宋体" w:hAnsi="宋体" w:cs="宋体" w:eastAsia="宋体" w:hint="default"/>
                <w:sz w:val="18"/>
                <w:szCs w:val="18"/>
              </w:rPr>
            </w:pPr>
            <w:r>
              <w:rPr>
                <w:rFonts w:ascii="宋体" w:hAnsi="宋体" w:cs="宋体" w:eastAsia="宋体" w:hint="default"/>
                <w:sz w:val="18"/>
                <w:szCs w:val="18"/>
              </w:rPr>
              <w:t>（香港）有限公 司（注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91"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9"/>
              <w:ind w:left="22" w:right="0"/>
              <w:jc w:val="left"/>
              <w:rPr>
                <w:rFonts w:ascii="宋体" w:hAnsi="宋体" w:cs="宋体" w:eastAsia="宋体" w:hint="default"/>
                <w:sz w:val="18"/>
                <w:szCs w:val="18"/>
              </w:rPr>
            </w:pPr>
            <w:r>
              <w:rPr>
                <w:rFonts w:ascii="宋体" w:hAnsi="宋体" w:cs="宋体" w:eastAsia="宋体" w:hint="default"/>
                <w:sz w:val="18"/>
                <w:szCs w:val="18"/>
              </w:rPr>
              <w:t>神州数码网络</w:t>
            </w:r>
          </w:p>
          <w:p>
            <w:pPr>
              <w:pStyle w:val="TableParagraph"/>
              <w:spacing w:line="240" w:lineRule="auto"/>
              <w:ind w:left="22" w:right="77"/>
              <w:jc w:val="left"/>
              <w:rPr>
                <w:rFonts w:ascii="宋体" w:hAnsi="宋体" w:cs="宋体" w:eastAsia="宋体" w:hint="default"/>
                <w:sz w:val="18"/>
                <w:szCs w:val="18"/>
              </w:rPr>
            </w:pPr>
            <w:r>
              <w:rPr>
                <w:rFonts w:ascii="宋体" w:hAnsi="宋体" w:cs="宋体" w:eastAsia="宋体" w:hint="default"/>
                <w:sz w:val="18"/>
                <w:szCs w:val="18"/>
              </w:rPr>
              <w:t>（香港）有限公 司（注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90"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77"/>
              <w:jc w:val="both"/>
              <w:rPr>
                <w:rFonts w:ascii="宋体" w:hAnsi="宋体" w:cs="宋体" w:eastAsia="宋体" w:hint="default"/>
                <w:sz w:val="18"/>
                <w:szCs w:val="18"/>
              </w:rPr>
            </w:pPr>
            <w:r>
              <w:rPr>
                <w:rFonts w:ascii="宋体" w:hAnsi="宋体" w:cs="宋体" w:eastAsia="宋体" w:hint="default"/>
                <w:sz w:val="18"/>
                <w:szCs w:val="18"/>
              </w:rPr>
              <w:t>北京神州数码智 慧生活科技有限 公司（注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业务</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557"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32"/>
              <w:jc w:val="left"/>
              <w:rPr>
                <w:rFonts w:ascii="宋体" w:hAnsi="宋体" w:cs="宋体" w:eastAsia="宋体" w:hint="default"/>
                <w:sz w:val="18"/>
                <w:szCs w:val="18"/>
              </w:rPr>
            </w:pPr>
            <w:r>
              <w:rPr>
                <w:rFonts w:ascii="宋体" w:hAnsi="宋体" w:cs="宋体" w:eastAsia="宋体" w:hint="default"/>
                <w:sz w:val="18"/>
                <w:szCs w:val="18"/>
              </w:rPr>
              <w:t>神州数码澳门有 限公司（注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澳门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91"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77"/>
              <w:jc w:val="both"/>
              <w:rPr>
                <w:rFonts w:ascii="宋体" w:hAnsi="宋体" w:cs="宋体" w:eastAsia="宋体" w:hint="default"/>
                <w:sz w:val="18"/>
                <w:szCs w:val="18"/>
              </w:rPr>
            </w:pPr>
            <w:r>
              <w:rPr>
                <w:rFonts w:ascii="宋体" w:hAnsi="宋体" w:cs="宋体" w:eastAsia="宋体" w:hint="default"/>
                <w:sz w:val="18"/>
                <w:szCs w:val="18"/>
              </w:rPr>
              <w:t>神州数码科技服 务有限公司（注 </w:t>
            </w:r>
            <w:r>
              <w:rPr>
                <w:rFonts w:ascii="Times New Roman" w:hAnsi="Times New Roman" w:cs="Times New Roman" w:eastAsia="Times New Roman" w:hint="default"/>
                <w:sz w:val="18"/>
                <w:szCs w:val="18"/>
              </w:rPr>
              <w:t>28</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90"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77"/>
              <w:jc w:val="left"/>
              <w:rPr>
                <w:rFonts w:ascii="宋体" w:hAnsi="宋体" w:cs="宋体" w:eastAsia="宋体" w:hint="default"/>
                <w:sz w:val="18"/>
                <w:szCs w:val="18"/>
              </w:rPr>
            </w:pPr>
            <w:r>
              <w:rPr>
                <w:rFonts w:ascii="宋体" w:hAnsi="宋体" w:cs="宋体" w:eastAsia="宋体" w:hint="default"/>
                <w:sz w:val="18"/>
                <w:szCs w:val="18"/>
              </w:rPr>
              <w:t>北京神州数码电 商科技有限公司</w:t>
            </w:r>
          </w:p>
          <w:p>
            <w:pPr>
              <w:pStyle w:val="TableParagraph"/>
              <w:spacing w:line="246" w:lineRule="exact"/>
              <w:ind w:left="2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91"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北京神州数码云 计算有限公司</w:t>
            </w:r>
          </w:p>
          <w:p>
            <w:pPr>
              <w:pStyle w:val="TableParagraph"/>
              <w:spacing w:line="246" w:lineRule="exact"/>
              <w:ind w:left="2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50"/>
              <w:ind w:left="22" w:right="23"/>
              <w:jc w:val="left"/>
              <w:rPr>
                <w:rFonts w:ascii="宋体" w:hAnsi="宋体" w:cs="宋体" w:eastAsia="宋体" w:hint="default"/>
                <w:sz w:val="18"/>
                <w:szCs w:val="18"/>
              </w:rPr>
            </w:pPr>
            <w:r>
              <w:rPr>
                <w:rFonts w:ascii="宋体" w:hAnsi="宋体" w:cs="宋体" w:eastAsia="宋体" w:hint="default"/>
                <w:spacing w:val="-6"/>
                <w:sz w:val="18"/>
                <w:szCs w:val="18"/>
              </w:rPr>
              <w:t>生产、分销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 品</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690"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91"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77"/>
              <w:jc w:val="left"/>
              <w:rPr>
                <w:rFonts w:ascii="宋体" w:hAnsi="宋体" w:cs="宋体" w:eastAsia="宋体" w:hint="default"/>
                <w:sz w:val="18"/>
                <w:szCs w:val="18"/>
              </w:rPr>
            </w:pPr>
            <w:r>
              <w:rPr>
                <w:rFonts w:ascii="宋体" w:hAnsi="宋体" w:cs="宋体" w:eastAsia="宋体" w:hint="default"/>
                <w:sz w:val="18"/>
                <w:szCs w:val="18"/>
              </w:rPr>
              <w:t>贵州神州数码云 计算有限公司</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贵阳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2"/>
              <w:ind w:left="22" w:right="23"/>
              <w:jc w:val="left"/>
              <w:rPr>
                <w:rFonts w:ascii="宋体" w:hAnsi="宋体" w:cs="宋体" w:eastAsia="宋体" w:hint="default"/>
                <w:sz w:val="18"/>
                <w:szCs w:val="18"/>
              </w:rPr>
            </w:pPr>
            <w:r>
              <w:rPr>
                <w:rFonts w:ascii="宋体" w:hAnsi="宋体" w:cs="宋体" w:eastAsia="宋体" w:hint="default"/>
                <w:spacing w:val="-6"/>
                <w:sz w:val="18"/>
                <w:szCs w:val="18"/>
              </w:rPr>
              <w:t>生产、分销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 品</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277" w:hRule="exact"/>
        </w:trPr>
        <w:tc>
          <w:tcPr>
            <w:tcW w:w="13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54"/>
              <w:jc w:val="center"/>
              <w:rPr>
                <w:rFonts w:ascii="宋体" w:hAnsi="宋体" w:cs="宋体" w:eastAsia="宋体" w:hint="default"/>
                <w:sz w:val="18"/>
                <w:szCs w:val="18"/>
              </w:rPr>
            </w:pPr>
            <w:r>
              <w:rPr>
                <w:rFonts w:ascii="宋体" w:hAnsi="宋体" w:cs="宋体" w:eastAsia="宋体" w:hint="default"/>
                <w:sz w:val="18"/>
                <w:szCs w:val="18"/>
              </w:rPr>
              <w:t>深圳神州数码云</w:t>
            </w: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一体机、服务器</w:t>
            </w:r>
          </w:p>
        </w:tc>
        <w:tc>
          <w:tcPr>
            <w:tcW w:w="1367" w:type="dxa"/>
            <w:gridSpan w:val="2"/>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237"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54"/>
              <w:jc w:val="center"/>
              <w:rPr>
                <w:rFonts w:ascii="宋体" w:hAnsi="宋体" w:cs="宋体" w:eastAsia="宋体" w:hint="default"/>
                <w:sz w:val="18"/>
                <w:szCs w:val="18"/>
              </w:rPr>
            </w:pPr>
            <w:r>
              <w:rPr>
                <w:rFonts w:ascii="宋体" w:hAnsi="宋体" w:cs="宋体" w:eastAsia="宋体" w:hint="default"/>
                <w:sz w:val="18"/>
                <w:szCs w:val="18"/>
              </w:rPr>
              <w:t>科系统科技有限</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等产品的研发、</w:t>
            </w:r>
          </w:p>
        </w:tc>
        <w:tc>
          <w:tcPr>
            <w:tcW w:w="1367" w:type="dxa"/>
            <w:gridSpan w:val="2"/>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18"/>
                <w:szCs w:val="18"/>
              </w:rPr>
            </w:pPr>
            <w:r>
              <w:rPr>
                <w:rFonts w:ascii="Times New Roman"/>
                <w:sz w:val="18"/>
              </w:rPr>
              <w:t>75.00%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76" w:hRule="exact"/>
        </w:trPr>
        <w:tc>
          <w:tcPr>
            <w:tcW w:w="1372" w:type="dxa"/>
            <w:tcBorders>
              <w:top w:val="nil" w:sz="6" w:space="0" w:color="auto"/>
              <w:left w:val="single" w:sz="4" w:space="0" w:color="000000"/>
              <w:bottom w:val="single" w:sz="4" w:space="0" w:color="000000"/>
              <w:right w:val="single" w:sz="4" w:space="0" w:color="000000"/>
            </w:tcBorders>
          </w:tcPr>
          <w:p>
            <w:pPr>
              <w:pStyle w:val="TableParagraph"/>
              <w:spacing w:line="217" w:lineRule="exact"/>
              <w:ind w:right="191"/>
              <w:jc w:val="center"/>
              <w:rPr>
                <w:rFonts w:ascii="宋体" w:hAnsi="宋体" w:cs="宋体" w:eastAsia="宋体" w:hint="default"/>
                <w:sz w:val="18"/>
                <w:szCs w:val="18"/>
              </w:rPr>
            </w:pPr>
            <w:r>
              <w:rPr>
                <w:rFonts w:ascii="宋体" w:hAnsi="宋体" w:cs="宋体" w:eastAsia="宋体" w:hint="default"/>
                <w:sz w:val="18"/>
                <w:szCs w:val="18"/>
              </w:rPr>
              <w:t>公司（注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w:t>
            </w:r>
            <w:r>
              <w:rPr>
                <w:rFonts w:ascii="宋体" w:hAnsi="宋体" w:cs="宋体" w:eastAsia="宋体" w:hint="default"/>
                <w:sz w:val="18"/>
                <w:szCs w:val="18"/>
              </w:rPr>
              <w:t>）</w:t>
            </w: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03" w:lineRule="exact"/>
              <w:ind w:left="22" w:right="0"/>
              <w:jc w:val="left"/>
              <w:rPr>
                <w:rFonts w:ascii="宋体" w:hAnsi="宋体" w:cs="宋体" w:eastAsia="宋体" w:hint="default"/>
                <w:sz w:val="18"/>
                <w:szCs w:val="18"/>
              </w:rPr>
            </w:pPr>
            <w:r>
              <w:rPr>
                <w:rFonts w:ascii="宋体" w:hAnsi="宋体" w:cs="宋体" w:eastAsia="宋体" w:hint="default"/>
                <w:sz w:val="18"/>
                <w:szCs w:val="18"/>
              </w:rPr>
              <w:t>生产及销售</w:t>
            </w:r>
          </w:p>
        </w:tc>
        <w:tc>
          <w:tcPr>
            <w:tcW w:w="1367" w:type="dxa"/>
            <w:gridSpan w:val="2"/>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277" w:hRule="exact"/>
        </w:trPr>
        <w:tc>
          <w:tcPr>
            <w:tcW w:w="13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54"/>
              <w:jc w:val="center"/>
              <w:rPr>
                <w:rFonts w:ascii="宋体" w:hAnsi="宋体" w:cs="宋体" w:eastAsia="宋体" w:hint="default"/>
                <w:sz w:val="18"/>
                <w:szCs w:val="18"/>
              </w:rPr>
            </w:pPr>
            <w:r>
              <w:rPr>
                <w:rFonts w:ascii="宋体" w:hAnsi="宋体" w:cs="宋体" w:eastAsia="宋体" w:hint="default"/>
                <w:sz w:val="18"/>
                <w:szCs w:val="18"/>
              </w:rPr>
              <w:t>深圳神州数码云</w:t>
            </w: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存储、虚拟化、</w:t>
            </w:r>
          </w:p>
        </w:tc>
        <w:tc>
          <w:tcPr>
            <w:tcW w:w="1367" w:type="dxa"/>
            <w:gridSpan w:val="2"/>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238"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54"/>
              <w:jc w:val="center"/>
              <w:rPr>
                <w:rFonts w:ascii="宋体" w:hAnsi="宋体" w:cs="宋体" w:eastAsia="宋体" w:hint="default"/>
                <w:sz w:val="18"/>
                <w:szCs w:val="18"/>
              </w:rPr>
            </w:pPr>
            <w:r>
              <w:rPr>
                <w:rFonts w:ascii="宋体" w:hAnsi="宋体" w:cs="宋体" w:eastAsia="宋体" w:hint="default"/>
                <w:sz w:val="18"/>
                <w:szCs w:val="18"/>
              </w:rPr>
              <w:t>科数据技术有限</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超融合产品的研</w:t>
            </w:r>
          </w:p>
        </w:tc>
        <w:tc>
          <w:tcPr>
            <w:tcW w:w="1367" w:type="dxa"/>
            <w:gridSpan w:val="2"/>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1"/>
              <w:jc w:val="right"/>
              <w:rPr>
                <w:rFonts w:ascii="Times New Roman" w:hAnsi="Times New Roman" w:cs="Times New Roman" w:eastAsia="Times New Roman" w:hint="default"/>
                <w:sz w:val="18"/>
                <w:szCs w:val="18"/>
              </w:rPr>
            </w:pPr>
            <w:r>
              <w:rPr>
                <w:rFonts w:ascii="Times New Roman"/>
                <w:sz w:val="18"/>
              </w:rPr>
              <w:t>75.00%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76" w:hRule="exact"/>
        </w:trPr>
        <w:tc>
          <w:tcPr>
            <w:tcW w:w="1372" w:type="dxa"/>
            <w:tcBorders>
              <w:top w:val="nil" w:sz="6" w:space="0" w:color="auto"/>
              <w:left w:val="single" w:sz="4" w:space="0" w:color="000000"/>
              <w:bottom w:val="single" w:sz="4" w:space="0" w:color="000000"/>
              <w:right w:val="single" w:sz="4" w:space="0" w:color="000000"/>
            </w:tcBorders>
          </w:tcPr>
          <w:p>
            <w:pPr>
              <w:pStyle w:val="TableParagraph"/>
              <w:spacing w:line="217" w:lineRule="exact"/>
              <w:ind w:right="191"/>
              <w:jc w:val="center"/>
              <w:rPr>
                <w:rFonts w:ascii="宋体" w:hAnsi="宋体" w:cs="宋体" w:eastAsia="宋体" w:hint="default"/>
                <w:sz w:val="18"/>
                <w:szCs w:val="18"/>
              </w:rPr>
            </w:pPr>
            <w:r>
              <w:rPr>
                <w:rFonts w:ascii="宋体" w:hAnsi="宋体" w:cs="宋体" w:eastAsia="宋体" w:hint="default"/>
                <w:sz w:val="18"/>
                <w:szCs w:val="18"/>
              </w:rPr>
              <w:t>公司（注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w:t>
            </w:r>
            <w:r>
              <w:rPr>
                <w:rFonts w:ascii="宋体" w:hAnsi="宋体" w:cs="宋体" w:eastAsia="宋体" w:hint="default"/>
                <w:sz w:val="18"/>
                <w:szCs w:val="18"/>
              </w:rPr>
              <w:t>）</w:t>
            </w: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03" w:lineRule="exact"/>
              <w:ind w:left="22" w:right="0"/>
              <w:jc w:val="left"/>
              <w:rPr>
                <w:rFonts w:ascii="宋体" w:hAnsi="宋体" w:cs="宋体" w:eastAsia="宋体" w:hint="default"/>
                <w:sz w:val="18"/>
                <w:szCs w:val="18"/>
              </w:rPr>
            </w:pPr>
            <w:r>
              <w:rPr>
                <w:rFonts w:ascii="宋体" w:hAnsi="宋体" w:cs="宋体" w:eastAsia="宋体" w:hint="default"/>
                <w:sz w:val="18"/>
                <w:szCs w:val="18"/>
              </w:rPr>
              <w:t>发、生产及销售</w:t>
            </w:r>
          </w:p>
        </w:tc>
        <w:tc>
          <w:tcPr>
            <w:tcW w:w="1367" w:type="dxa"/>
            <w:gridSpan w:val="2"/>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277" w:hRule="exact"/>
        </w:trPr>
        <w:tc>
          <w:tcPr>
            <w:tcW w:w="13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54"/>
              <w:jc w:val="center"/>
              <w:rPr>
                <w:rFonts w:ascii="宋体" w:hAnsi="宋体" w:cs="宋体" w:eastAsia="宋体" w:hint="default"/>
                <w:sz w:val="18"/>
                <w:szCs w:val="18"/>
              </w:rPr>
            </w:pPr>
            <w:r>
              <w:rPr>
                <w:rFonts w:ascii="宋体" w:hAnsi="宋体" w:cs="宋体" w:eastAsia="宋体" w:hint="default"/>
                <w:sz w:val="18"/>
                <w:szCs w:val="18"/>
              </w:rPr>
              <w:t>深圳神州数码云</w:t>
            </w: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信息安全产品软</w:t>
            </w:r>
          </w:p>
        </w:tc>
        <w:tc>
          <w:tcPr>
            <w:tcW w:w="1367" w:type="dxa"/>
            <w:gridSpan w:val="2"/>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237"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54"/>
              <w:jc w:val="center"/>
              <w:rPr>
                <w:rFonts w:ascii="宋体" w:hAnsi="宋体" w:cs="宋体" w:eastAsia="宋体" w:hint="default"/>
                <w:sz w:val="18"/>
                <w:szCs w:val="18"/>
              </w:rPr>
            </w:pPr>
            <w:r>
              <w:rPr>
                <w:rFonts w:ascii="宋体" w:hAnsi="宋体" w:cs="宋体" w:eastAsia="宋体" w:hint="default"/>
                <w:sz w:val="18"/>
                <w:szCs w:val="18"/>
              </w:rPr>
              <w:t>科信息安全有限</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nil" w:sz="6" w:space="0" w:color="auto"/>
              <w:left w:val="single" w:sz="4" w:space="0" w:color="000000"/>
              <w:bottom w:val="nil" w:sz="6" w:space="0" w:color="auto"/>
              <w:right w:val="single" w:sz="13" w:space="0" w:color="FFFFFF"/>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pacing w:val="-6"/>
                <w:sz w:val="18"/>
                <w:szCs w:val="18"/>
              </w:rPr>
              <w:t>硬件开发、生产</w:t>
            </w:r>
          </w:p>
        </w:tc>
        <w:tc>
          <w:tcPr>
            <w:tcW w:w="1367" w:type="dxa"/>
            <w:gridSpan w:val="2"/>
            <w:tcBorders>
              <w:top w:val="nil" w:sz="6" w:space="0" w:color="auto"/>
              <w:left w:val="single" w:sz="13" w:space="0" w:color="FFFFFF"/>
              <w:bottom w:val="nil" w:sz="6" w:space="0" w:color="auto"/>
              <w:right w:val="single" w:sz="4" w:space="0" w:color="000000"/>
            </w:tcBorders>
          </w:tcPr>
          <w:p>
            <w:pPr>
              <w:pStyle w:val="TableParagraph"/>
              <w:spacing w:line="207" w:lineRule="exact"/>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1"/>
              <w:jc w:val="right"/>
              <w:rPr>
                <w:rFonts w:ascii="Times New Roman" w:hAnsi="Times New Roman" w:cs="Times New Roman" w:eastAsia="Times New Roman" w:hint="default"/>
                <w:sz w:val="18"/>
                <w:szCs w:val="18"/>
              </w:rPr>
            </w:pPr>
            <w:r>
              <w:rPr>
                <w:rFonts w:ascii="Times New Roman"/>
                <w:sz w:val="18"/>
              </w:rPr>
              <w:t>75.00%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76" w:hRule="exact"/>
        </w:trPr>
        <w:tc>
          <w:tcPr>
            <w:tcW w:w="1372" w:type="dxa"/>
            <w:tcBorders>
              <w:top w:val="nil" w:sz="6" w:space="0" w:color="auto"/>
              <w:left w:val="single" w:sz="4" w:space="0" w:color="000000"/>
              <w:bottom w:val="single" w:sz="4" w:space="0" w:color="000000"/>
              <w:right w:val="single" w:sz="4" w:space="0" w:color="000000"/>
            </w:tcBorders>
          </w:tcPr>
          <w:p>
            <w:pPr>
              <w:pStyle w:val="TableParagraph"/>
              <w:spacing w:line="216" w:lineRule="exact"/>
              <w:ind w:right="191"/>
              <w:jc w:val="center"/>
              <w:rPr>
                <w:rFonts w:ascii="宋体" w:hAnsi="宋体" w:cs="宋体" w:eastAsia="宋体" w:hint="default"/>
                <w:sz w:val="18"/>
                <w:szCs w:val="18"/>
              </w:rPr>
            </w:pPr>
            <w:r>
              <w:rPr>
                <w:rFonts w:ascii="宋体" w:hAnsi="宋体" w:cs="宋体" w:eastAsia="宋体" w:hint="default"/>
                <w:sz w:val="18"/>
                <w:szCs w:val="18"/>
              </w:rPr>
              <w:t>公司（注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w:t>
            </w:r>
            <w:r>
              <w:rPr>
                <w:rFonts w:ascii="宋体" w:hAnsi="宋体" w:cs="宋体" w:eastAsia="宋体" w:hint="default"/>
                <w:sz w:val="18"/>
                <w:szCs w:val="18"/>
              </w:rPr>
              <w:t>）</w:t>
            </w: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03" w:lineRule="exact"/>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367" w:type="dxa"/>
            <w:gridSpan w:val="2"/>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115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2" w:right="234"/>
              <w:jc w:val="left"/>
              <w:rPr>
                <w:rFonts w:ascii="Times New Roman" w:hAnsi="Times New Roman" w:cs="Times New Roman" w:eastAsia="Times New Roman" w:hint="default"/>
                <w:sz w:val="18"/>
                <w:szCs w:val="18"/>
              </w:rPr>
            </w:pPr>
            <w:r>
              <w:rPr>
                <w:rFonts w:ascii="Times New Roman"/>
                <w:sz w:val="18"/>
              </w:rPr>
              <w:t>Digital</w:t>
            </w:r>
            <w:r>
              <w:rPr>
                <w:rFonts w:ascii="Times New Roman"/>
                <w:spacing w:val="-1"/>
                <w:sz w:val="18"/>
              </w:rPr>
              <w:t> </w:t>
            </w:r>
            <w:r>
              <w:rPr>
                <w:rFonts w:ascii="Times New Roman"/>
                <w:sz w:val="18"/>
              </w:rPr>
              <w:t>China</w:t>
            </w:r>
            <w:r>
              <w:rPr>
                <w:rFonts w:ascii="Times New Roman"/>
                <w:w w:val="99"/>
                <w:sz w:val="18"/>
              </w:rPr>
              <w:t> </w:t>
            </w:r>
            <w:r>
              <w:rPr>
                <w:rFonts w:ascii="Times New Roman"/>
                <w:sz w:val="18"/>
              </w:rPr>
              <w:t>Technology</w:t>
            </w:r>
            <w:r>
              <w:rPr>
                <w:rFonts w:ascii="Times New Roman"/>
                <w:w w:val="99"/>
                <w:sz w:val="18"/>
              </w:rPr>
              <w:t> </w:t>
            </w:r>
            <w:r>
              <w:rPr>
                <w:rFonts w:ascii="Times New Roman"/>
                <w:sz w:val="18"/>
              </w:rPr>
              <w:t>International</w:t>
            </w:r>
            <w:r>
              <w:rPr>
                <w:rFonts w:ascii="Times New Roman"/>
                <w:w w:val="99"/>
                <w:sz w:val="18"/>
              </w:rPr>
              <w:t> </w:t>
            </w:r>
            <w:r>
              <w:rPr>
                <w:rFonts w:ascii="Times New Roman"/>
                <w:sz w:val="18"/>
              </w:rPr>
              <w:t>(Sin) PTE</w:t>
            </w:r>
            <w:r>
              <w:rPr>
                <w:rFonts w:ascii="Times New Roman"/>
                <w:spacing w:val="-1"/>
                <w:sz w:val="18"/>
              </w:rPr>
              <w:t> </w:t>
            </w:r>
            <w:r>
              <w:rPr>
                <w:rFonts w:ascii="Times New Roman"/>
                <w:spacing w:val="-6"/>
                <w:sz w:val="18"/>
              </w:rPr>
              <w:t>LTD</w:t>
            </w:r>
          </w:p>
          <w:p>
            <w:pPr>
              <w:pStyle w:val="TableParagraph"/>
              <w:spacing w:line="224" w:lineRule="exact"/>
              <w:ind w:left="2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90"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77"/>
              <w:jc w:val="both"/>
              <w:rPr>
                <w:rFonts w:ascii="宋体" w:hAnsi="宋体" w:cs="宋体" w:eastAsia="宋体" w:hint="default"/>
                <w:sz w:val="18"/>
                <w:szCs w:val="18"/>
              </w:rPr>
            </w:pPr>
            <w:r>
              <w:rPr>
                <w:rFonts w:ascii="宋体" w:hAnsi="宋体" w:cs="宋体" w:eastAsia="宋体" w:hint="default"/>
                <w:sz w:val="18"/>
                <w:szCs w:val="18"/>
              </w:rPr>
              <w:t>武汉神州数码云 科网络技术有限 公司（注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48"/>
              <w:ind w:left="22" w:right="23"/>
              <w:jc w:val="left"/>
              <w:rPr>
                <w:rFonts w:ascii="宋体" w:hAnsi="宋体" w:cs="宋体" w:eastAsia="宋体" w:hint="default"/>
                <w:sz w:val="18"/>
                <w:szCs w:val="18"/>
              </w:rPr>
            </w:pPr>
            <w:r>
              <w:rPr>
                <w:rFonts w:ascii="宋体" w:hAnsi="宋体" w:cs="宋体" w:eastAsia="宋体" w:hint="default"/>
                <w:spacing w:val="-6"/>
                <w:sz w:val="18"/>
                <w:szCs w:val="18"/>
              </w:rPr>
              <w:t>生产、分销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 品</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91"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77"/>
              <w:jc w:val="both"/>
              <w:rPr>
                <w:rFonts w:ascii="宋体" w:hAnsi="宋体" w:cs="宋体" w:eastAsia="宋体" w:hint="default"/>
                <w:sz w:val="18"/>
                <w:szCs w:val="18"/>
              </w:rPr>
            </w:pPr>
            <w:r>
              <w:rPr>
                <w:rFonts w:ascii="宋体" w:hAnsi="宋体" w:cs="宋体" w:eastAsia="宋体" w:hint="default"/>
                <w:sz w:val="18"/>
                <w:szCs w:val="18"/>
              </w:rPr>
              <w:t>上海云角信息技 术有限公司（注 </w:t>
            </w:r>
            <w:r>
              <w:rPr>
                <w:rFonts w:ascii="Times New Roman" w:hAnsi="Times New Roman" w:cs="Times New Roman" w:eastAsia="Times New Roman" w:hint="default"/>
                <w:sz w:val="18"/>
                <w:szCs w:val="18"/>
              </w:rPr>
              <w:t>37</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13" w:space="0" w:color="FFFFFF"/>
            </w:tcBorders>
          </w:tcPr>
          <w:p>
            <w:pPr>
              <w:pStyle w:val="TableParagraph"/>
              <w:spacing w:line="237" w:lineRule="auto" w:before="12"/>
              <w:ind w:left="22" w:right="62"/>
              <w:jc w:val="both"/>
              <w:rPr>
                <w:rFonts w:ascii="宋体" w:hAnsi="宋体" w:cs="宋体" w:eastAsia="宋体" w:hint="default"/>
                <w:sz w:val="18"/>
                <w:szCs w:val="18"/>
              </w:rPr>
            </w:pPr>
            <w:r>
              <w:rPr>
                <w:rFonts w:ascii="宋体" w:hAnsi="宋体" w:cs="宋体" w:eastAsia="宋体" w:hint="default"/>
                <w:sz w:val="18"/>
                <w:szCs w:val="18"/>
              </w:rPr>
              <w:t>计算机科技领域 </w:t>
            </w:r>
            <w:r>
              <w:rPr>
                <w:rFonts w:ascii="宋体" w:hAnsi="宋体" w:cs="宋体" w:eastAsia="宋体" w:hint="default"/>
                <w:spacing w:val="-6"/>
                <w:sz w:val="18"/>
                <w:szCs w:val="18"/>
              </w:rPr>
              <w:t>技术开发、咨询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服务</w:t>
            </w:r>
          </w:p>
        </w:tc>
        <w:tc>
          <w:tcPr>
            <w:tcW w:w="378" w:type="dxa"/>
            <w:tcBorders>
              <w:top w:val="single" w:sz="4" w:space="0" w:color="000000"/>
              <w:left w:val="single" w:sz="13" w:space="0" w:color="FFFFFF"/>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91"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77"/>
              <w:jc w:val="both"/>
              <w:rPr>
                <w:rFonts w:ascii="宋体" w:hAnsi="宋体" w:cs="宋体" w:eastAsia="宋体" w:hint="default"/>
                <w:sz w:val="18"/>
                <w:szCs w:val="18"/>
              </w:rPr>
            </w:pPr>
            <w:r>
              <w:rPr>
                <w:rFonts w:ascii="宋体" w:hAnsi="宋体" w:cs="宋体" w:eastAsia="宋体" w:hint="default"/>
                <w:sz w:val="18"/>
                <w:szCs w:val="18"/>
              </w:rPr>
              <w:t>北京神州数码云 角信息技术有限 公司（注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1"/>
              <w:ind w:left="22" w:right="72"/>
              <w:jc w:val="left"/>
              <w:rPr>
                <w:rFonts w:ascii="宋体" w:hAnsi="宋体" w:cs="宋体" w:eastAsia="宋体" w:hint="default"/>
                <w:sz w:val="18"/>
                <w:szCs w:val="18"/>
              </w:rPr>
            </w:pPr>
            <w:r>
              <w:rPr>
                <w:rFonts w:ascii="宋体" w:hAnsi="宋体" w:cs="宋体" w:eastAsia="宋体" w:hint="default"/>
                <w:sz w:val="18"/>
                <w:szCs w:val="18"/>
              </w:rPr>
              <w:t>信息技术开发与 服务</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557"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57"/>
              <w:ind w:left="22" w:right="2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Shanghai</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pacing w:val="-3"/>
                <w:sz w:val="18"/>
                <w:szCs w:val="18"/>
              </w:rPr>
              <w:t>Yungoal</w:t>
            </w:r>
            <w:r>
              <w:rPr>
                <w:rFonts w:ascii="Times New Roman" w:hAnsi="Times New Roman" w:cs="Times New Roman" w:eastAsia="Times New Roman" w:hint="default"/>
                <w:sz w:val="18"/>
                <w:szCs w:val="18"/>
              </w:rPr>
              <w:t> Info</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3"/>
                <w:sz w:val="18"/>
                <w:szCs w:val="18"/>
              </w:rPr>
              <w:t>Tech</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USA</w:t>
            </w:r>
            <w:r>
              <w:rPr>
                <w:rFonts w:ascii="Times New Roman" w:hAnsi="Times New Roman" w:cs="Times New Roman" w:eastAsia="Times New Roman"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72"/>
              <w:jc w:val="left"/>
              <w:rPr>
                <w:rFonts w:ascii="宋体" w:hAnsi="宋体" w:cs="宋体" w:eastAsia="宋体" w:hint="default"/>
                <w:sz w:val="18"/>
                <w:szCs w:val="18"/>
              </w:rPr>
            </w:pPr>
            <w:r>
              <w:rPr>
                <w:rFonts w:ascii="宋体" w:hAnsi="宋体" w:cs="宋体" w:eastAsia="宋体" w:hint="default"/>
                <w:sz w:val="18"/>
                <w:szCs w:val="18"/>
              </w:rPr>
              <w:t>信息技术开发与 服务</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24" w:hRule="exact"/>
        </w:trPr>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28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Co.,Ltd</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6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before="50"/>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Shanghai</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pacing w:val="-3"/>
                <w:sz w:val="18"/>
                <w:szCs w:val="18"/>
              </w:rPr>
              <w:t>Yungoal</w:t>
            </w:r>
            <w:r>
              <w:rPr>
                <w:rFonts w:ascii="Times New Roman" w:hAnsi="Times New Roman" w:cs="Times New Roman" w:eastAsia="Times New Roman" w:hint="default"/>
                <w:sz w:val="18"/>
                <w:szCs w:val="18"/>
              </w:rPr>
              <w:t> Info</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z w:val="18"/>
                <w:szCs w:val="18"/>
              </w:rPr>
              <w:t>Tech</w:t>
            </w:r>
            <w:r>
              <w:rPr>
                <w:rFonts w:ascii="宋体" w:hAnsi="宋体" w:cs="宋体" w:eastAsia="宋体" w:hint="default"/>
                <w:sz w:val="18"/>
                <w:szCs w:val="18"/>
              </w:rPr>
              <w:t>（</w:t>
            </w:r>
            <w:r>
              <w:rPr>
                <w:rFonts w:ascii="Times New Roman" w:hAnsi="Times New Roman" w:cs="Times New Roman" w:eastAsia="Times New Roman" w:hint="default"/>
                <w:sz w:val="18"/>
                <w:szCs w:val="18"/>
              </w:rPr>
              <w:t>HK</w:t>
            </w:r>
            <w:r>
              <w:rPr>
                <w:rFonts w:ascii="宋体" w:hAnsi="宋体" w:cs="宋体" w:eastAsia="宋体" w:hint="default"/>
                <w:sz w:val="18"/>
                <w:szCs w:val="18"/>
              </w:rPr>
              <w:t>） </w:t>
            </w:r>
            <w:r>
              <w:rPr>
                <w:rFonts w:ascii="Times New Roman" w:hAnsi="Times New Roman" w:cs="Times New Roman" w:eastAsia="Times New Roman" w:hint="default"/>
                <w:sz w:val="18"/>
                <w:szCs w:val="18"/>
              </w:rPr>
              <w:t>Co.,Ltd</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2" w:right="72"/>
              <w:jc w:val="left"/>
              <w:rPr>
                <w:rFonts w:ascii="宋体" w:hAnsi="宋体" w:cs="宋体" w:eastAsia="宋体" w:hint="default"/>
                <w:sz w:val="18"/>
                <w:szCs w:val="18"/>
              </w:rPr>
            </w:pPr>
            <w:r>
              <w:rPr>
                <w:rFonts w:ascii="宋体" w:hAnsi="宋体" w:cs="宋体" w:eastAsia="宋体" w:hint="default"/>
                <w:sz w:val="18"/>
                <w:szCs w:val="18"/>
              </w:rPr>
              <w:t>信息技术开发与 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91"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77"/>
              <w:jc w:val="left"/>
              <w:rPr>
                <w:rFonts w:ascii="宋体" w:hAnsi="宋体" w:cs="宋体" w:eastAsia="宋体" w:hint="default"/>
                <w:sz w:val="18"/>
                <w:szCs w:val="18"/>
              </w:rPr>
            </w:pPr>
            <w:r>
              <w:rPr>
                <w:rFonts w:ascii="宋体" w:hAnsi="宋体" w:cs="宋体" w:eastAsia="宋体" w:hint="default"/>
                <w:sz w:val="18"/>
                <w:szCs w:val="18"/>
              </w:rPr>
              <w:t>深圳神州数码电 商服务有限公司</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72"/>
              <w:jc w:val="left"/>
              <w:rPr>
                <w:rFonts w:ascii="宋体" w:hAnsi="宋体" w:cs="宋体" w:eastAsia="宋体" w:hint="default"/>
                <w:sz w:val="18"/>
                <w:szCs w:val="18"/>
              </w:rPr>
            </w:pPr>
            <w:r>
              <w:rPr>
                <w:rFonts w:ascii="宋体" w:hAnsi="宋体" w:cs="宋体" w:eastAsia="宋体" w:hint="default"/>
                <w:sz w:val="18"/>
                <w:szCs w:val="18"/>
              </w:rPr>
              <w:t>电子商务运营管 理</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177"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28" w:lineRule="auto" w:before="43"/>
              <w:ind w:left="22" w:right="216"/>
              <w:jc w:val="left"/>
              <w:rPr>
                <w:rFonts w:ascii="宋体" w:hAnsi="宋体" w:cs="宋体" w:eastAsia="宋体" w:hint="default"/>
                <w:sz w:val="18"/>
                <w:szCs w:val="18"/>
              </w:rPr>
            </w:pPr>
            <w:r>
              <w:rPr>
                <w:rFonts w:ascii="Times New Roman" w:hAnsi="Times New Roman" w:cs="Times New Roman" w:eastAsia="Times New Roman" w:hint="default"/>
                <w:sz w:val="18"/>
                <w:szCs w:val="18"/>
              </w:rPr>
              <w:t>Digital</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China</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Technology</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(Malaysia)</w:t>
            </w:r>
            <w:r>
              <w:rPr>
                <w:rFonts w:ascii="Times New Roman" w:hAnsi="Times New Roman" w:cs="Times New Roman" w:eastAsia="Times New Roman" w:hint="default"/>
                <w:sz w:val="18"/>
                <w:szCs w:val="18"/>
              </w:rPr>
              <w:t> Sdn.Bhd.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（注 </w:t>
            </w:r>
            <w:r>
              <w:rPr>
                <w:rFonts w:ascii="Times New Roman" w:hAnsi="Times New Roman" w:cs="Times New Roman" w:eastAsia="Times New Roman" w:hint="default"/>
                <w:sz w:val="18"/>
                <w:szCs w:val="18"/>
              </w:rPr>
              <w:t>42</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马来西亚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91"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9"/>
              <w:ind w:left="22" w:right="77"/>
              <w:jc w:val="left"/>
              <w:rPr>
                <w:rFonts w:ascii="宋体" w:hAnsi="宋体" w:cs="宋体" w:eastAsia="宋体" w:hint="default"/>
                <w:sz w:val="18"/>
                <w:szCs w:val="18"/>
              </w:rPr>
            </w:pPr>
            <w:r>
              <w:rPr>
                <w:rFonts w:ascii="宋体" w:hAnsi="宋体" w:cs="宋体" w:eastAsia="宋体" w:hint="default"/>
                <w:sz w:val="18"/>
                <w:szCs w:val="18"/>
              </w:rPr>
              <w:t>智慧神州</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 </w:t>
            </w:r>
            <w:r>
              <w:rPr>
                <w:rFonts w:ascii="宋体" w:hAnsi="宋体" w:cs="宋体" w:eastAsia="宋体" w:hint="default"/>
                <w:sz w:val="18"/>
                <w:szCs w:val="18"/>
              </w:rPr>
              <w:t>投资管理有限公 司（注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pStyle w:val="BodyText"/>
        <w:spacing w:line="278" w:lineRule="auto" w:before="10"/>
        <w:ind w:right="6972"/>
        <w:jc w:val="left"/>
      </w:pPr>
      <w:r>
        <w:rPr/>
        <w:t>在子公司的持股比例不同于表决权比例的说明： 无</w:t>
      </w:r>
    </w:p>
    <w:p>
      <w:pPr>
        <w:pStyle w:val="BodyText"/>
        <w:spacing w:line="278" w:lineRule="auto" w:before="9"/>
        <w:ind w:right="2832"/>
        <w:jc w:val="left"/>
      </w:pPr>
      <w:r>
        <w:rPr/>
        <w:t>持有半数或以下表决权但仍控制被投资单位、以及持有半数以上表决权但不控制被投资单位的依据： 无</w:t>
      </w:r>
    </w:p>
    <w:p>
      <w:pPr>
        <w:pStyle w:val="BodyText"/>
        <w:spacing w:line="278" w:lineRule="auto" w:before="10"/>
        <w:ind w:right="6432"/>
        <w:jc w:val="left"/>
      </w:pPr>
      <w:r>
        <w:rPr/>
        <w:t>对于纳入合并范围的重要的结构化主体，控制的依据： 无</w:t>
      </w:r>
    </w:p>
    <w:p>
      <w:pPr>
        <w:pStyle w:val="BodyText"/>
        <w:spacing w:line="278" w:lineRule="auto" w:before="10"/>
        <w:ind w:right="7692"/>
        <w:jc w:val="left"/>
      </w:pPr>
      <w:r>
        <w:rPr/>
        <w:t>确定公司是代理人还是委托人的依据： 无</w:t>
      </w:r>
    </w:p>
    <w:p>
      <w:pPr>
        <w:pStyle w:val="BodyText"/>
        <w:spacing w:line="240" w:lineRule="auto" w:before="9"/>
        <w:ind w:right="0"/>
        <w:jc w:val="both"/>
      </w:pPr>
      <w:r>
        <w:rPr/>
        <w:t>其他说明：</w:t>
      </w:r>
    </w:p>
    <w:p>
      <w:pPr>
        <w:pStyle w:val="BodyText"/>
        <w:spacing w:line="228" w:lineRule="auto" w:before="47"/>
        <w:ind w:right="1132"/>
        <w:jc w:val="both"/>
      </w:pPr>
      <w:r>
        <w:rPr/>
        <w:t>注</w:t>
      </w:r>
      <w:r>
        <w:rPr>
          <w:rFonts w:ascii="Times New Roman" w:hAnsi="Times New Roman" w:cs="Times New Roman" w:eastAsia="Times New Roman" w:hint="default"/>
        </w:rPr>
        <w:t>1: </w:t>
      </w:r>
      <w:r>
        <w:rPr/>
        <w:t>神州数码（中国）有限公司（以下简称</w:t>
      </w:r>
      <w:r>
        <w:rPr>
          <w:rFonts w:ascii="Times New Roman" w:hAnsi="Times New Roman" w:cs="Times New Roman" w:eastAsia="Times New Roman" w:hint="default"/>
        </w:rPr>
        <w:t>“</w:t>
      </w:r>
      <w:r>
        <w:rPr/>
        <w:t>神码中国</w:t>
      </w:r>
      <w:r>
        <w:rPr>
          <w:rFonts w:ascii="Times New Roman" w:hAnsi="Times New Roman" w:cs="Times New Roman" w:eastAsia="Times New Roman" w:hint="default"/>
        </w:rPr>
        <w:t>”</w:t>
      </w:r>
      <w:r>
        <w:rPr/>
        <w:t>）系由神码有限于</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w:t>
      </w:r>
      <w:r>
        <w:rPr/>
        <w:t>日出资设立的台港澳法人独资有限责</w:t>
      </w:r>
      <w:r>
        <w:rPr>
          <w:spacing w:val="-80"/>
        </w:rPr>
        <w:t> </w:t>
      </w:r>
      <w:r>
        <w:rPr>
          <w:spacing w:val="-80"/>
        </w:rPr>
      </w:r>
      <w:r>
        <w:rPr>
          <w:spacing w:val="-3"/>
        </w:rPr>
        <w:t>任公司，公司注册资本港币</w:t>
      </w:r>
      <w:r>
        <w:rPr>
          <w:rFonts w:ascii="Times New Roman" w:hAnsi="Times New Roman" w:cs="Times New Roman" w:eastAsia="Times New Roman" w:hint="default"/>
          <w:spacing w:val="-3"/>
        </w:rPr>
        <w:t>100,000</w:t>
      </w:r>
      <w:r>
        <w:rPr>
          <w:spacing w:val="-3"/>
        </w:rPr>
        <w:t>万元。于</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7</w:t>
      </w:r>
      <w:r>
        <w:rPr>
          <w:spacing w:val="-3"/>
        </w:rPr>
        <w:t>日，神码有限将其持有的神码中国</w:t>
      </w:r>
      <w:r>
        <w:rPr>
          <w:rFonts w:ascii="Times New Roman" w:hAnsi="Times New Roman" w:cs="Times New Roman" w:eastAsia="Times New Roman" w:hint="default"/>
          <w:spacing w:val="-3"/>
        </w:rPr>
        <w:t>100%</w:t>
      </w:r>
      <w:r>
        <w:rPr>
          <w:spacing w:val="-3"/>
        </w:rPr>
        <w:t>股权转让给本公司，转让后，</w:t>
      </w:r>
      <w:r>
        <w:rPr/>
        <w:t> </w:t>
      </w:r>
      <w:r>
        <w:rPr>
          <w:spacing w:val="-2"/>
        </w:rPr>
        <w:t>神码中国成为本公司全资子公司，公司类型由台港澳法人独资有限责任公司变更为法人独资有限责任公司，公司注册资本变</w:t>
      </w:r>
      <w:r>
        <w:rPr>
          <w:spacing w:val="-64"/>
        </w:rPr>
        <w:t> </w:t>
      </w:r>
      <w:r>
        <w:rPr>
          <w:spacing w:val="-64"/>
        </w:rPr>
      </w:r>
      <w:r>
        <w:rPr/>
        <w:t>更为人民币</w:t>
      </w:r>
      <w:r>
        <w:rPr>
          <w:rFonts w:ascii="Times New Roman" w:hAnsi="Times New Roman" w:cs="Times New Roman" w:eastAsia="Times New Roman" w:hint="default"/>
        </w:rPr>
        <w:t>104,272.225</w:t>
      </w:r>
      <w:r>
        <w:rPr/>
        <w:t>万元。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月，经股东会决议通过，本公司向神码中国增资</w:t>
      </w:r>
      <w:r>
        <w:rPr>
          <w:rFonts w:ascii="Times New Roman" w:hAnsi="Times New Roman" w:cs="Times New Roman" w:eastAsia="Times New Roman" w:hint="default"/>
        </w:rPr>
        <w:t>12.05</w:t>
      </w:r>
      <w:r>
        <w:rPr/>
        <w:t>亿元，神码中国全部计入资本</w:t>
      </w:r>
      <w:r>
        <w:rPr>
          <w:spacing w:val="-49"/>
        </w:rPr>
        <w:t> </w:t>
      </w:r>
      <w:r>
        <w:rPr>
          <w:spacing w:val="-49"/>
        </w:rPr>
      </w:r>
      <w:r>
        <w:rPr/>
        <w:t>公积。</w:t>
      </w:r>
    </w:p>
    <w:p>
      <w:pPr>
        <w:spacing w:line="240" w:lineRule="auto" w:before="7"/>
        <w:rPr>
          <w:rFonts w:ascii="宋体" w:hAnsi="宋体" w:cs="宋体" w:eastAsia="宋体" w:hint="default"/>
          <w:sz w:val="16"/>
          <w:szCs w:val="16"/>
        </w:rPr>
      </w:pPr>
    </w:p>
    <w:p>
      <w:pPr>
        <w:pStyle w:val="BodyText"/>
        <w:spacing w:line="228" w:lineRule="auto"/>
        <w:ind w:right="1131"/>
        <w:jc w:val="both"/>
      </w:pPr>
      <w:r>
        <w:rPr/>
        <w:t>注</w:t>
      </w:r>
      <w:r>
        <w:rPr>
          <w:rFonts w:ascii="Times New Roman" w:hAnsi="Times New Roman" w:cs="Times New Roman" w:eastAsia="Times New Roman" w:hint="default"/>
        </w:rPr>
        <w:t>2:</w:t>
      </w:r>
      <w:r>
        <w:rPr/>
        <w:t>上海神州数码有限公司（以下简称</w:t>
      </w:r>
      <w:r>
        <w:rPr>
          <w:rFonts w:ascii="Times New Roman" w:hAnsi="Times New Roman" w:cs="Times New Roman" w:eastAsia="Times New Roman" w:hint="default"/>
        </w:rPr>
        <w:t>“</w:t>
      </w:r>
      <w:r>
        <w:rPr/>
        <w:t>神码上海</w:t>
      </w:r>
      <w:r>
        <w:rPr>
          <w:rFonts w:ascii="Times New Roman" w:hAnsi="Times New Roman" w:cs="Times New Roman" w:eastAsia="Times New Roman" w:hint="default"/>
        </w:rPr>
        <w:t>”</w:t>
      </w:r>
      <w:r>
        <w:rPr/>
        <w:t>）系由神码有限于</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日出资港币</w:t>
      </w:r>
      <w:r>
        <w:rPr>
          <w:rFonts w:ascii="Times New Roman" w:hAnsi="Times New Roman" w:cs="Times New Roman" w:eastAsia="Times New Roman" w:hint="default"/>
        </w:rPr>
        <w:t>1,000</w:t>
      </w:r>
      <w:r>
        <w:rPr/>
        <w:t>万元设立的台港澳法人独</w:t>
      </w:r>
      <w:r>
        <w:rPr>
          <w:spacing w:val="-73"/>
        </w:rPr>
        <w:t> </w:t>
      </w:r>
      <w:r>
        <w:rPr>
          <w:spacing w:val="-73"/>
        </w:rPr>
      </w:r>
      <w:r>
        <w:rPr>
          <w:spacing w:val="-1"/>
        </w:rPr>
        <w:t>资有限责任公司。于</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29</w:t>
      </w:r>
      <w:r>
        <w:rPr>
          <w:spacing w:val="-1"/>
        </w:rPr>
        <w:t>日，神码有限对神码上海增资港币</w:t>
      </w:r>
      <w:r>
        <w:rPr>
          <w:rFonts w:ascii="Times New Roman" w:hAnsi="Times New Roman" w:cs="Times New Roman" w:eastAsia="Times New Roman" w:hint="default"/>
          <w:spacing w:val="-1"/>
        </w:rPr>
        <w:t>2,000</w:t>
      </w:r>
      <w:r>
        <w:rPr>
          <w:spacing w:val="-1"/>
        </w:rPr>
        <w:t>万元，增资后，神码上海的注册资本及实收资本变</w:t>
      </w:r>
      <w:r>
        <w:rPr>
          <w:spacing w:val="-71"/>
        </w:rPr>
        <w:t> </w:t>
      </w:r>
      <w:r>
        <w:rPr>
          <w:spacing w:val="-71"/>
        </w:rPr>
      </w:r>
      <w:r>
        <w:rPr/>
        <w:t>更为港币</w:t>
      </w:r>
      <w:r>
        <w:rPr>
          <w:rFonts w:ascii="Times New Roman" w:hAnsi="Times New Roman" w:cs="Times New Roman" w:eastAsia="Times New Roman" w:hint="default"/>
        </w:rPr>
        <w:t>3,000</w:t>
      </w:r>
      <w:r>
        <w:rPr/>
        <w:t>万元。于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日，神码有限对神码上海增资港币</w:t>
      </w:r>
      <w:r>
        <w:rPr>
          <w:rFonts w:ascii="Times New Roman" w:hAnsi="Times New Roman" w:cs="Times New Roman" w:eastAsia="Times New Roman" w:hint="default"/>
        </w:rPr>
        <w:t>25,500</w:t>
      </w:r>
      <w:r>
        <w:rPr/>
        <w:t>万元，增资后，神码上海的注册资本及实收资</w:t>
      </w:r>
      <w:r>
        <w:rPr>
          <w:spacing w:val="-85"/>
        </w:rPr>
        <w:t> </w:t>
      </w:r>
      <w:r>
        <w:rPr>
          <w:spacing w:val="-85"/>
        </w:rPr>
      </w:r>
      <w:r>
        <w:rPr/>
        <w:t>本变更为港币</w:t>
      </w:r>
      <w:r>
        <w:rPr>
          <w:rFonts w:ascii="Times New Roman" w:hAnsi="Times New Roman" w:cs="Times New Roman" w:eastAsia="Times New Roman" w:hint="default"/>
        </w:rPr>
        <w:t>28,500</w:t>
      </w:r>
      <w:r>
        <w:rPr/>
        <w:t>万元。于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5</w:t>
      </w:r>
      <w:r>
        <w:rPr/>
        <w:t>日，神码有限将其持有的神码上海</w:t>
      </w:r>
      <w:r>
        <w:rPr>
          <w:rFonts w:ascii="Times New Roman" w:hAnsi="Times New Roman" w:cs="Times New Roman" w:eastAsia="Times New Roman" w:hint="default"/>
        </w:rPr>
        <w:t>100%</w:t>
      </w:r>
      <w:r>
        <w:rPr/>
        <w:t>股权转让给本公司，转让后，神码上海成</w:t>
      </w:r>
      <w:r>
        <w:rPr>
          <w:spacing w:val="-20"/>
        </w:rPr>
        <w:t> </w:t>
      </w:r>
      <w:r>
        <w:rPr>
          <w:spacing w:val="-20"/>
        </w:rPr>
      </w:r>
      <w:r>
        <w:rPr>
          <w:spacing w:val="-2"/>
        </w:rPr>
        <w:t>为本公司全资子公司，公司类型由台港澳法人独资有限责任公司变更为法人独资有限责任公司，公司注册资本变更为人民币</w:t>
      </w:r>
      <w:r>
        <w:rPr>
          <w:spacing w:val="-64"/>
        </w:rPr>
        <w:t> </w:t>
      </w:r>
      <w:r>
        <w:rPr>
          <w:spacing w:val="-64"/>
        </w:rPr>
      </w:r>
      <w:r>
        <w:rPr>
          <w:rFonts w:ascii="Times New Roman" w:hAnsi="Times New Roman" w:cs="Times New Roman" w:eastAsia="Times New Roman" w:hint="default"/>
        </w:rPr>
        <w:t>23,105.115</w:t>
      </w:r>
      <w:r>
        <w:rPr/>
        <w:t>万元。</w:t>
      </w:r>
    </w:p>
    <w:p>
      <w:pPr>
        <w:spacing w:line="240" w:lineRule="auto" w:before="10"/>
        <w:rPr>
          <w:rFonts w:ascii="宋体" w:hAnsi="宋体" w:cs="宋体" w:eastAsia="宋体" w:hint="default"/>
          <w:sz w:val="15"/>
          <w:szCs w:val="15"/>
        </w:rPr>
      </w:pPr>
    </w:p>
    <w:p>
      <w:pPr>
        <w:pStyle w:val="BodyText"/>
        <w:spacing w:line="225" w:lineRule="auto"/>
        <w:ind w:right="1131"/>
        <w:jc w:val="both"/>
      </w:pPr>
      <w:r>
        <w:rPr>
          <w:spacing w:val="-1"/>
        </w:rPr>
        <w:t>注</w:t>
      </w:r>
      <w:r>
        <w:rPr>
          <w:rFonts w:ascii="Times New Roman" w:hAnsi="Times New Roman" w:cs="Times New Roman" w:eastAsia="Times New Roman" w:hint="default"/>
          <w:spacing w:val="-1"/>
        </w:rPr>
        <w:t>3:</w:t>
      </w:r>
      <w:r>
        <w:rPr>
          <w:spacing w:val="-1"/>
        </w:rPr>
        <w:t>广州神州数码有限公司由神码有限及神码北京于</w:t>
      </w:r>
      <w:r>
        <w:rPr>
          <w:rFonts w:ascii="Times New Roman" w:hAnsi="Times New Roman" w:cs="Times New Roman" w:eastAsia="Times New Roman" w:hint="default"/>
          <w:spacing w:val="-1"/>
        </w:rPr>
        <w:t>2000</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19</w:t>
      </w:r>
      <w:r>
        <w:rPr>
          <w:spacing w:val="-1"/>
        </w:rPr>
        <w:t>日共同出资设立。于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19</w:t>
      </w:r>
      <w:r>
        <w:rPr>
          <w:spacing w:val="-1"/>
        </w:rPr>
        <w:t>日，神码有限将其持有的</w:t>
      </w:r>
      <w:r>
        <w:rPr>
          <w:spacing w:val="-72"/>
        </w:rPr>
        <w:t> </w:t>
      </w:r>
      <w:r>
        <w:rPr>
          <w:spacing w:val="-72"/>
        </w:rPr>
      </w:r>
      <w:r>
        <w:rPr>
          <w:spacing w:val="-1"/>
        </w:rPr>
        <w:t>广州神州数码有限公司</w:t>
      </w:r>
      <w:r>
        <w:rPr>
          <w:rFonts w:ascii="Times New Roman" w:hAnsi="Times New Roman" w:cs="Times New Roman" w:eastAsia="Times New Roman" w:hint="default"/>
          <w:spacing w:val="-1"/>
        </w:rPr>
        <w:t>70%</w:t>
      </w:r>
      <w:r>
        <w:rPr>
          <w:spacing w:val="-1"/>
        </w:rPr>
        <w:t>股权转让给神码中国，注册资本由港币</w:t>
      </w:r>
      <w:r>
        <w:rPr>
          <w:rFonts w:ascii="Times New Roman" w:hAnsi="Times New Roman" w:cs="Times New Roman" w:eastAsia="Times New Roman" w:hint="default"/>
          <w:spacing w:val="-1"/>
        </w:rPr>
        <w:t>1,200</w:t>
      </w:r>
      <w:r>
        <w:rPr>
          <w:spacing w:val="-1"/>
        </w:rPr>
        <w:t>万元变更为人民币</w:t>
      </w:r>
      <w:r>
        <w:rPr>
          <w:rFonts w:ascii="Times New Roman" w:hAnsi="Times New Roman" w:cs="Times New Roman" w:eastAsia="Times New Roman" w:hint="default"/>
          <w:spacing w:val="-1"/>
        </w:rPr>
        <w:t>1,274.04</w:t>
      </w:r>
      <w:r>
        <w:rPr>
          <w:spacing w:val="-1"/>
        </w:rPr>
        <w:t>万元，转让后，神码中国</w:t>
      </w:r>
      <w:r>
        <w:rPr>
          <w:spacing w:val="-41"/>
        </w:rPr>
        <w:t> </w:t>
      </w:r>
      <w:r>
        <w:rPr>
          <w:spacing w:val="-41"/>
        </w:rPr>
      </w:r>
      <w:r>
        <w:rPr/>
        <w:t>持有广州神州数码有限公司</w:t>
      </w:r>
      <w:r>
        <w:rPr>
          <w:rFonts w:ascii="Times New Roman" w:hAnsi="Times New Roman" w:cs="Times New Roman" w:eastAsia="Times New Roman" w:hint="default"/>
        </w:rPr>
        <w:t>70%</w:t>
      </w:r>
      <w:r>
        <w:rPr/>
        <w:t>股权，神码北京持有广州神州数码有限公司</w:t>
      </w:r>
      <w:r>
        <w:rPr>
          <w:rFonts w:ascii="Times New Roman" w:hAnsi="Times New Roman" w:cs="Times New Roman" w:eastAsia="Times New Roman" w:hint="default"/>
        </w:rPr>
        <w:t>30%</w:t>
      </w:r>
      <w:r>
        <w:rPr/>
        <w:t>股权。</w:t>
      </w:r>
    </w:p>
    <w:p>
      <w:pPr>
        <w:spacing w:line="240" w:lineRule="auto" w:before="10"/>
        <w:rPr>
          <w:rFonts w:ascii="宋体" w:hAnsi="宋体" w:cs="宋体" w:eastAsia="宋体" w:hint="default"/>
          <w:sz w:val="15"/>
          <w:szCs w:val="15"/>
        </w:rPr>
      </w:pPr>
    </w:p>
    <w:p>
      <w:pPr>
        <w:pStyle w:val="BodyText"/>
        <w:spacing w:line="225" w:lineRule="auto"/>
        <w:ind w:right="1130"/>
        <w:jc w:val="both"/>
      </w:pPr>
      <w:r>
        <w:rPr/>
        <w:t>注</w:t>
      </w:r>
      <w:r>
        <w:rPr>
          <w:rFonts w:ascii="Times New Roman" w:hAnsi="Times New Roman" w:cs="Times New Roman" w:eastAsia="Times New Roman" w:hint="default"/>
        </w:rPr>
        <w:t>4:</w:t>
      </w:r>
      <w:r>
        <w:rPr>
          <w:rFonts w:ascii="Times New Roman" w:hAnsi="Times New Roman" w:cs="Times New Roman" w:eastAsia="Times New Roman" w:hint="default"/>
          <w:spacing w:val="18"/>
        </w:rPr>
        <w:t> </w:t>
      </w:r>
      <w:r>
        <w:rPr>
          <w:spacing w:val="-4"/>
        </w:rPr>
        <w:t>沈阳神州数码有限公司（以下简称</w:t>
      </w:r>
      <w:r>
        <w:rPr>
          <w:rFonts w:ascii="Times New Roman" w:hAnsi="Times New Roman" w:cs="Times New Roman" w:eastAsia="Times New Roman" w:hint="default"/>
          <w:spacing w:val="-4"/>
        </w:rPr>
        <w:t>“</w:t>
      </w:r>
      <w:r>
        <w:rPr>
          <w:spacing w:val="-4"/>
        </w:rPr>
        <w:t>神码沈阳</w:t>
      </w:r>
      <w:r>
        <w:rPr>
          <w:rFonts w:ascii="Times New Roman" w:hAnsi="Times New Roman" w:cs="Times New Roman" w:eastAsia="Times New Roman" w:hint="default"/>
          <w:spacing w:val="-4"/>
        </w:rPr>
        <w:t>”</w:t>
      </w:r>
      <w:r>
        <w:rPr>
          <w:spacing w:val="-4"/>
        </w:rPr>
        <w:t>）系于</w:t>
      </w:r>
      <w:r>
        <w:rPr>
          <w:rFonts w:ascii="Times New Roman" w:hAnsi="Times New Roman" w:cs="Times New Roman" w:eastAsia="Times New Roman" w:hint="default"/>
          <w:spacing w:val="-4"/>
        </w:rPr>
        <w:t>2000</w:t>
      </w:r>
      <w:r>
        <w:rPr>
          <w:spacing w:val="-4"/>
        </w:rPr>
        <w:t>年</w:t>
      </w:r>
      <w:r>
        <w:rPr>
          <w:rFonts w:ascii="Times New Roman" w:hAnsi="Times New Roman" w:cs="Times New Roman" w:eastAsia="Times New Roman" w:hint="default"/>
          <w:spacing w:val="-4"/>
        </w:rPr>
        <w:t>4</w:t>
      </w:r>
      <w:r>
        <w:rPr>
          <w:spacing w:val="-4"/>
        </w:rPr>
        <w:t>月由神码有限设立的台港澳法人独资有限责任公司。于</w:t>
      </w:r>
      <w:r>
        <w:rPr>
          <w:rFonts w:ascii="Times New Roman" w:hAnsi="Times New Roman" w:cs="Times New Roman" w:eastAsia="Times New Roman" w:hint="default"/>
          <w:spacing w:val="-4"/>
        </w:rPr>
        <w:t>2015</w:t>
      </w:r>
      <w:r>
        <w:rPr>
          <w:rFonts w:ascii="Times New Roman" w:hAnsi="Times New Roman" w:cs="Times New Roman" w:eastAsia="Times New Roman" w:hint="default"/>
          <w:spacing w:val="-39"/>
        </w:rPr>
        <w:t> </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15</w:t>
      </w:r>
      <w:r>
        <w:rPr>
          <w:spacing w:val="-1"/>
        </w:rPr>
        <w:t>日，神码有限将其持有的神码沈阳</w:t>
      </w:r>
      <w:r>
        <w:rPr>
          <w:rFonts w:ascii="Times New Roman" w:hAnsi="Times New Roman" w:cs="Times New Roman" w:eastAsia="Times New Roman" w:hint="default"/>
          <w:spacing w:val="-1"/>
        </w:rPr>
        <w:t>100%</w:t>
      </w:r>
      <w:r>
        <w:rPr>
          <w:spacing w:val="-1"/>
        </w:rPr>
        <w:t>股权转让给神码中国，转让后，神码沈阳成为神码中国全资子公司，公司类</w:t>
      </w:r>
      <w:r>
        <w:rPr/>
        <w:t> 型由台港澳法人独资有限责任公司变更为自然人投资或控股的法人独资有限责任公司，公司注册资本由港币</w:t>
      </w:r>
      <w:r>
        <w:rPr>
          <w:rFonts w:ascii="Times New Roman" w:hAnsi="Times New Roman" w:cs="Times New Roman" w:eastAsia="Times New Roman" w:hint="default"/>
        </w:rPr>
        <w:t>3,900</w:t>
      </w:r>
      <w:r>
        <w:rPr/>
        <w:t>万元变更</w:t>
      </w:r>
      <w:r>
        <w:rPr>
          <w:spacing w:val="-42"/>
        </w:rPr>
        <w:t> </w:t>
      </w:r>
      <w:r>
        <w:rPr>
          <w:spacing w:val="-42"/>
        </w:rPr>
      </w:r>
      <w:r>
        <w:rPr/>
        <w:t>为人民币</w:t>
      </w:r>
      <w:r>
        <w:rPr>
          <w:rFonts w:ascii="Times New Roman" w:hAnsi="Times New Roman" w:cs="Times New Roman" w:eastAsia="Times New Roman" w:hint="default"/>
        </w:rPr>
        <w:t>3,370</w:t>
      </w:r>
      <w:r>
        <w:rPr/>
        <w:t>万元。</w:t>
      </w:r>
    </w:p>
    <w:p>
      <w:pPr>
        <w:spacing w:line="240" w:lineRule="auto" w:before="10"/>
        <w:rPr>
          <w:rFonts w:ascii="宋体" w:hAnsi="宋体" w:cs="宋体" w:eastAsia="宋体" w:hint="default"/>
          <w:sz w:val="15"/>
          <w:szCs w:val="15"/>
        </w:rPr>
      </w:pPr>
    </w:p>
    <w:p>
      <w:pPr>
        <w:pStyle w:val="BodyText"/>
        <w:spacing w:line="225" w:lineRule="auto"/>
        <w:ind w:right="1129"/>
        <w:jc w:val="both"/>
      </w:pPr>
      <w:r>
        <w:rPr/>
        <w:t>注</w:t>
      </w:r>
      <w:r>
        <w:rPr>
          <w:rFonts w:ascii="Times New Roman" w:hAnsi="Times New Roman" w:cs="Times New Roman" w:eastAsia="Times New Roman" w:hint="default"/>
        </w:rPr>
        <w:t>5:</w:t>
      </w:r>
      <w:r>
        <w:rPr/>
        <w:t>神州数码（深圳）有限公司（以下简称</w:t>
      </w:r>
      <w:r>
        <w:rPr>
          <w:rFonts w:ascii="Times New Roman" w:hAnsi="Times New Roman" w:cs="Times New Roman" w:eastAsia="Times New Roman" w:hint="default"/>
        </w:rPr>
        <w:t>“</w:t>
      </w:r>
      <w:r>
        <w:rPr/>
        <w:t>神码深圳</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日由神码有限设立的台港澳法人独资有限责任公</w:t>
      </w:r>
      <w:r>
        <w:rPr>
          <w:spacing w:val="-36"/>
        </w:rPr>
        <w:t> </w:t>
      </w:r>
      <w:r>
        <w:rPr>
          <w:spacing w:val="-36"/>
        </w:rPr>
      </w:r>
      <w:r>
        <w:rPr/>
        <w:t>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日，神码有限将其持有的神码深圳</w:t>
      </w:r>
      <w:r>
        <w:rPr>
          <w:rFonts w:ascii="Times New Roman" w:hAnsi="Times New Roman" w:cs="Times New Roman" w:eastAsia="Times New Roman" w:hint="default"/>
        </w:rPr>
        <w:t>100%</w:t>
      </w:r>
      <w:r>
        <w:rPr/>
        <w:t>股权转让给神码中国，转让后，神码深圳成为神码中国全资子公</w:t>
      </w:r>
      <w:r>
        <w:rPr>
          <w:spacing w:val="-57"/>
        </w:rPr>
        <w:t> </w:t>
      </w:r>
      <w:r>
        <w:rPr>
          <w:spacing w:val="-57"/>
        </w:rPr>
      </w:r>
      <w:r>
        <w:rPr/>
        <w:t>司，公司类型由台港澳法人独资有限责任公司变更为法人独资有限责任公司，注册资本由港币</w:t>
      </w:r>
      <w:r>
        <w:rPr>
          <w:rFonts w:ascii="Times New Roman" w:hAnsi="Times New Roman" w:cs="Times New Roman" w:eastAsia="Times New Roman" w:hint="default"/>
        </w:rPr>
        <w:t>1,200</w:t>
      </w:r>
      <w:r>
        <w:rPr/>
        <w:t>万元变更为人民币</w:t>
      </w:r>
      <w:r>
        <w:rPr>
          <w:rFonts w:ascii="Times New Roman" w:hAnsi="Times New Roman" w:cs="Times New Roman" w:eastAsia="Times New Roman" w:hint="default"/>
        </w:rPr>
        <w:t>1,273</w:t>
      </w:r>
      <w:r>
        <w:rPr>
          <w:rFonts w:ascii="Times New Roman" w:hAnsi="Times New Roman" w:cs="Times New Roman" w:eastAsia="Times New Roman" w:hint="default"/>
          <w:spacing w:val="-38"/>
        </w:rPr>
        <w:t> </w:t>
      </w:r>
      <w:r>
        <w:rPr/>
        <w:t>万元。于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日和</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日神码中国分别对神码深圳增资人民币</w:t>
      </w:r>
      <w:r>
        <w:rPr>
          <w:rFonts w:ascii="Times New Roman" w:hAnsi="Times New Roman" w:cs="Times New Roman" w:eastAsia="Times New Roman" w:hint="default"/>
        </w:rPr>
        <w:t>8727</w:t>
      </w:r>
      <w:r>
        <w:rPr/>
        <w:t>万元和人民币</w:t>
      </w:r>
      <w:r>
        <w:rPr>
          <w:rFonts w:ascii="Times New Roman" w:hAnsi="Times New Roman" w:cs="Times New Roman" w:eastAsia="Times New Roman" w:hint="default"/>
        </w:rPr>
        <w:t>9</w:t>
      </w:r>
      <w:r>
        <w:rPr/>
        <w:t>亿元，增资后神码深圳的</w:t>
      </w:r>
      <w:r>
        <w:rPr>
          <w:spacing w:val="-83"/>
        </w:rPr>
        <w:t> </w:t>
      </w:r>
      <w:r>
        <w:rPr>
          <w:spacing w:val="-83"/>
        </w:rPr>
      </w:r>
      <w:r>
        <w:rPr/>
        <w:t>注册资本变更为</w:t>
      </w:r>
      <w:r>
        <w:rPr>
          <w:rFonts w:ascii="Times New Roman" w:hAnsi="Times New Roman" w:cs="Times New Roman" w:eastAsia="Times New Roman" w:hint="default"/>
        </w:rPr>
        <w:t>10</w:t>
      </w:r>
      <w:r>
        <w:rPr/>
        <w:t>亿元。</w:t>
      </w:r>
    </w:p>
    <w:p>
      <w:pPr>
        <w:spacing w:line="240" w:lineRule="auto" w:before="10"/>
        <w:rPr>
          <w:rFonts w:ascii="宋体" w:hAnsi="宋体" w:cs="宋体" w:eastAsia="宋体" w:hint="default"/>
          <w:sz w:val="15"/>
          <w:szCs w:val="15"/>
        </w:rPr>
      </w:pPr>
    </w:p>
    <w:p>
      <w:pPr>
        <w:pStyle w:val="BodyText"/>
        <w:spacing w:line="225" w:lineRule="auto"/>
        <w:ind w:right="1041"/>
        <w:jc w:val="both"/>
      </w:pPr>
      <w:r>
        <w:rPr/>
        <w:t>注</w:t>
      </w:r>
      <w:r>
        <w:rPr>
          <w:rFonts w:ascii="Times New Roman" w:hAnsi="Times New Roman" w:cs="Times New Roman" w:eastAsia="Times New Roman" w:hint="default"/>
        </w:rPr>
        <w:t>6: </w:t>
      </w:r>
      <w:r>
        <w:rPr/>
        <w:t>南京神州数码有限公司（以下简称</w:t>
      </w:r>
      <w:r>
        <w:rPr>
          <w:rFonts w:ascii="Times New Roman" w:hAnsi="Times New Roman" w:cs="Times New Roman" w:eastAsia="Times New Roman" w:hint="default"/>
        </w:rPr>
        <w:t>“</w:t>
      </w:r>
      <w:r>
        <w:rPr/>
        <w:t>神码南京</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29</w:t>
      </w:r>
      <w:r>
        <w:rPr/>
        <w:t>日由神码有限设立的台港澳法人独资有限责任公司。</w:t>
      </w:r>
      <w:r>
        <w:rPr>
          <w:spacing w:val="-82"/>
        </w:rPr>
        <w:t> </w:t>
      </w:r>
      <w:r>
        <w:rPr>
          <w:spacing w:val="-82"/>
        </w:rPr>
      </w: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日，神码有限将其持有的神码南京</w:t>
      </w:r>
      <w:r>
        <w:rPr>
          <w:rFonts w:ascii="Times New Roman" w:hAnsi="Times New Roman" w:cs="Times New Roman" w:eastAsia="Times New Roman" w:hint="default"/>
        </w:rPr>
        <w:t>100%</w:t>
      </w:r>
      <w:r>
        <w:rPr/>
        <w:t>股权转让给神码中国，转让后，神码南京成为神码中国全资子公司，</w:t>
      </w:r>
      <w:r>
        <w:rPr>
          <w:spacing w:val="-57"/>
        </w:rPr>
        <w:t> </w:t>
      </w:r>
      <w:r>
        <w:rPr>
          <w:spacing w:val="-57"/>
        </w:rPr>
      </w:r>
      <w:r>
        <w:rPr/>
        <w:t>公司类型由台港澳法人独资有限责任公司变更为自然人投资或控股的法人独资有限责任公司，注册资本由港币</w:t>
      </w:r>
      <w:r>
        <w:rPr>
          <w:rFonts w:ascii="Times New Roman" w:hAnsi="Times New Roman" w:cs="Times New Roman" w:eastAsia="Times New Roman" w:hint="default"/>
        </w:rPr>
        <w:t>300</w:t>
      </w:r>
      <w:r>
        <w:rPr/>
        <w:t>万元变更</w:t>
      </w:r>
    </w:p>
    <w:p>
      <w:pPr>
        <w:spacing w:after="0" w:line="225" w:lineRule="auto"/>
        <w:jc w:val="both"/>
        <w:sectPr>
          <w:pgSz w:w="11910" w:h="16840"/>
          <w:pgMar w:header="877" w:footer="979" w:top="1100" w:bottom="1160" w:left="980" w:right="0"/>
        </w:sectPr>
      </w:pPr>
    </w:p>
    <w:p>
      <w:pPr>
        <w:spacing w:line="240" w:lineRule="auto" w:before="10"/>
        <w:rPr>
          <w:rFonts w:ascii="宋体" w:hAnsi="宋体" w:cs="宋体" w:eastAsia="宋体" w:hint="default"/>
          <w:sz w:val="18"/>
          <w:szCs w:val="18"/>
        </w:rPr>
      </w:pPr>
    </w:p>
    <w:p>
      <w:pPr>
        <w:pStyle w:val="BodyText"/>
        <w:spacing w:line="240" w:lineRule="auto" w:before="44"/>
        <w:ind w:right="0"/>
        <w:jc w:val="left"/>
      </w:pPr>
      <w:r>
        <w:rPr/>
        <w:t>为人民币</w:t>
      </w:r>
      <w:r>
        <w:rPr>
          <w:rFonts w:ascii="Times New Roman" w:hAnsi="Times New Roman" w:cs="Times New Roman" w:eastAsia="Times New Roman" w:hint="default"/>
        </w:rPr>
        <w:t>318.51</w:t>
      </w:r>
      <w:r>
        <w:rPr/>
        <w:t>万元。</w:t>
      </w:r>
    </w:p>
    <w:p>
      <w:pPr>
        <w:spacing w:line="240" w:lineRule="auto" w:before="8"/>
        <w:rPr>
          <w:rFonts w:ascii="宋体" w:hAnsi="宋体" w:cs="宋体" w:eastAsia="宋体" w:hint="default"/>
          <w:sz w:val="15"/>
          <w:szCs w:val="15"/>
        </w:rPr>
      </w:pPr>
    </w:p>
    <w:p>
      <w:pPr>
        <w:pStyle w:val="BodyText"/>
        <w:spacing w:line="225" w:lineRule="auto"/>
        <w:ind w:right="0"/>
        <w:jc w:val="left"/>
      </w:pPr>
      <w:r>
        <w:rPr/>
        <w:t>注</w:t>
      </w:r>
      <w:r>
        <w:rPr>
          <w:rFonts w:ascii="Times New Roman" w:hAnsi="Times New Roman" w:cs="Times New Roman" w:eastAsia="Times New Roman" w:hint="default"/>
        </w:rPr>
        <w:t>7:</w:t>
      </w:r>
      <w:r>
        <w:rPr/>
        <w:t>济南神州数码有限公司（以下简称</w:t>
      </w:r>
      <w:r>
        <w:rPr>
          <w:rFonts w:ascii="Times New Roman" w:hAnsi="Times New Roman" w:cs="Times New Roman" w:eastAsia="Times New Roman" w:hint="default"/>
        </w:rPr>
        <w:t>“</w:t>
      </w:r>
      <w:r>
        <w:rPr/>
        <w:t>神码济南</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日由神码有限设立的台港澳法人独资有限责任公司。</w:t>
      </w:r>
      <w:r>
        <w:rPr>
          <w:spacing w:val="-35"/>
        </w:rPr>
        <w:t> </w:t>
      </w:r>
      <w:r>
        <w:rPr>
          <w:spacing w:val="-35"/>
        </w:rPr>
      </w: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日，神码有限将其持有的神码济南</w:t>
      </w:r>
      <w:r>
        <w:rPr>
          <w:rFonts w:ascii="Times New Roman" w:hAnsi="Times New Roman" w:cs="Times New Roman" w:eastAsia="Times New Roman" w:hint="default"/>
        </w:rPr>
        <w:t>100%</w:t>
      </w:r>
      <w:r>
        <w:rPr/>
        <w:t>股权转让给神码中国，转让后，神码济南成为神码中国全资子公司，</w:t>
      </w:r>
      <w:r>
        <w:rPr>
          <w:spacing w:val="-57"/>
        </w:rPr>
        <w:t> </w:t>
      </w:r>
      <w:r>
        <w:rPr>
          <w:spacing w:val="-57"/>
        </w:rPr>
      </w:r>
      <w:r>
        <w:rPr/>
        <w:t>公司类型由台港澳法人独资有限责任公司变更为外商投资企业法人独资有限责任公司，注册资本由港币</w:t>
      </w:r>
      <w:r>
        <w:rPr>
          <w:rFonts w:ascii="Times New Roman" w:hAnsi="Times New Roman" w:cs="Times New Roman" w:eastAsia="Times New Roman" w:hint="default"/>
        </w:rPr>
        <w:t>600</w:t>
      </w:r>
      <w:r>
        <w:rPr/>
        <w:t>万元变更为人民</w:t>
      </w:r>
      <w:r>
        <w:rPr>
          <w:spacing w:val="-81"/>
        </w:rPr>
        <w:t> </w:t>
      </w:r>
      <w:r>
        <w:rPr>
          <w:spacing w:val="-81"/>
        </w:rPr>
      </w:r>
      <w:r>
        <w:rPr/>
        <w:t>币</w:t>
      </w:r>
      <w:r>
        <w:rPr>
          <w:rFonts w:ascii="Times New Roman" w:hAnsi="Times New Roman" w:cs="Times New Roman" w:eastAsia="Times New Roman" w:hint="default"/>
        </w:rPr>
        <w:t>547</w:t>
      </w:r>
      <w:r>
        <w:rPr/>
        <w:t>万元。待神码中国变更为法人独资有限责任公司后，神码济南于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日变更为法人独资有限责任公司。</w:t>
      </w:r>
    </w:p>
    <w:p>
      <w:pPr>
        <w:spacing w:line="240" w:lineRule="auto" w:before="10"/>
        <w:rPr>
          <w:rFonts w:ascii="宋体" w:hAnsi="宋体" w:cs="宋体" w:eastAsia="宋体" w:hint="default"/>
          <w:sz w:val="15"/>
          <w:szCs w:val="15"/>
        </w:rPr>
      </w:pPr>
    </w:p>
    <w:p>
      <w:pPr>
        <w:pStyle w:val="BodyText"/>
        <w:spacing w:line="225" w:lineRule="auto"/>
        <w:ind w:right="0"/>
        <w:jc w:val="left"/>
      </w:pPr>
      <w:r>
        <w:rPr/>
        <w:t>注</w:t>
      </w:r>
      <w:r>
        <w:rPr>
          <w:rFonts w:ascii="Times New Roman" w:hAnsi="Times New Roman" w:cs="Times New Roman" w:eastAsia="Times New Roman" w:hint="default"/>
        </w:rPr>
        <w:t>8: </w:t>
      </w:r>
      <w:r>
        <w:rPr/>
        <w:t>杭州神州数码有限公司（以下简称</w:t>
      </w:r>
      <w:r>
        <w:rPr>
          <w:rFonts w:ascii="Times New Roman" w:hAnsi="Times New Roman" w:cs="Times New Roman" w:eastAsia="Times New Roman" w:hint="default"/>
        </w:rPr>
        <w:t>“</w:t>
      </w:r>
      <w:r>
        <w:rPr/>
        <w:t>神码杭州</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w:t>
      </w:r>
      <w:r>
        <w:rPr/>
        <w:t>日由神码有限设立的台港澳法人独资有限责任公司。</w:t>
      </w:r>
      <w:r>
        <w:rPr>
          <w:spacing w:val="-37"/>
        </w:rPr>
        <w:t> </w:t>
      </w:r>
      <w:r>
        <w:rPr>
          <w:spacing w:val="-37"/>
        </w:rPr>
      </w: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日，神码有限将其持有的神码杭州</w:t>
      </w:r>
      <w:r>
        <w:rPr>
          <w:rFonts w:ascii="Times New Roman" w:hAnsi="Times New Roman" w:cs="Times New Roman" w:eastAsia="Times New Roman" w:hint="default"/>
        </w:rPr>
        <w:t>100%</w:t>
      </w:r>
      <w:r>
        <w:rPr/>
        <w:t>股权转让给神码中国，转让后，神码济南成为神码中国全资子公司，</w:t>
      </w:r>
      <w:r>
        <w:rPr>
          <w:spacing w:val="-57"/>
        </w:rPr>
        <w:t> </w:t>
      </w:r>
      <w:r>
        <w:rPr>
          <w:spacing w:val="-57"/>
        </w:rPr>
      </w:r>
      <w:r>
        <w:rPr/>
        <w:t>公司类型由台港澳法人独资有限责任公司变更为法人独资有限责任公司，注册资本由港币</w:t>
      </w:r>
      <w:r>
        <w:rPr>
          <w:rFonts w:ascii="Times New Roman" w:hAnsi="Times New Roman" w:cs="Times New Roman" w:eastAsia="Times New Roman" w:hint="default"/>
        </w:rPr>
        <w:t>300</w:t>
      </w:r>
      <w:r>
        <w:rPr/>
        <w:t>万元变更为人民币</w:t>
      </w:r>
      <w:r>
        <w:rPr>
          <w:rFonts w:ascii="Times New Roman" w:hAnsi="Times New Roman" w:cs="Times New Roman" w:eastAsia="Times New Roman" w:hint="default"/>
        </w:rPr>
        <w:t>318</w:t>
      </w:r>
      <w:r>
        <w:rPr/>
        <w:t>万元。</w:t>
      </w:r>
    </w:p>
    <w:p>
      <w:pPr>
        <w:spacing w:line="240" w:lineRule="auto" w:before="10"/>
        <w:rPr>
          <w:rFonts w:ascii="宋体" w:hAnsi="宋体" w:cs="宋体" w:eastAsia="宋体" w:hint="default"/>
          <w:sz w:val="15"/>
          <w:szCs w:val="15"/>
        </w:rPr>
      </w:pPr>
    </w:p>
    <w:p>
      <w:pPr>
        <w:pStyle w:val="BodyText"/>
        <w:spacing w:line="225" w:lineRule="auto"/>
        <w:ind w:right="0"/>
        <w:jc w:val="left"/>
      </w:pPr>
      <w:r>
        <w:rPr/>
        <w:t>注</w:t>
      </w:r>
      <w:r>
        <w:rPr>
          <w:rFonts w:ascii="Times New Roman" w:hAnsi="Times New Roman" w:cs="Times New Roman" w:eastAsia="Times New Roman" w:hint="default"/>
        </w:rPr>
        <w:t>9: </w:t>
      </w:r>
      <w:r>
        <w:rPr/>
        <w:t>西安神州数码有限公司（以下简称</w:t>
      </w:r>
      <w:r>
        <w:rPr>
          <w:rFonts w:ascii="Times New Roman" w:hAnsi="Times New Roman" w:cs="Times New Roman" w:eastAsia="Times New Roman" w:hint="default"/>
        </w:rPr>
        <w:t>“</w:t>
      </w:r>
      <w:r>
        <w:rPr/>
        <w:t>神码西安</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6</w:t>
      </w:r>
      <w:r>
        <w:rPr/>
        <w:t>日由神码有限设立的台港澳法人独资有限责任公司。</w:t>
      </w:r>
      <w:r>
        <w:rPr>
          <w:spacing w:val="-37"/>
        </w:rPr>
        <w:t> </w:t>
      </w:r>
      <w:r>
        <w:rPr>
          <w:spacing w:val="-37"/>
        </w:rPr>
      </w: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29</w:t>
      </w:r>
      <w:r>
        <w:rPr/>
        <w:t>日，神码有限将其持有的神码西安</w:t>
      </w:r>
      <w:r>
        <w:rPr>
          <w:rFonts w:ascii="Times New Roman" w:hAnsi="Times New Roman" w:cs="Times New Roman" w:eastAsia="Times New Roman" w:hint="default"/>
        </w:rPr>
        <w:t>100%</w:t>
      </w:r>
      <w:r>
        <w:rPr/>
        <w:t>股权转让给神码中国，转让后，神码西安成为神码中国全资子公司，</w:t>
      </w:r>
      <w:r>
        <w:rPr>
          <w:spacing w:val="-54"/>
        </w:rPr>
        <w:t> </w:t>
      </w:r>
      <w:r>
        <w:rPr>
          <w:spacing w:val="-54"/>
        </w:rPr>
      </w:r>
      <w:r>
        <w:rPr/>
        <w:t>注册资本</w:t>
      </w:r>
      <w:r>
        <w:rPr>
          <w:rFonts w:ascii="Times New Roman" w:hAnsi="Times New Roman" w:cs="Times New Roman" w:eastAsia="Times New Roman" w:hint="default"/>
        </w:rPr>
        <w:t>973.65</w:t>
      </w:r>
      <w:r>
        <w:rPr/>
        <w:t>万人民币。</w:t>
      </w:r>
    </w:p>
    <w:p>
      <w:pPr>
        <w:spacing w:line="240" w:lineRule="auto" w:before="10"/>
        <w:rPr>
          <w:rFonts w:ascii="宋体" w:hAnsi="宋体" w:cs="宋体" w:eastAsia="宋体" w:hint="default"/>
          <w:sz w:val="15"/>
          <w:szCs w:val="15"/>
        </w:rPr>
      </w:pPr>
    </w:p>
    <w:p>
      <w:pPr>
        <w:pStyle w:val="BodyText"/>
        <w:spacing w:line="225" w:lineRule="auto"/>
        <w:ind w:right="0"/>
        <w:jc w:val="left"/>
      </w:pPr>
      <w:r>
        <w:rPr>
          <w:spacing w:val="-2"/>
        </w:rPr>
        <w:t>注</w:t>
      </w:r>
      <w:r>
        <w:rPr>
          <w:rFonts w:ascii="Times New Roman" w:hAnsi="Times New Roman" w:cs="Times New Roman" w:eastAsia="Times New Roman" w:hint="default"/>
          <w:spacing w:val="-2"/>
        </w:rPr>
        <w:t>10:</w:t>
      </w:r>
      <w:r>
        <w:rPr>
          <w:spacing w:val="-2"/>
        </w:rPr>
        <w:t>福州神州数码有限公司（以下简称</w:t>
      </w:r>
      <w:r>
        <w:rPr>
          <w:rFonts w:ascii="Times New Roman" w:hAnsi="Times New Roman" w:cs="Times New Roman" w:eastAsia="Times New Roman" w:hint="default"/>
          <w:spacing w:val="-2"/>
        </w:rPr>
        <w:t>“</w:t>
      </w:r>
      <w:r>
        <w:rPr>
          <w:spacing w:val="-2"/>
        </w:rPr>
        <w:t>神码福州</w:t>
      </w:r>
      <w:r>
        <w:rPr>
          <w:rFonts w:ascii="Times New Roman" w:hAnsi="Times New Roman" w:cs="Times New Roman" w:eastAsia="Times New Roman" w:hint="default"/>
          <w:spacing w:val="-2"/>
        </w:rPr>
        <w:t>”</w:t>
      </w:r>
      <w:r>
        <w:rPr>
          <w:spacing w:val="-2"/>
        </w:rPr>
        <w:t>）系于</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16</w:t>
      </w:r>
      <w:r>
        <w:rPr>
          <w:spacing w:val="-2"/>
        </w:rPr>
        <w:t>日由神码有限设立的台港澳法人独资有限责任公司。</w:t>
      </w:r>
      <w:r>
        <w:rPr>
          <w:spacing w:val="-83"/>
        </w:rPr>
        <w:t> </w:t>
      </w: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日，神码有限将其持有的神码福州</w:t>
      </w:r>
      <w:r>
        <w:rPr>
          <w:rFonts w:ascii="Times New Roman" w:hAnsi="Times New Roman" w:cs="Times New Roman" w:eastAsia="Times New Roman" w:hint="default"/>
        </w:rPr>
        <w:t>100%</w:t>
      </w:r>
      <w:r>
        <w:rPr/>
        <w:t>股权转让给神码中国，转让后，神码福州成为神码中国全资子公司，</w:t>
      </w:r>
      <w:r>
        <w:rPr>
          <w:spacing w:val="-57"/>
        </w:rPr>
        <w:t> </w:t>
      </w:r>
      <w:r>
        <w:rPr>
          <w:spacing w:val="-57"/>
        </w:rPr>
      </w:r>
      <w:r>
        <w:rPr/>
        <w:t>公司类型由台港澳法人独资有限责任公司变更为外商投资企业法人独资有限责任公司，注册资本由港币</w:t>
      </w:r>
      <w:r>
        <w:rPr>
          <w:rFonts w:ascii="Times New Roman" w:hAnsi="Times New Roman" w:cs="Times New Roman" w:eastAsia="Times New Roman" w:hint="default"/>
        </w:rPr>
        <w:t>1,000</w:t>
      </w:r>
      <w:r>
        <w:rPr/>
        <w:t>万元变更为人</w:t>
      </w:r>
      <w:r>
        <w:rPr>
          <w:spacing w:val="-42"/>
        </w:rPr>
        <w:t> </w:t>
      </w:r>
      <w:r>
        <w:rPr>
          <w:spacing w:val="-42"/>
        </w:rPr>
      </w:r>
      <w:r>
        <w:rPr/>
        <w:t>民币</w:t>
      </w:r>
      <w:r>
        <w:rPr>
          <w:rFonts w:ascii="Times New Roman" w:hAnsi="Times New Roman" w:cs="Times New Roman" w:eastAsia="Times New Roman" w:hint="default"/>
        </w:rPr>
        <w:t>991.387</w:t>
      </w:r>
      <w:r>
        <w:rPr/>
        <w:t>万元。待神码中国变更为法人独资有限责任公司后，神码福州于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日变更为法人独资有限责任公司。</w:t>
      </w:r>
    </w:p>
    <w:p>
      <w:pPr>
        <w:spacing w:line="240" w:lineRule="auto" w:before="10"/>
        <w:rPr>
          <w:rFonts w:ascii="宋体" w:hAnsi="宋体" w:cs="宋体" w:eastAsia="宋体" w:hint="default"/>
          <w:sz w:val="15"/>
          <w:szCs w:val="15"/>
        </w:rPr>
      </w:pPr>
    </w:p>
    <w:p>
      <w:pPr>
        <w:pStyle w:val="BodyText"/>
        <w:spacing w:line="225" w:lineRule="auto"/>
        <w:ind w:right="1123"/>
        <w:jc w:val="both"/>
      </w:pPr>
      <w:r>
        <w:rPr>
          <w:spacing w:val="-1"/>
        </w:rPr>
        <w:t>注</w:t>
      </w:r>
      <w:r>
        <w:rPr>
          <w:rFonts w:ascii="Times New Roman" w:hAnsi="Times New Roman" w:cs="Times New Roman" w:eastAsia="Times New Roman" w:hint="default"/>
          <w:spacing w:val="-1"/>
        </w:rPr>
        <w:t>11:</w:t>
      </w:r>
      <w:r>
        <w:rPr>
          <w:spacing w:val="-1"/>
        </w:rPr>
        <w:t>广州神州数码信息科技有限公司（以下简称</w:t>
      </w:r>
      <w:r>
        <w:rPr>
          <w:rFonts w:ascii="Times New Roman" w:hAnsi="Times New Roman" w:cs="Times New Roman" w:eastAsia="Times New Roman" w:hint="default"/>
          <w:spacing w:val="-1"/>
        </w:rPr>
        <w:t>“</w:t>
      </w:r>
      <w:r>
        <w:rPr>
          <w:spacing w:val="-1"/>
        </w:rPr>
        <w:t>神码广州</w:t>
      </w:r>
      <w:r>
        <w:rPr>
          <w:rFonts w:ascii="Times New Roman" w:hAnsi="Times New Roman" w:cs="Times New Roman" w:eastAsia="Times New Roman" w:hint="default"/>
          <w:spacing w:val="-1"/>
        </w:rPr>
        <w:t>”</w:t>
      </w:r>
      <w:r>
        <w:rPr>
          <w:spacing w:val="-1"/>
        </w:rPr>
        <w:t>）系于</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19</w:t>
      </w:r>
      <w:r>
        <w:rPr>
          <w:spacing w:val="-1"/>
        </w:rPr>
        <w:t>日由神码有限设立的台港澳法人独资有限责</w:t>
      </w:r>
      <w:r>
        <w:rPr>
          <w:spacing w:val="-54"/>
        </w:rPr>
        <w:t> </w:t>
      </w:r>
      <w:r>
        <w:rPr>
          <w:spacing w:val="-1"/>
        </w:rPr>
        <w:t>任公司。于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16</w:t>
      </w:r>
      <w:r>
        <w:rPr>
          <w:spacing w:val="-1"/>
        </w:rPr>
        <w:t>日，神码有限将其持有的神码广州</w:t>
      </w:r>
      <w:r>
        <w:rPr>
          <w:rFonts w:ascii="Times New Roman" w:hAnsi="Times New Roman" w:cs="Times New Roman" w:eastAsia="Times New Roman" w:hint="default"/>
          <w:spacing w:val="-1"/>
        </w:rPr>
        <w:t>100%</w:t>
      </w:r>
      <w:r>
        <w:rPr>
          <w:spacing w:val="-1"/>
        </w:rPr>
        <w:t>股权转让给本公司，转让后，神码广州成为本公司全资子公</w:t>
      </w:r>
      <w:r>
        <w:rPr>
          <w:spacing w:val="-87"/>
        </w:rPr>
        <w:t> </w:t>
      </w:r>
      <w:r>
        <w:rPr>
          <w:spacing w:val="-87"/>
        </w:rPr>
      </w:r>
      <w:r>
        <w:rPr>
          <w:spacing w:val="7"/>
        </w:rPr>
        <w:t>司，公司类型由台港澳法人独资有限责任公司变更为法人独资有限责任公司，注册资本由美元</w:t>
      </w:r>
      <w:r>
        <w:rPr>
          <w:rFonts w:ascii="Times New Roman" w:hAnsi="Times New Roman" w:cs="Times New Roman" w:eastAsia="Times New Roman" w:hint="default"/>
          <w:spacing w:val="7"/>
        </w:rPr>
        <w:t>5,000</w:t>
      </w:r>
      <w:r>
        <w:rPr>
          <w:spacing w:val="7"/>
        </w:rPr>
        <w:t>万元变更为人民币</w:t>
      </w:r>
      <w:r>
        <w:rPr>
          <w:spacing w:val="-68"/>
        </w:rPr>
        <w:t> </w:t>
      </w:r>
      <w:r>
        <w:rPr>
          <w:rFonts w:ascii="Times New Roman" w:hAnsi="Times New Roman" w:cs="Times New Roman" w:eastAsia="Times New Roman" w:hint="default"/>
        </w:rPr>
        <w:t>32,559.5</w:t>
      </w:r>
      <w:r>
        <w:rPr/>
        <w:t>万元。</w:t>
      </w:r>
    </w:p>
    <w:p>
      <w:pPr>
        <w:spacing w:line="240" w:lineRule="auto" w:before="10"/>
        <w:rPr>
          <w:rFonts w:ascii="宋体" w:hAnsi="宋体" w:cs="宋体" w:eastAsia="宋体" w:hint="default"/>
          <w:sz w:val="15"/>
          <w:szCs w:val="15"/>
        </w:rPr>
      </w:pPr>
    </w:p>
    <w:p>
      <w:pPr>
        <w:pStyle w:val="BodyText"/>
        <w:spacing w:line="225" w:lineRule="auto"/>
        <w:ind w:right="1041"/>
        <w:jc w:val="left"/>
      </w:pPr>
      <w:r>
        <w:rPr/>
        <w:t>注</w:t>
      </w:r>
      <w:r>
        <w:rPr>
          <w:rFonts w:ascii="Times New Roman" w:hAnsi="Times New Roman" w:cs="Times New Roman" w:eastAsia="Times New Roman" w:hint="default"/>
        </w:rPr>
        <w:t>12:</w:t>
      </w:r>
      <w:r>
        <w:rPr/>
        <w:t>成都神州数码有限公司（以下简称</w:t>
      </w:r>
      <w:r>
        <w:rPr>
          <w:rFonts w:ascii="Times New Roman" w:hAnsi="Times New Roman" w:cs="Times New Roman" w:eastAsia="Times New Roman" w:hint="default"/>
        </w:rPr>
        <w:t>“</w:t>
      </w:r>
      <w:r>
        <w:rPr/>
        <w:t>神码成都</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4</w:t>
      </w:r>
      <w:r>
        <w:rPr/>
        <w:t>日由神码有限设立的台港澳法人独资有限责任公司。</w:t>
      </w:r>
      <w:r>
        <w:rPr>
          <w:spacing w:val="-35"/>
        </w:rPr>
        <w:t> </w:t>
      </w:r>
      <w:r>
        <w:rPr>
          <w:spacing w:val="-35"/>
        </w:rPr>
      </w:r>
      <w:r>
        <w:rPr>
          <w:spacing w:val="-3"/>
        </w:rPr>
        <w:t>于</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3</w:t>
      </w:r>
      <w:r>
        <w:rPr>
          <w:spacing w:val="-3"/>
        </w:rPr>
        <w:t>日，神码有限对神码成都增资港币</w:t>
      </w:r>
      <w:r>
        <w:rPr>
          <w:rFonts w:ascii="Times New Roman" w:hAnsi="Times New Roman" w:cs="Times New Roman" w:eastAsia="Times New Roman" w:hint="default"/>
          <w:spacing w:val="-3"/>
        </w:rPr>
        <w:t>2,500</w:t>
      </w:r>
      <w:r>
        <w:rPr>
          <w:spacing w:val="-3"/>
        </w:rPr>
        <w:t>万元，增资后，神码成都的注册资本及实收资本变更为港币</w:t>
      </w:r>
      <w:r>
        <w:rPr>
          <w:rFonts w:ascii="Times New Roman" w:hAnsi="Times New Roman" w:cs="Times New Roman" w:eastAsia="Times New Roman" w:hint="default"/>
          <w:spacing w:val="-3"/>
        </w:rPr>
        <w:t>3,000</w:t>
      </w:r>
      <w:r>
        <w:rPr>
          <w:spacing w:val="-3"/>
        </w:rPr>
        <w:t>万元。</w:t>
      </w:r>
      <w:r>
        <w:rPr>
          <w:spacing w:val="-78"/>
        </w:rPr>
        <w:t> </w:t>
      </w:r>
      <w:r>
        <w:rPr>
          <w:spacing w:val="-78"/>
        </w:rPr>
      </w: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日，神码有限将其持有的神码成都</w:t>
      </w:r>
      <w:r>
        <w:rPr>
          <w:rFonts w:ascii="Times New Roman" w:hAnsi="Times New Roman" w:cs="Times New Roman" w:eastAsia="Times New Roman" w:hint="default"/>
        </w:rPr>
        <w:t>100%</w:t>
      </w:r>
      <w:r>
        <w:rPr/>
        <w:t>股权转让给神码中国，转让后，神码成都成为神码中国全资子公司，</w:t>
      </w:r>
      <w:r>
        <w:rPr>
          <w:spacing w:val="-57"/>
        </w:rPr>
        <w:t> </w:t>
      </w:r>
      <w:r>
        <w:rPr>
          <w:spacing w:val="-57"/>
        </w:rPr>
      </w:r>
      <w:r>
        <w:rPr/>
        <w:t>公司类型由台港澳法人独资有限责任公司变更为法人独资有限责任公司，注册资本由港币</w:t>
      </w:r>
      <w:r>
        <w:rPr>
          <w:rFonts w:ascii="Times New Roman" w:hAnsi="Times New Roman" w:cs="Times New Roman" w:eastAsia="Times New Roman" w:hint="default"/>
        </w:rPr>
        <w:t>3,000</w:t>
      </w:r>
      <w:r>
        <w:rPr/>
        <w:t>万元变更为人民币</w:t>
      </w:r>
      <w:r>
        <w:rPr>
          <w:rFonts w:ascii="Times New Roman" w:hAnsi="Times New Roman" w:cs="Times New Roman" w:eastAsia="Times New Roman" w:hint="default"/>
        </w:rPr>
        <w:t>2540.1625</w:t>
      </w:r>
      <w:r>
        <w:rPr>
          <w:rFonts w:ascii="Times New Roman" w:hAnsi="Times New Roman" w:cs="Times New Roman" w:eastAsia="Times New Roman" w:hint="default"/>
          <w:spacing w:val="-38"/>
        </w:rPr>
        <w:t> </w:t>
      </w:r>
      <w:r>
        <w:rPr/>
        <w:t>万元。</w:t>
      </w:r>
    </w:p>
    <w:p>
      <w:pPr>
        <w:spacing w:line="240" w:lineRule="auto" w:before="10"/>
        <w:rPr>
          <w:rFonts w:ascii="宋体" w:hAnsi="宋体" w:cs="宋体" w:eastAsia="宋体" w:hint="default"/>
          <w:sz w:val="16"/>
          <w:szCs w:val="16"/>
        </w:rPr>
      </w:pPr>
    </w:p>
    <w:p>
      <w:pPr>
        <w:pStyle w:val="BodyText"/>
        <w:spacing w:line="225" w:lineRule="auto"/>
        <w:ind w:right="1128"/>
        <w:jc w:val="both"/>
      </w:pPr>
      <w:r>
        <w:rPr>
          <w:spacing w:val="-1"/>
        </w:rPr>
        <w:t>注</w:t>
      </w:r>
      <w:r>
        <w:rPr>
          <w:rFonts w:ascii="Times New Roman" w:hAnsi="Times New Roman" w:cs="Times New Roman" w:eastAsia="Times New Roman" w:hint="default"/>
          <w:spacing w:val="-1"/>
        </w:rPr>
        <w:t>13:</w:t>
      </w:r>
      <w:r>
        <w:rPr>
          <w:spacing w:val="-1"/>
        </w:rPr>
        <w:t>北京神州数码有限公司（以下简称</w:t>
      </w:r>
      <w:r>
        <w:rPr>
          <w:rFonts w:ascii="Times New Roman" w:hAnsi="Times New Roman" w:cs="Times New Roman" w:eastAsia="Times New Roman" w:hint="default"/>
          <w:spacing w:val="-1"/>
        </w:rPr>
        <w:t>“</w:t>
      </w:r>
      <w:r>
        <w:rPr>
          <w:spacing w:val="-1"/>
        </w:rPr>
        <w:t>神码北京</w:t>
      </w:r>
      <w:r>
        <w:rPr>
          <w:rFonts w:ascii="Times New Roman" w:hAnsi="Times New Roman" w:cs="Times New Roman" w:eastAsia="Times New Roman" w:hint="default"/>
          <w:spacing w:val="-1"/>
        </w:rPr>
        <w:t>”</w:t>
      </w:r>
      <w:r>
        <w:rPr>
          <w:spacing w:val="-1"/>
        </w:rPr>
        <w:t>）系于</w:t>
      </w:r>
      <w:r>
        <w:rPr>
          <w:rFonts w:ascii="Times New Roman" w:hAnsi="Times New Roman" w:cs="Times New Roman" w:eastAsia="Times New Roman" w:hint="default"/>
          <w:spacing w:val="-1"/>
        </w:rPr>
        <w:t>2002</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16</w:t>
      </w:r>
      <w:r>
        <w:rPr>
          <w:spacing w:val="-1"/>
        </w:rPr>
        <w:t>日由神码中国和神码上海共同设立的外商投资企业与</w:t>
      </w:r>
      <w:r>
        <w:rPr>
          <w:spacing w:val="-55"/>
        </w:rPr>
        <w:t> </w:t>
      </w:r>
      <w:r>
        <w:rPr>
          <w:spacing w:val="-1"/>
        </w:rPr>
        <w:t>内资合资有限责任公司。于</w:t>
      </w:r>
      <w:r>
        <w:rPr>
          <w:rFonts w:ascii="Times New Roman" w:hAnsi="Times New Roman" w:cs="Times New Roman" w:eastAsia="Times New Roman" w:hint="default"/>
          <w:spacing w:val="-1"/>
        </w:rPr>
        <w:t>2005</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25</w:t>
      </w:r>
      <w:r>
        <w:rPr>
          <w:spacing w:val="-1"/>
        </w:rPr>
        <w:t>日，神码中国对神码北京增资人民币</w:t>
      </w:r>
      <w:r>
        <w:rPr>
          <w:rFonts w:ascii="Times New Roman" w:hAnsi="Times New Roman" w:cs="Times New Roman" w:eastAsia="Times New Roman" w:hint="default"/>
          <w:spacing w:val="-1"/>
        </w:rPr>
        <w:t>4.5</w:t>
      </w:r>
      <w:r>
        <w:rPr>
          <w:spacing w:val="-1"/>
        </w:rPr>
        <w:t>亿元，增资后神码北京的注册资本变更为</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6"/>
        </w:rPr>
        <w:t> </w:t>
      </w:r>
      <w:r>
        <w:rPr/>
        <w:t>亿元。于</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6</w:t>
      </w:r>
      <w:r>
        <w:rPr/>
        <w:t>日，神码中国对神码北京增资人民币</w:t>
      </w:r>
      <w:r>
        <w:rPr>
          <w:rFonts w:ascii="Times New Roman" w:hAnsi="Times New Roman" w:cs="Times New Roman" w:eastAsia="Times New Roman" w:hint="default"/>
        </w:rPr>
        <w:t>5</w:t>
      </w:r>
      <w:r>
        <w:rPr/>
        <w:t>亿元，增资后神码北京的注册资本变更为</w:t>
      </w:r>
      <w:r>
        <w:rPr>
          <w:rFonts w:ascii="Times New Roman" w:hAnsi="Times New Roman" w:cs="Times New Roman" w:eastAsia="Times New Roman" w:hint="default"/>
        </w:rPr>
        <w:t>10</w:t>
      </w:r>
      <w:r>
        <w:rPr/>
        <w:t>亿元。于</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2"/>
        </w:rPr>
        <w:t>月</w:t>
      </w:r>
      <w:r>
        <w:rPr>
          <w:rFonts w:ascii="Times New Roman" w:hAnsi="Times New Roman" w:cs="Times New Roman" w:eastAsia="Times New Roman" w:hint="default"/>
          <w:spacing w:val="-2"/>
        </w:rPr>
        <w:t>15</w:t>
      </w:r>
      <w:r>
        <w:rPr>
          <w:spacing w:val="-2"/>
        </w:rPr>
        <w:t>日，神码中国对神码北京增资人民币</w:t>
      </w:r>
      <w:r>
        <w:rPr>
          <w:rFonts w:ascii="Times New Roman" w:hAnsi="Times New Roman" w:cs="Times New Roman" w:eastAsia="Times New Roman" w:hint="default"/>
          <w:spacing w:val="-2"/>
        </w:rPr>
        <w:t>5</w:t>
      </w:r>
      <w:r>
        <w:rPr>
          <w:spacing w:val="-2"/>
        </w:rPr>
        <w:t>亿元，增资后神码北京的注册资本变更为</w:t>
      </w:r>
      <w:r>
        <w:rPr>
          <w:rFonts w:ascii="Times New Roman" w:hAnsi="Times New Roman" w:cs="Times New Roman" w:eastAsia="Times New Roman" w:hint="default"/>
          <w:spacing w:val="-2"/>
        </w:rPr>
        <w:t>15</w:t>
      </w:r>
      <w:r>
        <w:rPr>
          <w:spacing w:val="-2"/>
        </w:rPr>
        <w:t>亿元。于</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31</w:t>
      </w:r>
      <w:r>
        <w:rPr>
          <w:spacing w:val="-2"/>
        </w:rPr>
        <w:t>日公司分立，分</w:t>
      </w:r>
      <w:r>
        <w:rPr>
          <w:spacing w:val="-54"/>
        </w:rPr>
        <w:t> </w:t>
      </w:r>
      <w:r>
        <w:rPr>
          <w:spacing w:val="-54"/>
        </w:rPr>
      </w:r>
      <w:r>
        <w:rPr/>
        <w:t>立后注册资本变更为</w:t>
      </w:r>
      <w:r>
        <w:rPr>
          <w:rFonts w:ascii="Times New Roman" w:hAnsi="Times New Roman" w:cs="Times New Roman" w:eastAsia="Times New Roman" w:hint="default"/>
        </w:rPr>
        <w:t>10</w:t>
      </w:r>
      <w:r>
        <w:rPr/>
        <w:t>亿元。待神码中国变更为法人独资有限责任公司后，神码北京于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14</w:t>
      </w:r>
      <w:r>
        <w:rPr/>
        <w:t>日变更为其他有限责任</w:t>
      </w:r>
      <w:r>
        <w:rPr>
          <w:spacing w:val="-82"/>
        </w:rPr>
        <w:t> </w:t>
      </w:r>
      <w:r>
        <w:rPr>
          <w:spacing w:val="-82"/>
        </w:rPr>
      </w:r>
      <w:r>
        <w:rPr>
          <w:spacing w:val="-2"/>
        </w:rPr>
        <w:t>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月，经股东会决议通过，神码中国及神码上海按持股比例共向神码北京增资，共计</w:t>
      </w:r>
      <w:r>
        <w:rPr>
          <w:rFonts w:ascii="Times New Roman" w:hAnsi="Times New Roman" w:cs="Times New Roman" w:eastAsia="Times New Roman" w:hint="default"/>
          <w:spacing w:val="-2"/>
        </w:rPr>
        <w:t>42,105.26</w:t>
      </w:r>
      <w:r>
        <w:rPr>
          <w:spacing w:val="-2"/>
        </w:rPr>
        <w:t>万元，神码北京</w:t>
      </w:r>
      <w:r>
        <w:rPr>
          <w:spacing w:val="-51"/>
        </w:rPr>
        <w:t> </w:t>
      </w:r>
      <w:r>
        <w:rPr>
          <w:spacing w:val="-51"/>
        </w:rPr>
      </w:r>
      <w:r>
        <w:rPr/>
        <w:t>全部计入资本公积。</w:t>
      </w:r>
    </w:p>
    <w:p>
      <w:pPr>
        <w:spacing w:line="240" w:lineRule="auto" w:before="7"/>
        <w:rPr>
          <w:rFonts w:ascii="宋体" w:hAnsi="宋体" w:cs="宋体" w:eastAsia="宋体" w:hint="default"/>
          <w:sz w:val="17"/>
          <w:szCs w:val="17"/>
        </w:rPr>
      </w:pPr>
    </w:p>
    <w:p>
      <w:pPr>
        <w:pStyle w:val="BodyText"/>
        <w:spacing w:line="234" w:lineRule="exact"/>
        <w:ind w:right="1122"/>
        <w:jc w:val="left"/>
      </w:pPr>
      <w:r>
        <w:rPr/>
        <w:t>注</w:t>
      </w:r>
      <w:r>
        <w:rPr>
          <w:rFonts w:ascii="Times New Roman" w:hAnsi="Times New Roman" w:cs="Times New Roman" w:eastAsia="Times New Roman" w:hint="default"/>
        </w:rPr>
        <w:t>14</w:t>
      </w:r>
      <w:r>
        <w:rPr/>
        <w:t>：北京神州数码供应链服务有限公司（以下简称</w:t>
      </w:r>
      <w:r>
        <w:rPr>
          <w:rFonts w:ascii="Times New Roman" w:hAnsi="Times New Roman" w:cs="Times New Roman" w:eastAsia="Times New Roman" w:hint="default"/>
        </w:rPr>
        <w:t>“</w:t>
      </w:r>
      <w:r>
        <w:rPr/>
        <w:t>神码供应链</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日由神码北京设立的法人独资有限责</w:t>
      </w:r>
      <w:r>
        <w:rPr>
          <w:spacing w:val="-67"/>
        </w:rPr>
        <w:t> </w:t>
      </w:r>
      <w:r>
        <w:rPr>
          <w:spacing w:val="-67"/>
        </w:rPr>
      </w:r>
      <w:r>
        <w:rPr/>
        <w:t>任公司。于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日，神码北京对神码供应链增资人民币</w:t>
      </w:r>
      <w:r>
        <w:rPr>
          <w:rFonts w:ascii="Times New Roman" w:hAnsi="Times New Roman" w:cs="Times New Roman" w:eastAsia="Times New Roman" w:hint="default"/>
        </w:rPr>
        <w:t>5000</w:t>
      </w:r>
      <w:r>
        <w:rPr/>
        <w:t>万元，增资后神码供应链的注册资本变更为</w:t>
      </w:r>
      <w:r>
        <w:rPr>
          <w:rFonts w:ascii="Times New Roman" w:hAnsi="Times New Roman" w:cs="Times New Roman" w:eastAsia="Times New Roman" w:hint="default"/>
        </w:rPr>
        <w:t>6000</w:t>
      </w:r>
      <w:r>
        <w:rPr/>
        <w:t>万元。</w:t>
      </w:r>
    </w:p>
    <w:p>
      <w:pPr>
        <w:spacing w:line="240" w:lineRule="auto" w:before="0"/>
        <w:rPr>
          <w:rFonts w:ascii="宋体" w:hAnsi="宋体" w:cs="宋体" w:eastAsia="宋体" w:hint="default"/>
          <w:sz w:val="14"/>
          <w:szCs w:val="14"/>
        </w:rPr>
      </w:pPr>
    </w:p>
    <w:p>
      <w:pPr>
        <w:pStyle w:val="BodyText"/>
        <w:spacing w:line="241" w:lineRule="exact"/>
        <w:ind w:right="0"/>
        <w:jc w:val="left"/>
      </w:pPr>
      <w:r>
        <w:rPr/>
        <w:t>注</w:t>
      </w:r>
      <w:r>
        <w:rPr>
          <w:rFonts w:ascii="Times New Roman" w:hAnsi="Times New Roman" w:cs="Times New Roman" w:eastAsia="Times New Roman" w:hint="default"/>
        </w:rPr>
        <w:t>15:</w:t>
      </w:r>
      <w:r>
        <w:rPr/>
        <w:t>神州数码（郑州）有限公司（以下简称</w:t>
      </w:r>
      <w:r>
        <w:rPr>
          <w:rFonts w:ascii="Times New Roman" w:hAnsi="Times New Roman" w:cs="Times New Roman" w:eastAsia="Times New Roman" w:hint="default"/>
        </w:rPr>
        <w:t>“</w:t>
      </w:r>
      <w:r>
        <w:rPr/>
        <w:t>神码郑州</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w:t>
      </w:r>
      <w:r>
        <w:rPr/>
        <w:t>日由神码北京和北京天明国际投资管理有限公司</w:t>
      </w:r>
    </w:p>
    <w:p>
      <w:pPr>
        <w:pStyle w:val="BodyText"/>
        <w:spacing w:line="234" w:lineRule="exact" w:before="15"/>
        <w:ind w:right="0"/>
        <w:jc w:val="left"/>
      </w:pPr>
      <w:r>
        <w:rPr/>
        <w:t>（</w:t>
      </w:r>
      <w:r>
        <w:rPr>
          <w:rFonts w:ascii="Times New Roman" w:hAnsi="Times New Roman" w:cs="Times New Roman" w:eastAsia="Times New Roman" w:hint="default"/>
        </w:rPr>
        <w:t>“</w:t>
      </w:r>
      <w:r>
        <w:rPr/>
        <w:t>北京天明国际</w:t>
      </w:r>
      <w:r>
        <w:rPr>
          <w:rFonts w:ascii="Times New Roman" w:hAnsi="Times New Roman" w:cs="Times New Roman" w:eastAsia="Times New Roman" w:hint="default"/>
        </w:rPr>
        <w:t>”</w:t>
      </w:r>
      <w:r>
        <w:rPr/>
        <w:t>）设立的有限责任公司。于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30</w:t>
      </w:r>
      <w:r>
        <w:rPr/>
        <w:t>日，北京天明国际将其持有的神码郑州的</w:t>
      </w:r>
      <w:r>
        <w:rPr>
          <w:rFonts w:ascii="Times New Roman" w:hAnsi="Times New Roman" w:cs="Times New Roman" w:eastAsia="Times New Roman" w:hint="default"/>
        </w:rPr>
        <w:t>10%</w:t>
      </w:r>
      <w:r>
        <w:rPr/>
        <w:t>股权转让给神码北</w:t>
      </w:r>
      <w:r>
        <w:rPr>
          <w:spacing w:val="-41"/>
        </w:rPr>
        <w:t> </w:t>
      </w:r>
      <w:r>
        <w:rPr>
          <w:spacing w:val="-41"/>
        </w:rPr>
      </w:r>
      <w:r>
        <w:rPr/>
        <w:t>京，转让完成后，神码郑州成为神码北京的全资子公司。</w:t>
      </w:r>
    </w:p>
    <w:p>
      <w:pPr>
        <w:spacing w:line="240" w:lineRule="auto" w:before="0"/>
        <w:rPr>
          <w:rFonts w:ascii="宋体" w:hAnsi="宋体" w:cs="宋体" w:eastAsia="宋体" w:hint="default"/>
          <w:sz w:val="14"/>
          <w:szCs w:val="14"/>
        </w:rPr>
      </w:pPr>
    </w:p>
    <w:p>
      <w:pPr>
        <w:pStyle w:val="BodyText"/>
        <w:spacing w:line="240" w:lineRule="auto"/>
        <w:ind w:right="0"/>
        <w:jc w:val="left"/>
      </w:pPr>
      <w:r>
        <w:rPr/>
        <w:t>注</w:t>
      </w:r>
      <w:r>
        <w:rPr>
          <w:rFonts w:ascii="Times New Roman" w:hAnsi="Times New Roman" w:cs="Times New Roman" w:eastAsia="Times New Roman" w:hint="default"/>
        </w:rPr>
        <w:t>16:</w:t>
      </w:r>
      <w:r>
        <w:rPr>
          <w:rFonts w:ascii="Times New Roman" w:hAnsi="Times New Roman" w:cs="Times New Roman" w:eastAsia="Times New Roman" w:hint="default"/>
          <w:spacing w:val="26"/>
        </w:rPr>
        <w:t> </w:t>
      </w:r>
      <w:r>
        <w:rPr/>
        <w:t>重庆神州数码有限公司系于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8</w:t>
      </w:r>
      <w:r>
        <w:rPr/>
        <w:t>日由神码北京设立的法人独资有限责任公司。</w:t>
      </w:r>
    </w:p>
    <w:p>
      <w:pPr>
        <w:spacing w:line="240" w:lineRule="auto" w:before="8"/>
        <w:rPr>
          <w:rFonts w:ascii="宋体" w:hAnsi="宋体" w:cs="宋体" w:eastAsia="宋体" w:hint="default"/>
          <w:sz w:val="15"/>
          <w:szCs w:val="15"/>
        </w:rPr>
      </w:pPr>
    </w:p>
    <w:p>
      <w:pPr>
        <w:pStyle w:val="BodyText"/>
        <w:spacing w:line="225" w:lineRule="auto"/>
        <w:ind w:right="1129"/>
        <w:jc w:val="both"/>
      </w:pPr>
      <w:r>
        <w:rPr/>
        <w:t>注</w:t>
      </w:r>
      <w:r>
        <w:rPr>
          <w:rFonts w:ascii="Times New Roman" w:hAnsi="Times New Roman" w:cs="Times New Roman" w:eastAsia="Times New Roman" w:hint="default"/>
        </w:rPr>
        <w:t>17</w:t>
      </w:r>
      <w:r>
        <w:rPr/>
        <w:t>：北京神州数码云科信息技术有限公司（以下简称</w:t>
      </w:r>
      <w:r>
        <w:rPr>
          <w:rFonts w:ascii="Times New Roman" w:hAnsi="Times New Roman" w:cs="Times New Roman" w:eastAsia="Times New Roman" w:hint="default"/>
        </w:rPr>
        <w:t>“</w:t>
      </w:r>
      <w:r>
        <w:rPr/>
        <w:t>北京云科信息技术</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t>日由神码网络香港设立的法</w:t>
      </w:r>
      <w:r>
        <w:rPr>
          <w:spacing w:val="-66"/>
        </w:rPr>
        <w:t> </w:t>
      </w:r>
      <w:r>
        <w:rPr>
          <w:spacing w:val="-66"/>
        </w:rPr>
      </w:r>
      <w:r>
        <w:rPr>
          <w:spacing w:val="-4"/>
        </w:rPr>
        <w:t>人独资有限责任公司。</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1</w:t>
      </w:r>
      <w:r>
        <w:rPr>
          <w:spacing w:val="-4"/>
        </w:rPr>
        <w:t>月，北京云科信息技术增资引入新股东，神码网络香港对北京云科信息技术的持股比例由</w:t>
      </w:r>
      <w:r>
        <w:rPr>
          <w:rFonts w:ascii="Times New Roman" w:hAnsi="Times New Roman" w:cs="Times New Roman" w:eastAsia="Times New Roman" w:hint="default"/>
          <w:spacing w:val="-4"/>
        </w:rPr>
        <w:t>100%</w:t>
      </w:r>
      <w:r>
        <w:rPr>
          <w:rFonts w:ascii="Times New Roman" w:hAnsi="Times New Roman" w:cs="Times New Roman" w:eastAsia="Times New Roman" w:hint="default"/>
          <w:spacing w:val="-40"/>
        </w:rPr>
        <w:t> </w:t>
      </w:r>
      <w:r>
        <w:rPr>
          <w:spacing w:val="-2"/>
        </w:rPr>
        <w:t>稀释为</w:t>
      </w:r>
      <w:r>
        <w:rPr>
          <w:rFonts w:ascii="Times New Roman" w:hAnsi="Times New Roman" w:cs="Times New Roman" w:eastAsia="Times New Roman" w:hint="default"/>
          <w:spacing w:val="-2"/>
        </w:rPr>
        <w:t>88%</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月，神码网络香港以港币</w:t>
      </w:r>
      <w:r>
        <w:rPr>
          <w:rFonts w:ascii="Times New Roman" w:hAnsi="Times New Roman" w:cs="Times New Roman" w:eastAsia="Times New Roman" w:hint="default"/>
          <w:spacing w:val="-2"/>
        </w:rPr>
        <w:t>27,500</w:t>
      </w:r>
      <w:r>
        <w:rPr>
          <w:spacing w:val="-2"/>
        </w:rPr>
        <w:t>千元购回该新股东持有的北京云科信息技术</w:t>
      </w:r>
      <w:r>
        <w:rPr>
          <w:rFonts w:ascii="Times New Roman" w:hAnsi="Times New Roman" w:cs="Times New Roman" w:eastAsia="Times New Roman" w:hint="default"/>
          <w:spacing w:val="-2"/>
        </w:rPr>
        <w:t>12%</w:t>
      </w:r>
      <w:r>
        <w:rPr>
          <w:spacing w:val="-2"/>
        </w:rPr>
        <w:t>股权，北京云科信息技</w:t>
      </w:r>
      <w:r>
        <w:rPr>
          <w:spacing w:val="-36"/>
        </w:rPr>
        <w:t> </w:t>
      </w:r>
      <w:r>
        <w:rPr>
          <w:spacing w:val="-36"/>
        </w:rPr>
      </w:r>
      <w:r>
        <w:rPr/>
        <w:t>术成为神码网络香港的全资子公司。于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11</w:t>
      </w:r>
      <w:r>
        <w:rPr/>
        <w:t>日，注册资本由港币</w:t>
      </w:r>
      <w:r>
        <w:rPr>
          <w:rFonts w:ascii="Times New Roman" w:hAnsi="Times New Roman" w:cs="Times New Roman" w:eastAsia="Times New Roman" w:hint="default"/>
        </w:rPr>
        <w:t>340.9091</w:t>
      </w:r>
      <w:r>
        <w:rPr/>
        <w:t>万元变更为人民币</w:t>
      </w:r>
      <w:r>
        <w:rPr>
          <w:rFonts w:ascii="Times New Roman" w:hAnsi="Times New Roman" w:cs="Times New Roman" w:eastAsia="Times New Roman" w:hint="default"/>
        </w:rPr>
        <w:t>5,500</w:t>
      </w:r>
      <w:r>
        <w:rPr/>
        <w:t>万元。于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rFonts w:ascii="Times New Roman" w:hAnsi="Times New Roman" w:cs="Times New Roman" w:eastAsia="Times New Roman" w:hint="default"/>
          <w:spacing w:val="40"/>
        </w:rPr>
        <w:t> </w:t>
      </w:r>
      <w:r>
        <w:rPr/>
        <w:t>月</w:t>
      </w:r>
      <w:r>
        <w:rPr>
          <w:rFonts w:ascii="Times New Roman" w:hAnsi="Times New Roman" w:cs="Times New Roman" w:eastAsia="Times New Roman" w:hint="default"/>
        </w:rPr>
        <w:t>26</w:t>
      </w:r>
      <w:r>
        <w:rPr/>
        <w:t>日，神码北京购买了北京云科信息技术</w:t>
      </w:r>
      <w:r>
        <w:rPr>
          <w:rFonts w:ascii="Times New Roman" w:hAnsi="Times New Roman" w:cs="Times New Roman" w:eastAsia="Times New Roman" w:hint="default"/>
        </w:rPr>
        <w:t>100%</w:t>
      </w:r>
      <w:r>
        <w:rPr/>
        <w:t>股权，转让后，北京云科信息技术成为神码北京的全资子公司。</w:t>
      </w:r>
    </w:p>
    <w:p>
      <w:pPr>
        <w:spacing w:line="240" w:lineRule="auto" w:before="7"/>
        <w:rPr>
          <w:rFonts w:ascii="宋体" w:hAnsi="宋体" w:cs="宋体" w:eastAsia="宋体" w:hint="default"/>
          <w:sz w:val="16"/>
          <w:szCs w:val="16"/>
        </w:rPr>
      </w:pPr>
    </w:p>
    <w:p>
      <w:pPr>
        <w:pStyle w:val="BodyText"/>
        <w:spacing w:line="234" w:lineRule="exact"/>
        <w:ind w:right="1118"/>
        <w:jc w:val="left"/>
      </w:pPr>
      <w:r>
        <w:rPr/>
        <w:t>注</w:t>
      </w:r>
      <w:r>
        <w:rPr>
          <w:rFonts w:ascii="Times New Roman" w:hAnsi="Times New Roman" w:cs="Times New Roman" w:eastAsia="Times New Roman" w:hint="default"/>
        </w:rPr>
        <w:t>18: </w:t>
      </w:r>
      <w:r>
        <w:rPr/>
        <w:t>上海神州数码通信技术有限公司（以下简称</w:t>
      </w:r>
      <w:r>
        <w:rPr>
          <w:rFonts w:ascii="Times New Roman" w:hAnsi="Times New Roman" w:cs="Times New Roman" w:eastAsia="Times New Roman" w:hint="default"/>
        </w:rPr>
        <w:t>“</w:t>
      </w:r>
      <w:r>
        <w:rPr/>
        <w:t>上海通信技术</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29</w:t>
      </w:r>
      <w:r>
        <w:rPr/>
        <w:t>日由北京网络公司设立的法人独资有</w:t>
      </w:r>
      <w:r>
        <w:rPr>
          <w:spacing w:val="-81"/>
        </w:rPr>
        <w:t> </w:t>
      </w:r>
      <w:r>
        <w:rPr>
          <w:spacing w:val="-81"/>
        </w:rPr>
      </w:r>
      <w:r>
        <w:rPr/>
        <w:t>限责任公司。</w:t>
      </w:r>
    </w:p>
    <w:p>
      <w:pPr>
        <w:spacing w:line="240" w:lineRule="auto" w:before="12"/>
        <w:rPr>
          <w:rFonts w:ascii="宋体" w:hAnsi="宋体" w:cs="宋体" w:eastAsia="宋体" w:hint="default"/>
          <w:sz w:val="15"/>
          <w:szCs w:val="15"/>
        </w:rPr>
      </w:pPr>
    </w:p>
    <w:p>
      <w:pPr>
        <w:pStyle w:val="BodyText"/>
        <w:spacing w:line="232" w:lineRule="exact"/>
        <w:ind w:right="1124"/>
        <w:jc w:val="left"/>
      </w:pPr>
      <w:r>
        <w:rPr/>
        <w:t>注</w:t>
      </w:r>
      <w:r>
        <w:rPr>
          <w:rFonts w:ascii="Times New Roman" w:hAnsi="Times New Roman" w:cs="Times New Roman" w:eastAsia="Times New Roman" w:hint="default"/>
        </w:rPr>
        <w:t>19: Digital China Marketing &amp; Services</w:t>
      </w:r>
      <w:r>
        <w:rPr>
          <w:rFonts w:ascii="Times New Roman" w:hAnsi="Times New Roman" w:cs="Times New Roman" w:eastAsia="Times New Roman" w:hint="default"/>
          <w:spacing w:val="-6"/>
        </w:rPr>
        <w:t> </w:t>
      </w:r>
      <w:r>
        <w:rPr>
          <w:rFonts w:ascii="Times New Roman" w:hAnsi="Times New Roman" w:cs="Times New Roman" w:eastAsia="Times New Roman" w:hint="default"/>
        </w:rPr>
        <w:t>Ltd.</w:t>
      </w:r>
      <w:r>
        <w:rPr/>
        <w:t>（以下简称</w:t>
      </w:r>
      <w:r>
        <w:rPr>
          <w:rFonts w:ascii="Times New Roman" w:hAnsi="Times New Roman" w:cs="Times New Roman" w:eastAsia="Times New Roman" w:hint="default"/>
        </w:rPr>
        <w:t>“DCMS”</w:t>
      </w:r>
      <w:r>
        <w:rPr/>
        <w:t>）系于</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日由</w:t>
      </w:r>
      <w:r>
        <w:rPr>
          <w:rFonts w:ascii="Times New Roman" w:hAnsi="Times New Roman" w:cs="Times New Roman" w:eastAsia="Times New Roman" w:hint="default"/>
        </w:rPr>
        <w:t>DCL(BVI)</w:t>
      </w:r>
      <w:r>
        <w:rPr/>
        <w:t>在香港设立的私人股份有 限公司。根据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日签订的股权转让协议，</w:t>
      </w:r>
      <w:r>
        <w:rPr>
          <w:rFonts w:ascii="Times New Roman" w:hAnsi="Times New Roman" w:cs="Times New Roman" w:eastAsia="Times New Roman" w:hint="default"/>
        </w:rPr>
        <w:t>DCL(BVI)</w:t>
      </w:r>
      <w:r>
        <w:rPr/>
        <w:t>将其持有的</w:t>
      </w:r>
      <w:r>
        <w:rPr>
          <w:rFonts w:ascii="Times New Roman" w:hAnsi="Times New Roman" w:cs="Times New Roman" w:eastAsia="Times New Roman" w:hint="default"/>
        </w:rPr>
        <w:t>DCMS100%</w:t>
      </w:r>
      <w:r>
        <w:rPr/>
        <w:t>的股权转让给神码中国。</w:t>
      </w:r>
    </w:p>
    <w:p>
      <w:pPr>
        <w:spacing w:line="240" w:lineRule="auto" w:before="1"/>
        <w:rPr>
          <w:rFonts w:ascii="宋体" w:hAnsi="宋体" w:cs="宋体" w:eastAsia="宋体" w:hint="default"/>
          <w:sz w:val="14"/>
          <w:szCs w:val="14"/>
        </w:rPr>
      </w:pPr>
    </w:p>
    <w:p>
      <w:pPr>
        <w:pStyle w:val="BodyText"/>
        <w:spacing w:line="240" w:lineRule="auto"/>
        <w:ind w:right="0"/>
        <w:jc w:val="left"/>
        <w:rPr>
          <w:rFonts w:ascii="Times New Roman" w:hAnsi="Times New Roman" w:cs="Times New Roman" w:eastAsia="Times New Roman" w:hint="default"/>
        </w:rPr>
      </w:pPr>
      <w:r>
        <w:rPr/>
        <w:t>注</w:t>
      </w:r>
      <w:r>
        <w:rPr>
          <w:rFonts w:ascii="Times New Roman" w:hAnsi="Times New Roman" w:cs="Times New Roman" w:eastAsia="Times New Roman" w:hint="default"/>
        </w:rPr>
        <w:t>20:  </w:t>
      </w:r>
      <w:r>
        <w:rPr>
          <w:spacing w:val="-4"/>
        </w:rPr>
        <w:t>神州数码科技发展有限公司（</w:t>
      </w:r>
      <w:r>
        <w:rPr>
          <w:rFonts w:ascii="Times New Roman" w:hAnsi="Times New Roman" w:cs="Times New Roman" w:eastAsia="Times New Roman" w:hint="default"/>
          <w:spacing w:val="-4"/>
        </w:rPr>
        <w:t>Digital </w:t>
      </w:r>
      <w:r>
        <w:rPr>
          <w:rFonts w:ascii="Times New Roman" w:hAnsi="Times New Roman" w:cs="Times New Roman" w:eastAsia="Times New Roman" w:hint="default"/>
        </w:rPr>
        <w:t>China Technology</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4"/>
        </w:rPr>
        <w:t>Limited</w:t>
      </w:r>
      <w:r>
        <w:rPr>
          <w:spacing w:val="-4"/>
        </w:rPr>
        <w:t>，以下简称</w:t>
      </w:r>
      <w:r>
        <w:rPr>
          <w:rFonts w:ascii="Times New Roman" w:hAnsi="Times New Roman" w:cs="Times New Roman" w:eastAsia="Times New Roman" w:hint="default"/>
          <w:spacing w:val="-4"/>
        </w:rPr>
        <w:t>“</w:t>
      </w:r>
      <w:r>
        <w:rPr>
          <w:spacing w:val="-4"/>
        </w:rPr>
        <w:t>神码科技发展</w:t>
      </w:r>
      <w:r>
        <w:rPr>
          <w:rFonts w:ascii="Times New Roman" w:hAnsi="Times New Roman" w:cs="Times New Roman" w:eastAsia="Times New Roman" w:hint="default"/>
          <w:spacing w:val="-4"/>
        </w:rPr>
        <w:t>”</w:t>
      </w:r>
      <w:r>
        <w:rPr>
          <w:spacing w:val="-4"/>
        </w:rPr>
        <w:t>）系于</w:t>
      </w:r>
      <w:r>
        <w:rPr>
          <w:rFonts w:ascii="Times New Roman" w:hAnsi="Times New Roman" w:cs="Times New Roman" w:eastAsia="Times New Roman" w:hint="default"/>
          <w:spacing w:val="-4"/>
        </w:rPr>
        <w:t>2000</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11</w:t>
      </w:r>
      <w:r>
        <w:rPr>
          <w:spacing w:val="-4"/>
        </w:rPr>
        <w:t>日由</w:t>
      </w:r>
      <w:r>
        <w:rPr>
          <w:rFonts w:ascii="Times New Roman" w:hAnsi="Times New Roman" w:cs="Times New Roman" w:eastAsia="Times New Roman" w:hint="default"/>
          <w:spacing w:val="-4"/>
        </w:rPr>
        <w:t>DCMS</w:t>
      </w:r>
    </w:p>
    <w:p>
      <w:pPr>
        <w:spacing w:after="0" w:line="240" w:lineRule="auto"/>
        <w:jc w:val="left"/>
        <w:rPr>
          <w:rFonts w:ascii="Times New Roman" w:hAnsi="Times New Roman" w:cs="Times New Roman" w:eastAsia="Times New Roman" w:hint="default"/>
        </w:rPr>
        <w:sectPr>
          <w:pgSz w:w="11910" w:h="16840"/>
          <w:pgMar w:header="877" w:footer="979" w:top="1100" w:bottom="1160" w:left="980" w:right="0"/>
        </w:sectPr>
      </w:pPr>
    </w:p>
    <w:p>
      <w:pPr>
        <w:spacing w:line="240" w:lineRule="auto" w:before="4"/>
        <w:rPr>
          <w:rFonts w:ascii="Times New Roman" w:hAnsi="Times New Roman" w:cs="Times New Roman" w:eastAsia="Times New Roman" w:hint="default"/>
          <w:sz w:val="21"/>
          <w:szCs w:val="21"/>
        </w:rPr>
      </w:pPr>
    </w:p>
    <w:p>
      <w:pPr>
        <w:pStyle w:val="BodyText"/>
        <w:spacing w:line="234" w:lineRule="exact" w:before="67"/>
        <w:ind w:right="1132"/>
        <w:jc w:val="both"/>
      </w:pPr>
      <w:r>
        <w:rPr>
          <w:spacing w:val="-1"/>
        </w:rPr>
        <w:t>在香港设立的私人股份有限公司。于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5</w:t>
      </w:r>
      <w:r>
        <w:rPr>
          <w:spacing w:val="-1"/>
        </w:rPr>
        <w:t>日，</w:t>
      </w:r>
      <w:r>
        <w:rPr>
          <w:rFonts w:ascii="Times New Roman" w:hAnsi="Times New Roman" w:cs="Times New Roman" w:eastAsia="Times New Roman" w:hint="default"/>
          <w:spacing w:val="-1"/>
        </w:rPr>
        <w:t>DCMS</w:t>
      </w:r>
      <w:r>
        <w:rPr>
          <w:spacing w:val="-1"/>
        </w:rPr>
        <w:t>对神码科技发展注资港币</w:t>
      </w:r>
      <w:r>
        <w:rPr>
          <w:rFonts w:ascii="Times New Roman" w:hAnsi="Times New Roman" w:cs="Times New Roman" w:eastAsia="Times New Roman" w:hint="default"/>
          <w:spacing w:val="-1"/>
        </w:rPr>
        <w:t>30,000</w:t>
      </w:r>
      <w:r>
        <w:rPr>
          <w:spacing w:val="-1"/>
        </w:rPr>
        <w:t>万元，注资后神码科技发展的注</w:t>
      </w:r>
      <w:r>
        <w:rPr>
          <w:spacing w:val="-42"/>
        </w:rPr>
        <w:t> </w:t>
      </w:r>
      <w:r>
        <w:rPr>
          <w:spacing w:val="-42"/>
        </w:rPr>
      </w:r>
      <w:r>
        <w:rPr/>
        <w:t>册资本及实收资本由港币</w:t>
      </w:r>
      <w:r>
        <w:rPr>
          <w:rFonts w:ascii="Times New Roman" w:hAnsi="Times New Roman" w:cs="Times New Roman" w:eastAsia="Times New Roman" w:hint="default"/>
        </w:rPr>
        <w:t>5,000</w:t>
      </w:r>
      <w:r>
        <w:rPr/>
        <w:t>万元变更为港币</w:t>
      </w:r>
      <w:r>
        <w:rPr>
          <w:rFonts w:ascii="Times New Roman" w:hAnsi="Times New Roman" w:cs="Times New Roman" w:eastAsia="Times New Roman" w:hint="default"/>
        </w:rPr>
        <w:t>35,000</w:t>
      </w:r>
      <w:r>
        <w:rPr/>
        <w:t>万元。</w:t>
      </w:r>
    </w:p>
    <w:p>
      <w:pPr>
        <w:spacing w:line="240" w:lineRule="auto" w:before="12"/>
        <w:rPr>
          <w:rFonts w:ascii="宋体" w:hAnsi="宋体" w:cs="宋体" w:eastAsia="宋体" w:hint="default"/>
          <w:sz w:val="15"/>
          <w:szCs w:val="15"/>
        </w:rPr>
      </w:pPr>
    </w:p>
    <w:p>
      <w:pPr>
        <w:pStyle w:val="BodyText"/>
        <w:spacing w:line="232" w:lineRule="exact"/>
        <w:ind w:right="1130"/>
        <w:jc w:val="both"/>
      </w:pPr>
      <w:r>
        <w:rPr/>
        <w:t>注</w:t>
      </w:r>
      <w:r>
        <w:rPr>
          <w:rFonts w:ascii="Times New Roman" w:hAnsi="Times New Roman" w:cs="Times New Roman" w:eastAsia="Times New Roman" w:hint="default"/>
        </w:rPr>
        <w:t>21: </w:t>
      </w:r>
      <w:r>
        <w:rPr/>
        <w:t>神州数码（香港）有限公司（</w:t>
      </w:r>
      <w:r>
        <w:rPr>
          <w:rFonts w:ascii="Times New Roman" w:hAnsi="Times New Roman" w:cs="Times New Roman" w:eastAsia="Times New Roman" w:hint="default"/>
        </w:rPr>
        <w:t>Digital China (HK)</w:t>
      </w:r>
      <w:r>
        <w:rPr>
          <w:rFonts w:ascii="Times New Roman" w:hAnsi="Times New Roman" w:cs="Times New Roman" w:eastAsia="Times New Roman" w:hint="default"/>
          <w:spacing w:val="12"/>
        </w:rPr>
        <w:t> </w:t>
      </w:r>
      <w:r>
        <w:rPr>
          <w:rFonts w:ascii="Times New Roman" w:hAnsi="Times New Roman" w:cs="Times New Roman" w:eastAsia="Times New Roman" w:hint="default"/>
        </w:rPr>
        <w:t>Limited</w:t>
      </w:r>
      <w:r>
        <w:rPr/>
        <w:t>，以下简称</w:t>
      </w:r>
      <w:r>
        <w:rPr>
          <w:rFonts w:ascii="Times New Roman" w:hAnsi="Times New Roman" w:cs="Times New Roman" w:eastAsia="Times New Roman" w:hint="default"/>
        </w:rPr>
        <w:t>“</w:t>
      </w:r>
      <w:r>
        <w:rPr/>
        <w:t>神码香港</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日由</w:t>
      </w:r>
      <w:r>
        <w:rPr>
          <w:rFonts w:ascii="Times New Roman" w:hAnsi="Times New Roman" w:cs="Times New Roman" w:eastAsia="Times New Roman" w:hint="default"/>
        </w:rPr>
        <w:t>DCMS</w:t>
      </w:r>
      <w:r>
        <w:rPr/>
        <w:t>在香港 设立的私人股份有限公司。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DCMS</w:t>
      </w:r>
      <w:r>
        <w:rPr/>
        <w:t>将其持有的神码香港</w:t>
      </w:r>
      <w:r>
        <w:rPr>
          <w:rFonts w:ascii="Times New Roman" w:hAnsi="Times New Roman" w:cs="Times New Roman" w:eastAsia="Times New Roman" w:hint="default"/>
        </w:rPr>
        <w:t>100%</w:t>
      </w:r>
      <w:r>
        <w:rPr/>
        <w:t>的股权转让给神码中国。</w:t>
      </w:r>
    </w:p>
    <w:p>
      <w:pPr>
        <w:spacing w:line="240" w:lineRule="auto" w:before="1"/>
        <w:rPr>
          <w:rFonts w:ascii="宋体" w:hAnsi="宋体" w:cs="宋体" w:eastAsia="宋体" w:hint="default"/>
          <w:sz w:val="14"/>
          <w:szCs w:val="14"/>
        </w:rPr>
      </w:pPr>
    </w:p>
    <w:p>
      <w:pPr>
        <w:pStyle w:val="BodyText"/>
        <w:spacing w:line="242" w:lineRule="exact"/>
        <w:ind w:right="0"/>
        <w:jc w:val="both"/>
        <w:rPr>
          <w:rFonts w:ascii="Times New Roman" w:hAnsi="Times New Roman" w:cs="Times New Roman" w:eastAsia="Times New Roman" w:hint="default"/>
        </w:rPr>
      </w:pPr>
      <w:r>
        <w:rPr/>
        <w:t>注</w:t>
      </w:r>
      <w:r>
        <w:rPr>
          <w:rFonts w:ascii="Times New Roman" w:hAnsi="Times New Roman" w:cs="Times New Roman" w:eastAsia="Times New Roman" w:hint="default"/>
        </w:rPr>
        <w:t>22:  </w:t>
      </w:r>
      <w:r>
        <w:rPr/>
        <w:t>神州数码数据服务（香港）有限公司（</w:t>
      </w:r>
      <w:r>
        <w:rPr>
          <w:rFonts w:ascii="Times New Roman" w:hAnsi="Times New Roman" w:cs="Times New Roman" w:eastAsia="Times New Roman" w:hint="default"/>
        </w:rPr>
        <w:t>Digital China Data Services (HK)</w:t>
      </w:r>
      <w:r>
        <w:rPr>
          <w:rFonts w:ascii="Times New Roman" w:hAnsi="Times New Roman" w:cs="Times New Roman" w:eastAsia="Times New Roman" w:hint="default"/>
          <w:spacing w:val="-25"/>
        </w:rPr>
        <w:t> </w:t>
      </w:r>
      <w:r>
        <w:rPr>
          <w:rFonts w:ascii="Times New Roman" w:hAnsi="Times New Roman" w:cs="Times New Roman" w:eastAsia="Times New Roman" w:hint="default"/>
        </w:rPr>
        <w:t>Limited</w:t>
      </w:r>
      <w:r>
        <w:rPr/>
        <w:t>，以下简称</w:t>
      </w:r>
      <w:r>
        <w:rPr>
          <w:rFonts w:ascii="Times New Roman" w:hAnsi="Times New Roman" w:cs="Times New Roman" w:eastAsia="Times New Roman" w:hint="default"/>
        </w:rPr>
        <w:t>“</w:t>
      </w:r>
      <w:r>
        <w:rPr/>
        <w:t>神码数据服务</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2015</w:t>
      </w:r>
    </w:p>
    <w:p>
      <w:pPr>
        <w:pStyle w:val="BodyText"/>
        <w:spacing w:line="242" w:lineRule="exact"/>
        <w:ind w:right="0"/>
        <w:jc w:val="both"/>
      </w:pP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13</w:t>
      </w:r>
      <w:r>
        <w:rPr/>
        <w:t>日由神码香港在香港设立的私人股份有限公司。</w:t>
      </w:r>
    </w:p>
    <w:p>
      <w:pPr>
        <w:spacing w:line="240" w:lineRule="auto" w:before="6"/>
        <w:rPr>
          <w:rFonts w:ascii="宋体" w:hAnsi="宋体" w:cs="宋体" w:eastAsia="宋体" w:hint="default"/>
          <w:sz w:val="16"/>
          <w:szCs w:val="16"/>
        </w:rPr>
      </w:pPr>
    </w:p>
    <w:p>
      <w:pPr>
        <w:pStyle w:val="BodyText"/>
        <w:spacing w:line="232" w:lineRule="exact"/>
        <w:ind w:right="1129"/>
        <w:jc w:val="both"/>
      </w:pPr>
      <w:r>
        <w:rPr/>
        <w:t>注</w:t>
      </w:r>
      <w:r>
        <w:rPr>
          <w:rFonts w:ascii="Times New Roman" w:hAnsi="Times New Roman" w:cs="Times New Roman" w:eastAsia="Times New Roman" w:hint="default"/>
        </w:rPr>
        <w:t>23: </w:t>
      </w:r>
      <w:r>
        <w:rPr/>
        <w:t>神州数码澳门离岸商业服务有限公司（</w:t>
      </w:r>
      <w:r>
        <w:rPr>
          <w:rFonts w:ascii="Times New Roman" w:hAnsi="Times New Roman" w:cs="Times New Roman" w:eastAsia="Times New Roman" w:hint="default"/>
        </w:rPr>
        <w:t>Digital China Macao Commercial Offshore</w:t>
      </w:r>
      <w:r>
        <w:rPr>
          <w:rFonts w:ascii="Times New Roman" w:hAnsi="Times New Roman" w:cs="Times New Roman" w:eastAsia="Times New Roman" w:hint="default"/>
          <w:spacing w:val="7"/>
        </w:rPr>
        <w:t> </w:t>
      </w:r>
      <w:r>
        <w:rPr>
          <w:rFonts w:ascii="Times New Roman" w:hAnsi="Times New Roman" w:cs="Times New Roman" w:eastAsia="Times New Roman" w:hint="default"/>
        </w:rPr>
        <w:t>Limited</w:t>
      </w:r>
      <w:r>
        <w:rPr/>
        <w:t>，以下简称</w:t>
      </w:r>
      <w:r>
        <w:rPr>
          <w:rFonts w:ascii="Times New Roman" w:hAnsi="Times New Roman" w:cs="Times New Roman" w:eastAsia="Times New Roman" w:hint="default"/>
        </w:rPr>
        <w:t>“</w:t>
      </w:r>
      <w:r>
        <w:rPr/>
        <w:t>神码澳门</w:t>
      </w:r>
      <w:r>
        <w:rPr>
          <w:rFonts w:ascii="Times New Roman" w:hAnsi="Times New Roman" w:cs="Times New Roman" w:eastAsia="Times New Roman" w:hint="default"/>
        </w:rPr>
        <w:t>”</w:t>
      </w:r>
      <w:r>
        <w:rPr/>
        <w:t>）系于 </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日由</w:t>
      </w:r>
      <w:r>
        <w:rPr>
          <w:rFonts w:ascii="Times New Roman" w:hAnsi="Times New Roman" w:cs="Times New Roman" w:eastAsia="Times New Roman" w:hint="default"/>
        </w:rPr>
        <w:t>DCMS</w:t>
      </w:r>
      <w:r>
        <w:rPr/>
        <w:t>在澳门设立的私人股份有限公司。</w:t>
      </w:r>
    </w:p>
    <w:p>
      <w:pPr>
        <w:spacing w:line="240" w:lineRule="auto" w:before="1"/>
        <w:rPr>
          <w:rFonts w:ascii="宋体" w:hAnsi="宋体" w:cs="宋体" w:eastAsia="宋体" w:hint="default"/>
          <w:sz w:val="14"/>
          <w:szCs w:val="14"/>
        </w:rPr>
      </w:pPr>
    </w:p>
    <w:p>
      <w:pPr>
        <w:pStyle w:val="BodyText"/>
        <w:spacing w:line="242" w:lineRule="exact"/>
        <w:ind w:right="0"/>
        <w:jc w:val="both"/>
        <w:rPr>
          <w:rFonts w:ascii="Times New Roman" w:hAnsi="Times New Roman" w:cs="Times New Roman" w:eastAsia="Times New Roman" w:hint="default"/>
        </w:rPr>
      </w:pPr>
      <w:r>
        <w:rPr/>
        <w:t>注</w:t>
      </w:r>
      <w:r>
        <w:rPr>
          <w:rFonts w:ascii="Times New Roman" w:hAnsi="Times New Roman" w:cs="Times New Roman" w:eastAsia="Times New Roman" w:hint="default"/>
        </w:rPr>
        <w:t>24: </w:t>
      </w:r>
      <w:r>
        <w:rPr/>
        <w:t>系统信息科技（香港）有限公司（</w:t>
      </w:r>
      <w:r>
        <w:rPr>
          <w:rFonts w:ascii="Times New Roman" w:hAnsi="Times New Roman" w:cs="Times New Roman" w:eastAsia="Times New Roman" w:hint="default"/>
        </w:rPr>
        <w:t>Systems Information Technology (HK)</w:t>
      </w:r>
      <w:r>
        <w:rPr>
          <w:rFonts w:ascii="Times New Roman" w:hAnsi="Times New Roman" w:cs="Times New Roman" w:eastAsia="Times New Roman" w:hint="default"/>
          <w:spacing w:val="-16"/>
        </w:rPr>
        <w:t> </w:t>
      </w:r>
      <w:r>
        <w:rPr>
          <w:rFonts w:ascii="Times New Roman" w:hAnsi="Times New Roman" w:cs="Times New Roman" w:eastAsia="Times New Roman" w:hint="default"/>
        </w:rPr>
        <w:t>Limited</w:t>
      </w:r>
      <w:r>
        <w:rPr/>
        <w:t>，以下简称</w:t>
      </w:r>
      <w:r>
        <w:rPr>
          <w:rFonts w:ascii="Times New Roman" w:hAnsi="Times New Roman" w:cs="Times New Roman" w:eastAsia="Times New Roman" w:hint="default"/>
        </w:rPr>
        <w:t>“</w:t>
      </w:r>
      <w:r>
        <w:rPr/>
        <w:t>系统信息香港</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2008</w:t>
      </w:r>
    </w:p>
    <w:p>
      <w:pPr>
        <w:pStyle w:val="BodyText"/>
        <w:spacing w:line="242" w:lineRule="exact"/>
        <w:ind w:right="0"/>
        <w:jc w:val="both"/>
      </w:pP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日由</w:t>
      </w:r>
      <w:r>
        <w:rPr>
          <w:rFonts w:ascii="Times New Roman" w:hAnsi="Times New Roman" w:cs="Times New Roman" w:eastAsia="Times New Roman" w:hint="default"/>
        </w:rPr>
        <w:t>DCMS</w:t>
      </w:r>
      <w:r>
        <w:rPr/>
        <w:t>在香港设立的私人股份有限公司。</w:t>
      </w:r>
    </w:p>
    <w:p>
      <w:pPr>
        <w:spacing w:line="240" w:lineRule="auto" w:before="8"/>
        <w:rPr>
          <w:rFonts w:ascii="宋体" w:hAnsi="宋体" w:cs="宋体" w:eastAsia="宋体" w:hint="default"/>
          <w:sz w:val="15"/>
          <w:szCs w:val="15"/>
        </w:rPr>
      </w:pPr>
    </w:p>
    <w:p>
      <w:pPr>
        <w:pStyle w:val="BodyText"/>
        <w:spacing w:line="225" w:lineRule="auto"/>
        <w:ind w:right="1130"/>
        <w:jc w:val="both"/>
      </w:pPr>
      <w:r>
        <w:rPr/>
        <w:t>注</w:t>
      </w:r>
      <w:r>
        <w:rPr>
          <w:rFonts w:ascii="Times New Roman" w:hAnsi="Times New Roman" w:cs="Times New Roman" w:eastAsia="Times New Roman" w:hint="default"/>
        </w:rPr>
        <w:t>25: </w:t>
      </w:r>
      <w:r>
        <w:rPr>
          <w:spacing w:val="-11"/>
        </w:rPr>
        <w:t>神州数码网络（香港）有限公司（</w:t>
      </w:r>
      <w:r>
        <w:rPr>
          <w:rFonts w:ascii="Times New Roman" w:hAnsi="Times New Roman" w:cs="Times New Roman" w:eastAsia="Times New Roman" w:hint="default"/>
          <w:spacing w:val="-11"/>
        </w:rPr>
        <w:t>Digital</w:t>
      </w:r>
      <w:r>
        <w:rPr>
          <w:rFonts w:ascii="Times New Roman" w:hAnsi="Times New Roman" w:cs="Times New Roman" w:eastAsia="Times New Roman" w:hint="default"/>
        </w:rPr>
        <w:t> China </w:t>
      </w:r>
      <w:r>
        <w:rPr>
          <w:rFonts w:ascii="Times New Roman" w:hAnsi="Times New Roman" w:cs="Times New Roman" w:eastAsia="Times New Roman" w:hint="default"/>
          <w:w w:val="99"/>
        </w:rPr>
        <w:t>Networks </w:t>
      </w:r>
      <w:r>
        <w:rPr>
          <w:rFonts w:ascii="Times New Roman" w:hAnsi="Times New Roman" w:cs="Times New Roman" w:eastAsia="Times New Roman" w:hint="default"/>
          <w:spacing w:val="-1"/>
          <w:w w:val="99"/>
        </w:rPr>
        <w:t>(HK)</w:t>
      </w:r>
      <w:r>
        <w:rPr>
          <w:rFonts w:ascii="Times New Roman" w:hAnsi="Times New Roman" w:cs="Times New Roman" w:eastAsia="Times New Roman" w:hint="default"/>
          <w:spacing w:val="10"/>
          <w:w w:val="99"/>
        </w:rPr>
        <w:t> </w:t>
      </w:r>
      <w:r>
        <w:rPr>
          <w:rFonts w:ascii="Times New Roman" w:hAnsi="Times New Roman" w:cs="Times New Roman" w:eastAsia="Times New Roman" w:hint="default"/>
          <w:spacing w:val="-4"/>
          <w:w w:val="100"/>
        </w:rPr>
        <w:t>Limited</w:t>
      </w:r>
      <w:r>
        <w:rPr>
          <w:spacing w:val="-4"/>
          <w:w w:val="100"/>
        </w:rPr>
        <w:t>，</w:t>
      </w:r>
      <w:r>
        <w:rPr>
          <w:rFonts w:ascii="Times New Roman" w:hAnsi="Times New Roman" w:cs="Times New Roman" w:eastAsia="Times New Roman" w:hint="default"/>
          <w:spacing w:val="-4"/>
          <w:w w:val="100"/>
        </w:rPr>
        <w:t>“</w:t>
      </w:r>
      <w:r>
        <w:rPr>
          <w:spacing w:val="-4"/>
          <w:w w:val="100"/>
        </w:rPr>
        <w:t>神码网络香港</w:t>
      </w:r>
      <w:r>
        <w:rPr>
          <w:rFonts w:ascii="Times New Roman" w:hAnsi="Times New Roman" w:cs="Times New Roman" w:eastAsia="Times New Roman" w:hint="default"/>
          <w:spacing w:val="-4"/>
          <w:w w:val="100"/>
        </w:rPr>
        <w:t>”</w:t>
      </w:r>
      <w:r>
        <w:rPr>
          <w:spacing w:val="-4"/>
          <w:w w:val="100"/>
        </w:rPr>
        <w:t>）系于</w:t>
      </w:r>
      <w:r>
        <w:rPr>
          <w:rFonts w:ascii="Times New Roman" w:hAnsi="Times New Roman" w:cs="Times New Roman" w:eastAsia="Times New Roman" w:hint="default"/>
          <w:spacing w:val="-4"/>
          <w:w w:val="100"/>
        </w:rPr>
        <w:t>2000</w:t>
      </w:r>
      <w:r>
        <w:rPr>
          <w:spacing w:val="-4"/>
          <w:w w:val="100"/>
        </w:rPr>
        <w:t>年</w:t>
      </w:r>
      <w:r>
        <w:rPr>
          <w:rFonts w:ascii="Times New Roman" w:hAnsi="Times New Roman" w:cs="Times New Roman" w:eastAsia="Times New Roman" w:hint="default"/>
          <w:spacing w:val="-4"/>
          <w:w w:val="100"/>
        </w:rPr>
        <w:t>3</w:t>
      </w:r>
      <w:r>
        <w:rPr>
          <w:spacing w:val="-4"/>
          <w:w w:val="100"/>
        </w:rPr>
        <w:t>月</w:t>
      </w:r>
      <w:r>
        <w:rPr>
          <w:rFonts w:ascii="Times New Roman" w:hAnsi="Times New Roman" w:cs="Times New Roman" w:eastAsia="Times New Roman" w:hint="default"/>
          <w:spacing w:val="-4"/>
          <w:w w:val="100"/>
        </w:rPr>
        <w:t>31</w:t>
      </w:r>
      <w:r>
        <w:rPr>
          <w:spacing w:val="-4"/>
          <w:w w:val="100"/>
        </w:rPr>
        <w:t>日由</w:t>
      </w:r>
      <w:r>
        <w:rPr>
          <w:rFonts w:ascii="Times New Roman" w:hAnsi="Times New Roman" w:cs="Times New Roman" w:eastAsia="Times New Roman" w:hint="default"/>
          <w:spacing w:val="-4"/>
          <w:w w:val="100"/>
        </w:rPr>
        <w:t>DCL(BVI)</w:t>
      </w:r>
      <w:r>
        <w:rPr>
          <w:rFonts w:ascii="Times New Roman" w:hAnsi="Times New Roman" w:cs="Times New Roman" w:eastAsia="Times New Roman" w:hint="default"/>
        </w:rPr>
        <w:t> </w:t>
      </w:r>
      <w:r>
        <w:rPr/>
        <w:t>的子公司</w:t>
      </w:r>
      <w:r>
        <w:rPr>
          <w:rFonts w:ascii="Times New Roman" w:hAnsi="Times New Roman" w:cs="Times New Roman" w:eastAsia="Times New Roman" w:hint="default"/>
        </w:rPr>
        <w:t>DCN(BVI)</w:t>
      </w:r>
      <w:r>
        <w:rPr/>
        <w:t>在香港设立的私人股份有限公司。根据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25</w:t>
      </w:r>
      <w:r>
        <w:rPr/>
        <w:t>日签订的股权转让协议，</w:t>
      </w:r>
      <w:r>
        <w:rPr>
          <w:rFonts w:ascii="Times New Roman" w:hAnsi="Times New Roman" w:cs="Times New Roman" w:eastAsia="Times New Roman" w:hint="default"/>
        </w:rPr>
        <w:t>DCN(BVI)</w:t>
      </w:r>
      <w:r>
        <w:rPr/>
        <w:t>将其持有的神码</w:t>
      </w:r>
      <w:r>
        <w:rPr>
          <w:spacing w:val="-87"/>
        </w:rPr>
        <w:t> </w:t>
      </w:r>
      <w:r>
        <w:rPr>
          <w:spacing w:val="-87"/>
        </w:rPr>
      </w:r>
      <w:r>
        <w:rPr/>
        <w:t>网络香港</w:t>
      </w:r>
      <w:r>
        <w:rPr>
          <w:rFonts w:ascii="Times New Roman" w:hAnsi="Times New Roman" w:cs="Times New Roman" w:eastAsia="Times New Roman" w:hint="default"/>
        </w:rPr>
        <w:t>100%</w:t>
      </w:r>
      <w:r>
        <w:rPr/>
        <w:t>的股权转让给</w:t>
      </w:r>
      <w:r>
        <w:rPr>
          <w:rFonts w:ascii="Times New Roman" w:hAnsi="Times New Roman" w:cs="Times New Roman" w:eastAsia="Times New Roman" w:hint="default"/>
        </w:rPr>
        <w:t>DCMS</w:t>
      </w:r>
      <w:r>
        <w:rPr/>
        <w:t>。</w:t>
      </w:r>
    </w:p>
    <w:p>
      <w:pPr>
        <w:spacing w:line="240" w:lineRule="auto" w:before="9"/>
        <w:rPr>
          <w:rFonts w:ascii="宋体" w:hAnsi="宋体" w:cs="宋体" w:eastAsia="宋体" w:hint="default"/>
          <w:sz w:val="16"/>
          <w:szCs w:val="16"/>
        </w:rPr>
      </w:pPr>
    </w:p>
    <w:p>
      <w:pPr>
        <w:pStyle w:val="BodyText"/>
        <w:spacing w:line="232" w:lineRule="exact"/>
        <w:ind w:right="1135"/>
        <w:jc w:val="both"/>
      </w:pPr>
      <w:r>
        <w:rPr/>
        <w:t>注</w:t>
      </w:r>
      <w:r>
        <w:rPr>
          <w:rFonts w:ascii="Times New Roman" w:hAnsi="Times New Roman" w:cs="Times New Roman" w:eastAsia="Times New Roman" w:hint="default"/>
        </w:rPr>
        <w:t>26: </w:t>
      </w:r>
      <w:r>
        <w:rPr/>
        <w:t>北京神州数码智慧生活科技有限公司（以下简称</w:t>
      </w:r>
      <w:r>
        <w:rPr>
          <w:rFonts w:ascii="Times New Roman" w:hAnsi="Times New Roman" w:cs="Times New Roman" w:eastAsia="Times New Roman" w:hint="default"/>
        </w:rPr>
        <w:t>“</w:t>
      </w:r>
      <w:r>
        <w:rPr/>
        <w:t>北京智慧生活</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日由神码北京设立的法人独资有</w:t>
      </w:r>
      <w:r>
        <w:rPr>
          <w:spacing w:val="-80"/>
        </w:rPr>
        <w:t> </w:t>
      </w:r>
      <w:r>
        <w:rPr>
          <w:spacing w:val="-80"/>
        </w:rPr>
      </w:r>
      <w:r>
        <w:rPr/>
        <w:t>限责任公司。</w:t>
      </w:r>
    </w:p>
    <w:p>
      <w:pPr>
        <w:spacing w:line="240" w:lineRule="auto" w:before="0"/>
        <w:rPr>
          <w:rFonts w:ascii="宋体" w:hAnsi="宋体" w:cs="宋体" w:eastAsia="宋体" w:hint="default"/>
          <w:sz w:val="15"/>
          <w:szCs w:val="15"/>
        </w:rPr>
      </w:pPr>
    </w:p>
    <w:p>
      <w:pPr>
        <w:pStyle w:val="BodyText"/>
        <w:spacing w:line="225" w:lineRule="auto"/>
        <w:ind w:right="1130"/>
        <w:jc w:val="both"/>
      </w:pPr>
      <w:r>
        <w:rPr/>
        <w:t>注</w:t>
      </w:r>
      <w:r>
        <w:rPr>
          <w:rFonts w:ascii="Times New Roman" w:hAnsi="Times New Roman" w:cs="Times New Roman" w:eastAsia="Times New Roman" w:hint="default"/>
        </w:rPr>
        <w:t>27:</w:t>
      </w:r>
      <w:r>
        <w:rPr>
          <w:rFonts w:ascii="Times New Roman" w:hAnsi="Times New Roman" w:cs="Times New Roman" w:eastAsia="Times New Roman" w:hint="default"/>
          <w:spacing w:val="10"/>
        </w:rPr>
        <w:t> </w:t>
      </w:r>
      <w:r>
        <w:rPr/>
        <w:t>神州数码澳门有限公司（</w:t>
      </w:r>
      <w:r>
        <w:rPr>
          <w:rFonts w:ascii="Times New Roman" w:hAnsi="Times New Roman" w:cs="Times New Roman" w:eastAsia="Times New Roman" w:hint="default"/>
        </w:rPr>
        <w:t>Digital</w:t>
      </w:r>
      <w:r>
        <w:rPr>
          <w:rFonts w:ascii="Times New Roman" w:hAnsi="Times New Roman" w:cs="Times New Roman" w:eastAsia="Times New Roman" w:hint="default"/>
          <w:spacing w:val="-18"/>
        </w:rPr>
        <w:t> </w:t>
      </w:r>
      <w:r>
        <w:rPr>
          <w:rFonts w:ascii="Times New Roman" w:hAnsi="Times New Roman" w:cs="Times New Roman" w:eastAsia="Times New Roman" w:hint="default"/>
        </w:rPr>
        <w:t>China</w:t>
      </w:r>
      <w:r>
        <w:rPr>
          <w:rFonts w:ascii="Times New Roman" w:hAnsi="Times New Roman" w:cs="Times New Roman" w:eastAsia="Times New Roman" w:hint="default"/>
          <w:spacing w:val="-19"/>
        </w:rPr>
        <w:t> </w:t>
      </w:r>
      <w:r>
        <w:rPr>
          <w:rFonts w:ascii="Times New Roman" w:hAnsi="Times New Roman" w:cs="Times New Roman" w:eastAsia="Times New Roman" w:hint="default"/>
        </w:rPr>
        <w:t>Macau</w:t>
      </w:r>
      <w:r>
        <w:rPr>
          <w:rFonts w:ascii="Times New Roman" w:hAnsi="Times New Roman" w:cs="Times New Roman" w:eastAsia="Times New Roman" w:hint="default"/>
          <w:spacing w:val="-18"/>
        </w:rPr>
        <w:t> </w:t>
      </w:r>
      <w:r>
        <w:rPr>
          <w:rFonts w:ascii="Times New Roman" w:hAnsi="Times New Roman" w:cs="Times New Roman" w:eastAsia="Times New Roman" w:hint="default"/>
        </w:rPr>
        <w:t>Company</w:t>
      </w:r>
      <w:r>
        <w:rPr>
          <w:rFonts w:ascii="Times New Roman" w:hAnsi="Times New Roman" w:cs="Times New Roman" w:eastAsia="Times New Roman" w:hint="default"/>
          <w:spacing w:val="-18"/>
        </w:rPr>
        <w:t> </w:t>
      </w:r>
      <w:r>
        <w:rPr>
          <w:rFonts w:ascii="Times New Roman" w:hAnsi="Times New Roman" w:cs="Times New Roman" w:eastAsia="Times New Roman" w:hint="default"/>
        </w:rPr>
        <w:t>Limited</w:t>
      </w:r>
      <w:r>
        <w:rPr/>
        <w:t>，以下简称</w:t>
      </w:r>
      <w:r>
        <w:rPr>
          <w:rFonts w:ascii="Times New Roman" w:hAnsi="Times New Roman" w:cs="Times New Roman" w:eastAsia="Times New Roman" w:hint="default"/>
        </w:rPr>
        <w:t>“</w:t>
      </w:r>
      <w:r>
        <w:rPr/>
        <w:t>神州数码澳门</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29</w:t>
      </w:r>
      <w:r>
        <w:rPr/>
        <w:t>日由神码 </w:t>
      </w:r>
      <w:r>
        <w:rPr>
          <w:spacing w:val="-2"/>
        </w:rPr>
        <w:t>中国收购而纳入汇总范围。</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29</w:t>
      </w:r>
      <w:r>
        <w:rPr>
          <w:spacing w:val="-2"/>
        </w:rPr>
        <w:t>日，神码中国对神州数码澳门注资澳门币</w:t>
      </w:r>
      <w:r>
        <w:rPr>
          <w:rFonts w:ascii="Times New Roman" w:hAnsi="Times New Roman" w:cs="Times New Roman" w:eastAsia="Times New Roman" w:hint="default"/>
          <w:spacing w:val="-2"/>
        </w:rPr>
        <w:t>100</w:t>
      </w:r>
      <w:r>
        <w:rPr>
          <w:spacing w:val="-2"/>
        </w:rPr>
        <w:t>万元，注资后神州数码澳门的注册资本</w:t>
      </w:r>
      <w:r>
        <w:rPr>
          <w:spacing w:val="-56"/>
        </w:rPr>
        <w:t> </w:t>
      </w:r>
      <w:r>
        <w:rPr>
          <w:spacing w:val="-56"/>
        </w:rPr>
      </w:r>
      <w:r>
        <w:rPr/>
        <w:t>及实收资本由澳门币</w:t>
      </w:r>
      <w:r>
        <w:rPr>
          <w:rFonts w:ascii="Times New Roman" w:hAnsi="Times New Roman" w:cs="Times New Roman" w:eastAsia="Times New Roman" w:hint="default"/>
        </w:rPr>
        <w:t>2.5</w:t>
      </w:r>
      <w:r>
        <w:rPr/>
        <w:t>万元变更为澳门币</w:t>
      </w:r>
      <w:r>
        <w:rPr>
          <w:rFonts w:ascii="Times New Roman" w:hAnsi="Times New Roman" w:cs="Times New Roman" w:eastAsia="Times New Roman" w:hint="default"/>
        </w:rPr>
        <w:t>102.5</w:t>
      </w:r>
      <w:r>
        <w:rPr/>
        <w:t>万元。</w:t>
      </w:r>
    </w:p>
    <w:p>
      <w:pPr>
        <w:spacing w:line="240" w:lineRule="auto" w:before="10"/>
        <w:rPr>
          <w:rFonts w:ascii="宋体" w:hAnsi="宋体" w:cs="宋体" w:eastAsia="宋体" w:hint="default"/>
          <w:sz w:val="14"/>
          <w:szCs w:val="14"/>
        </w:rPr>
      </w:pPr>
    </w:p>
    <w:p>
      <w:pPr>
        <w:pStyle w:val="BodyText"/>
        <w:spacing w:line="242" w:lineRule="exact"/>
        <w:ind w:right="0"/>
        <w:jc w:val="both"/>
        <w:rPr>
          <w:rFonts w:ascii="Times New Roman" w:hAnsi="Times New Roman" w:cs="Times New Roman" w:eastAsia="Times New Roman" w:hint="default"/>
        </w:rPr>
      </w:pPr>
      <w:r>
        <w:rPr/>
        <w:t>注</w:t>
      </w:r>
      <w:r>
        <w:rPr>
          <w:rFonts w:ascii="Times New Roman" w:hAnsi="Times New Roman" w:cs="Times New Roman" w:eastAsia="Times New Roman" w:hint="default"/>
        </w:rPr>
        <w:t>28:  </w:t>
      </w:r>
      <w:r>
        <w:rPr/>
        <w:t>神州数码科技服务有限公司（</w:t>
      </w:r>
      <w:r>
        <w:rPr>
          <w:rFonts w:ascii="Times New Roman" w:hAnsi="Times New Roman" w:cs="Times New Roman" w:eastAsia="Times New Roman" w:hint="default"/>
        </w:rPr>
        <w:t>Digital China Technology Services</w:t>
      </w:r>
      <w:r>
        <w:rPr>
          <w:rFonts w:ascii="Times New Roman" w:hAnsi="Times New Roman" w:cs="Times New Roman" w:eastAsia="Times New Roman" w:hint="default"/>
          <w:spacing w:val="-30"/>
        </w:rPr>
        <w:t> </w:t>
      </w:r>
      <w:r>
        <w:rPr>
          <w:rFonts w:ascii="Times New Roman" w:hAnsi="Times New Roman" w:cs="Times New Roman" w:eastAsia="Times New Roman" w:hint="default"/>
        </w:rPr>
        <w:t>Limited</w:t>
      </w:r>
      <w:r>
        <w:rPr/>
        <w:t>，以下简称</w:t>
      </w:r>
      <w:r>
        <w:rPr>
          <w:rFonts w:ascii="Times New Roman" w:hAnsi="Times New Roman" w:cs="Times New Roman" w:eastAsia="Times New Roman" w:hint="default"/>
        </w:rPr>
        <w:t>“</w:t>
      </w:r>
      <w:r>
        <w:rPr/>
        <w:t>神州数码科技服务</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p>
    <w:p>
      <w:pPr>
        <w:pStyle w:val="BodyText"/>
        <w:spacing w:line="242" w:lineRule="exact"/>
        <w:ind w:right="0"/>
        <w:jc w:val="both"/>
      </w:pPr>
      <w:r>
        <w:rPr/>
        <w:t>月</w:t>
      </w:r>
      <w:r>
        <w:rPr>
          <w:rFonts w:ascii="Times New Roman" w:hAnsi="Times New Roman" w:cs="Times New Roman" w:eastAsia="Times New Roman" w:hint="default"/>
        </w:rPr>
        <w:t>13</w:t>
      </w:r>
      <w:r>
        <w:rPr/>
        <w:t>日由神码香港在香港设立的私人股份有限公司。</w:t>
      </w:r>
    </w:p>
    <w:p>
      <w:pPr>
        <w:spacing w:line="240" w:lineRule="auto" w:before="5"/>
        <w:rPr>
          <w:rFonts w:ascii="宋体" w:hAnsi="宋体" w:cs="宋体" w:eastAsia="宋体" w:hint="default"/>
          <w:sz w:val="16"/>
          <w:szCs w:val="16"/>
        </w:rPr>
      </w:pPr>
    </w:p>
    <w:p>
      <w:pPr>
        <w:pStyle w:val="BodyText"/>
        <w:spacing w:line="234" w:lineRule="exact"/>
        <w:ind w:right="1130"/>
        <w:jc w:val="both"/>
      </w:pPr>
      <w:r>
        <w:rPr/>
        <w:t>注</w:t>
      </w:r>
      <w:r>
        <w:rPr>
          <w:rFonts w:ascii="Times New Roman" w:hAnsi="Times New Roman" w:cs="Times New Roman" w:eastAsia="Times New Roman" w:hint="default"/>
        </w:rPr>
        <w:t>29</w:t>
      </w:r>
      <w:r>
        <w:rPr/>
        <w:t>：北京神州数码电商科技有限公司（以下简称</w:t>
      </w:r>
      <w:r>
        <w:rPr>
          <w:rFonts w:ascii="Times New Roman" w:hAnsi="Times New Roman" w:cs="Times New Roman" w:eastAsia="Times New Roman" w:hint="default"/>
        </w:rPr>
        <w:t>“</w:t>
      </w:r>
      <w:r>
        <w:rPr/>
        <w:t>神码电商</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14</w:t>
      </w:r>
      <w:r>
        <w:rPr/>
        <w:t>日由神码中国设立的法人独资有限责任公</w:t>
      </w:r>
      <w:r>
        <w:rPr>
          <w:spacing w:val="-66"/>
        </w:rPr>
        <w:t> </w:t>
      </w:r>
      <w:r>
        <w:rPr>
          <w:spacing w:val="-66"/>
        </w:rPr>
      </w:r>
      <w:r>
        <w:rPr/>
        <w:t>司。</w:t>
      </w:r>
    </w:p>
    <w:p>
      <w:pPr>
        <w:spacing w:line="240" w:lineRule="auto" w:before="0"/>
        <w:rPr>
          <w:rFonts w:ascii="宋体" w:hAnsi="宋体" w:cs="宋体" w:eastAsia="宋体" w:hint="default"/>
          <w:sz w:val="15"/>
          <w:szCs w:val="15"/>
        </w:rPr>
      </w:pPr>
    </w:p>
    <w:p>
      <w:pPr>
        <w:pStyle w:val="BodyText"/>
        <w:spacing w:line="225" w:lineRule="auto"/>
        <w:ind w:right="0"/>
        <w:jc w:val="left"/>
      </w:pPr>
      <w:r>
        <w:rPr/>
        <w:t>注</w:t>
      </w:r>
      <w:r>
        <w:rPr>
          <w:rFonts w:ascii="Times New Roman" w:hAnsi="Times New Roman" w:cs="Times New Roman" w:eastAsia="Times New Roman" w:hint="default"/>
        </w:rPr>
        <w:t>30</w:t>
      </w:r>
      <w:r>
        <w:rPr/>
        <w:t>：北京神州数码云计算有限公司（原</w:t>
      </w:r>
      <w:r>
        <w:rPr>
          <w:rFonts w:ascii="Times New Roman" w:hAnsi="Times New Roman" w:cs="Times New Roman" w:eastAsia="Times New Roman" w:hint="default"/>
        </w:rPr>
        <w:t>“</w:t>
      </w:r>
      <w:r>
        <w:rPr/>
        <w:t>北京神州云科信息服务有限公司</w:t>
      </w:r>
      <w:r>
        <w:rPr>
          <w:rFonts w:ascii="Times New Roman" w:hAnsi="Times New Roman" w:cs="Times New Roman" w:eastAsia="Times New Roman" w:hint="default"/>
        </w:rPr>
        <w:t>”</w:t>
      </w:r>
      <w:r>
        <w:rPr/>
        <w:t>现已更名，以下简称</w:t>
      </w:r>
      <w:r>
        <w:rPr>
          <w:rFonts w:ascii="Times New Roman" w:hAnsi="Times New Roman" w:cs="Times New Roman" w:eastAsia="Times New Roman" w:hint="default"/>
        </w:rPr>
        <w:t>“</w:t>
      </w:r>
      <w:r>
        <w:rPr/>
        <w:t>神码云计算</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2015</w:t>
      </w:r>
      <w:r>
        <w:rPr/>
        <w:t>年 </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15</w:t>
      </w:r>
      <w:r>
        <w:rPr/>
        <w:t>日由北京神州云科信息技术有限公司出资人民币</w:t>
      </w:r>
      <w:r>
        <w:rPr>
          <w:rFonts w:ascii="Times New Roman" w:hAnsi="Times New Roman" w:cs="Times New Roman" w:eastAsia="Times New Roman" w:hint="default"/>
        </w:rPr>
        <w:t>1,100</w:t>
      </w:r>
      <w:r>
        <w:rPr/>
        <w:t>万元设立的有限责任公司，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月，本公司与郭为先生分别</w:t>
      </w:r>
      <w:r>
        <w:rPr>
          <w:spacing w:val="-46"/>
        </w:rPr>
        <w:t> </w:t>
      </w:r>
      <w:r>
        <w:rPr>
          <w:spacing w:val="-46"/>
        </w:rPr>
      </w:r>
      <w:r>
        <w:rPr/>
        <w:t>与北京神州云科信息技术有限公司签订股权转让协议受让神码云计算</w:t>
      </w:r>
      <w:r>
        <w:rPr>
          <w:rFonts w:ascii="Times New Roman" w:hAnsi="Times New Roman" w:cs="Times New Roman" w:eastAsia="Times New Roman" w:hint="default"/>
        </w:rPr>
        <w:t>51%</w:t>
      </w:r>
      <w:r>
        <w:rPr/>
        <w:t>、</w:t>
      </w:r>
      <w:r>
        <w:rPr>
          <w:rFonts w:ascii="Times New Roman" w:hAnsi="Times New Roman" w:cs="Times New Roman" w:eastAsia="Times New Roman" w:hint="default"/>
        </w:rPr>
        <w:t>49%</w:t>
      </w:r>
      <w:r>
        <w:rPr/>
        <w:t>股权，</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日，完成工商变更登记。</w:t>
      </w:r>
      <w:r>
        <w:rPr>
          <w:spacing w:val="-29"/>
        </w:rPr>
        <w:t> </w:t>
      </w:r>
      <w:r>
        <w:rPr>
          <w:spacing w:val="-29"/>
        </w:rPr>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月，本公司以人民币</w:t>
      </w:r>
      <w:r>
        <w:rPr>
          <w:rFonts w:ascii="Times New Roman" w:hAnsi="Times New Roman" w:cs="Times New Roman" w:eastAsia="Times New Roman" w:hint="default"/>
        </w:rPr>
        <w:t>6,694,627.04</w:t>
      </w:r>
      <w:r>
        <w:rPr/>
        <w:t>元受让郭为先生持有的神码云计算</w:t>
      </w:r>
      <w:r>
        <w:rPr>
          <w:rFonts w:ascii="Times New Roman" w:hAnsi="Times New Roman" w:cs="Times New Roman" w:eastAsia="Times New Roman" w:hint="default"/>
        </w:rPr>
        <w:t>49%</w:t>
      </w:r>
      <w:r>
        <w:rPr/>
        <w:t>的股权，本次受让完成后，本公司持有神</w:t>
      </w:r>
      <w:r>
        <w:rPr>
          <w:spacing w:val="-21"/>
        </w:rPr>
        <w:t> </w:t>
      </w:r>
      <w:r>
        <w:rPr>
          <w:spacing w:val="-21"/>
        </w:rPr>
      </w:r>
      <w:r>
        <w:rPr/>
        <w:t>码云计算</w:t>
      </w:r>
      <w:r>
        <w:rPr>
          <w:rFonts w:ascii="Times New Roman" w:hAnsi="Times New Roman" w:cs="Times New Roman" w:eastAsia="Times New Roman" w:hint="default"/>
        </w:rPr>
        <w:t>100%</w:t>
      </w:r>
      <w:r>
        <w:rPr/>
        <w:t>股权。</w:t>
      </w:r>
    </w:p>
    <w:p>
      <w:pPr>
        <w:spacing w:line="240" w:lineRule="auto" w:before="10"/>
        <w:rPr>
          <w:rFonts w:ascii="宋体" w:hAnsi="宋体" w:cs="宋体" w:eastAsia="宋体" w:hint="default"/>
          <w:sz w:val="14"/>
          <w:szCs w:val="14"/>
        </w:rPr>
      </w:pPr>
    </w:p>
    <w:p>
      <w:pPr>
        <w:pStyle w:val="BodyText"/>
        <w:spacing w:line="241" w:lineRule="exact"/>
        <w:ind w:right="0"/>
        <w:jc w:val="both"/>
      </w:pPr>
      <w:r>
        <w:rPr/>
        <w:t>注</w:t>
      </w:r>
      <w:r>
        <w:rPr>
          <w:rFonts w:ascii="Times New Roman" w:hAnsi="Times New Roman" w:cs="Times New Roman" w:eastAsia="Times New Roman" w:hint="default"/>
        </w:rPr>
        <w:t>31</w:t>
      </w:r>
      <w:r>
        <w:rPr/>
        <w:t>：贵州神州数码云计算有限公司（原</w:t>
      </w:r>
      <w:r>
        <w:rPr>
          <w:rFonts w:ascii="Times New Roman" w:hAnsi="Times New Roman" w:cs="Times New Roman" w:eastAsia="Times New Roman" w:hint="default"/>
        </w:rPr>
        <w:t>“</w:t>
      </w:r>
      <w:r>
        <w:rPr/>
        <w:t>贵州神州云科信息服务有限公司</w:t>
      </w:r>
      <w:r>
        <w:rPr>
          <w:rFonts w:ascii="Times New Roman" w:hAnsi="Times New Roman" w:cs="Times New Roman" w:eastAsia="Times New Roman" w:hint="default"/>
        </w:rPr>
        <w:t>”</w:t>
      </w:r>
      <w:r>
        <w:rPr/>
        <w:t>现已更名，以下简称</w:t>
      </w:r>
      <w:r>
        <w:rPr>
          <w:rFonts w:ascii="Times New Roman" w:hAnsi="Times New Roman" w:cs="Times New Roman" w:eastAsia="Times New Roman" w:hint="default"/>
        </w:rPr>
        <w:t>“</w:t>
      </w:r>
      <w:r>
        <w:rPr/>
        <w:t>贵州云计算</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2015</w:t>
      </w:r>
      <w:r>
        <w:rPr/>
        <w:t>年</w:t>
      </w:r>
    </w:p>
    <w:p>
      <w:pPr>
        <w:pStyle w:val="BodyText"/>
        <w:spacing w:line="241" w:lineRule="exact"/>
        <w:ind w:right="0"/>
        <w:jc w:val="both"/>
      </w:pP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日由神码云计算出资人民币</w:t>
      </w:r>
      <w:r>
        <w:rPr>
          <w:rFonts w:ascii="Times New Roman" w:hAnsi="Times New Roman" w:cs="Times New Roman" w:eastAsia="Times New Roman" w:hint="default"/>
        </w:rPr>
        <w:t>5,000</w:t>
      </w:r>
      <w:r>
        <w:rPr/>
        <w:t>万元设立的有限责任公司。</w:t>
      </w:r>
    </w:p>
    <w:p>
      <w:pPr>
        <w:spacing w:line="240" w:lineRule="auto" w:before="5"/>
        <w:rPr>
          <w:rFonts w:ascii="宋体" w:hAnsi="宋体" w:cs="宋体" w:eastAsia="宋体" w:hint="default"/>
          <w:sz w:val="16"/>
          <w:szCs w:val="16"/>
        </w:rPr>
      </w:pPr>
    </w:p>
    <w:p>
      <w:pPr>
        <w:pStyle w:val="BodyText"/>
        <w:spacing w:line="234" w:lineRule="exact"/>
        <w:ind w:right="1131"/>
        <w:jc w:val="both"/>
      </w:pPr>
      <w:r>
        <w:rPr>
          <w:spacing w:val="-2"/>
        </w:rPr>
        <w:t>注</w:t>
      </w:r>
      <w:r>
        <w:rPr>
          <w:rFonts w:ascii="Times New Roman" w:hAnsi="Times New Roman" w:cs="Times New Roman" w:eastAsia="Times New Roman" w:hint="default"/>
          <w:spacing w:val="-2"/>
        </w:rPr>
        <w:t>32</w:t>
      </w:r>
      <w:r>
        <w:rPr>
          <w:spacing w:val="-2"/>
        </w:rPr>
        <w:t>：深圳神州数码云科系统科技有限公司，系于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22</w:t>
      </w:r>
      <w:r>
        <w:rPr>
          <w:spacing w:val="-2"/>
        </w:rPr>
        <w:t>日由北京网络公司与北京新风传奇科技中心（有限合伙）共</w:t>
      </w:r>
      <w:r>
        <w:rPr>
          <w:spacing w:val="-56"/>
        </w:rPr>
        <w:t> </w:t>
      </w:r>
      <w:r>
        <w:rPr>
          <w:spacing w:val="-56"/>
        </w:rPr>
      </w:r>
      <w:r>
        <w:rPr/>
        <w:t>同设立的有限责任公司，注册资本人民币</w:t>
      </w:r>
      <w:r>
        <w:rPr>
          <w:rFonts w:ascii="Times New Roman" w:hAnsi="Times New Roman" w:cs="Times New Roman" w:eastAsia="Times New Roman" w:hint="default"/>
        </w:rPr>
        <w:t>5000</w:t>
      </w:r>
      <w:r>
        <w:rPr/>
        <w:t>万元，北京网络公司持股比例为</w:t>
      </w:r>
      <w:r>
        <w:rPr>
          <w:rFonts w:ascii="Times New Roman" w:hAnsi="Times New Roman" w:cs="Times New Roman" w:eastAsia="Times New Roman" w:hint="default"/>
        </w:rPr>
        <w:t>75%</w:t>
      </w:r>
      <w:r>
        <w:rPr/>
        <w:t>。</w:t>
      </w:r>
    </w:p>
    <w:p>
      <w:pPr>
        <w:spacing w:line="240" w:lineRule="auto" w:before="12"/>
        <w:rPr>
          <w:rFonts w:ascii="宋体" w:hAnsi="宋体" w:cs="宋体" w:eastAsia="宋体" w:hint="default"/>
          <w:sz w:val="15"/>
          <w:szCs w:val="15"/>
        </w:rPr>
      </w:pPr>
    </w:p>
    <w:p>
      <w:pPr>
        <w:pStyle w:val="BodyText"/>
        <w:spacing w:line="232" w:lineRule="exact"/>
        <w:ind w:right="1131"/>
        <w:jc w:val="both"/>
      </w:pPr>
      <w:r>
        <w:rPr>
          <w:spacing w:val="-2"/>
        </w:rPr>
        <w:t>注</w:t>
      </w:r>
      <w:r>
        <w:rPr>
          <w:rFonts w:ascii="Times New Roman" w:hAnsi="Times New Roman" w:cs="Times New Roman" w:eastAsia="Times New Roman" w:hint="default"/>
          <w:spacing w:val="-2"/>
        </w:rPr>
        <w:t>33</w:t>
      </w:r>
      <w:r>
        <w:rPr>
          <w:spacing w:val="-2"/>
        </w:rPr>
        <w:t>：深圳神州数码云科数据技术有限公司，系于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23</w:t>
      </w:r>
      <w:r>
        <w:rPr>
          <w:spacing w:val="-2"/>
        </w:rPr>
        <w:t>日由北京网络公司与北京安昊科技中心（有限合伙）共同设</w:t>
      </w:r>
      <w:r>
        <w:rPr>
          <w:spacing w:val="-56"/>
        </w:rPr>
        <w:t> </w:t>
      </w:r>
      <w:r>
        <w:rPr>
          <w:spacing w:val="-56"/>
        </w:rPr>
      </w:r>
      <w:r>
        <w:rPr/>
        <w:t>立的有限责任公司，注册资本人民币</w:t>
      </w:r>
      <w:r>
        <w:rPr>
          <w:rFonts w:ascii="Times New Roman" w:hAnsi="Times New Roman" w:cs="Times New Roman" w:eastAsia="Times New Roman" w:hint="default"/>
        </w:rPr>
        <w:t>5000</w:t>
      </w:r>
      <w:r>
        <w:rPr/>
        <w:t>万元，北京网络公司持股比例为</w:t>
      </w:r>
      <w:r>
        <w:rPr>
          <w:rFonts w:ascii="Times New Roman" w:hAnsi="Times New Roman" w:cs="Times New Roman" w:eastAsia="Times New Roman" w:hint="default"/>
        </w:rPr>
        <w:t>75%</w:t>
      </w:r>
      <w:r>
        <w:rPr/>
        <w:t>。</w:t>
      </w:r>
    </w:p>
    <w:p>
      <w:pPr>
        <w:spacing w:line="240" w:lineRule="auto" w:before="11"/>
        <w:rPr>
          <w:rFonts w:ascii="宋体" w:hAnsi="宋体" w:cs="宋体" w:eastAsia="宋体" w:hint="default"/>
          <w:sz w:val="15"/>
          <w:szCs w:val="15"/>
        </w:rPr>
      </w:pPr>
    </w:p>
    <w:p>
      <w:pPr>
        <w:pStyle w:val="BodyText"/>
        <w:spacing w:line="234" w:lineRule="exact"/>
        <w:ind w:right="1131"/>
        <w:jc w:val="both"/>
      </w:pPr>
      <w:r>
        <w:rPr>
          <w:spacing w:val="-2"/>
        </w:rPr>
        <w:t>注</w:t>
      </w:r>
      <w:r>
        <w:rPr>
          <w:rFonts w:ascii="Times New Roman" w:hAnsi="Times New Roman" w:cs="Times New Roman" w:eastAsia="Times New Roman" w:hint="default"/>
          <w:spacing w:val="-2"/>
        </w:rPr>
        <w:t>34</w:t>
      </w:r>
      <w:r>
        <w:rPr>
          <w:spacing w:val="-2"/>
        </w:rPr>
        <w:t>：深圳神州数码云科信息安全有限公司，系于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27</w:t>
      </w:r>
      <w:r>
        <w:rPr>
          <w:spacing w:val="-2"/>
        </w:rPr>
        <w:t>日由北京网络公司与北京安域卓越科技中心（有限合伙）共</w:t>
      </w:r>
      <w:r>
        <w:rPr>
          <w:spacing w:val="-56"/>
        </w:rPr>
        <w:t> </w:t>
      </w:r>
      <w:r>
        <w:rPr>
          <w:spacing w:val="-56"/>
        </w:rPr>
      </w:r>
      <w:r>
        <w:rPr/>
        <w:t>同设立的有限责任公司，注册资本人民币</w:t>
      </w:r>
      <w:r>
        <w:rPr>
          <w:rFonts w:ascii="Times New Roman" w:hAnsi="Times New Roman" w:cs="Times New Roman" w:eastAsia="Times New Roman" w:hint="default"/>
        </w:rPr>
        <w:t>5000</w:t>
      </w:r>
      <w:r>
        <w:rPr/>
        <w:t>万元，北京网络公司持股比例为</w:t>
      </w:r>
      <w:r>
        <w:rPr>
          <w:rFonts w:ascii="Times New Roman" w:hAnsi="Times New Roman" w:cs="Times New Roman" w:eastAsia="Times New Roman" w:hint="default"/>
        </w:rPr>
        <w:t>75%</w:t>
      </w:r>
      <w:r>
        <w:rPr/>
        <w:t>。</w:t>
      </w:r>
    </w:p>
    <w:p>
      <w:pPr>
        <w:spacing w:line="240" w:lineRule="auto" w:before="12"/>
        <w:rPr>
          <w:rFonts w:ascii="宋体" w:hAnsi="宋体" w:cs="宋体" w:eastAsia="宋体" w:hint="default"/>
          <w:sz w:val="15"/>
          <w:szCs w:val="15"/>
        </w:rPr>
      </w:pPr>
    </w:p>
    <w:p>
      <w:pPr>
        <w:pStyle w:val="BodyText"/>
        <w:spacing w:line="232" w:lineRule="exact"/>
        <w:ind w:right="1132"/>
        <w:jc w:val="both"/>
      </w:pPr>
      <w:r>
        <w:rPr/>
        <w:t>注</w:t>
      </w:r>
      <w:r>
        <w:rPr>
          <w:rFonts w:ascii="Times New Roman" w:hAnsi="Times New Roman" w:cs="Times New Roman" w:eastAsia="Times New Roman" w:hint="default"/>
        </w:rPr>
        <w:t>35</w:t>
      </w:r>
      <w:r>
        <w:rPr/>
        <w:t>：</w:t>
      </w:r>
      <w:r>
        <w:rPr>
          <w:rFonts w:ascii="Times New Roman" w:hAnsi="Times New Roman" w:cs="Times New Roman" w:eastAsia="Times New Roman" w:hint="default"/>
        </w:rPr>
        <w:t>Digital China Technology International (Sin) PTE</w:t>
      </w:r>
      <w:r>
        <w:rPr>
          <w:rFonts w:ascii="Times New Roman" w:hAnsi="Times New Roman" w:cs="Times New Roman" w:eastAsia="Times New Roman" w:hint="default"/>
          <w:spacing w:val="40"/>
        </w:rPr>
        <w:t> </w:t>
      </w:r>
      <w:r>
        <w:rPr>
          <w:rFonts w:ascii="Times New Roman" w:hAnsi="Times New Roman" w:cs="Times New Roman" w:eastAsia="Times New Roman" w:hint="default"/>
        </w:rPr>
        <w:t>LTD</w:t>
      </w:r>
      <w:r>
        <w:rPr/>
        <w:t>，系于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24</w:t>
      </w:r>
      <w:r>
        <w:rPr/>
        <w:t>日由神码香港出资</w:t>
      </w:r>
      <w:r>
        <w:rPr>
          <w:rFonts w:ascii="Times New Roman" w:hAnsi="Times New Roman" w:cs="Times New Roman" w:eastAsia="Times New Roman" w:hint="default"/>
        </w:rPr>
        <w:t>10</w:t>
      </w:r>
      <w:r>
        <w:rPr/>
        <w:t>万美元设立的私人股份 有限公司。</w:t>
      </w:r>
    </w:p>
    <w:p>
      <w:pPr>
        <w:spacing w:line="240" w:lineRule="auto" w:before="11"/>
        <w:rPr>
          <w:rFonts w:ascii="宋体" w:hAnsi="宋体" w:cs="宋体" w:eastAsia="宋体" w:hint="default"/>
          <w:sz w:val="15"/>
          <w:szCs w:val="15"/>
        </w:rPr>
      </w:pPr>
    </w:p>
    <w:p>
      <w:pPr>
        <w:pStyle w:val="BodyText"/>
        <w:spacing w:line="234" w:lineRule="exact"/>
        <w:ind w:right="1132"/>
        <w:jc w:val="both"/>
      </w:pPr>
      <w:r>
        <w:rPr>
          <w:spacing w:val="-5"/>
        </w:rPr>
        <w:t>注</w:t>
      </w:r>
      <w:r>
        <w:rPr>
          <w:rFonts w:ascii="Times New Roman" w:hAnsi="Times New Roman" w:cs="Times New Roman" w:eastAsia="Times New Roman" w:hint="default"/>
          <w:spacing w:val="-5"/>
        </w:rPr>
        <w:t>36</w:t>
      </w:r>
      <w:r>
        <w:rPr>
          <w:spacing w:val="-5"/>
        </w:rPr>
        <w:t>：武汉神州数码云科网络技术有限公司，系于</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10</w:t>
      </w:r>
      <w:r>
        <w:rPr>
          <w:spacing w:val="-5"/>
        </w:rPr>
        <w:t>月</w:t>
      </w:r>
      <w:r>
        <w:rPr>
          <w:rFonts w:ascii="Times New Roman" w:hAnsi="Times New Roman" w:cs="Times New Roman" w:eastAsia="Times New Roman" w:hint="default"/>
          <w:spacing w:val="-5"/>
        </w:rPr>
        <w:t>26</w:t>
      </w:r>
      <w:r>
        <w:rPr>
          <w:spacing w:val="-5"/>
        </w:rPr>
        <w:t>日由北京网络公司设立的有限责任公司，注册资本人民币</w:t>
      </w:r>
      <w:r>
        <w:rPr>
          <w:rFonts w:ascii="Times New Roman" w:hAnsi="Times New Roman" w:cs="Times New Roman" w:eastAsia="Times New Roman" w:hint="default"/>
          <w:spacing w:val="-5"/>
        </w:rPr>
        <w:t>7500</w:t>
      </w:r>
      <w:r>
        <w:rPr>
          <w:rFonts w:ascii="Times New Roman" w:hAnsi="Times New Roman" w:cs="Times New Roman" w:eastAsia="Times New Roman" w:hint="default"/>
          <w:spacing w:val="1"/>
        </w:rPr>
        <w:t> </w:t>
      </w:r>
      <w:r>
        <w:rPr/>
        <w:t>万元。</w:t>
      </w:r>
    </w:p>
    <w:p>
      <w:pPr>
        <w:spacing w:line="240" w:lineRule="auto" w:before="0"/>
        <w:rPr>
          <w:rFonts w:ascii="宋体" w:hAnsi="宋体" w:cs="宋体" w:eastAsia="宋体" w:hint="default"/>
          <w:sz w:val="15"/>
          <w:szCs w:val="15"/>
        </w:rPr>
      </w:pPr>
    </w:p>
    <w:p>
      <w:pPr>
        <w:pStyle w:val="BodyText"/>
        <w:spacing w:line="225" w:lineRule="auto"/>
        <w:ind w:right="1130"/>
        <w:jc w:val="both"/>
      </w:pPr>
      <w:r>
        <w:rPr>
          <w:spacing w:val="-2"/>
        </w:rPr>
        <w:t>注</w:t>
      </w:r>
      <w:r>
        <w:rPr>
          <w:rFonts w:ascii="Times New Roman" w:hAnsi="Times New Roman" w:cs="Times New Roman" w:eastAsia="Times New Roman" w:hint="default"/>
          <w:spacing w:val="-2"/>
        </w:rPr>
        <w:t>37</w:t>
      </w:r>
      <w:r>
        <w:rPr>
          <w:spacing w:val="-2"/>
        </w:rPr>
        <w:t>：上海云角信息技术有限公司（以下简称</w:t>
      </w:r>
      <w:r>
        <w:rPr>
          <w:rFonts w:ascii="Times New Roman" w:hAnsi="Times New Roman" w:cs="Times New Roman" w:eastAsia="Times New Roman" w:hint="default"/>
          <w:spacing w:val="-2"/>
        </w:rPr>
        <w:t>“</w:t>
      </w:r>
      <w:r>
        <w:rPr>
          <w:spacing w:val="-2"/>
        </w:rPr>
        <w:t>上海云角</w:t>
      </w:r>
      <w:r>
        <w:rPr>
          <w:rFonts w:ascii="Times New Roman" w:hAnsi="Times New Roman" w:cs="Times New Roman" w:eastAsia="Times New Roman" w:hint="default"/>
          <w:spacing w:val="-2"/>
        </w:rPr>
        <w:t>”</w:t>
      </w:r>
      <w:r>
        <w:rPr>
          <w:spacing w:val="-2"/>
        </w:rPr>
        <w:t>），系于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31</w:t>
      </w:r>
      <w:r>
        <w:rPr>
          <w:spacing w:val="-2"/>
        </w:rPr>
        <w:t>日由郝峻晟</w:t>
      </w:r>
      <w:r>
        <w:rPr>
          <w:rFonts w:ascii="Times New Roman" w:hAnsi="Times New Roman" w:cs="Times New Roman" w:eastAsia="Times New Roman" w:hint="default"/>
          <w:spacing w:val="-2"/>
        </w:rPr>
        <w:t>19%</w:t>
      </w:r>
      <w:r>
        <w:rPr>
          <w:spacing w:val="-2"/>
        </w:rPr>
        <w:t>、刘冬梅</w:t>
      </w:r>
      <w:r>
        <w:rPr>
          <w:rFonts w:ascii="Times New Roman" w:hAnsi="Times New Roman" w:cs="Times New Roman" w:eastAsia="Times New Roman" w:hint="default"/>
          <w:spacing w:val="-2"/>
        </w:rPr>
        <w:t>19%</w:t>
      </w:r>
      <w:r>
        <w:rPr>
          <w:spacing w:val="-2"/>
        </w:rPr>
        <w:t>、朱琦</w:t>
      </w:r>
      <w:r>
        <w:rPr>
          <w:rFonts w:ascii="Times New Roman" w:hAnsi="Times New Roman" w:cs="Times New Roman" w:eastAsia="Times New Roman" w:hint="default"/>
          <w:spacing w:val="-2"/>
        </w:rPr>
        <w:t>27%</w:t>
      </w:r>
      <w:r>
        <w:rPr>
          <w:spacing w:val="-2"/>
        </w:rPr>
        <w:t>、冯</w:t>
      </w:r>
      <w:r>
        <w:rPr>
          <w:spacing w:val="-40"/>
        </w:rPr>
        <w:t> </w:t>
      </w:r>
      <w:r>
        <w:rPr/>
        <w:t>春萍</w:t>
      </w:r>
      <w:r>
        <w:rPr>
          <w:rFonts w:ascii="Times New Roman" w:hAnsi="Times New Roman" w:cs="Times New Roman" w:eastAsia="Times New Roman" w:hint="default"/>
        </w:rPr>
        <w:t>35%</w:t>
      </w:r>
      <w:r>
        <w:rPr/>
        <w:t>共同出资成立的有限责任公司，注册资本人民币</w:t>
      </w:r>
      <w:r>
        <w:rPr>
          <w:rFonts w:ascii="Times New Roman" w:hAnsi="Times New Roman" w:cs="Times New Roman" w:eastAsia="Times New Roman" w:hint="default"/>
        </w:rPr>
        <w:t>50</w:t>
      </w:r>
      <w:r>
        <w:rPr/>
        <w:t>万元；</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日，增资至</w:t>
      </w:r>
      <w:r>
        <w:rPr>
          <w:rFonts w:ascii="Times New Roman" w:hAnsi="Times New Roman" w:cs="Times New Roman" w:eastAsia="Times New Roman" w:hint="default"/>
        </w:rPr>
        <w:t>200</w:t>
      </w:r>
      <w:r>
        <w:rPr/>
        <w:t>万元；</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月增资至</w:t>
      </w:r>
      <w:r>
        <w:rPr>
          <w:rFonts w:ascii="Times New Roman" w:hAnsi="Times New Roman" w:cs="Times New Roman" w:eastAsia="Times New Roman" w:hint="default"/>
        </w:rPr>
        <w:t>330</w:t>
      </w:r>
      <w:r>
        <w:rPr>
          <w:rFonts w:ascii="Times New Roman" w:hAnsi="Times New Roman" w:cs="Times New Roman" w:eastAsia="Times New Roman" w:hint="default"/>
          <w:spacing w:val="-14"/>
        </w:rPr>
        <w:t> </w:t>
      </w:r>
      <w:r>
        <w:rPr/>
        <w:t>万元；</w:t>
      </w:r>
      <w:r>
        <w:rPr>
          <w:rFonts w:ascii="Times New Roman" w:hAnsi="Times New Roman" w:cs="Times New Roman" w:eastAsia="Times New Roman" w:hint="default"/>
        </w:rPr>
        <w:t>2015</w:t>
      </w:r>
      <w:r>
        <w:rPr/>
        <w:t>年股权转让并以资本公积转增注册资本至</w:t>
      </w:r>
      <w:r>
        <w:rPr>
          <w:rFonts w:ascii="Times New Roman" w:hAnsi="Times New Roman" w:cs="Times New Roman" w:eastAsia="Times New Roman" w:hint="default"/>
        </w:rPr>
        <w:t>1000</w:t>
      </w:r>
      <w:r>
        <w:rPr/>
        <w:t>万元。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月，本公司与郝峻晟、朱丽英、上海云角签订股权</w:t>
      </w:r>
      <w:r>
        <w:rPr>
          <w:spacing w:val="-83"/>
        </w:rPr>
        <w:t> </w:t>
      </w:r>
      <w:r>
        <w:rPr>
          <w:spacing w:val="-83"/>
        </w:rPr>
      </w:r>
      <w:r>
        <w:rPr>
          <w:spacing w:val="-1"/>
        </w:rPr>
        <w:t>转让协议，购买郝峻晟、朱丽英持有的上海云角</w:t>
      </w:r>
      <w:r>
        <w:rPr>
          <w:rFonts w:ascii="Times New Roman" w:hAnsi="Times New Roman" w:cs="Times New Roman" w:eastAsia="Times New Roman" w:hint="default"/>
          <w:spacing w:val="-1"/>
        </w:rPr>
        <w:t>30%</w:t>
      </w:r>
      <w:r>
        <w:rPr>
          <w:spacing w:val="-1"/>
        </w:rPr>
        <w:t>股权，</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10</w:t>
      </w:r>
      <w:r>
        <w:rPr>
          <w:spacing w:val="-1"/>
        </w:rPr>
        <w:t>月，本公司与郝峻晟、朱丽英、上海紫竹小苗股权基金</w:t>
      </w:r>
      <w:r>
        <w:rPr>
          <w:spacing w:val="-86"/>
        </w:rPr>
        <w:t> </w:t>
      </w:r>
      <w:r>
        <w:rPr>
          <w:spacing w:val="-86"/>
        </w:rPr>
      </w:r>
      <w:r>
        <w:rPr>
          <w:spacing w:val="-1"/>
        </w:rPr>
        <w:t>有限公司、上海云角签订股权转让协议，购买上海云角剩余</w:t>
      </w:r>
      <w:r>
        <w:rPr>
          <w:rFonts w:ascii="Times New Roman" w:hAnsi="Times New Roman" w:cs="Times New Roman" w:eastAsia="Times New Roman" w:hint="default"/>
          <w:spacing w:val="-1"/>
        </w:rPr>
        <w:t>70%</w:t>
      </w:r>
      <w:r>
        <w:rPr>
          <w:spacing w:val="-1"/>
        </w:rPr>
        <w:t>股权。</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31</w:t>
      </w:r>
      <w:r>
        <w:rPr>
          <w:spacing w:val="-1"/>
        </w:rPr>
        <w:t>日上海云角完成工商变更，本公司持股</w:t>
      </w:r>
    </w:p>
    <w:p>
      <w:pPr>
        <w:spacing w:after="0" w:line="225" w:lineRule="auto"/>
        <w:jc w:val="both"/>
        <w:sectPr>
          <w:pgSz w:w="11910" w:h="16840"/>
          <w:pgMar w:header="877" w:footer="979" w:top="1100" w:bottom="1160" w:left="980" w:right="0"/>
        </w:sectPr>
      </w:pPr>
    </w:p>
    <w:p>
      <w:pPr>
        <w:spacing w:line="240" w:lineRule="auto" w:before="10"/>
        <w:rPr>
          <w:rFonts w:ascii="宋体" w:hAnsi="宋体" w:cs="宋体" w:eastAsia="宋体" w:hint="default"/>
          <w:sz w:val="18"/>
          <w:szCs w:val="18"/>
        </w:rPr>
      </w:pPr>
    </w:p>
    <w:p>
      <w:pPr>
        <w:pStyle w:val="BodyText"/>
        <w:spacing w:line="234" w:lineRule="exact" w:before="67"/>
        <w:ind w:right="1130"/>
        <w:jc w:val="both"/>
      </w:pPr>
      <w:r>
        <w:rPr/>
        <w:t>比例为</w:t>
      </w:r>
      <w:r>
        <w:rPr>
          <w:rFonts w:ascii="Times New Roman" w:hAnsi="Times New Roman" w:cs="Times New Roman" w:eastAsia="Times New Roman" w:hint="default"/>
        </w:rPr>
        <w:t>100%</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日，经股东会决议，上海云角注册资本增至人民币</w:t>
      </w:r>
      <w:r>
        <w:rPr>
          <w:rFonts w:ascii="Times New Roman" w:hAnsi="Times New Roman" w:cs="Times New Roman" w:eastAsia="Times New Roman" w:hint="default"/>
        </w:rPr>
        <w:t>5000</w:t>
      </w:r>
      <w:r>
        <w:rPr/>
        <w:t>万元，其中资本公积转增注册资本</w:t>
      </w:r>
      <w:r>
        <w:rPr>
          <w:rFonts w:ascii="Times New Roman" w:hAnsi="Times New Roman" w:cs="Times New Roman" w:eastAsia="Times New Roman" w:hint="default"/>
        </w:rPr>
        <w:t>1330</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23"/>
        </w:rPr>
      </w:r>
      <w:r>
        <w:rPr/>
        <w:t>万元，未分配利润转增注册资本</w:t>
      </w:r>
      <w:r>
        <w:rPr>
          <w:rFonts w:ascii="Times New Roman" w:hAnsi="Times New Roman" w:cs="Times New Roman" w:eastAsia="Times New Roman" w:hint="default"/>
        </w:rPr>
        <w:t>2180</w:t>
      </w:r>
      <w:r>
        <w:rPr/>
        <w:t>万元，本公司认缴</w:t>
      </w:r>
      <w:r>
        <w:rPr>
          <w:rFonts w:ascii="Times New Roman" w:hAnsi="Times New Roman" w:cs="Times New Roman" w:eastAsia="Times New Roman" w:hint="default"/>
        </w:rPr>
        <w:t>490</w:t>
      </w:r>
      <w:r>
        <w:rPr/>
        <w:t>万元。</w:t>
      </w:r>
    </w:p>
    <w:p>
      <w:pPr>
        <w:spacing w:line="240" w:lineRule="auto" w:before="13"/>
        <w:rPr>
          <w:rFonts w:ascii="宋体" w:hAnsi="宋体" w:cs="宋体" w:eastAsia="宋体" w:hint="default"/>
          <w:sz w:val="14"/>
          <w:szCs w:val="14"/>
        </w:rPr>
      </w:pPr>
    </w:p>
    <w:p>
      <w:pPr>
        <w:pStyle w:val="BodyText"/>
        <w:spacing w:line="225" w:lineRule="auto"/>
        <w:ind w:right="1129"/>
        <w:jc w:val="both"/>
      </w:pPr>
      <w:r>
        <w:rPr/>
        <w:t>注</w:t>
      </w:r>
      <w:r>
        <w:rPr>
          <w:rFonts w:ascii="Times New Roman" w:hAnsi="Times New Roman" w:cs="Times New Roman" w:eastAsia="Times New Roman" w:hint="default"/>
        </w:rPr>
        <w:t>38</w:t>
      </w:r>
      <w:r>
        <w:rPr/>
        <w:t>：北京神州数码云角信息技术有限公司（原云角（北京）信息技术有限公司，以下简称</w:t>
      </w:r>
      <w:r>
        <w:rPr>
          <w:rFonts w:ascii="Times New Roman" w:hAnsi="Times New Roman" w:cs="Times New Roman" w:eastAsia="Times New Roman" w:hint="default"/>
        </w:rPr>
        <w:t>“</w:t>
      </w:r>
      <w:r>
        <w:rPr/>
        <w:t>北京云角</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16"/>
        </w:rPr>
        <w:t> </w:t>
      </w:r>
      <w:r>
        <w:rPr/>
        <w:t>月</w:t>
      </w:r>
      <w:r>
        <w:rPr>
          <w:rFonts w:ascii="Times New Roman" w:hAnsi="Times New Roman" w:cs="Times New Roman" w:eastAsia="Times New Roman" w:hint="default"/>
        </w:rPr>
        <w:t>18</w:t>
      </w:r>
      <w:r>
        <w:rPr/>
        <w:t>日由上海云角出资</w:t>
      </w:r>
      <w:r>
        <w:rPr>
          <w:rFonts w:ascii="Times New Roman" w:hAnsi="Times New Roman" w:cs="Times New Roman" w:eastAsia="Times New Roman" w:hint="default"/>
        </w:rPr>
        <w:t>50</w:t>
      </w:r>
      <w:r>
        <w:rPr/>
        <w:t>万元设立的有限责任公司，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日，上海云角对北京云角增资</w:t>
      </w:r>
      <w:r>
        <w:rPr>
          <w:rFonts w:ascii="Times New Roman" w:hAnsi="Times New Roman" w:cs="Times New Roman" w:eastAsia="Times New Roman" w:hint="default"/>
        </w:rPr>
        <w:t>50</w:t>
      </w:r>
      <w:r>
        <w:rPr/>
        <w:t>万元，增资后的注册资本</w:t>
      </w:r>
      <w:r>
        <w:rPr>
          <w:spacing w:val="-83"/>
        </w:rPr>
        <w:t> </w:t>
      </w:r>
      <w:r>
        <w:rPr>
          <w:spacing w:val="-83"/>
        </w:rPr>
      </w:r>
      <w:r>
        <w:rPr>
          <w:spacing w:val="-2"/>
        </w:rPr>
        <w:t>为人民币</w:t>
      </w:r>
      <w:r>
        <w:rPr>
          <w:rFonts w:ascii="Times New Roman" w:hAnsi="Times New Roman" w:cs="Times New Roman" w:eastAsia="Times New Roman" w:hint="default"/>
          <w:spacing w:val="-2"/>
        </w:rPr>
        <w:t>100</w:t>
      </w:r>
      <w:r>
        <w:rPr>
          <w:spacing w:val="-2"/>
        </w:rPr>
        <w:t>万元。</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26</w:t>
      </w:r>
      <w:r>
        <w:rPr>
          <w:spacing w:val="-2"/>
        </w:rPr>
        <w:t>日上海云角对北京云角增资</w:t>
      </w:r>
      <w:r>
        <w:rPr>
          <w:rFonts w:ascii="Times New Roman" w:hAnsi="Times New Roman" w:cs="Times New Roman" w:eastAsia="Times New Roman" w:hint="default"/>
          <w:spacing w:val="-2"/>
        </w:rPr>
        <w:t>100</w:t>
      </w:r>
      <w:r>
        <w:rPr>
          <w:spacing w:val="-2"/>
        </w:rPr>
        <w:t>万元，增资后的注册资本为人民币</w:t>
      </w:r>
      <w:r>
        <w:rPr>
          <w:rFonts w:ascii="Times New Roman" w:hAnsi="Times New Roman" w:cs="Times New Roman" w:eastAsia="Times New Roman" w:hint="default"/>
          <w:spacing w:val="-2"/>
        </w:rPr>
        <w:t>200</w:t>
      </w:r>
      <w:r>
        <w:rPr>
          <w:spacing w:val="-2"/>
        </w:rPr>
        <w:t>万元，并更名为北京神</w:t>
      </w:r>
      <w:r>
        <w:rPr>
          <w:spacing w:val="-50"/>
        </w:rPr>
        <w:t> </w:t>
      </w:r>
      <w:r>
        <w:rPr>
          <w:spacing w:val="-50"/>
        </w:rPr>
      </w:r>
      <w:r>
        <w:rPr/>
        <w:t>州数码云角信息技术有限公司。</w:t>
      </w:r>
    </w:p>
    <w:p>
      <w:pPr>
        <w:spacing w:line="240" w:lineRule="auto" w:before="10"/>
        <w:rPr>
          <w:rFonts w:ascii="宋体" w:hAnsi="宋体" w:cs="宋体" w:eastAsia="宋体" w:hint="default"/>
          <w:sz w:val="16"/>
          <w:szCs w:val="16"/>
        </w:rPr>
      </w:pPr>
    </w:p>
    <w:p>
      <w:pPr>
        <w:pStyle w:val="BodyText"/>
        <w:spacing w:line="225" w:lineRule="auto"/>
        <w:ind w:right="1131"/>
        <w:jc w:val="both"/>
      </w:pPr>
      <w:r>
        <w:rPr>
          <w:spacing w:val="-4"/>
        </w:rPr>
        <w:t>注</w:t>
      </w:r>
      <w:r>
        <w:rPr>
          <w:rFonts w:ascii="Times New Roman" w:hAnsi="Times New Roman" w:cs="Times New Roman" w:eastAsia="Times New Roman" w:hint="default"/>
          <w:spacing w:val="-4"/>
        </w:rPr>
        <w:t>39</w:t>
      </w:r>
      <w:r>
        <w:rPr>
          <w:spacing w:val="-4"/>
        </w:rPr>
        <w:t>：</w:t>
      </w:r>
      <w:r>
        <w:rPr>
          <w:rFonts w:ascii="Times New Roman" w:hAnsi="Times New Roman" w:cs="Times New Roman" w:eastAsia="Times New Roman" w:hint="default"/>
          <w:spacing w:val="-4"/>
        </w:rPr>
        <w:t>Shanghai</w:t>
      </w:r>
      <w:r>
        <w:rPr>
          <w:rFonts w:ascii="Times New Roman" w:hAnsi="Times New Roman" w:cs="Times New Roman" w:eastAsia="Times New Roman" w:hint="default"/>
          <w:spacing w:val="-15"/>
        </w:rPr>
        <w:t> </w:t>
      </w:r>
      <w:r>
        <w:rPr>
          <w:rFonts w:ascii="Times New Roman" w:hAnsi="Times New Roman" w:cs="Times New Roman" w:eastAsia="Times New Roman" w:hint="default"/>
        </w:rPr>
        <w:t>Yungoal</w:t>
      </w:r>
      <w:r>
        <w:rPr>
          <w:rFonts w:ascii="Times New Roman" w:hAnsi="Times New Roman" w:cs="Times New Roman" w:eastAsia="Times New Roman" w:hint="default"/>
          <w:spacing w:val="-13"/>
        </w:rPr>
        <w:t> </w:t>
      </w:r>
      <w:r>
        <w:rPr>
          <w:rFonts w:ascii="Times New Roman" w:hAnsi="Times New Roman" w:cs="Times New Roman" w:eastAsia="Times New Roman" w:hint="default"/>
        </w:rPr>
        <w:t>Info</w:t>
      </w:r>
      <w:r>
        <w:rPr>
          <w:rFonts w:ascii="Times New Roman" w:hAnsi="Times New Roman" w:cs="Times New Roman" w:eastAsia="Times New Roman" w:hint="default"/>
          <w:spacing w:val="-16"/>
        </w:rPr>
        <w:t> </w:t>
      </w:r>
      <w:r>
        <w:rPr>
          <w:rFonts w:ascii="Times New Roman" w:hAnsi="Times New Roman" w:cs="Times New Roman" w:eastAsia="Times New Roman" w:hint="default"/>
        </w:rPr>
        <w:t>Tech</w:t>
      </w:r>
      <w:r>
        <w:rPr>
          <w:rFonts w:ascii="Times New Roman" w:hAnsi="Times New Roman" w:cs="Times New Roman" w:eastAsia="Times New Roman" w:hint="default"/>
          <w:spacing w:val="-13"/>
        </w:rPr>
        <w:t> </w:t>
      </w:r>
      <w:r>
        <w:rPr>
          <w:rFonts w:ascii="Times New Roman" w:hAnsi="Times New Roman" w:cs="Times New Roman" w:eastAsia="Times New Roman" w:hint="default"/>
        </w:rPr>
        <w:t>(USA)</w:t>
      </w:r>
      <w:r>
        <w:rPr>
          <w:rFonts w:ascii="Times New Roman" w:hAnsi="Times New Roman" w:cs="Times New Roman" w:eastAsia="Times New Roman" w:hint="default"/>
          <w:spacing w:val="-14"/>
        </w:rPr>
        <w:t> </w:t>
      </w:r>
      <w:r>
        <w:rPr>
          <w:rFonts w:ascii="Times New Roman" w:hAnsi="Times New Roman" w:cs="Times New Roman" w:eastAsia="Times New Roman" w:hint="default"/>
        </w:rPr>
        <w:t>Co.,Ltd</w:t>
      </w:r>
      <w:r>
        <w:rPr>
          <w:rFonts w:ascii="Times New Roman" w:hAnsi="Times New Roman" w:cs="Times New Roman" w:eastAsia="Times New Roman" w:hint="default"/>
          <w:spacing w:val="18"/>
        </w:rPr>
        <w:t> </w:t>
      </w:r>
      <w:r>
        <w:rPr/>
        <w:t>系由上海云角于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12</w:t>
      </w:r>
      <w:r>
        <w:rPr/>
        <w:t>日出资设立的全资子公司，设立时注册资本</w:t>
      </w:r>
      <w:r>
        <w:rPr>
          <w:rFonts w:ascii="Times New Roman" w:hAnsi="Times New Roman" w:cs="Times New Roman" w:eastAsia="Times New Roman" w:hint="default"/>
        </w:rPr>
        <w:t>100 </w:t>
      </w:r>
      <w:r>
        <w:rPr>
          <w:spacing w:val="-3"/>
        </w:rPr>
        <w:t>美元。于</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8</w:t>
      </w:r>
      <w:r>
        <w:rPr>
          <w:spacing w:val="-3"/>
        </w:rPr>
        <w:t>日，上海云角股东会决议对其增资</w:t>
      </w:r>
      <w:r>
        <w:rPr>
          <w:rFonts w:ascii="Times New Roman" w:hAnsi="Times New Roman" w:cs="Times New Roman" w:eastAsia="Times New Roman" w:hint="default"/>
          <w:spacing w:val="-3"/>
        </w:rPr>
        <w:t>1,000,000.00</w:t>
      </w:r>
      <w:r>
        <w:rPr>
          <w:spacing w:val="-3"/>
        </w:rPr>
        <w:t>美元，增资后，</w:t>
      </w:r>
      <w:r>
        <w:rPr>
          <w:rFonts w:ascii="Times New Roman" w:hAnsi="Times New Roman" w:cs="Times New Roman" w:eastAsia="Times New Roman" w:hint="default"/>
          <w:spacing w:val="-3"/>
        </w:rPr>
        <w:t>Shanghai </w:t>
      </w:r>
      <w:r>
        <w:rPr>
          <w:rFonts w:ascii="Times New Roman" w:hAnsi="Times New Roman" w:cs="Times New Roman" w:eastAsia="Times New Roman" w:hint="default"/>
        </w:rPr>
        <w:t>Yungoal Info Tech (USA)</w:t>
      </w:r>
      <w:r>
        <w:rPr>
          <w:rFonts w:ascii="Times New Roman" w:hAnsi="Times New Roman" w:cs="Times New Roman" w:eastAsia="Times New Roman" w:hint="default"/>
          <w:spacing w:val="-29"/>
        </w:rPr>
        <w:t> </w:t>
      </w:r>
      <w:r>
        <w:rPr>
          <w:rFonts w:ascii="Times New Roman" w:hAnsi="Times New Roman" w:cs="Times New Roman" w:eastAsia="Times New Roman" w:hint="default"/>
        </w:rPr>
        <w:t>Co.,Ltd</w:t>
      </w:r>
      <w:r>
        <w:rPr>
          <w:rFonts w:ascii="Times New Roman" w:hAnsi="Times New Roman" w:cs="Times New Roman" w:eastAsia="Times New Roman" w:hint="default"/>
        </w:rPr>
        <w:t> </w:t>
      </w:r>
      <w:r>
        <w:rPr>
          <w:spacing w:val="3"/>
        </w:rPr>
        <w:t>的注册资本为</w:t>
      </w:r>
      <w:r>
        <w:rPr>
          <w:rFonts w:ascii="Times New Roman" w:hAnsi="Times New Roman" w:cs="Times New Roman" w:eastAsia="Times New Roman" w:hint="default"/>
          <w:spacing w:val="3"/>
        </w:rPr>
        <w:t>1,000,100.00</w:t>
      </w:r>
      <w:r>
        <w:rPr>
          <w:spacing w:val="3"/>
        </w:rPr>
        <w:t>美元。</w:t>
      </w:r>
      <w:r>
        <w:rPr>
          <w:rFonts w:ascii="Times New Roman" w:hAnsi="Times New Roman" w:cs="Times New Roman" w:eastAsia="Times New Roman" w:hint="default"/>
          <w:spacing w:val="3"/>
        </w:rPr>
        <w:t>2017</w:t>
      </w:r>
      <w:r>
        <w:rPr>
          <w:spacing w:val="3"/>
        </w:rPr>
        <w:t>年上海云角对</w:t>
      </w:r>
      <w:r>
        <w:rPr>
          <w:rFonts w:ascii="Times New Roman" w:hAnsi="Times New Roman" w:cs="Times New Roman" w:eastAsia="Times New Roman" w:hint="default"/>
          <w:spacing w:val="3"/>
        </w:rPr>
        <w:t>Shanghai</w:t>
      </w:r>
      <w:r>
        <w:rPr>
          <w:rFonts w:ascii="Times New Roman" w:hAnsi="Times New Roman" w:cs="Times New Roman" w:eastAsia="Times New Roman" w:hint="default"/>
          <w:spacing w:val="44"/>
        </w:rPr>
        <w:t> </w:t>
      </w:r>
      <w:r>
        <w:rPr>
          <w:rFonts w:ascii="Times New Roman" w:hAnsi="Times New Roman" w:cs="Times New Roman" w:eastAsia="Times New Roman" w:hint="default"/>
        </w:rPr>
        <w:t>Yungoal</w:t>
      </w:r>
      <w:r>
        <w:rPr>
          <w:rFonts w:ascii="Times New Roman" w:hAnsi="Times New Roman" w:cs="Times New Roman" w:eastAsia="Times New Roman" w:hint="default"/>
          <w:spacing w:val="43"/>
        </w:rPr>
        <w:t> </w:t>
      </w:r>
      <w:r>
        <w:rPr>
          <w:rFonts w:ascii="Times New Roman" w:hAnsi="Times New Roman" w:cs="Times New Roman" w:eastAsia="Times New Roman" w:hint="default"/>
        </w:rPr>
        <w:t>Info</w:t>
      </w:r>
      <w:r>
        <w:rPr>
          <w:rFonts w:ascii="Times New Roman" w:hAnsi="Times New Roman" w:cs="Times New Roman" w:eastAsia="Times New Roman" w:hint="default"/>
          <w:spacing w:val="44"/>
        </w:rPr>
        <w:t> </w:t>
      </w:r>
      <w:r>
        <w:rPr>
          <w:rFonts w:ascii="Times New Roman" w:hAnsi="Times New Roman" w:cs="Times New Roman" w:eastAsia="Times New Roman" w:hint="default"/>
        </w:rPr>
        <w:t>Tech</w:t>
      </w:r>
      <w:r>
        <w:rPr>
          <w:rFonts w:ascii="Times New Roman" w:hAnsi="Times New Roman" w:cs="Times New Roman" w:eastAsia="Times New Roman" w:hint="default"/>
          <w:spacing w:val="43"/>
        </w:rPr>
        <w:t> </w:t>
      </w:r>
      <w:r>
        <w:rPr>
          <w:rFonts w:ascii="Times New Roman" w:hAnsi="Times New Roman" w:cs="Times New Roman" w:eastAsia="Times New Roman" w:hint="default"/>
        </w:rPr>
        <w:t>(USA)</w:t>
      </w:r>
      <w:r>
        <w:rPr>
          <w:rFonts w:ascii="Times New Roman" w:hAnsi="Times New Roman" w:cs="Times New Roman" w:eastAsia="Times New Roman" w:hint="default"/>
          <w:spacing w:val="43"/>
        </w:rPr>
        <w:t> </w:t>
      </w:r>
      <w:r>
        <w:rPr>
          <w:rFonts w:ascii="Times New Roman" w:hAnsi="Times New Roman" w:cs="Times New Roman" w:eastAsia="Times New Roman" w:hint="default"/>
          <w:spacing w:val="5"/>
        </w:rPr>
        <w:t>Co.,Ltd</w:t>
      </w:r>
      <w:r>
        <w:rPr>
          <w:spacing w:val="5"/>
        </w:rPr>
        <w:t>增加投资款，实缴总额为</w:t>
      </w:r>
      <w:r>
        <w:rPr>
          <w:spacing w:val="-88"/>
        </w:rPr>
        <w:t> </w:t>
      </w:r>
      <w:r>
        <w:rPr>
          <w:spacing w:val="-88"/>
        </w:rPr>
      </w:r>
      <w:r>
        <w:rPr>
          <w:rFonts w:ascii="Times New Roman" w:hAnsi="Times New Roman" w:cs="Times New Roman" w:eastAsia="Times New Roman" w:hint="default"/>
        </w:rPr>
        <w:t>679,905.42</w:t>
      </w:r>
      <w:r>
        <w:rPr/>
        <w:t>美元，增资后，</w:t>
      </w:r>
      <w:r>
        <w:rPr>
          <w:rFonts w:ascii="Times New Roman" w:hAnsi="Times New Roman" w:cs="Times New Roman" w:eastAsia="Times New Roman" w:hint="default"/>
        </w:rPr>
        <w:t>Shanghai Yungoal Info Tech (USA)</w:t>
      </w:r>
      <w:r>
        <w:rPr>
          <w:rFonts w:ascii="Times New Roman" w:hAnsi="Times New Roman" w:cs="Times New Roman" w:eastAsia="Times New Roman" w:hint="default"/>
          <w:spacing w:val="-10"/>
        </w:rPr>
        <w:t> </w:t>
      </w:r>
      <w:r>
        <w:rPr>
          <w:rFonts w:ascii="Times New Roman" w:hAnsi="Times New Roman" w:cs="Times New Roman" w:eastAsia="Times New Roman" w:hint="default"/>
        </w:rPr>
        <w:t>Co.,Ltd</w:t>
      </w:r>
      <w:r>
        <w:rPr/>
        <w:t>实收资本为</w:t>
      </w:r>
      <w:r>
        <w:rPr>
          <w:rFonts w:ascii="Times New Roman" w:hAnsi="Times New Roman" w:cs="Times New Roman" w:eastAsia="Times New Roman" w:hint="default"/>
        </w:rPr>
        <w:t>980,005.42</w:t>
      </w:r>
      <w:r>
        <w:rPr/>
        <w:t>美元。</w:t>
      </w:r>
    </w:p>
    <w:p>
      <w:pPr>
        <w:spacing w:line="240" w:lineRule="auto" w:before="9"/>
        <w:rPr>
          <w:rFonts w:ascii="宋体" w:hAnsi="宋体" w:cs="宋体" w:eastAsia="宋体" w:hint="default"/>
          <w:sz w:val="16"/>
          <w:szCs w:val="16"/>
        </w:rPr>
      </w:pPr>
    </w:p>
    <w:p>
      <w:pPr>
        <w:pStyle w:val="BodyText"/>
        <w:spacing w:line="232" w:lineRule="exact"/>
        <w:ind w:right="1132"/>
        <w:jc w:val="both"/>
      </w:pPr>
      <w:r>
        <w:rPr/>
        <w:t>注</w:t>
      </w:r>
      <w:r>
        <w:rPr>
          <w:rFonts w:ascii="Times New Roman" w:hAnsi="Times New Roman" w:cs="Times New Roman" w:eastAsia="Times New Roman" w:hint="default"/>
        </w:rPr>
        <w:t>40</w:t>
      </w:r>
      <w:r>
        <w:rPr/>
        <w:t>：</w:t>
      </w:r>
      <w:r>
        <w:rPr>
          <w:rFonts w:ascii="Times New Roman" w:hAnsi="Times New Roman" w:cs="Times New Roman" w:eastAsia="Times New Roman" w:hint="default"/>
        </w:rPr>
        <w:t>Shanghai Yungoal Info Tech</w:t>
      </w:r>
      <w:r>
        <w:rPr>
          <w:rFonts w:ascii="Times New Roman" w:hAnsi="Times New Roman" w:cs="Times New Roman" w:eastAsia="Times New Roman" w:hint="default"/>
          <w:spacing w:val="3"/>
        </w:rPr>
        <w:t> </w:t>
      </w:r>
      <w:r>
        <w:rPr>
          <w:rFonts w:ascii="Times New Roman" w:hAnsi="Times New Roman" w:cs="Times New Roman" w:eastAsia="Times New Roman" w:hint="default"/>
        </w:rPr>
        <w:t>(HK)Co.,Ltd,</w:t>
      </w:r>
      <w:r>
        <w:rPr/>
        <w:t>系由上海云角于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4</w:t>
      </w:r>
      <w:r>
        <w:rPr/>
        <w:t>日出资设立的全资子公司，注册资本及实收资本</w:t>
      </w:r>
      <w:r>
        <w:rPr>
          <w:w w:val="99"/>
        </w:rPr>
        <w:t> </w:t>
      </w:r>
      <w:r>
        <w:rPr/>
        <w:t>为</w:t>
      </w:r>
      <w:r>
        <w:rPr>
          <w:rFonts w:ascii="Times New Roman" w:hAnsi="Times New Roman" w:cs="Times New Roman" w:eastAsia="Times New Roman" w:hint="default"/>
        </w:rPr>
        <w:t>9,363.97</w:t>
      </w:r>
      <w:r>
        <w:rPr/>
        <w:t>港币。</w:t>
      </w:r>
    </w:p>
    <w:p>
      <w:pPr>
        <w:pStyle w:val="BodyText"/>
        <w:spacing w:line="440" w:lineRule="exact" w:before="42"/>
        <w:ind w:right="1130"/>
        <w:jc w:val="both"/>
        <w:rPr>
          <w:rFonts w:ascii="Times New Roman" w:hAnsi="Times New Roman" w:cs="Times New Roman" w:eastAsia="Times New Roman" w:hint="default"/>
        </w:rPr>
      </w:pPr>
      <w:r>
        <w:rPr/>
        <w:t>注</w:t>
      </w:r>
      <w:r>
        <w:rPr>
          <w:rFonts w:ascii="Times New Roman" w:hAnsi="Times New Roman" w:cs="Times New Roman" w:eastAsia="Times New Roman" w:hint="default"/>
        </w:rPr>
        <w:t>41</w:t>
      </w:r>
      <w:r>
        <w:rPr/>
        <w:t>：深圳神州数码电商服务有限公司系由神码中国于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5</w:t>
      </w:r>
      <w:r>
        <w:rPr/>
        <w:t>日设立的全资子公司，注册资本人民币</w:t>
      </w:r>
      <w:r>
        <w:rPr>
          <w:rFonts w:ascii="Times New Roman" w:hAnsi="Times New Roman" w:cs="Times New Roman" w:eastAsia="Times New Roman" w:hint="default"/>
        </w:rPr>
        <w:t>500</w:t>
      </w:r>
      <w:r>
        <w:rPr/>
        <w:t>万元。 注</w:t>
      </w:r>
      <w:r>
        <w:rPr>
          <w:rFonts w:ascii="Times New Roman" w:hAnsi="Times New Roman" w:cs="Times New Roman" w:eastAsia="Times New Roman" w:hint="default"/>
        </w:rPr>
        <w:t>42</w:t>
      </w:r>
      <w:r>
        <w:rPr/>
        <w:t>：</w:t>
      </w:r>
      <w:r>
        <w:rPr>
          <w:rFonts w:ascii="Times New Roman" w:hAnsi="Times New Roman" w:cs="Times New Roman" w:eastAsia="Times New Roman" w:hint="default"/>
        </w:rPr>
        <w:t>Digital China Technology (Malaysia) Sdn.Bhd.</w:t>
      </w:r>
      <w:r>
        <w:rPr/>
        <w:t>系由</w:t>
      </w:r>
      <w:r>
        <w:rPr>
          <w:rFonts w:ascii="Times New Roman" w:hAnsi="Times New Roman" w:cs="Times New Roman" w:eastAsia="Times New Roman" w:hint="default"/>
        </w:rPr>
        <w:t>Digital China Technology International (Sin) PTE </w:t>
      </w:r>
      <w:r>
        <w:rPr>
          <w:rFonts w:ascii="Times New Roman" w:hAnsi="Times New Roman" w:cs="Times New Roman" w:eastAsia="Times New Roman" w:hint="default"/>
          <w:spacing w:val="34"/>
        </w:rPr>
        <w:t> </w:t>
      </w:r>
      <w:r>
        <w:rPr>
          <w:rFonts w:ascii="Times New Roman" w:hAnsi="Times New Roman" w:cs="Times New Roman" w:eastAsia="Times New Roman" w:hint="default"/>
        </w:rPr>
        <w:t>LTD.</w:t>
      </w: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24</w:t>
      </w:r>
    </w:p>
    <w:p>
      <w:pPr>
        <w:pStyle w:val="BodyText"/>
        <w:spacing w:line="185" w:lineRule="exact"/>
        <w:ind w:right="0"/>
        <w:jc w:val="both"/>
      </w:pPr>
      <w:r>
        <w:rPr/>
        <w:t>日设立的全资子公司，实收资本为</w:t>
      </w:r>
      <w:r>
        <w:rPr>
          <w:rFonts w:ascii="Times New Roman" w:hAnsi="Times New Roman" w:cs="Times New Roman" w:eastAsia="Times New Roman" w:hint="default"/>
        </w:rPr>
        <w:t>100.00</w:t>
      </w:r>
      <w:r>
        <w:rPr/>
        <w:t>万林吉特。</w:t>
      </w:r>
    </w:p>
    <w:p>
      <w:pPr>
        <w:spacing w:line="240" w:lineRule="auto" w:before="8"/>
        <w:rPr>
          <w:rFonts w:ascii="宋体" w:hAnsi="宋体" w:cs="宋体" w:eastAsia="宋体" w:hint="default"/>
          <w:sz w:val="15"/>
          <w:szCs w:val="15"/>
        </w:rPr>
      </w:pPr>
    </w:p>
    <w:p>
      <w:pPr>
        <w:pStyle w:val="BodyText"/>
        <w:spacing w:line="225" w:lineRule="auto"/>
        <w:ind w:right="1128"/>
        <w:jc w:val="both"/>
      </w:pPr>
      <w:r>
        <w:rPr>
          <w:spacing w:val="-1"/>
        </w:rPr>
        <w:t>注</w:t>
      </w:r>
      <w:r>
        <w:rPr>
          <w:rFonts w:ascii="Times New Roman" w:hAnsi="Times New Roman" w:cs="Times New Roman" w:eastAsia="Times New Roman" w:hint="default"/>
          <w:spacing w:val="-1"/>
        </w:rPr>
        <w:t>43</w:t>
      </w:r>
      <w:r>
        <w:rPr>
          <w:spacing w:val="-1"/>
        </w:rPr>
        <w:t>：智慧神州</w:t>
      </w:r>
      <w:r>
        <w:rPr>
          <w:rFonts w:ascii="Times New Roman" w:hAnsi="Times New Roman" w:cs="Times New Roman" w:eastAsia="Times New Roman" w:hint="default"/>
          <w:spacing w:val="-1"/>
        </w:rPr>
        <w:t>(</w:t>
      </w:r>
      <w:r>
        <w:rPr>
          <w:spacing w:val="-1"/>
        </w:rPr>
        <w:t>北京</w:t>
      </w:r>
      <w:r>
        <w:rPr>
          <w:rFonts w:ascii="Times New Roman" w:hAnsi="Times New Roman" w:cs="Times New Roman" w:eastAsia="Times New Roman" w:hint="default"/>
          <w:spacing w:val="-1"/>
        </w:rPr>
        <w:t>)</w:t>
      </w:r>
      <w:r>
        <w:rPr>
          <w:spacing w:val="-1"/>
        </w:rPr>
        <w:t>投资管理有限公司系由深圳神州普惠信息有限公司，神州数码金融服务（深圳）有限公司于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08</w:t>
      </w:r>
      <w:r>
        <w:rPr>
          <w:rFonts w:ascii="Times New Roman" w:hAnsi="Times New Roman" w:cs="Times New Roman" w:eastAsia="Times New Roman" w:hint="default"/>
          <w:spacing w:val="-8"/>
        </w:rPr>
        <w:t> </w:t>
      </w:r>
      <w:r>
        <w:rPr/>
        <w:t>月</w:t>
      </w:r>
      <w:r>
        <w:rPr>
          <w:rFonts w:ascii="Times New Roman" w:hAnsi="Times New Roman" w:cs="Times New Roman" w:eastAsia="Times New Roman" w:hint="default"/>
        </w:rPr>
        <w:t>29</w:t>
      </w:r>
      <w:r>
        <w:rPr/>
        <w:t>日成立的有限责任公司，注册资本为人民币</w:t>
      </w:r>
      <w:r>
        <w:rPr>
          <w:rFonts w:ascii="Times New Roman" w:hAnsi="Times New Roman" w:cs="Times New Roman" w:eastAsia="Times New Roman" w:hint="default"/>
        </w:rPr>
        <w:t>1000</w:t>
      </w:r>
      <w:r>
        <w:rPr/>
        <w:t>万元。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月神州数码（中国）有限公司以人民币</w:t>
      </w:r>
      <w:r>
        <w:rPr>
          <w:rFonts w:ascii="Times New Roman" w:hAnsi="Times New Roman" w:cs="Times New Roman" w:eastAsia="Times New Roman" w:hint="default"/>
        </w:rPr>
        <w:t>1,644,277.96</w:t>
      </w:r>
      <w:r>
        <w:rPr/>
        <w:t>元</w:t>
      </w:r>
      <w:r>
        <w:rPr>
          <w:spacing w:val="-46"/>
        </w:rPr>
        <w:t> </w:t>
      </w:r>
      <w:r>
        <w:rPr/>
        <w:t>取得智慧神州</w:t>
      </w:r>
      <w:r>
        <w:rPr>
          <w:rFonts w:ascii="Times New Roman" w:hAnsi="Times New Roman" w:cs="Times New Roman" w:eastAsia="Times New Roman" w:hint="default"/>
        </w:rPr>
        <w:t>(</w:t>
      </w:r>
      <w:r>
        <w:rPr/>
        <w:t>北京</w:t>
      </w:r>
      <w:r>
        <w:rPr>
          <w:rFonts w:ascii="Times New Roman" w:hAnsi="Times New Roman" w:cs="Times New Roman" w:eastAsia="Times New Roman" w:hint="default"/>
        </w:rPr>
        <w:t>)</w:t>
      </w:r>
      <w:r>
        <w:rPr/>
        <w:t>投资管理有限公司</w:t>
      </w:r>
      <w:r>
        <w:rPr>
          <w:rFonts w:ascii="Times New Roman" w:hAnsi="Times New Roman" w:cs="Times New Roman" w:eastAsia="Times New Roman" w:hint="default"/>
        </w:rPr>
        <w:t>100%</w:t>
      </w:r>
      <w:r>
        <w:rPr/>
        <w:t>的股权。上述款项已于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日支付完毕。</w:t>
      </w:r>
    </w:p>
    <w:p>
      <w:pPr>
        <w:spacing w:line="240" w:lineRule="auto" w:before="6"/>
        <w:rPr>
          <w:rFonts w:ascii="宋体" w:hAnsi="宋体" w:cs="宋体" w:eastAsia="宋体" w:hint="default"/>
          <w:sz w:val="21"/>
          <w:szCs w:val="21"/>
        </w:rPr>
      </w:pPr>
    </w:p>
    <w:p>
      <w:pPr>
        <w:pStyle w:val="Heading3"/>
        <w:spacing w:line="240" w:lineRule="auto"/>
        <w:ind w:right="0"/>
        <w:jc w:val="both"/>
        <w:rPr>
          <w:b w:val="0"/>
          <w:bCs w:val="0"/>
        </w:rPr>
      </w:pPr>
      <w:bookmarkStart w:name="2、在合营安排或联营企业中的权益" w:id="347"/>
      <w:bookmarkEnd w:id="347"/>
      <w:r>
        <w:rPr>
          <w:b w:val="0"/>
          <w:bCs w:val="0"/>
        </w:rPr>
      </w:r>
      <w:r>
        <w:rPr>
          <w:rFonts w:ascii="Times New Roman" w:hAnsi="Times New Roman" w:cs="Times New Roman" w:eastAsia="Times New Roman" w:hint="default"/>
        </w:rPr>
        <w:t>2</w:t>
      </w:r>
      <w:r>
        <w:rPr/>
        <w:t>、在合营安排或联营企业中的权益</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both"/>
        <w:rPr>
          <w:b w:val="0"/>
          <w:bCs w:val="0"/>
        </w:rPr>
      </w:pPr>
      <w:bookmarkStart w:name="（1）重要的合营企业或联营企业" w:id="348"/>
      <w:bookmarkEnd w:id="348"/>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5"/>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0"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6"/>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33" w:space="0" w:color="FFFFFF"/>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12"/>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43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33"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33"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557"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77"/>
              <w:jc w:val="left"/>
              <w:rPr>
                <w:rFonts w:ascii="宋体" w:hAnsi="宋体" w:cs="宋体" w:eastAsia="宋体" w:hint="default"/>
                <w:sz w:val="18"/>
                <w:szCs w:val="18"/>
              </w:rPr>
            </w:pPr>
            <w:r>
              <w:rPr>
                <w:rFonts w:ascii="宋体" w:hAnsi="宋体" w:cs="宋体" w:eastAsia="宋体" w:hint="default"/>
                <w:sz w:val="18"/>
                <w:szCs w:val="18"/>
              </w:rPr>
              <w:t>北京迪信通商贸 股份有限公司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72"/>
              <w:jc w:val="left"/>
              <w:rPr>
                <w:rFonts w:ascii="宋体" w:hAnsi="宋体" w:cs="宋体" w:eastAsia="宋体" w:hint="default"/>
                <w:sz w:val="18"/>
                <w:szCs w:val="18"/>
              </w:rPr>
            </w:pPr>
            <w:r>
              <w:rPr>
                <w:rFonts w:ascii="宋体" w:hAnsi="宋体" w:cs="宋体" w:eastAsia="宋体" w:hint="default"/>
                <w:sz w:val="18"/>
                <w:szCs w:val="18"/>
              </w:rPr>
              <w:t>批发、零售通讯 设备</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23.75%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78" w:lineRule="auto" w:before="10"/>
        <w:ind w:right="5892"/>
        <w:jc w:val="left"/>
      </w:pPr>
      <w:r>
        <w:rPr/>
        <w:t>在合营企业或联营企业的持股比例不同于表决权比例的说明： 无</w:t>
      </w:r>
    </w:p>
    <w:p>
      <w:pPr>
        <w:pStyle w:val="BodyText"/>
        <w:spacing w:line="261" w:lineRule="auto" w:before="10"/>
        <w:ind w:right="3344"/>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 无</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重要联营企业的主要财务信息" w:id="349"/>
      <w:bookmarkEnd w:id="349"/>
      <w:r>
        <w:rPr>
          <w:b w:val="0"/>
          <w:bCs w:val="0"/>
        </w:rPr>
      </w: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2"/>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0"/>
      </w:tblGrid>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7,645,981,194.04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7,980,173,957.80</w:t>
            </w:r>
          </w:p>
        </w:tc>
      </w:tr>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391,907,137.71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358,543,531.25</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8,037,888,331.75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8,338,717,489.05</w:t>
            </w:r>
          </w:p>
        </w:tc>
      </w:tr>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4,231,712,026.80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4,245,758,493.92</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203"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596,542,087.50</w:t>
            </w:r>
          </w:p>
        </w:tc>
      </w:tr>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4,231,712,026.80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4,842,300,581.42</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84,975,636.34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79,890,408.72</w:t>
            </w:r>
          </w:p>
        </w:tc>
      </w:tr>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3,721,200,668.61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3,416,526,498.91</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883,878,189.00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811,510,456.83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-640,384.20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-16,583,355.54</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883,237,804.80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794,927,101.29</w:t>
            </w:r>
          </w:p>
        </w:tc>
      </w:tr>
      <w:tr>
        <w:trPr>
          <w:trHeight w:val="557"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95"/>
              <w:jc w:val="left"/>
              <w:rPr>
                <w:rFonts w:ascii="宋体" w:hAnsi="宋体" w:cs="宋体" w:eastAsia="宋体" w:hint="default"/>
                <w:sz w:val="18"/>
                <w:szCs w:val="18"/>
              </w:rPr>
            </w:pPr>
            <w:r>
              <w:rPr>
                <w:rFonts w:ascii="宋体" w:hAnsi="宋体" w:cs="宋体" w:eastAsia="宋体" w:hint="default"/>
                <w:sz w:val="18"/>
                <w:szCs w:val="18"/>
              </w:rPr>
              <w:t>存在公开报价的联营企业权益投资的公 允价值</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346,956,726.25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387,113,652.85</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15,078,397,037.89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8,299,648,504.85</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309,497,065.72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155,624,002.56</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1,306,605.23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1,304,538.70</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310,803,670.95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156,928,541.26</w:t>
            </w:r>
          </w:p>
        </w:tc>
      </w:tr>
    </w:tbl>
    <w:p>
      <w:pPr>
        <w:pStyle w:val="BodyText"/>
        <w:spacing w:line="278" w:lineRule="auto" w:before="10"/>
        <w:ind w:right="10032"/>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3）不重要的合营企业和联营企业的汇总财务信息" w:id="350"/>
      <w:bookmarkEnd w:id="350"/>
      <w:r>
        <w:rPr>
          <w:b w:val="0"/>
          <w:bCs w:val="0"/>
        </w:rPr>
      </w:r>
      <w:r>
        <w:rPr/>
        <w:t>（</w:t>
      </w:r>
      <w:r>
        <w:rPr>
          <w:rFonts w:ascii="Times New Roman" w:hAnsi="Times New Roman" w:cs="Times New Roman" w:eastAsia="Times New Roman" w:hint="default"/>
        </w:rPr>
        <w:t>3</w:t>
      </w:r>
      <w:r>
        <w:rPr/>
        <w:t>）不重要的合营企业和联营企业的汇总财务信息</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32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0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317"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w:t>
            </w:r>
          </w:p>
        </w:tc>
      </w:tr>
      <w:tr>
        <w:trPr>
          <w:trHeight w:val="337"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5" w:space="0" w:color="D2D2D2"/>
              <w:left w:val="single" w:sz="13" w:space="0" w:color="D2D2D2"/>
              <w:bottom w:val="single" w:sz="10" w:space="0" w:color="D2D2D2"/>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25,093,126.75</w:t>
            </w:r>
          </w:p>
        </w:tc>
        <w:tc>
          <w:tcPr>
            <w:tcW w:w="3186" w:type="dxa"/>
            <w:tcBorders>
              <w:top w:val="single" w:sz="5" w:space="0" w:color="D2D2D2"/>
              <w:left w:val="single" w:sz="4" w:space="0" w:color="000000"/>
              <w:bottom w:val="single" w:sz="10" w:space="0" w:color="D2D2D2"/>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9,035,322.94</w:t>
            </w:r>
          </w:p>
        </w:tc>
      </w:tr>
      <w:tr>
        <w:trPr>
          <w:trHeight w:val="31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right="0"/>
              <w:jc w:val="center"/>
              <w:rPr>
                <w:rFonts w:ascii="Times New Roman" w:hAnsi="Times New Roman" w:cs="Times New Roman" w:eastAsia="Times New Roman" w:hint="default"/>
                <w:sz w:val="18"/>
                <w:szCs w:val="18"/>
              </w:rPr>
            </w:pPr>
            <w:r>
              <w:rPr>
                <w:rFonts w:ascii="Times New Roman"/>
                <w:sz w:val="18"/>
              </w:rPr>
              <w:t>--</w:t>
            </w:r>
          </w:p>
        </w:tc>
      </w:tr>
      <w:tr>
        <w:trPr>
          <w:trHeight w:val="329"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5" w:space="0" w:color="D2D2D2"/>
              <w:left w:val="single" w:sz="13" w:space="0" w:color="D2D2D2"/>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w w:val="95"/>
                <w:sz w:val="18"/>
              </w:rPr>
              <w:t>-363,614.65</w:t>
            </w:r>
            <w:r>
              <w:rPr>
                <w:rFonts w:ascii="Times New Roman"/>
                <w:sz w:val="18"/>
              </w:rPr>
            </w:r>
          </w:p>
        </w:tc>
        <w:tc>
          <w:tcPr>
            <w:tcW w:w="3186" w:type="dxa"/>
            <w:tcBorders>
              <w:top w:val="single" w:sz="5" w:space="0" w:color="D2D2D2"/>
              <w:left w:val="single" w:sz="4" w:space="0" w:color="000000"/>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-5,878,184.28</w:t>
            </w:r>
          </w:p>
        </w:tc>
      </w:tr>
      <w:tr>
        <w:trPr>
          <w:trHeight w:val="33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5" w:space="0" w:color="D2D2D2"/>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w w:val="95"/>
                <w:sz w:val="18"/>
              </w:rPr>
              <w:t>-363,614.65</w:t>
            </w:r>
            <w:r>
              <w:rPr>
                <w:rFonts w:ascii="Times New Roman"/>
                <w:sz w:val="18"/>
              </w:rPr>
            </w:r>
          </w:p>
        </w:tc>
        <w:tc>
          <w:tcPr>
            <w:tcW w:w="3186"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-5,878,184.28</w:t>
            </w:r>
          </w:p>
        </w:tc>
      </w:tr>
      <w:tr>
        <w:trPr>
          <w:trHeight w:val="31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w:t>
            </w:r>
          </w:p>
        </w:tc>
      </w:tr>
      <w:tr>
        <w:trPr>
          <w:trHeight w:val="337"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9" w:space="0" w:color="D2D2D2"/>
              <w:left w:val="single" w:sz="13" w:space="0" w:color="D2D2D2"/>
              <w:bottom w:val="single" w:sz="5" w:space="0" w:color="D2D2D2"/>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146,193,873.77</w:t>
            </w:r>
          </w:p>
        </w:tc>
        <w:tc>
          <w:tcPr>
            <w:tcW w:w="3186" w:type="dxa"/>
            <w:tcBorders>
              <w:top w:val="single" w:sz="9" w:space="0" w:color="D2D2D2"/>
              <w:left w:val="single" w:sz="4" w:space="0" w:color="000000"/>
              <w:bottom w:val="single" w:sz="5" w:space="0" w:color="D2D2D2"/>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38,822,301.67</w:t>
            </w:r>
          </w:p>
        </w:tc>
      </w:tr>
      <w:tr>
        <w:trPr>
          <w:trHeight w:val="31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w:t>
            </w:r>
          </w:p>
        </w:tc>
      </w:tr>
      <w:tr>
        <w:trPr>
          <w:trHeight w:val="33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5" w:space="0" w:color="D2D2D2"/>
              <w:left w:val="single" w:sz="13" w:space="0" w:color="D2D2D2"/>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5,772,614.50</w:t>
            </w:r>
          </w:p>
        </w:tc>
        <w:tc>
          <w:tcPr>
            <w:tcW w:w="3186" w:type="dxa"/>
            <w:tcBorders>
              <w:top w:val="single" w:sz="5" w:space="0" w:color="D2D2D2"/>
              <w:left w:val="single" w:sz="4" w:space="0" w:color="000000"/>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2,250,780.40</w:t>
            </w:r>
          </w:p>
        </w:tc>
      </w:tr>
      <w:tr>
        <w:trPr>
          <w:trHeight w:val="32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5,772,614.50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2,250,780.40</w:t>
            </w:r>
          </w:p>
        </w:tc>
      </w:tr>
    </w:tbl>
    <w:p>
      <w:pPr>
        <w:pStyle w:val="BodyText"/>
        <w:spacing w:line="278" w:lineRule="auto" w:before="10"/>
        <w:ind w:right="10032"/>
        <w:jc w:val="left"/>
      </w:pPr>
      <w:r>
        <w:rPr/>
        <w:t>其他说明 无</w:t>
      </w:r>
    </w:p>
    <w:p>
      <w:pPr>
        <w:spacing w:line="240" w:lineRule="auto" w:before="12"/>
        <w:rPr>
          <w:rFonts w:ascii="宋体" w:hAnsi="宋体" w:cs="宋体" w:eastAsia="宋体" w:hint="default"/>
          <w:sz w:val="19"/>
          <w:szCs w:val="19"/>
        </w:rPr>
      </w:pPr>
    </w:p>
    <w:p>
      <w:pPr>
        <w:pStyle w:val="Heading2"/>
        <w:spacing w:line="240" w:lineRule="auto"/>
        <w:ind w:right="0"/>
        <w:jc w:val="left"/>
        <w:rPr>
          <w:b w:val="0"/>
          <w:bCs w:val="0"/>
        </w:rPr>
      </w:pPr>
      <w:bookmarkStart w:name="十、与金融工具相关的风险" w:id="351"/>
      <w:bookmarkEnd w:id="351"/>
      <w:r>
        <w:rPr>
          <w:b w:val="0"/>
          <w:bCs w:val="0"/>
        </w:rPr>
      </w:r>
      <w:r>
        <w:rPr/>
        <w:t>十、与金融工具相关的风险</w:t>
      </w:r>
      <w:r>
        <w:rPr>
          <w:b w:val="0"/>
          <w:bCs w:val="0"/>
        </w:rPr>
      </w:r>
    </w:p>
    <w:p>
      <w:pPr>
        <w:spacing w:line="240" w:lineRule="auto" w:before="8"/>
        <w:rPr>
          <w:rFonts w:ascii="宋体" w:hAnsi="宋体" w:cs="宋体" w:eastAsia="宋体" w:hint="default"/>
          <w:b/>
          <w:bCs/>
          <w:sz w:val="23"/>
          <w:szCs w:val="23"/>
        </w:rPr>
      </w:pPr>
    </w:p>
    <w:p>
      <w:pPr>
        <w:pStyle w:val="BodyText"/>
        <w:spacing w:line="237" w:lineRule="auto"/>
        <w:ind w:right="1131" w:firstLine="360"/>
        <w:jc w:val="both"/>
      </w:pPr>
      <w:r>
        <w:rPr>
          <w:spacing w:val="-2"/>
        </w:rPr>
        <w:t>本集团的主要金融工具包括借款、应收款项、应付款项、以公允价值计量且其变动计入当期损益的金融资产、以公允价</w:t>
      </w:r>
      <w:r>
        <w:rPr/>
        <w:t> </w:t>
      </w:r>
      <w:r>
        <w:rPr>
          <w:spacing w:val="-2"/>
        </w:rPr>
        <w:t>值计量且其变动计入当期损益的金融负债等，各项金融工具的详细情况说明见本附注六。本集团亦开展衍生交易，主要是远</w:t>
      </w:r>
      <w:r>
        <w:rPr>
          <w:spacing w:val="-66"/>
        </w:rPr>
        <w:t> </w:t>
      </w:r>
      <w:r>
        <w:rPr>
          <w:spacing w:val="-66"/>
        </w:rPr>
      </w:r>
      <w:r>
        <w:rPr>
          <w:spacing w:val="-2"/>
        </w:rPr>
        <w:t>期外汇合同，目的在于管理本集团的运营及其融资渠道的汇率风险。于整个报告期，本集团采取了不进行衍生工具投机交易</w:t>
      </w:r>
      <w:r>
        <w:rPr>
          <w:spacing w:val="-66"/>
        </w:rPr>
        <w:t> </w:t>
      </w:r>
      <w:r>
        <w:rPr>
          <w:spacing w:val="-66"/>
        </w:rPr>
      </w:r>
      <w:r>
        <w:rPr>
          <w:spacing w:val="-2"/>
        </w:rPr>
        <w:t>的政策。本集团的金融工具导致的主要风险是信用风险、流动性风险及市场风险，本集团为降低这些风险所采取的风险管理</w:t>
      </w:r>
      <w:r>
        <w:rPr>
          <w:spacing w:val="-66"/>
        </w:rPr>
        <w:t> </w:t>
      </w:r>
      <w:r>
        <w:rPr>
          <w:spacing w:val="-66"/>
        </w:rPr>
      </w:r>
      <w:r>
        <w:rPr/>
        <w:t>政策如下所述。本集团管理层对这些风险敞口进行管理和监控以确保将上述风险控制在限定的范围之内。</w:t>
      </w:r>
    </w:p>
    <w:p>
      <w:pPr>
        <w:pStyle w:val="BodyText"/>
        <w:spacing w:line="232" w:lineRule="exact" w:before="23"/>
        <w:ind w:left="514" w:right="0" w:hanging="36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各类风险管理目标和政策 </w:t>
      </w:r>
      <w:r>
        <w:rPr>
          <w:spacing w:val="-2"/>
        </w:rPr>
        <w:t>本集团从事风险管理的目标是在风险和收益之间取得适当的平衡，将风险对本集团经营业绩的负面影响降低到最低水平，</w:t>
      </w:r>
    </w:p>
    <w:p>
      <w:pPr>
        <w:pStyle w:val="BodyText"/>
        <w:spacing w:line="232" w:lineRule="exact" w:before="2"/>
        <w:ind w:right="0"/>
        <w:jc w:val="left"/>
      </w:pPr>
      <w:r>
        <w:rPr>
          <w:spacing w:val="-2"/>
        </w:rPr>
        <w:t>使股东及其他权益投资者的利益最大化。基于该风险管理目标，本集团风险管理的基本策略是确定和分析本集团所面临的各</w:t>
      </w:r>
      <w:r>
        <w:rPr>
          <w:spacing w:val="-64"/>
        </w:rPr>
        <w:t> </w:t>
      </w:r>
      <w:r>
        <w:rPr>
          <w:spacing w:val="-64"/>
        </w:rPr>
      </w:r>
      <w:r>
        <w:rPr/>
        <w:t>种风险，建立适当的风险承受底线并进行风险管理，并及时可靠地对各种风险进行监督，将风险控制在限定的范围之内。</w:t>
      </w:r>
    </w:p>
    <w:p>
      <w:pPr>
        <w:pStyle w:val="BodyText"/>
        <w:spacing w:line="218" w:lineRule="exact"/>
        <w:ind w:right="0"/>
        <w:jc w:val="left"/>
      </w:pPr>
      <w:r>
        <w:rPr/>
        <w:t>（</w:t>
      </w:r>
      <w:r>
        <w:rPr>
          <w:rFonts w:ascii="Times New Roman" w:hAnsi="Times New Roman" w:cs="Times New Roman" w:eastAsia="Times New Roman" w:hint="default"/>
        </w:rPr>
        <w:t>1</w:t>
      </w:r>
      <w:r>
        <w:rPr/>
        <w:t>）市场风险</w:t>
      </w:r>
    </w:p>
    <w:p>
      <w:pPr>
        <w:pStyle w:val="BodyText"/>
        <w:spacing w:line="233" w:lineRule="exact"/>
        <w:ind w:right="0"/>
        <w:jc w:val="left"/>
      </w:pPr>
      <w:r>
        <w:rPr>
          <w:rFonts w:ascii="Times New Roman" w:hAnsi="Times New Roman" w:cs="Times New Roman" w:eastAsia="Times New Roman" w:hint="default"/>
        </w:rPr>
        <w:t>1</w:t>
      </w:r>
      <w:r>
        <w:rPr/>
        <w:t>）汇率风险</w:t>
      </w:r>
    </w:p>
    <w:p>
      <w:pPr>
        <w:pStyle w:val="BodyText"/>
        <w:spacing w:line="232" w:lineRule="auto"/>
        <w:ind w:right="1131" w:firstLine="360"/>
        <w:jc w:val="both"/>
      </w:pPr>
      <w:r>
        <w:rPr>
          <w:spacing w:val="-2"/>
        </w:rPr>
        <w:t>本集团承受汇率风险主要与美元、港币、欧元、澳门元、新加坡元和林吉特有关，除个别下属子公司以美元、港币、欧</w:t>
      </w:r>
      <w:r>
        <w:rPr/>
        <w:t> </w:t>
      </w:r>
      <w:r>
        <w:rPr>
          <w:spacing w:val="-2"/>
        </w:rPr>
        <w:t>元、澳门元、新加坡元和林吉特进行采购和销售外，本集团的其它主要业务活动以人民币计价结算。于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日，除</w:t>
      </w:r>
      <w:r>
        <w:rPr>
          <w:spacing w:val="-58"/>
        </w:rPr>
        <w:t> </w:t>
      </w:r>
      <w:r>
        <w:rPr>
          <w:spacing w:val="-58"/>
        </w:rPr>
      </w:r>
      <w:r>
        <w:rPr>
          <w:spacing w:val="-2"/>
        </w:rPr>
        <w:t>下表所述资产及负债的外币余额外，本集团的资产及负债均为人民币余额。该等外币余额的资产和负债产生的汇率风险可能</w:t>
      </w:r>
      <w:r>
        <w:rPr>
          <w:spacing w:val="-64"/>
        </w:rPr>
        <w:t> </w:t>
      </w:r>
      <w:r>
        <w:rPr>
          <w:spacing w:val="-64"/>
        </w:rPr>
      </w:r>
      <w:r>
        <w:rPr/>
        <w:t>对本集团的经营业绩产生影响。</w:t>
      </w:r>
    </w:p>
    <w:p>
      <w:pPr>
        <w:spacing w:line="240" w:lineRule="auto" w:before="4"/>
        <w:rPr>
          <w:rFonts w:ascii="宋体" w:hAnsi="宋体" w:cs="宋体" w:eastAsia="宋体" w:hint="default"/>
          <w:sz w:val="2"/>
          <w:szCs w:val="2"/>
        </w:rPr>
      </w:pPr>
    </w:p>
    <w:tbl>
      <w:tblPr>
        <w:tblW w:w="0" w:type="auto"/>
        <w:jc w:val="left"/>
        <w:tblInd w:w="137" w:type="dxa"/>
        <w:tblLayout w:type="fixed"/>
        <w:tblCellMar>
          <w:top w:w="0" w:type="dxa"/>
          <w:left w:w="0" w:type="dxa"/>
          <w:bottom w:w="0" w:type="dxa"/>
          <w:right w:w="0" w:type="dxa"/>
        </w:tblCellMar>
        <w:tblLook w:val="01E0"/>
      </w:tblPr>
      <w:tblGrid>
        <w:gridCol w:w="1294"/>
        <w:gridCol w:w="1926"/>
        <w:gridCol w:w="2453"/>
        <w:gridCol w:w="1840"/>
        <w:gridCol w:w="2146"/>
      </w:tblGrid>
      <w:tr>
        <w:trPr>
          <w:trHeight w:val="347" w:hRule="exact"/>
        </w:trPr>
        <w:tc>
          <w:tcPr>
            <w:tcW w:w="1294" w:type="dxa"/>
            <w:vMerge w:val="restart"/>
            <w:tcBorders>
              <w:top w:val="single" w:sz="6" w:space="0" w:color="000000"/>
              <w:left w:val="single" w:sz="6" w:space="0" w:color="000000"/>
              <w:right w:val="single" w:sz="6" w:space="0" w:color="000000"/>
            </w:tcBorders>
            <w:shd w:val="clear" w:color="auto" w:fill="D0CECE"/>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379" w:type="dxa"/>
            <w:gridSpan w:val="2"/>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3986" w:type="dxa"/>
            <w:gridSpan w:val="2"/>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7" w:hRule="exact"/>
        </w:trPr>
        <w:tc>
          <w:tcPr>
            <w:tcW w:w="1294" w:type="dxa"/>
            <w:vMerge/>
            <w:tcBorders>
              <w:left w:val="single" w:sz="6" w:space="0" w:color="000000"/>
              <w:bottom w:val="single" w:sz="6" w:space="0" w:color="000000"/>
              <w:right w:val="single" w:sz="6" w:space="0" w:color="000000"/>
            </w:tcBorders>
            <w:shd w:val="clear" w:color="auto" w:fill="D0CECE"/>
          </w:tcPr>
          <w:p>
            <w:pPr/>
          </w:p>
        </w:tc>
        <w:tc>
          <w:tcPr>
            <w:tcW w:w="1926"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19"/>
              <w:ind w:left="505" w:right="0"/>
              <w:jc w:val="left"/>
              <w:rPr>
                <w:rFonts w:ascii="宋体" w:hAnsi="宋体" w:cs="宋体" w:eastAsia="宋体" w:hint="default"/>
                <w:sz w:val="18"/>
                <w:szCs w:val="18"/>
              </w:rPr>
            </w:pPr>
            <w:r>
              <w:rPr>
                <w:rFonts w:ascii="宋体" w:hAnsi="宋体" w:cs="宋体" w:eastAsia="宋体" w:hint="default"/>
                <w:sz w:val="18"/>
                <w:szCs w:val="18"/>
              </w:rPr>
              <w:t>资产类项目</w:t>
            </w:r>
          </w:p>
        </w:tc>
        <w:tc>
          <w:tcPr>
            <w:tcW w:w="2453"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19"/>
              <w:ind w:left="768" w:right="0"/>
              <w:jc w:val="left"/>
              <w:rPr>
                <w:rFonts w:ascii="宋体" w:hAnsi="宋体" w:cs="宋体" w:eastAsia="宋体" w:hint="default"/>
                <w:sz w:val="18"/>
                <w:szCs w:val="18"/>
              </w:rPr>
            </w:pPr>
            <w:r>
              <w:rPr>
                <w:rFonts w:ascii="宋体" w:hAnsi="宋体" w:cs="宋体" w:eastAsia="宋体" w:hint="default"/>
                <w:sz w:val="18"/>
                <w:szCs w:val="18"/>
              </w:rPr>
              <w:t>负债类项目</w:t>
            </w:r>
          </w:p>
        </w:tc>
        <w:tc>
          <w:tcPr>
            <w:tcW w:w="1840"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19"/>
              <w:ind w:left="461" w:right="0"/>
              <w:jc w:val="left"/>
              <w:rPr>
                <w:rFonts w:ascii="宋体" w:hAnsi="宋体" w:cs="宋体" w:eastAsia="宋体" w:hint="default"/>
                <w:sz w:val="18"/>
                <w:szCs w:val="18"/>
              </w:rPr>
            </w:pPr>
            <w:r>
              <w:rPr>
                <w:rFonts w:ascii="宋体" w:hAnsi="宋体" w:cs="宋体" w:eastAsia="宋体" w:hint="default"/>
                <w:sz w:val="18"/>
                <w:szCs w:val="18"/>
              </w:rPr>
              <w:t>资产类项目</w:t>
            </w:r>
          </w:p>
        </w:tc>
        <w:tc>
          <w:tcPr>
            <w:tcW w:w="2146"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19"/>
              <w:ind w:left="615" w:right="0"/>
              <w:jc w:val="left"/>
              <w:rPr>
                <w:rFonts w:ascii="宋体" w:hAnsi="宋体" w:cs="宋体" w:eastAsia="宋体" w:hint="default"/>
                <w:sz w:val="18"/>
                <w:szCs w:val="18"/>
              </w:rPr>
            </w:pPr>
            <w:r>
              <w:rPr>
                <w:rFonts w:ascii="宋体" w:hAnsi="宋体" w:cs="宋体" w:eastAsia="宋体" w:hint="default"/>
                <w:sz w:val="18"/>
                <w:szCs w:val="18"/>
              </w:rPr>
              <w:t>负债类项目</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37" w:type="dxa"/>
        <w:tblLayout w:type="fixed"/>
        <w:tblCellMar>
          <w:top w:w="0" w:type="dxa"/>
          <w:left w:w="0" w:type="dxa"/>
          <w:bottom w:w="0" w:type="dxa"/>
          <w:right w:w="0" w:type="dxa"/>
        </w:tblCellMar>
        <w:tblLook w:val="01E0"/>
      </w:tblPr>
      <w:tblGrid>
        <w:gridCol w:w="1294"/>
        <w:gridCol w:w="1926"/>
        <w:gridCol w:w="2453"/>
        <w:gridCol w:w="1840"/>
        <w:gridCol w:w="2146"/>
      </w:tblGrid>
      <w:tr>
        <w:trPr>
          <w:trHeight w:val="347" w:hRule="exact"/>
        </w:trPr>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1"/>
              <w:jc w:val="right"/>
              <w:rPr>
                <w:rFonts w:ascii="Times New Roman" w:hAnsi="Times New Roman" w:cs="Times New Roman" w:eastAsia="Times New Roman" w:hint="default"/>
                <w:sz w:val="18"/>
                <w:szCs w:val="18"/>
              </w:rPr>
            </w:pPr>
            <w:r>
              <w:rPr>
                <w:rFonts w:ascii="Times New Roman"/>
                <w:spacing w:val="-1"/>
                <w:sz w:val="18"/>
              </w:rPr>
              <w:t>33,009,721.98</w:t>
            </w:r>
          </w:p>
        </w:tc>
        <w:tc>
          <w:tcPr>
            <w:tcW w:w="2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8"/>
                <w:szCs w:val="18"/>
              </w:rPr>
            </w:pPr>
            <w:r>
              <w:rPr>
                <w:rFonts w:ascii="Times New Roman"/>
                <w:spacing w:val="-1"/>
                <w:sz w:val="18"/>
              </w:rPr>
              <w:t>264,365,180.82</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2"/>
              <w:jc w:val="right"/>
              <w:rPr>
                <w:rFonts w:ascii="Times New Roman" w:hAnsi="Times New Roman" w:cs="Times New Roman" w:eastAsia="Times New Roman" w:hint="default"/>
                <w:sz w:val="18"/>
                <w:szCs w:val="18"/>
              </w:rPr>
            </w:pPr>
            <w:r>
              <w:rPr>
                <w:rFonts w:ascii="Times New Roman"/>
                <w:spacing w:val="-1"/>
                <w:sz w:val="18"/>
              </w:rPr>
              <w:t>25,493,627.18</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8"/>
                <w:szCs w:val="18"/>
              </w:rPr>
            </w:pPr>
            <w:r>
              <w:rPr>
                <w:rFonts w:ascii="Times New Roman"/>
                <w:spacing w:val="-1"/>
                <w:sz w:val="18"/>
              </w:rPr>
              <w:t>483,854,775.55</w:t>
            </w:r>
          </w:p>
        </w:tc>
      </w:tr>
      <w:tr>
        <w:trPr>
          <w:trHeight w:val="347" w:hRule="exact"/>
        </w:trPr>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right"/>
              <w:rPr>
                <w:rFonts w:ascii="Times New Roman" w:hAnsi="Times New Roman" w:cs="Times New Roman" w:eastAsia="Times New Roman" w:hint="default"/>
                <w:sz w:val="18"/>
                <w:szCs w:val="18"/>
              </w:rPr>
            </w:pPr>
            <w:r>
              <w:rPr>
                <w:rFonts w:ascii="Times New Roman"/>
                <w:sz w:val="18"/>
              </w:rPr>
              <w:t>131,407.58</w:t>
            </w:r>
          </w:p>
        </w:tc>
        <w:tc>
          <w:tcPr>
            <w:tcW w:w="2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right"/>
              <w:rPr>
                <w:rFonts w:ascii="Times New Roman" w:hAnsi="Times New Roman" w:cs="Times New Roman" w:eastAsia="Times New Roman" w:hint="default"/>
                <w:sz w:val="18"/>
                <w:szCs w:val="18"/>
              </w:rPr>
            </w:pPr>
            <w:r>
              <w:rPr>
                <w:rFonts w:ascii="Times New Roman"/>
                <w:sz w:val="18"/>
              </w:rPr>
              <w:t>719,712.76</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8"/>
                <w:szCs w:val="18"/>
              </w:rPr>
            </w:pPr>
            <w:r>
              <w:rPr>
                <w:rFonts w:ascii="Times New Roman"/>
                <w:spacing w:val="-1"/>
                <w:sz w:val="18"/>
              </w:rPr>
              <w:t>119,399.33</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8"/>
                <w:szCs w:val="18"/>
              </w:rPr>
            </w:pPr>
            <w:r>
              <w:rPr>
                <w:rFonts w:ascii="Times New Roman"/>
                <w:sz w:val="18"/>
              </w:rPr>
              <w:t>686,409.56</w:t>
            </w:r>
          </w:p>
        </w:tc>
      </w:tr>
      <w:tr>
        <w:trPr>
          <w:trHeight w:val="348" w:hRule="exact"/>
        </w:trPr>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8"/>
                <w:szCs w:val="18"/>
              </w:rPr>
            </w:pPr>
            <w:r>
              <w:rPr>
                <w:rFonts w:ascii="Times New Roman"/>
                <w:spacing w:val="-1"/>
                <w:sz w:val="18"/>
              </w:rPr>
              <w:t>130,707,920.17</w:t>
            </w:r>
          </w:p>
        </w:tc>
        <w:tc>
          <w:tcPr>
            <w:tcW w:w="2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2"/>
              <w:jc w:val="right"/>
              <w:rPr>
                <w:rFonts w:ascii="Times New Roman" w:hAnsi="Times New Roman" w:cs="Times New Roman" w:eastAsia="Times New Roman" w:hint="default"/>
                <w:sz w:val="18"/>
                <w:szCs w:val="18"/>
              </w:rPr>
            </w:pPr>
            <w:r>
              <w:rPr>
                <w:rFonts w:ascii="Times New Roman"/>
                <w:spacing w:val="-1"/>
                <w:sz w:val="18"/>
              </w:rPr>
              <w:t>1,990,553,623.62</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2"/>
              <w:jc w:val="right"/>
              <w:rPr>
                <w:rFonts w:ascii="Times New Roman" w:hAnsi="Times New Roman" w:cs="Times New Roman" w:eastAsia="Times New Roman" w:hint="default"/>
                <w:sz w:val="18"/>
                <w:szCs w:val="18"/>
              </w:rPr>
            </w:pPr>
            <w:r>
              <w:rPr>
                <w:rFonts w:ascii="Times New Roman"/>
                <w:spacing w:val="-1"/>
                <w:sz w:val="18"/>
              </w:rPr>
              <w:t>51,571,415.10</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8"/>
                <w:szCs w:val="18"/>
              </w:rPr>
            </w:pPr>
            <w:r>
              <w:rPr>
                <w:rFonts w:ascii="Times New Roman"/>
                <w:spacing w:val="-1"/>
                <w:sz w:val="18"/>
              </w:rPr>
              <w:t>2,220,559,720.02</w:t>
            </w:r>
          </w:p>
        </w:tc>
      </w:tr>
      <w:tr>
        <w:trPr>
          <w:trHeight w:val="347" w:hRule="exact"/>
        </w:trPr>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2" w:right="0"/>
              <w:jc w:val="left"/>
              <w:rPr>
                <w:rFonts w:ascii="宋体" w:hAnsi="宋体" w:cs="宋体" w:eastAsia="宋体" w:hint="default"/>
                <w:sz w:val="18"/>
                <w:szCs w:val="18"/>
              </w:rPr>
            </w:pPr>
            <w:r>
              <w:rPr>
                <w:rFonts w:ascii="宋体" w:hAnsi="宋体" w:cs="宋体" w:eastAsia="宋体" w:hint="default"/>
                <w:sz w:val="18"/>
                <w:szCs w:val="18"/>
              </w:rPr>
              <w:t>澳门元</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Times New Roman" w:hAnsi="Times New Roman" w:cs="Times New Roman" w:eastAsia="Times New Roman" w:hint="default"/>
                <w:sz w:val="18"/>
                <w:szCs w:val="18"/>
              </w:rPr>
            </w:pPr>
            <w:r>
              <w:rPr>
                <w:rFonts w:ascii="Times New Roman"/>
                <w:sz w:val="18"/>
              </w:rPr>
              <w:t>445,725.43</w:t>
            </w:r>
          </w:p>
        </w:tc>
        <w:tc>
          <w:tcPr>
            <w:tcW w:w="2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Times New Roman" w:hAnsi="Times New Roman" w:cs="Times New Roman" w:eastAsia="Times New Roman" w:hint="default"/>
                <w:sz w:val="18"/>
                <w:szCs w:val="18"/>
              </w:rPr>
            </w:pPr>
            <w:r>
              <w:rPr>
                <w:rFonts w:ascii="Times New Roman"/>
                <w:sz w:val="18"/>
              </w:rPr>
              <w:t>77,774.50</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8"/>
                <w:szCs w:val="18"/>
              </w:rPr>
            </w:pPr>
            <w:r>
              <w:rPr>
                <w:rFonts w:ascii="Times New Roman"/>
                <w:sz w:val="18"/>
              </w:rPr>
              <w:t>212,957.60</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8"/>
                <w:szCs w:val="18"/>
              </w:rPr>
            </w:pPr>
            <w:r>
              <w:rPr>
                <w:rFonts w:ascii="Times New Roman"/>
                <w:sz w:val="18"/>
              </w:rPr>
              <w:t>3,960.00</w:t>
            </w:r>
          </w:p>
        </w:tc>
      </w:tr>
      <w:tr>
        <w:trPr>
          <w:trHeight w:val="347" w:hRule="exact"/>
        </w:trPr>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right"/>
              <w:rPr>
                <w:rFonts w:ascii="Times New Roman" w:hAnsi="Times New Roman" w:cs="Times New Roman" w:eastAsia="Times New Roman" w:hint="default"/>
                <w:sz w:val="18"/>
                <w:szCs w:val="18"/>
              </w:rPr>
            </w:pPr>
            <w:r>
              <w:rPr>
                <w:rFonts w:ascii="Times New Roman"/>
                <w:sz w:val="18"/>
              </w:rPr>
              <w:t>174,279.84</w:t>
            </w:r>
          </w:p>
        </w:tc>
        <w:tc>
          <w:tcPr>
            <w:tcW w:w="2453" w:type="dxa"/>
            <w:tcBorders>
              <w:top w:val="single" w:sz="6" w:space="0" w:color="000000"/>
              <w:left w:val="single" w:sz="6" w:space="0" w:color="000000"/>
              <w:bottom w:val="single" w:sz="6" w:space="0" w:color="000000"/>
              <w:right w:val="single" w:sz="6" w:space="0" w:color="000000"/>
            </w:tcBorders>
          </w:tcPr>
          <w:p>
            <w:pPr/>
          </w:p>
        </w:tc>
        <w:tc>
          <w:tcPr>
            <w:tcW w:w="1840"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林吉特</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right"/>
              <w:rPr>
                <w:rFonts w:ascii="Times New Roman" w:hAnsi="Times New Roman" w:cs="Times New Roman" w:eastAsia="Times New Roman" w:hint="default"/>
                <w:sz w:val="18"/>
                <w:szCs w:val="18"/>
              </w:rPr>
            </w:pPr>
            <w:r>
              <w:rPr>
                <w:rFonts w:ascii="Times New Roman"/>
                <w:sz w:val="18"/>
              </w:rPr>
              <w:t>737,780.81</w:t>
            </w:r>
          </w:p>
        </w:tc>
        <w:tc>
          <w:tcPr>
            <w:tcW w:w="2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right"/>
              <w:rPr>
                <w:rFonts w:ascii="Times New Roman" w:hAnsi="Times New Roman" w:cs="Times New Roman" w:eastAsia="Times New Roman" w:hint="default"/>
                <w:sz w:val="18"/>
                <w:szCs w:val="18"/>
              </w:rPr>
            </w:pPr>
            <w:r>
              <w:rPr>
                <w:rFonts w:ascii="Times New Roman"/>
                <w:sz w:val="18"/>
              </w:rPr>
              <w:t>72,225.73</w:t>
            </w:r>
          </w:p>
        </w:tc>
        <w:tc>
          <w:tcPr>
            <w:tcW w:w="1840"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04" w:lineRule="exact"/>
        <w:ind w:left="514" w:right="0"/>
        <w:jc w:val="left"/>
      </w:pPr>
      <w:r>
        <w:rPr/>
        <w:t>本集团密切关注汇率变动对本公司的影响。本集团已与可信赖的银行订立远期外汇合同以管理其汇率风险。</w:t>
      </w:r>
    </w:p>
    <w:p>
      <w:pPr>
        <w:pStyle w:val="BodyText"/>
        <w:spacing w:line="240" w:lineRule="exact"/>
        <w:ind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利率风险</w:t>
      </w:r>
    </w:p>
    <w:p>
      <w:pPr>
        <w:pStyle w:val="BodyText"/>
        <w:spacing w:line="232" w:lineRule="exact" w:before="17"/>
        <w:ind w:right="1131" w:firstLine="360"/>
        <w:jc w:val="both"/>
      </w:pPr>
      <w:r>
        <w:rPr>
          <w:spacing w:val="-2"/>
        </w:rPr>
        <w:t>本集团的利率风险主要与本集团以浮动利率计息的负债有关。于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日，本集团按浮动利率计息的付息贷款为</w:t>
      </w:r>
      <w:r>
        <w:rPr/>
        <w:t> 人民币</w:t>
      </w:r>
      <w:r>
        <w:rPr>
          <w:rFonts w:ascii="Times New Roman" w:hAnsi="Times New Roman" w:cs="Times New Roman" w:eastAsia="Times New Roman" w:hint="default"/>
        </w:rPr>
        <w:t>5,577,936,872.01</w:t>
      </w:r>
      <w:r>
        <w:rPr/>
        <w:t>元。</w:t>
      </w:r>
    </w:p>
    <w:p>
      <w:pPr>
        <w:spacing w:line="240" w:lineRule="auto" w:before="1"/>
        <w:rPr>
          <w:rFonts w:ascii="宋体" w:hAnsi="宋体" w:cs="宋体" w:eastAsia="宋体" w:hint="default"/>
          <w:sz w:val="14"/>
          <w:szCs w:val="14"/>
        </w:rPr>
      </w:pPr>
    </w:p>
    <w:p>
      <w:pPr>
        <w:pStyle w:val="BodyText"/>
        <w:spacing w:line="242" w:lineRule="exact"/>
        <w:ind w:right="0"/>
        <w:jc w:val="left"/>
      </w:pPr>
      <w:r>
        <w:rPr/>
        <w:t>（</w:t>
      </w:r>
      <w:r>
        <w:rPr>
          <w:rFonts w:ascii="Times New Roman" w:hAnsi="Times New Roman" w:cs="Times New Roman" w:eastAsia="Times New Roman" w:hint="default"/>
        </w:rPr>
        <w:t>2</w:t>
      </w:r>
      <w:r>
        <w:rPr/>
        <w:t>）信用风险</w:t>
      </w:r>
    </w:p>
    <w:p>
      <w:pPr>
        <w:pStyle w:val="BodyText"/>
        <w:spacing w:line="232" w:lineRule="exact" w:before="17"/>
        <w:ind w:right="1131" w:firstLine="360"/>
        <w:jc w:val="both"/>
      </w:pPr>
      <w:r>
        <w:rPr>
          <w:spacing w:val="-2"/>
        </w:rPr>
        <w:t>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日，可能引起本集团财务损失的最大信用风险敞口主要来自于合同另一方未能履行义务而导致本集团金</w:t>
      </w:r>
      <w:r>
        <w:rPr/>
        <w:t> 融资产产生的损失。</w:t>
      </w:r>
    </w:p>
    <w:p>
      <w:pPr>
        <w:pStyle w:val="BodyText"/>
        <w:spacing w:line="232" w:lineRule="exact" w:before="2"/>
        <w:ind w:right="1131" w:firstLine="360"/>
        <w:jc w:val="both"/>
      </w:pPr>
      <w:r>
        <w:rPr>
          <w:spacing w:val="-2"/>
        </w:rPr>
        <w:t>本集团仅与经认可的、信誉良好的第三方进行交易。按照本集团政策，需对所有要求采用信用方式进行交易的客户进行</w:t>
      </w:r>
      <w:r>
        <w:rPr/>
        <w:t> </w:t>
      </w:r>
      <w:r>
        <w:rPr>
          <w:spacing w:val="-2"/>
        </w:rPr>
        <w:t>信用审核。另外，本集团对应收账款余额进行持续监控，以确保本集团不致面临重大坏账风险。对于未采用相关经营单位的</w:t>
      </w:r>
    </w:p>
    <w:p>
      <w:pPr>
        <w:pStyle w:val="BodyText"/>
        <w:spacing w:line="232" w:lineRule="exact" w:before="2"/>
        <w:ind w:left="514" w:right="0" w:hanging="360"/>
        <w:jc w:val="left"/>
      </w:pPr>
      <w:r>
        <w:rPr/>
        <w:t>记账本位币结算的交易，除非本集团信用控制部门特别批准，否则本集团不提供信用交易条件。 </w:t>
      </w:r>
      <w:r>
        <w:rPr>
          <w:spacing w:val="-2"/>
        </w:rPr>
        <w:t>本集团其他金融资产包括货币资金、应收票据、其他应收款、可供出售金融资产及以公允价值计量且其变动计入当期损</w:t>
      </w:r>
    </w:p>
    <w:p>
      <w:pPr>
        <w:pStyle w:val="BodyText"/>
        <w:spacing w:line="232" w:lineRule="exact" w:before="2"/>
        <w:ind w:right="0"/>
        <w:jc w:val="left"/>
      </w:pPr>
      <w:r>
        <w:rPr>
          <w:spacing w:val="-2"/>
        </w:rPr>
        <w:t>益的金融资产，这些金融资产的信用风险源自交易对手违约，最大风险敞口等于这些工具的账面金额。本集团还因给予关联</w:t>
      </w:r>
      <w:r>
        <w:rPr>
          <w:spacing w:val="-66"/>
        </w:rPr>
        <w:t> </w:t>
      </w:r>
      <w:r>
        <w:rPr>
          <w:spacing w:val="-66"/>
        </w:rPr>
      </w:r>
      <w:r>
        <w:rPr/>
        <w:t>方财务担保而面临信用风险，详见附注十二、</w:t>
      </w:r>
      <w:r>
        <w:rPr>
          <w:rFonts w:ascii="宋体" w:hAnsi="宋体" w:cs="宋体" w:eastAsia="宋体" w:hint="default"/>
        </w:rPr>
        <w:t>5</w:t>
      </w:r>
      <w:r>
        <w:rPr/>
        <w:t>关联交易情况（</w:t>
      </w:r>
      <w:r>
        <w:rPr>
          <w:rFonts w:ascii="宋体" w:hAnsi="宋体" w:cs="宋体" w:eastAsia="宋体" w:hint="default"/>
        </w:rPr>
        <w:t>3</w:t>
      </w:r>
      <w:r>
        <w:rPr/>
        <w:t>）关联方担保。</w:t>
      </w:r>
    </w:p>
    <w:p>
      <w:pPr>
        <w:pStyle w:val="BodyText"/>
        <w:spacing w:line="232" w:lineRule="exact" w:before="2"/>
        <w:ind w:right="1130" w:firstLine="360"/>
        <w:jc w:val="both"/>
      </w:pPr>
      <w:r>
        <w:rPr/>
        <w:t>由于本集团仅与经认可的且信誉良好的第三方进行交易，所以无需担保物。信用风险集中按照客户</w:t>
      </w:r>
      <w:r>
        <w:rPr>
          <w:rFonts w:ascii="Times New Roman" w:hAnsi="Times New Roman" w:cs="Times New Roman" w:eastAsia="Times New Roman" w:hint="default"/>
        </w:rPr>
        <w:t>/</w:t>
      </w:r>
      <w:r>
        <w:rPr/>
        <w:t>交易对手、地理区 </w:t>
      </w:r>
      <w:r>
        <w:rPr>
          <w:spacing w:val="-2"/>
        </w:rPr>
        <w:t>域和行业进行管理。由于本集团的应收账款客户群广泛地分散于不同的部门和行业中，因此在本集团内部不存在重大信用风</w:t>
      </w:r>
    </w:p>
    <w:p>
      <w:pPr>
        <w:pStyle w:val="BodyText"/>
        <w:spacing w:line="212" w:lineRule="exact"/>
        <w:ind w:right="0"/>
        <w:jc w:val="left"/>
      </w:pPr>
      <w:r>
        <w:rPr/>
        <w:t>险集中。本集团对应收账款余额未持有其他信用增级。</w:t>
      </w:r>
    </w:p>
    <w:p>
      <w:pPr>
        <w:pStyle w:val="BodyText"/>
        <w:spacing w:line="240" w:lineRule="exact"/>
        <w:ind w:right="0"/>
        <w:jc w:val="left"/>
      </w:pPr>
      <w:r>
        <w:rPr/>
        <w:t>（</w:t>
      </w:r>
      <w:r>
        <w:rPr>
          <w:rFonts w:ascii="Times New Roman" w:hAnsi="Times New Roman" w:cs="Times New Roman" w:eastAsia="Times New Roman" w:hint="default"/>
        </w:rPr>
        <w:t>3</w:t>
      </w:r>
      <w:r>
        <w:rPr/>
        <w:t>）流动风险</w:t>
      </w:r>
    </w:p>
    <w:p>
      <w:pPr>
        <w:pStyle w:val="BodyText"/>
        <w:spacing w:line="237" w:lineRule="auto"/>
        <w:ind w:right="1131" w:firstLine="360"/>
        <w:jc w:val="both"/>
      </w:pPr>
      <w:r>
        <w:rPr>
          <w:spacing w:val="-2"/>
        </w:rPr>
        <w:t>流动风险为本集团在到期日无法履行其财务义务的风险。本集团管理流动性风险的方法是采用循环流动性资金计划工具</w:t>
      </w:r>
      <w:r>
        <w:rPr/>
        <w:t> </w:t>
      </w:r>
      <w:r>
        <w:rPr>
          <w:spacing w:val="-2"/>
        </w:rPr>
        <w:t>监控资金短缺的风险。该工具考虑其涉及金融工具与金融资产（如应收账款及应收票据）的到期日以及来自营运业务的预期</w:t>
      </w:r>
      <w:r>
        <w:rPr>
          <w:spacing w:val="-66"/>
        </w:rPr>
        <w:t> </w:t>
      </w:r>
      <w:r>
        <w:rPr>
          <w:spacing w:val="-66"/>
        </w:rPr>
      </w:r>
      <w:r>
        <w:rPr>
          <w:spacing w:val="-5"/>
        </w:rPr>
        <w:t>营运现金流量。本集团的目标是透过使用附息银行贷款以及其他可取得的资金来源，维持资金延续性与灵活性的平衡。此外，</w:t>
      </w:r>
      <w:r>
        <w:rPr>
          <w:spacing w:val="-79"/>
        </w:rPr>
        <w:t> </w:t>
      </w:r>
      <w:r>
        <w:rPr>
          <w:spacing w:val="-79"/>
        </w:rPr>
      </w:r>
      <w:r>
        <w:rPr/>
        <w:t>本集团还取得银行额度以供应急之用。</w:t>
      </w:r>
    </w:p>
    <w:p>
      <w:pPr>
        <w:spacing w:line="240" w:lineRule="auto" w:before="9"/>
        <w:rPr>
          <w:rFonts w:ascii="宋体" w:hAnsi="宋体" w:cs="宋体" w:eastAsia="宋体" w:hint="default"/>
          <w:sz w:val="15"/>
          <w:szCs w:val="15"/>
        </w:rPr>
      </w:pPr>
    </w:p>
    <w:p>
      <w:pPr>
        <w:pStyle w:val="BodyText"/>
        <w:spacing w:line="240" w:lineRule="auto"/>
        <w:ind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日本集团持有的金融负债按未折现剩余合同义务的到期期限分析如下：</w:t>
      </w:r>
    </w:p>
    <w:tbl>
      <w:tblPr>
        <w:tblW w:w="0" w:type="auto"/>
        <w:jc w:val="left"/>
        <w:tblInd w:w="137" w:type="dxa"/>
        <w:tblLayout w:type="fixed"/>
        <w:tblCellMar>
          <w:top w:w="0" w:type="dxa"/>
          <w:left w:w="0" w:type="dxa"/>
          <w:bottom w:w="0" w:type="dxa"/>
          <w:right w:w="0" w:type="dxa"/>
        </w:tblCellMar>
        <w:tblLook w:val="01E0"/>
      </w:tblPr>
      <w:tblGrid>
        <w:gridCol w:w="2505"/>
        <w:gridCol w:w="2544"/>
        <w:gridCol w:w="2225"/>
        <w:gridCol w:w="2384"/>
      </w:tblGrid>
      <w:tr>
        <w:trPr>
          <w:trHeight w:val="269" w:hRule="exact"/>
        </w:trPr>
        <w:tc>
          <w:tcPr>
            <w:tcW w:w="2505"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44"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2225"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一至五年</w:t>
            </w:r>
          </w:p>
        </w:tc>
        <w:tc>
          <w:tcPr>
            <w:tcW w:w="2384"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16" w:lineRule="exact"/>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69" w:hRule="exact"/>
        </w:trPr>
        <w:tc>
          <w:tcPr>
            <w:tcW w:w="2505"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2"/>
              <w:jc w:val="right"/>
              <w:rPr>
                <w:rFonts w:ascii="Times New Roman" w:hAnsi="Times New Roman" w:cs="Times New Roman" w:eastAsia="Times New Roman" w:hint="default"/>
                <w:sz w:val="18"/>
                <w:szCs w:val="18"/>
              </w:rPr>
            </w:pPr>
            <w:r>
              <w:rPr>
                <w:rFonts w:ascii="Times New Roman"/>
                <w:spacing w:val="-1"/>
                <w:sz w:val="18"/>
              </w:rPr>
              <w:t>8,806,297,361.62</w:t>
            </w:r>
          </w:p>
        </w:tc>
        <w:tc>
          <w:tcPr>
            <w:tcW w:w="2225" w:type="dxa"/>
            <w:tcBorders>
              <w:top w:val="single" w:sz="6" w:space="0" w:color="000000"/>
              <w:left w:val="single" w:sz="6" w:space="0" w:color="000000"/>
              <w:bottom w:val="single" w:sz="6" w:space="0" w:color="000000"/>
              <w:right w:val="single" w:sz="6" w:space="0" w:color="000000"/>
            </w:tcBorders>
          </w:tcPr>
          <w:p>
            <w:pPr/>
          </w:p>
        </w:tc>
        <w:tc>
          <w:tcPr>
            <w:tcW w:w="2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8"/>
                <w:szCs w:val="18"/>
              </w:rPr>
            </w:pPr>
            <w:r>
              <w:rPr>
                <w:rFonts w:ascii="Times New Roman"/>
                <w:spacing w:val="-1"/>
                <w:sz w:val="18"/>
              </w:rPr>
              <w:t>8,806,297,361.62</w:t>
            </w:r>
          </w:p>
        </w:tc>
      </w:tr>
      <w:tr>
        <w:trPr>
          <w:trHeight w:val="502" w:hRule="exact"/>
        </w:trPr>
        <w:tc>
          <w:tcPr>
            <w:tcW w:w="250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2"/>
              <w:ind w:left="2" w:right="-9"/>
              <w:jc w:val="left"/>
              <w:rPr>
                <w:rFonts w:ascii="宋体" w:hAnsi="宋体" w:cs="宋体" w:eastAsia="宋体" w:hint="default"/>
                <w:sz w:val="18"/>
                <w:szCs w:val="18"/>
              </w:rPr>
            </w:pPr>
            <w:r>
              <w:rPr>
                <w:rFonts w:ascii="宋体" w:hAnsi="宋体" w:cs="宋体" w:eastAsia="宋体" w:hint="default"/>
                <w:spacing w:val="12"/>
                <w:sz w:val="18"/>
                <w:szCs w:val="18"/>
              </w:rPr>
              <w:t>以公允价值计量且其变动计入 </w:t>
            </w:r>
            <w:r>
              <w:rPr>
                <w:rFonts w:ascii="宋体" w:hAnsi="宋体" w:cs="宋体" w:eastAsia="宋体" w:hint="default"/>
                <w:sz w:val="18"/>
                <w:szCs w:val="18"/>
              </w:rPr>
              <w:t>当期损益的金融负债</w:t>
            </w:r>
          </w:p>
        </w:tc>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8"/>
                <w:szCs w:val="18"/>
              </w:rPr>
            </w:pPr>
            <w:r>
              <w:rPr>
                <w:rFonts w:ascii="Times New Roman"/>
                <w:spacing w:val="-1"/>
                <w:sz w:val="18"/>
              </w:rPr>
              <w:t>21,091,940.85</w:t>
            </w:r>
          </w:p>
        </w:tc>
        <w:tc>
          <w:tcPr>
            <w:tcW w:w="2225" w:type="dxa"/>
            <w:tcBorders>
              <w:top w:val="single" w:sz="6" w:space="0" w:color="000000"/>
              <w:left w:val="single" w:sz="6" w:space="0" w:color="000000"/>
              <w:bottom w:val="single" w:sz="6" w:space="0" w:color="000000"/>
              <w:right w:val="single" w:sz="6" w:space="0" w:color="000000"/>
            </w:tcBorders>
          </w:tcPr>
          <w:p>
            <w:pPr/>
          </w:p>
        </w:tc>
        <w:tc>
          <w:tcPr>
            <w:tcW w:w="2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8"/>
                <w:szCs w:val="18"/>
              </w:rPr>
            </w:pPr>
            <w:r>
              <w:rPr>
                <w:rFonts w:ascii="Times New Roman"/>
                <w:spacing w:val="-1"/>
                <w:sz w:val="18"/>
              </w:rPr>
              <w:t>21,091,940.85</w:t>
            </w:r>
          </w:p>
        </w:tc>
      </w:tr>
      <w:tr>
        <w:trPr>
          <w:trHeight w:val="268" w:hRule="exact"/>
        </w:trPr>
        <w:tc>
          <w:tcPr>
            <w:tcW w:w="2505"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2"/>
              <w:jc w:val="right"/>
              <w:rPr>
                <w:rFonts w:ascii="Times New Roman" w:hAnsi="Times New Roman" w:cs="Times New Roman" w:eastAsia="Times New Roman" w:hint="default"/>
                <w:sz w:val="18"/>
                <w:szCs w:val="18"/>
              </w:rPr>
            </w:pPr>
            <w:r>
              <w:rPr>
                <w:rFonts w:ascii="Times New Roman"/>
                <w:spacing w:val="-1"/>
                <w:sz w:val="18"/>
              </w:rPr>
              <w:t>8,618,714,469.17</w:t>
            </w:r>
          </w:p>
        </w:tc>
        <w:tc>
          <w:tcPr>
            <w:tcW w:w="2225" w:type="dxa"/>
            <w:tcBorders>
              <w:top w:val="single" w:sz="6" w:space="0" w:color="000000"/>
              <w:left w:val="single" w:sz="6" w:space="0" w:color="000000"/>
              <w:bottom w:val="single" w:sz="6" w:space="0" w:color="000000"/>
              <w:right w:val="single" w:sz="6" w:space="0" w:color="000000"/>
            </w:tcBorders>
          </w:tcPr>
          <w:p>
            <w:pPr/>
          </w:p>
        </w:tc>
        <w:tc>
          <w:tcPr>
            <w:tcW w:w="2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8"/>
                <w:szCs w:val="18"/>
              </w:rPr>
            </w:pPr>
            <w:r>
              <w:rPr>
                <w:rFonts w:ascii="Times New Roman"/>
                <w:spacing w:val="-1"/>
                <w:sz w:val="18"/>
              </w:rPr>
              <w:t>8,618,714,469.17</w:t>
            </w:r>
          </w:p>
        </w:tc>
      </w:tr>
      <w:tr>
        <w:trPr>
          <w:trHeight w:val="269" w:hRule="exact"/>
        </w:trPr>
        <w:tc>
          <w:tcPr>
            <w:tcW w:w="2505"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8"/>
                <w:szCs w:val="18"/>
              </w:rPr>
            </w:pPr>
            <w:r>
              <w:rPr>
                <w:rFonts w:ascii="Times New Roman"/>
                <w:spacing w:val="-1"/>
                <w:sz w:val="18"/>
              </w:rPr>
              <w:t>619,533,656.42</w:t>
            </w:r>
          </w:p>
        </w:tc>
        <w:tc>
          <w:tcPr>
            <w:tcW w:w="2225" w:type="dxa"/>
            <w:tcBorders>
              <w:top w:val="single" w:sz="6" w:space="0" w:color="000000"/>
              <w:left w:val="single" w:sz="6" w:space="0" w:color="000000"/>
              <w:bottom w:val="single" w:sz="6" w:space="0" w:color="000000"/>
              <w:right w:val="single" w:sz="6" w:space="0" w:color="000000"/>
            </w:tcBorders>
          </w:tcPr>
          <w:p>
            <w:pPr/>
          </w:p>
        </w:tc>
        <w:tc>
          <w:tcPr>
            <w:tcW w:w="2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8"/>
                <w:szCs w:val="18"/>
              </w:rPr>
            </w:pPr>
            <w:r>
              <w:rPr>
                <w:rFonts w:ascii="Times New Roman"/>
                <w:spacing w:val="-1"/>
                <w:sz w:val="18"/>
              </w:rPr>
              <w:t>619,533,656.42</w:t>
            </w:r>
          </w:p>
        </w:tc>
      </w:tr>
      <w:tr>
        <w:trPr>
          <w:trHeight w:val="269" w:hRule="exact"/>
        </w:trPr>
        <w:tc>
          <w:tcPr>
            <w:tcW w:w="2505"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8"/>
                <w:szCs w:val="18"/>
              </w:rPr>
            </w:pPr>
            <w:r>
              <w:rPr>
                <w:rFonts w:ascii="Times New Roman"/>
                <w:spacing w:val="-1"/>
                <w:sz w:val="18"/>
              </w:rPr>
              <w:t>461,111,943.16</w:t>
            </w:r>
          </w:p>
        </w:tc>
        <w:tc>
          <w:tcPr>
            <w:tcW w:w="2225" w:type="dxa"/>
            <w:tcBorders>
              <w:top w:val="single" w:sz="6" w:space="0" w:color="000000"/>
              <w:left w:val="single" w:sz="6" w:space="0" w:color="000000"/>
              <w:bottom w:val="single" w:sz="6" w:space="0" w:color="000000"/>
              <w:right w:val="single" w:sz="6" w:space="0" w:color="000000"/>
            </w:tcBorders>
          </w:tcPr>
          <w:p>
            <w:pPr/>
          </w:p>
        </w:tc>
        <w:tc>
          <w:tcPr>
            <w:tcW w:w="2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8"/>
                <w:szCs w:val="18"/>
              </w:rPr>
            </w:pPr>
            <w:r>
              <w:rPr>
                <w:rFonts w:ascii="Times New Roman"/>
                <w:spacing w:val="-1"/>
                <w:sz w:val="18"/>
              </w:rPr>
              <w:t>461,111,943.16</w:t>
            </w:r>
          </w:p>
        </w:tc>
      </w:tr>
      <w:tr>
        <w:trPr>
          <w:trHeight w:val="269" w:hRule="exact"/>
        </w:trPr>
        <w:tc>
          <w:tcPr>
            <w:tcW w:w="2505"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544"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8"/>
                <w:szCs w:val="18"/>
              </w:rPr>
            </w:pPr>
            <w:r>
              <w:rPr>
                <w:rFonts w:ascii="Times New Roman"/>
                <w:spacing w:val="-1"/>
                <w:sz w:val="18"/>
              </w:rPr>
              <w:t>1,710,000,000.00</w:t>
            </w:r>
          </w:p>
        </w:tc>
        <w:tc>
          <w:tcPr>
            <w:tcW w:w="2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8"/>
                <w:szCs w:val="18"/>
              </w:rPr>
            </w:pPr>
            <w:r>
              <w:rPr>
                <w:rFonts w:ascii="Times New Roman"/>
                <w:spacing w:val="-1"/>
                <w:sz w:val="18"/>
              </w:rPr>
              <w:t>1,710,000,000.00</w:t>
            </w:r>
          </w:p>
        </w:tc>
      </w:tr>
      <w:tr>
        <w:trPr>
          <w:trHeight w:val="269" w:hRule="exact"/>
        </w:trPr>
        <w:tc>
          <w:tcPr>
            <w:tcW w:w="2505"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544"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Times New Roman" w:hAnsi="Times New Roman" w:cs="Times New Roman" w:eastAsia="Times New Roman" w:hint="default"/>
                <w:sz w:val="18"/>
                <w:szCs w:val="18"/>
              </w:rPr>
            </w:pPr>
            <w:r>
              <w:rPr>
                <w:rFonts w:ascii="Times New Roman"/>
                <w:spacing w:val="-1"/>
                <w:sz w:val="18"/>
              </w:rPr>
              <w:t>13,817,213.09</w:t>
            </w:r>
          </w:p>
        </w:tc>
        <w:tc>
          <w:tcPr>
            <w:tcW w:w="2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8"/>
                <w:szCs w:val="18"/>
              </w:rPr>
            </w:pPr>
            <w:r>
              <w:rPr>
                <w:rFonts w:ascii="Times New Roman"/>
                <w:spacing w:val="-1"/>
                <w:sz w:val="18"/>
              </w:rPr>
              <w:t>13,817,213.09</w:t>
            </w:r>
          </w:p>
        </w:tc>
      </w:tr>
    </w:tbl>
    <w:p>
      <w:pPr>
        <w:pStyle w:val="BodyText"/>
        <w:spacing w:line="225" w:lineRule="exact"/>
        <w:ind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敏感性分析</w:t>
      </w:r>
    </w:p>
    <w:p>
      <w:pPr>
        <w:pStyle w:val="BodyText"/>
        <w:spacing w:line="237" w:lineRule="auto"/>
        <w:ind w:right="1132" w:firstLine="360"/>
        <w:jc w:val="both"/>
      </w:pPr>
      <w:r>
        <w:rPr>
          <w:spacing w:val="-2"/>
        </w:rPr>
        <w:t>本集团采用敏感性分析技术分析风险变量的合理、可能变化对当期损益或股东权益可能产生的影响。由于任何风险变量</w:t>
      </w:r>
      <w:r>
        <w:rPr/>
        <w:t> </w:t>
      </w:r>
      <w:r>
        <w:rPr>
          <w:spacing w:val="-2"/>
        </w:rPr>
        <w:t>很少孤立的发生变化，而变量之间存在的相关性对某一风险变量变化的最终影响金额将产生重大作用，因此下述内容是在假</w:t>
      </w:r>
      <w:r>
        <w:rPr>
          <w:spacing w:val="-64"/>
        </w:rPr>
        <w:t> </w:t>
      </w:r>
      <w:r>
        <w:rPr>
          <w:spacing w:val="-64"/>
        </w:rPr>
      </w:r>
      <w:r>
        <w:rPr/>
        <w:t>设每一变量的变化是独立的情况下进行的。</w:t>
      </w:r>
    </w:p>
    <w:p>
      <w:pPr>
        <w:pStyle w:val="BodyText"/>
        <w:spacing w:line="232" w:lineRule="exact" w:before="23"/>
        <w:ind w:left="514" w:right="0" w:hanging="360"/>
        <w:jc w:val="left"/>
      </w:pPr>
      <w:r>
        <w:rPr/>
        <w:t>（</w:t>
      </w:r>
      <w:r>
        <w:rPr>
          <w:rFonts w:ascii="Times New Roman" w:hAnsi="Times New Roman" w:cs="Times New Roman" w:eastAsia="Times New Roman" w:hint="default"/>
        </w:rPr>
        <w:t>1</w:t>
      </w:r>
      <w:r>
        <w:rPr/>
        <w:t>）外汇风险敏感性分析 </w:t>
      </w:r>
      <w:r>
        <w:rPr>
          <w:spacing w:val="-2"/>
        </w:rPr>
        <w:t>下表为汇率风险的敏感性分析，反映了在其它变量不变的假设下，美元、港币、澳门元、欧元新加坡元及林吉特汇率发</w:t>
      </w:r>
    </w:p>
    <w:p>
      <w:pPr>
        <w:pStyle w:val="BodyText"/>
        <w:spacing w:line="213" w:lineRule="exact"/>
        <w:ind w:right="0"/>
        <w:jc w:val="left"/>
      </w:pPr>
      <w:r>
        <w:rPr/>
        <w:t>生合理、可能的变动时，将对利润总额的影响如下：</w:t>
      </w:r>
    </w:p>
    <w:p>
      <w:pPr>
        <w:spacing w:line="240" w:lineRule="auto" w:before="3"/>
        <w:rPr>
          <w:rFonts w:ascii="宋体" w:hAnsi="宋体" w:cs="宋体" w:eastAsia="宋体" w:hint="default"/>
          <w:sz w:val="2"/>
          <w:szCs w:val="2"/>
        </w:rPr>
      </w:pPr>
    </w:p>
    <w:tbl>
      <w:tblPr>
        <w:tblW w:w="0" w:type="auto"/>
        <w:jc w:val="left"/>
        <w:tblInd w:w="137" w:type="dxa"/>
        <w:tblLayout w:type="fixed"/>
        <w:tblCellMar>
          <w:top w:w="0" w:type="dxa"/>
          <w:left w:w="0" w:type="dxa"/>
          <w:bottom w:w="0" w:type="dxa"/>
          <w:right w:w="0" w:type="dxa"/>
        </w:tblCellMar>
        <w:tblLook w:val="01E0"/>
      </w:tblPr>
      <w:tblGrid>
        <w:gridCol w:w="1712"/>
        <w:gridCol w:w="2384"/>
        <w:gridCol w:w="2544"/>
        <w:gridCol w:w="3020"/>
      </w:tblGrid>
      <w:tr>
        <w:trPr>
          <w:trHeight w:val="268" w:hRule="exact"/>
        </w:trPr>
        <w:tc>
          <w:tcPr>
            <w:tcW w:w="1712"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15"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84"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汇率变动</w:t>
            </w:r>
          </w:p>
        </w:tc>
        <w:tc>
          <w:tcPr>
            <w:tcW w:w="2544"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本年</w:t>
            </w:r>
          </w:p>
        </w:tc>
        <w:tc>
          <w:tcPr>
            <w:tcW w:w="3020"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15" w:lineRule="exact"/>
              <w:ind w:right="1"/>
              <w:jc w:val="center"/>
              <w:rPr>
                <w:rFonts w:ascii="宋体" w:hAnsi="宋体" w:cs="宋体" w:eastAsia="宋体" w:hint="default"/>
                <w:sz w:val="18"/>
                <w:szCs w:val="18"/>
              </w:rPr>
            </w:pPr>
            <w:r>
              <w:rPr>
                <w:rFonts w:ascii="宋体" w:hAnsi="宋体" w:cs="宋体" w:eastAsia="宋体" w:hint="default"/>
                <w:sz w:val="18"/>
                <w:szCs w:val="18"/>
              </w:rPr>
              <w:t>上年</w:t>
            </w:r>
          </w:p>
        </w:tc>
      </w:tr>
      <w:tr>
        <w:trPr>
          <w:trHeight w:val="269"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所有外币</w:t>
            </w:r>
          </w:p>
        </w:tc>
        <w:tc>
          <w:tcPr>
            <w:tcW w:w="238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人民币升值</w:t>
            </w:r>
            <w:r>
              <w:rPr>
                <w:rFonts w:ascii="Times New Roman" w:hAnsi="Times New Roman" w:cs="Times New Roman" w:eastAsia="Times New Roman" w:hint="default"/>
                <w:sz w:val="18"/>
                <w:szCs w:val="18"/>
              </w:rPr>
              <w:t>1%</w:t>
            </w:r>
          </w:p>
        </w:tc>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8"/>
                <w:szCs w:val="18"/>
              </w:rPr>
            </w:pPr>
            <w:r>
              <w:rPr>
                <w:rFonts w:ascii="Times New Roman"/>
                <w:spacing w:val="-1"/>
                <w:sz w:val="18"/>
              </w:rPr>
              <w:t>25,925,892.77</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8"/>
                <w:szCs w:val="18"/>
              </w:rPr>
            </w:pPr>
            <w:r>
              <w:rPr>
                <w:rFonts w:ascii="Times New Roman"/>
                <w:spacing w:val="-1"/>
                <w:sz w:val="18"/>
              </w:rPr>
              <w:t>15,873,779.60</w:t>
            </w:r>
          </w:p>
        </w:tc>
      </w:tr>
      <w:tr>
        <w:trPr>
          <w:trHeight w:val="269"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所有外币</w:t>
            </w:r>
          </w:p>
        </w:tc>
        <w:tc>
          <w:tcPr>
            <w:tcW w:w="238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人民币贬值</w:t>
            </w:r>
            <w:r>
              <w:rPr>
                <w:rFonts w:ascii="Times New Roman" w:hAnsi="Times New Roman" w:cs="Times New Roman" w:eastAsia="Times New Roman" w:hint="default"/>
                <w:sz w:val="18"/>
                <w:szCs w:val="18"/>
              </w:rPr>
              <w:t>1%</w:t>
            </w:r>
          </w:p>
        </w:tc>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8"/>
                <w:szCs w:val="18"/>
              </w:rPr>
            </w:pPr>
            <w:r>
              <w:rPr>
                <w:rFonts w:ascii="Times New Roman"/>
                <w:sz w:val="18"/>
              </w:rPr>
              <w:t>-</w:t>
            </w:r>
            <w:r>
              <w:rPr>
                <w:rFonts w:ascii="Times New Roman"/>
                <w:spacing w:val="-3"/>
                <w:sz w:val="18"/>
              </w:rPr>
              <w:t> </w:t>
            </w:r>
            <w:r>
              <w:rPr>
                <w:rFonts w:ascii="Times New Roman"/>
                <w:sz w:val="18"/>
              </w:rPr>
              <w:t>25,925,892.77</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8"/>
                <w:szCs w:val="18"/>
              </w:rPr>
            </w:pPr>
            <w:r>
              <w:rPr>
                <w:rFonts w:ascii="Times New Roman"/>
                <w:spacing w:val="-1"/>
                <w:sz w:val="18"/>
              </w:rPr>
              <w:t>-15,873,779.60</w:t>
            </w:r>
          </w:p>
        </w:tc>
      </w:tr>
    </w:tbl>
    <w:p>
      <w:pPr>
        <w:pStyle w:val="BodyText"/>
        <w:spacing w:line="212" w:lineRule="exact"/>
        <w:ind w:right="0"/>
        <w:jc w:val="left"/>
      </w:pPr>
      <w:r>
        <w:rPr/>
        <w:t>（</w:t>
      </w:r>
      <w:r>
        <w:rPr>
          <w:rFonts w:ascii="Times New Roman" w:hAnsi="Times New Roman" w:cs="Times New Roman" w:eastAsia="Times New Roman" w:hint="default"/>
        </w:rPr>
        <w:t>2</w:t>
      </w:r>
      <w:r>
        <w:rPr/>
        <w:t>）利率风险敏感性分析</w:t>
      </w:r>
    </w:p>
    <w:p>
      <w:pPr>
        <w:pStyle w:val="BodyText"/>
        <w:spacing w:line="232" w:lineRule="exact" w:before="17"/>
        <w:ind w:right="1118" w:firstLine="360"/>
        <w:jc w:val="left"/>
      </w:pPr>
      <w:r>
        <w:rPr>
          <w:spacing w:val="-2"/>
        </w:rPr>
        <w:t>下表为利率风险的敏感性分析，反映了在其它变量不变的假设下，利率发生合理、可能的变动时，将对利润总额的影响</w:t>
      </w:r>
      <w:r>
        <w:rPr/>
        <w:t> 如下：</w:t>
      </w:r>
    </w:p>
    <w:tbl>
      <w:tblPr>
        <w:tblW w:w="0" w:type="auto"/>
        <w:jc w:val="left"/>
        <w:tblInd w:w="137" w:type="dxa"/>
        <w:tblLayout w:type="fixed"/>
        <w:tblCellMar>
          <w:top w:w="0" w:type="dxa"/>
          <w:left w:w="0" w:type="dxa"/>
          <w:bottom w:w="0" w:type="dxa"/>
          <w:right w:w="0" w:type="dxa"/>
        </w:tblCellMar>
        <w:tblLook w:val="01E0"/>
      </w:tblPr>
      <w:tblGrid>
        <w:gridCol w:w="2188"/>
        <w:gridCol w:w="2068"/>
        <w:gridCol w:w="2544"/>
        <w:gridCol w:w="2859"/>
      </w:tblGrid>
      <w:tr>
        <w:trPr>
          <w:trHeight w:val="268" w:hRule="exact"/>
        </w:trPr>
        <w:tc>
          <w:tcPr>
            <w:tcW w:w="2188"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68"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16" w:lineRule="exact"/>
              <w:ind w:left="665" w:right="0"/>
              <w:jc w:val="left"/>
              <w:rPr>
                <w:rFonts w:ascii="宋体" w:hAnsi="宋体" w:cs="宋体" w:eastAsia="宋体" w:hint="default"/>
                <w:sz w:val="18"/>
                <w:szCs w:val="18"/>
              </w:rPr>
            </w:pPr>
            <w:r>
              <w:rPr>
                <w:rFonts w:ascii="宋体" w:hAnsi="宋体" w:cs="宋体" w:eastAsia="宋体" w:hint="default"/>
                <w:sz w:val="18"/>
                <w:szCs w:val="18"/>
              </w:rPr>
              <w:t>利率变动</w:t>
            </w:r>
          </w:p>
        </w:tc>
        <w:tc>
          <w:tcPr>
            <w:tcW w:w="2544"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本年</w:t>
            </w:r>
          </w:p>
        </w:tc>
        <w:tc>
          <w:tcPr>
            <w:tcW w:w="2859"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上年</w:t>
            </w:r>
          </w:p>
        </w:tc>
      </w:tr>
      <w:tr>
        <w:trPr>
          <w:trHeight w:val="270" w:hRule="exact"/>
        </w:trPr>
        <w:tc>
          <w:tcPr>
            <w:tcW w:w="2188"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浮动利率借款</w:t>
            </w:r>
          </w:p>
        </w:tc>
        <w:tc>
          <w:tcPr>
            <w:tcW w:w="2068"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增加</w:t>
            </w:r>
            <w:r>
              <w:rPr>
                <w:rFonts w:ascii="Times New Roman" w:hAnsi="Times New Roman" w:cs="Times New Roman" w:eastAsia="Times New Roman" w:hint="default"/>
                <w:sz w:val="18"/>
                <w:szCs w:val="18"/>
              </w:rPr>
              <w:t>1%</w:t>
            </w:r>
          </w:p>
        </w:tc>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431" w:right="0"/>
              <w:jc w:val="left"/>
              <w:rPr>
                <w:rFonts w:ascii="Times New Roman" w:hAnsi="Times New Roman" w:cs="Times New Roman" w:eastAsia="Times New Roman" w:hint="default"/>
                <w:sz w:val="18"/>
                <w:szCs w:val="18"/>
              </w:rPr>
            </w:pPr>
            <w:r>
              <w:rPr>
                <w:rFonts w:ascii="Times New Roman"/>
                <w:sz w:val="18"/>
              </w:rPr>
              <w:t>-44,863,624.15</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747" w:right="0"/>
              <w:jc w:val="left"/>
              <w:rPr>
                <w:rFonts w:ascii="Times New Roman" w:hAnsi="Times New Roman" w:cs="Times New Roman" w:eastAsia="Times New Roman" w:hint="default"/>
                <w:sz w:val="18"/>
                <w:szCs w:val="18"/>
              </w:rPr>
            </w:pPr>
            <w:r>
              <w:rPr>
                <w:rFonts w:ascii="Times New Roman"/>
                <w:sz w:val="18"/>
              </w:rPr>
              <w:t>-20,674,792.85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37" w:type="dxa"/>
        <w:tblLayout w:type="fixed"/>
        <w:tblCellMar>
          <w:top w:w="0" w:type="dxa"/>
          <w:left w:w="0" w:type="dxa"/>
          <w:bottom w:w="0" w:type="dxa"/>
          <w:right w:w="0" w:type="dxa"/>
        </w:tblCellMar>
        <w:tblLook w:val="01E0"/>
      </w:tblPr>
      <w:tblGrid>
        <w:gridCol w:w="2188"/>
        <w:gridCol w:w="2068"/>
        <w:gridCol w:w="2544"/>
        <w:gridCol w:w="2859"/>
      </w:tblGrid>
      <w:tr>
        <w:trPr>
          <w:trHeight w:val="269" w:hRule="exact"/>
        </w:trPr>
        <w:tc>
          <w:tcPr>
            <w:tcW w:w="2188"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浮动利率借款</w:t>
            </w:r>
          </w:p>
        </w:tc>
        <w:tc>
          <w:tcPr>
            <w:tcW w:w="2068"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减少</w:t>
            </w:r>
            <w:r>
              <w:rPr>
                <w:rFonts w:ascii="Times New Roman" w:hAnsi="Times New Roman" w:cs="Times New Roman" w:eastAsia="Times New Roman" w:hint="default"/>
                <w:sz w:val="18"/>
                <w:szCs w:val="18"/>
              </w:rPr>
              <w:t>1%</w:t>
            </w:r>
          </w:p>
        </w:tc>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491" w:right="0"/>
              <w:jc w:val="left"/>
              <w:rPr>
                <w:rFonts w:ascii="Times New Roman" w:hAnsi="Times New Roman" w:cs="Times New Roman" w:eastAsia="Times New Roman" w:hint="default"/>
                <w:sz w:val="18"/>
                <w:szCs w:val="18"/>
              </w:rPr>
            </w:pPr>
            <w:r>
              <w:rPr>
                <w:rFonts w:ascii="Times New Roman"/>
                <w:sz w:val="18"/>
              </w:rPr>
              <w:t>44,863,624.15</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807" w:right="0"/>
              <w:jc w:val="left"/>
              <w:rPr>
                <w:rFonts w:ascii="Times New Roman" w:hAnsi="Times New Roman" w:cs="Times New Roman" w:eastAsia="Times New Roman" w:hint="default"/>
                <w:sz w:val="18"/>
                <w:szCs w:val="18"/>
              </w:rPr>
            </w:pPr>
            <w:r>
              <w:rPr>
                <w:rFonts w:ascii="Times New Roman"/>
                <w:sz w:val="18"/>
              </w:rPr>
              <w:t>20,674,792.85</w:t>
            </w:r>
          </w:p>
        </w:tc>
      </w:tr>
    </w:tbl>
    <w:p>
      <w:pPr>
        <w:spacing w:line="240" w:lineRule="auto" w:before="12"/>
        <w:rPr>
          <w:rFonts w:ascii="宋体" w:hAnsi="宋体" w:cs="宋体" w:eastAsia="宋体" w:hint="default"/>
          <w:sz w:val="17"/>
          <w:szCs w:val="17"/>
        </w:rPr>
      </w:pPr>
    </w:p>
    <w:p>
      <w:pPr>
        <w:pStyle w:val="Heading2"/>
        <w:spacing w:line="240" w:lineRule="auto" w:before="26"/>
        <w:ind w:right="0"/>
        <w:jc w:val="left"/>
        <w:rPr>
          <w:b w:val="0"/>
          <w:bCs w:val="0"/>
        </w:rPr>
      </w:pPr>
      <w:bookmarkStart w:name="十一、公允价值的披露" w:id="352"/>
      <w:bookmarkEnd w:id="352"/>
      <w:r>
        <w:rPr>
          <w:b w:val="0"/>
          <w:bCs w:val="0"/>
        </w:rPr>
      </w:r>
      <w:r>
        <w:rPr/>
        <w:t>十一、公允价值的披露</w:t>
      </w:r>
      <w:r>
        <w:rPr>
          <w:b w:val="0"/>
          <w:bCs w:val="0"/>
        </w:rPr>
      </w:r>
    </w:p>
    <w:p>
      <w:pPr>
        <w:spacing w:line="240" w:lineRule="auto" w:before="2"/>
        <w:rPr>
          <w:rFonts w:ascii="宋体" w:hAnsi="宋体" w:cs="宋体" w:eastAsia="宋体" w:hint="default"/>
          <w:b/>
          <w:bCs/>
          <w:sz w:val="23"/>
          <w:szCs w:val="23"/>
        </w:rPr>
      </w:pPr>
    </w:p>
    <w:p>
      <w:pPr>
        <w:pStyle w:val="Heading3"/>
        <w:spacing w:line="240" w:lineRule="auto"/>
        <w:ind w:right="0"/>
        <w:jc w:val="left"/>
        <w:rPr>
          <w:b w:val="0"/>
          <w:bCs w:val="0"/>
        </w:rPr>
      </w:pPr>
      <w:bookmarkStart w:name="1、以公允价值计量的资产和负债的期末公允价值" w:id="353"/>
      <w:bookmarkEnd w:id="353"/>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2"/>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382"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58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215" w:hRule="exact"/>
        </w:trPr>
        <w:tc>
          <w:tcPr>
            <w:tcW w:w="19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8"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185" w:lineRule="exact"/>
              <w:ind w:left="10" w:right="0"/>
              <w:jc w:val="center"/>
              <w:rPr>
                <w:rFonts w:ascii="宋体" w:hAnsi="宋体" w:cs="宋体" w:eastAsia="宋体" w:hint="default"/>
                <w:sz w:val="18"/>
                <w:szCs w:val="18"/>
              </w:rPr>
            </w:pPr>
            <w:r>
              <w:rPr>
                <w:rFonts w:ascii="宋体" w:hAnsi="宋体" w:cs="宋体" w:eastAsia="宋体" w:hint="default"/>
                <w:sz w:val="18"/>
                <w:szCs w:val="18"/>
              </w:rPr>
              <w:t>第一层次公允价值计</w:t>
            </w:r>
          </w:p>
          <w:p>
            <w:pPr>
              <w:pStyle w:val="TableParagraph"/>
              <w:spacing w:line="235" w:lineRule="exact"/>
              <w:ind w:left="10" w:right="0"/>
              <w:jc w:val="center"/>
              <w:rPr>
                <w:rFonts w:ascii="宋体" w:hAnsi="宋体" w:cs="宋体" w:eastAsia="宋体" w:hint="default"/>
                <w:sz w:val="18"/>
                <w:szCs w:val="18"/>
              </w:rPr>
            </w:pPr>
            <w:r>
              <w:rPr>
                <w:rFonts w:ascii="宋体" w:hAnsi="宋体" w:cs="宋体" w:eastAsia="宋体" w:hint="default"/>
                <w:sz w:val="18"/>
                <w:szCs w:val="18"/>
              </w:rPr>
              <w:t>量</w:t>
            </w:r>
          </w:p>
        </w:tc>
        <w:tc>
          <w:tcPr>
            <w:tcW w:w="1913" w:type="dxa"/>
            <w:vMerge w:val="restart"/>
            <w:tcBorders>
              <w:top w:val="single" w:sz="51" w:space="0" w:color="D2D2D2"/>
              <w:left w:val="single" w:sz="9" w:space="0" w:color="D2D2D2"/>
              <w:right w:val="single" w:sz="9" w:space="0" w:color="D2D2D2"/>
            </w:tcBorders>
          </w:tcPr>
          <w:p>
            <w:pPr>
              <w:pStyle w:val="TableParagraph"/>
              <w:spacing w:line="240" w:lineRule="auto" w:before="10"/>
              <w:ind w:left="4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第二层次公允价值计量</w:t>
            </w:r>
            <w:r>
              <w:rPr>
                <w:rFonts w:ascii="宋体" w:hAnsi="宋体" w:cs="宋体" w:eastAsia="宋体" w:hint="default"/>
                <w:sz w:val="18"/>
                <w:szCs w:val="18"/>
              </w:rPr>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9"/>
              <w:ind w:left="51"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32" w:hRule="exact"/>
        </w:trPr>
        <w:tc>
          <w:tcPr>
            <w:tcW w:w="1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9" w:space="0" w:color="D2D2D2"/>
              <w:bottom w:val="single" w:sz="47" w:space="0" w:color="D2D2D2"/>
              <w:right w:val="single" w:sz="9" w:space="0" w:color="D2D2D2"/>
            </w:tcBorders>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369"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1"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10"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891"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891" w:right="0"/>
              <w:jc w:val="left"/>
              <w:rPr>
                <w:rFonts w:ascii="Times New Roman" w:hAnsi="Times New Roman" w:cs="Times New Roman" w:eastAsia="Times New Roman" w:hint="default"/>
                <w:sz w:val="18"/>
                <w:szCs w:val="18"/>
              </w:rPr>
            </w:pPr>
            <w:r>
              <w:rPr>
                <w:rFonts w:ascii="Times New Roman"/>
                <w:sz w:val="18"/>
              </w:rPr>
              <w:t>--</w:t>
            </w:r>
          </w:p>
        </w:tc>
      </w:tr>
      <w:tr>
        <w:trPr>
          <w:trHeight w:val="796"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8"/>
              <w:ind w:left="11" w:right="10"/>
              <w:jc w:val="left"/>
              <w:rPr>
                <w:rFonts w:ascii="宋体" w:hAnsi="宋体" w:cs="宋体" w:eastAsia="宋体" w:hint="default"/>
                <w:sz w:val="18"/>
                <w:szCs w:val="18"/>
              </w:rPr>
            </w:pPr>
            <w:r>
              <w:rPr>
                <w:rFonts w:ascii="宋体" w:hAnsi="宋体" w:cs="宋体" w:eastAsia="宋体" w:hint="default"/>
                <w:spacing w:val="-4"/>
                <w:sz w:val="18"/>
                <w:szCs w:val="18"/>
              </w:rPr>
              <w:t>（一）以公允价值计量且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变动计入当期损益的金 融资产</w:t>
            </w:r>
          </w:p>
        </w:tc>
        <w:tc>
          <w:tcPr>
            <w:tcW w:w="1850" w:type="dxa"/>
            <w:tcBorders>
              <w:top w:val="single" w:sz="5" w:space="0" w:color="D2D2D2"/>
              <w:left w:val="single" w:sz="13" w:space="0" w:color="D2D2D2"/>
              <w:bottom w:val="single" w:sz="4" w:space="0" w:color="000000"/>
              <w:right w:val="single" w:sz="4" w:space="0" w:color="000000"/>
            </w:tcBorders>
          </w:tcPr>
          <w:p>
            <w:pPr/>
          </w:p>
        </w:tc>
        <w:tc>
          <w:tcPr>
            <w:tcW w:w="1913" w:type="dxa"/>
            <w:tcBorders>
              <w:top w:val="single" w:sz="5" w:space="0" w:color="D2D2D2"/>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397,002.56</w:t>
            </w:r>
          </w:p>
        </w:tc>
        <w:tc>
          <w:tcPr>
            <w:tcW w:w="1913" w:type="dxa"/>
            <w:tcBorders>
              <w:top w:val="single" w:sz="5" w:space="0" w:color="D2D2D2"/>
              <w:left w:val="single" w:sz="4" w:space="0" w:color="000000"/>
              <w:bottom w:val="single" w:sz="4" w:space="0" w:color="000000"/>
              <w:right w:val="single" w:sz="4" w:space="0" w:color="000000"/>
            </w:tcBorders>
          </w:tcPr>
          <w:p>
            <w:pPr/>
          </w:p>
        </w:tc>
        <w:tc>
          <w:tcPr>
            <w:tcW w:w="1913" w:type="dxa"/>
            <w:tcBorders>
              <w:top w:val="single" w:sz="5" w:space="0" w:color="D2D2D2"/>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397,002.56</w:t>
            </w:r>
          </w:p>
        </w:tc>
      </w:tr>
      <w:tr>
        <w:trPr>
          <w:trHeight w:val="324"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交易性金融资产</w:t>
            </w:r>
          </w:p>
        </w:tc>
        <w:tc>
          <w:tcPr>
            <w:tcW w:w="1850"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397,002.56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397,002.56</w:t>
            </w:r>
          </w:p>
        </w:tc>
      </w:tr>
      <w:tr>
        <w:trPr>
          <w:trHeight w:val="32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）衍生金融资产</w:t>
            </w:r>
          </w:p>
        </w:tc>
        <w:tc>
          <w:tcPr>
            <w:tcW w:w="1850"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397,002.56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397,002.56</w:t>
            </w:r>
          </w:p>
        </w:tc>
      </w:tr>
      <w:tr>
        <w:trPr>
          <w:trHeight w:val="324"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pacing w:val="-4"/>
                <w:sz w:val="18"/>
                <w:szCs w:val="18"/>
              </w:rPr>
              <w:t>（二）可供出售金融资产</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23,795,074.50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23,795,074.50</w:t>
            </w:r>
          </w:p>
        </w:tc>
      </w:tr>
      <w:tr>
        <w:trPr>
          <w:trHeight w:val="32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）权益工具投资</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23,795,074.50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23,795,074.50</w:t>
            </w:r>
          </w:p>
        </w:tc>
      </w:tr>
      <w:tr>
        <w:trPr>
          <w:trHeight w:val="557"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1" w:right="148"/>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23,795,074.50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397,002.56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24,192,077.06</w:t>
            </w:r>
          </w:p>
        </w:tc>
      </w:tr>
      <w:tr>
        <w:trPr>
          <w:trHeight w:val="324"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（三）交易性金融负债</w:t>
            </w:r>
          </w:p>
        </w:tc>
        <w:tc>
          <w:tcPr>
            <w:tcW w:w="1850"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21,091,940.85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21,091,940.85</w:t>
            </w:r>
          </w:p>
        </w:tc>
      </w:tr>
      <w:tr>
        <w:trPr>
          <w:trHeight w:val="32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其中：衍生金融负债</w:t>
            </w:r>
          </w:p>
        </w:tc>
        <w:tc>
          <w:tcPr>
            <w:tcW w:w="1850"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21,091,940.85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21,091,940.85</w:t>
            </w:r>
          </w:p>
        </w:tc>
      </w:tr>
      <w:tr>
        <w:trPr>
          <w:trHeight w:val="62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148"/>
              <w:jc w:val="left"/>
              <w:rPr>
                <w:rFonts w:ascii="宋体" w:hAnsi="宋体" w:cs="宋体" w:eastAsia="宋体" w:hint="default"/>
                <w:sz w:val="18"/>
                <w:szCs w:val="18"/>
              </w:rPr>
            </w:pPr>
            <w:r>
              <w:rPr>
                <w:rFonts w:ascii="宋体" w:hAnsi="宋体" w:cs="宋体" w:eastAsia="宋体" w:hint="default"/>
                <w:sz w:val="18"/>
                <w:szCs w:val="18"/>
              </w:rPr>
              <w:t>持续以公允价值计量的 负债总额</w:t>
            </w:r>
          </w:p>
        </w:tc>
        <w:tc>
          <w:tcPr>
            <w:tcW w:w="1850" w:type="dxa"/>
            <w:tcBorders>
              <w:top w:val="single" w:sz="4" w:space="0" w:color="000000"/>
              <w:left w:val="single" w:sz="13" w:space="0" w:color="D2D2D2"/>
              <w:bottom w:val="single" w:sz="56" w:space="0" w:color="D2D2D2"/>
              <w:right w:val="single" w:sz="4" w:space="0" w:color="000000"/>
            </w:tcBorders>
          </w:tcPr>
          <w:p>
            <w:pPr/>
          </w:p>
        </w:tc>
        <w:tc>
          <w:tcPr>
            <w:tcW w:w="1913" w:type="dxa"/>
            <w:tcBorders>
              <w:top w:val="single" w:sz="4" w:space="0" w:color="000000"/>
              <w:left w:val="single" w:sz="4" w:space="0" w:color="000000"/>
              <w:bottom w:val="single" w:sz="56" w:space="0" w:color="D2D2D2"/>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21,091,940.85</w:t>
            </w:r>
          </w:p>
        </w:tc>
        <w:tc>
          <w:tcPr>
            <w:tcW w:w="1913" w:type="dxa"/>
            <w:tcBorders>
              <w:top w:val="single" w:sz="4" w:space="0" w:color="000000"/>
              <w:left w:val="single" w:sz="4" w:space="0" w:color="000000"/>
              <w:bottom w:val="single" w:sz="56" w:space="0" w:color="D2D2D2"/>
              <w:right w:val="single" w:sz="4" w:space="0" w:color="000000"/>
            </w:tcBorders>
          </w:tcPr>
          <w:p>
            <w:pPr/>
          </w:p>
        </w:tc>
        <w:tc>
          <w:tcPr>
            <w:tcW w:w="1913" w:type="dxa"/>
            <w:tcBorders>
              <w:top w:val="single" w:sz="4" w:space="0" w:color="000000"/>
              <w:left w:val="single" w:sz="4" w:space="0" w:color="000000"/>
              <w:bottom w:val="single" w:sz="56" w:space="0" w:color="D2D2D2"/>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21,091,940.85</w:t>
            </w:r>
          </w:p>
        </w:tc>
      </w:tr>
      <w:tr>
        <w:trPr>
          <w:trHeight w:val="427"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0" w:lineRule="exact"/>
              <w:ind w:left="11" w:right="0"/>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量</w:t>
            </w:r>
          </w:p>
        </w:tc>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0"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891"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891"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宋体" w:hAnsi="宋体" w:cs="宋体" w:eastAsia="宋体" w:hint="default"/>
          <w:sz w:val="22"/>
          <w:szCs w:val="22"/>
        </w:rPr>
      </w:pPr>
    </w:p>
    <w:p>
      <w:pPr>
        <w:pStyle w:val="Heading3"/>
        <w:spacing w:line="240" w:lineRule="auto" w:before="35"/>
        <w:ind w:right="0"/>
        <w:jc w:val="left"/>
        <w:rPr>
          <w:b w:val="0"/>
          <w:bCs w:val="0"/>
        </w:rPr>
      </w:pPr>
      <w:bookmarkStart w:name="2、持续和非持续第一层次公允价值计量项目市价的确定依据" w:id="354"/>
      <w:bookmarkEnd w:id="354"/>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12"/>
        <w:rPr>
          <w:rFonts w:ascii="宋体" w:hAnsi="宋体" w:cs="宋体" w:eastAsia="宋体" w:hint="default"/>
          <w:b/>
          <w:bCs/>
          <w:sz w:val="23"/>
          <w:szCs w:val="23"/>
        </w:rPr>
      </w:pPr>
    </w:p>
    <w:p>
      <w:pPr>
        <w:pStyle w:val="BodyText"/>
        <w:spacing w:line="232" w:lineRule="exact"/>
        <w:ind w:right="0" w:firstLine="360"/>
        <w:jc w:val="left"/>
      </w:pPr>
      <w:r>
        <w:rPr>
          <w:spacing w:val="-2"/>
        </w:rPr>
        <w:t>本公司以第一层次公允价值计量的项目系公司持有的神州控股的股票，年末公允价值以其在</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月最后一个交易日</w:t>
      </w:r>
      <w:r>
        <w:rPr/>
        <w:t> 的收盘价确定。</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bookmarkStart w:name="3、持续和非持续第二层次公允价值计量项目，采用的估值技术和重要参数的定性及定量信" w:id="355"/>
      <w:bookmarkEnd w:id="355"/>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2"/>
        <w:rPr>
          <w:rFonts w:ascii="宋体" w:hAnsi="宋体" w:cs="宋体" w:eastAsia="宋体" w:hint="default"/>
          <w:b/>
          <w:bCs/>
          <w:sz w:val="22"/>
          <w:szCs w:val="22"/>
        </w:rPr>
      </w:pPr>
    </w:p>
    <w:p>
      <w:pPr>
        <w:pStyle w:val="BodyText"/>
        <w:spacing w:line="237" w:lineRule="auto"/>
        <w:ind w:right="1032" w:firstLine="360"/>
        <w:jc w:val="left"/>
      </w:pPr>
      <w:r>
        <w:rPr/>
        <w:t>本公司的财务部门由主管财务工作的总经理领导，负责制定金融工具公允价值计量的政策和程序。每个资产负债表日， </w:t>
      </w:r>
      <w:r>
        <w:rPr>
          <w:spacing w:val="-2"/>
        </w:rPr>
        <w:t>财务部门从金融机构或第三方机构取得金融工具的公允价值，经财务部总经理审核批准，按照金融机构或第三方机构出具的</w:t>
      </w:r>
      <w:r>
        <w:rPr>
          <w:spacing w:val="-64"/>
        </w:rPr>
        <w:t> </w:t>
      </w:r>
      <w:r>
        <w:rPr>
          <w:spacing w:val="-64"/>
        </w:rPr>
      </w:r>
      <w:r>
        <w:rPr/>
        <w:t>公允值确认。出于年度财务报表目的，每年一次与审计委员会讨论估值流程和结果。</w:t>
      </w:r>
    </w:p>
    <w:p>
      <w:pPr>
        <w:pStyle w:val="BodyText"/>
        <w:spacing w:line="234" w:lineRule="exact" w:before="20"/>
        <w:ind w:right="1032" w:firstLine="360"/>
        <w:jc w:val="left"/>
      </w:pPr>
      <w:r>
        <w:rPr/>
        <w:t>金融资产和金融负债的公允价值，以在公平交易中，熟悉情况的交易双方自愿进行资产交换或者债务清偿的金额确定， 而不是被迫出售或清算情况下的金额。</w:t>
      </w:r>
    </w:p>
    <w:p>
      <w:pPr>
        <w:pStyle w:val="BodyText"/>
        <w:spacing w:line="211" w:lineRule="exact"/>
        <w:ind w:left="514" w:right="0"/>
        <w:jc w:val="left"/>
      </w:pPr>
      <w:r>
        <w:rPr/>
        <w:t>本公司与多个交易对手（主要是有着较高信用评级的金融机构）订立了衍生金融工具合约。衍生金融工具，为远期外汇</w:t>
      </w:r>
    </w:p>
    <w:p>
      <w:pPr>
        <w:pStyle w:val="BodyText"/>
        <w:spacing w:line="237" w:lineRule="auto" w:before="1"/>
        <w:ind w:right="1032"/>
        <w:jc w:val="left"/>
      </w:pPr>
      <w:r>
        <w:rPr/>
        <w:t>合同，采用类似于远期定价模型的估值技术进行计量。模型涵盖了多个市场可观察到的输入值，包括交易对手的信用等级、</w:t>
      </w:r>
      <w:r>
        <w:rPr>
          <w:spacing w:val="-85"/>
        </w:rPr>
        <w:t> </w:t>
      </w:r>
      <w:r>
        <w:rPr>
          <w:spacing w:val="-85"/>
        </w:rPr>
      </w:r>
      <w:r>
        <w:rPr>
          <w:spacing w:val="-2"/>
        </w:rPr>
        <w:t>即期和远期汇率和利率曲线。远期外汇合同的账面价值，与公允价值相同。于各报告期内，衍生金融资产的盯市价值，是抵</w:t>
      </w:r>
      <w:r>
        <w:rPr>
          <w:spacing w:val="-66"/>
        </w:rPr>
        <w:t> </w:t>
      </w:r>
      <w:r>
        <w:rPr>
          <w:spacing w:val="-66"/>
        </w:rPr>
      </w:r>
      <w:r>
        <w:rPr>
          <w:spacing w:val="-2"/>
        </w:rPr>
        <w:t>销了归属于衍生工具交易对手违约风险的信用估值调整之后的净值。交易对手信用风险的变化，对于套期关系中指定衍生工</w:t>
      </w:r>
      <w:r>
        <w:rPr>
          <w:spacing w:val="-64"/>
        </w:rPr>
        <w:t> </w:t>
      </w:r>
      <w:r>
        <w:rPr>
          <w:spacing w:val="-64"/>
        </w:rPr>
      </w:r>
      <w:r>
        <w:rPr/>
        <w:t>具的套期有效性的评价和其他以公允价值计量的金融工具，均无重大影响。</w:t>
      </w:r>
    </w:p>
    <w:p>
      <w:pPr>
        <w:spacing w:line="240" w:lineRule="auto" w:before="2"/>
        <w:rPr>
          <w:rFonts w:ascii="宋体" w:hAnsi="宋体" w:cs="宋体" w:eastAsia="宋体" w:hint="default"/>
          <w:sz w:val="22"/>
          <w:szCs w:val="22"/>
        </w:rPr>
      </w:pPr>
    </w:p>
    <w:p>
      <w:pPr>
        <w:spacing w:line="475" w:lineRule="auto" w:before="0"/>
        <w:ind w:left="154" w:right="8102" w:firstLine="0"/>
        <w:jc w:val="left"/>
        <w:rPr>
          <w:rFonts w:ascii="宋体" w:hAnsi="宋体" w:cs="宋体" w:eastAsia="宋体" w:hint="default"/>
          <w:sz w:val="18"/>
          <w:szCs w:val="18"/>
        </w:rPr>
      </w:pPr>
      <w:bookmarkStart w:name="十二、关联方及关联交易" w:id="356"/>
      <w:bookmarkEnd w:id="356"/>
      <w:r>
        <w:rPr/>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bookmarkStart w:name="1、本企业的母公司情况" w:id="357"/>
      <w:bookmarkEnd w:id="35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b/>
          <w:bCs/>
          <w:w w:val="99"/>
          <w:sz w:val="21"/>
          <w:szCs w:val="21"/>
        </w:rPr>
        <w:t> </w:t>
      </w:r>
      <w:r>
        <w:rPr>
          <w:rFonts w:ascii="宋体" w:hAnsi="宋体" w:cs="宋体" w:eastAsia="宋体" w:hint="default"/>
          <w:sz w:val="18"/>
          <w:szCs w:val="18"/>
        </w:rPr>
        <w:t>本企业最终控制方是郭为先生。</w:t>
      </w:r>
    </w:p>
    <w:p>
      <w:pPr>
        <w:spacing w:after="0" w:line="475"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sz w:val="18"/>
          <w:szCs w:val="18"/>
        </w:rPr>
      </w:pPr>
    </w:p>
    <w:p>
      <w:pPr>
        <w:pStyle w:val="BodyText"/>
        <w:spacing w:line="240" w:lineRule="auto" w:before="44"/>
        <w:ind w:right="0"/>
        <w:jc w:val="left"/>
      </w:pPr>
      <w:r>
        <w:rPr/>
        <w:t>其他说明：</w:t>
      </w:r>
    </w:p>
    <w:p>
      <w:pPr>
        <w:pStyle w:val="BodyText"/>
        <w:spacing w:line="240" w:lineRule="auto" w:before="38"/>
        <w:ind w:right="0"/>
        <w:jc w:val="left"/>
      </w:pPr>
      <w:r>
        <w:rPr/>
        <w:t>（</w:t>
      </w:r>
      <w:r>
        <w:rPr>
          <w:rFonts w:ascii="Times New Roman" w:hAnsi="Times New Roman" w:cs="Times New Roman" w:eastAsia="Times New Roman" w:hint="default"/>
        </w:rPr>
        <w:t>1</w:t>
      </w:r>
      <w:r>
        <w:rPr/>
        <w:t>）控股股东的所持股份或权益及其变化</w:t>
      </w:r>
    </w:p>
    <w:tbl>
      <w:tblPr>
        <w:tblW w:w="0" w:type="auto"/>
        <w:jc w:val="left"/>
        <w:tblInd w:w="137" w:type="dxa"/>
        <w:tblLayout w:type="fixed"/>
        <w:tblCellMar>
          <w:top w:w="0" w:type="dxa"/>
          <w:left w:w="0" w:type="dxa"/>
          <w:bottom w:w="0" w:type="dxa"/>
          <w:right w:w="0" w:type="dxa"/>
        </w:tblCellMar>
        <w:tblLook w:val="01E0"/>
      </w:tblPr>
      <w:tblGrid>
        <w:gridCol w:w="3299"/>
        <w:gridCol w:w="3021"/>
        <w:gridCol w:w="3339"/>
      </w:tblGrid>
      <w:tr>
        <w:trPr>
          <w:trHeight w:val="271" w:hRule="exact"/>
        </w:trPr>
        <w:tc>
          <w:tcPr>
            <w:tcW w:w="3299" w:type="dxa"/>
            <w:tcBorders>
              <w:top w:val="single" w:sz="6" w:space="0" w:color="000000"/>
              <w:left w:val="single" w:sz="6" w:space="0" w:color="000000"/>
              <w:bottom w:val="single" w:sz="8" w:space="0" w:color="000000"/>
              <w:right w:val="single" w:sz="6" w:space="0" w:color="000000"/>
            </w:tcBorders>
            <w:shd w:val="clear" w:color="auto" w:fill="D0CECE"/>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3021" w:type="dxa"/>
            <w:tcBorders>
              <w:top w:val="single" w:sz="6" w:space="0" w:color="000000"/>
              <w:left w:val="single" w:sz="6" w:space="0" w:color="000000"/>
              <w:bottom w:val="single" w:sz="8" w:space="0" w:color="000000"/>
              <w:right w:val="single" w:sz="6" w:space="0" w:color="000000"/>
            </w:tcBorders>
            <w:shd w:val="clear" w:color="auto" w:fill="D0CECE"/>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持股数量</w:t>
            </w:r>
          </w:p>
        </w:tc>
        <w:tc>
          <w:tcPr>
            <w:tcW w:w="3339" w:type="dxa"/>
            <w:tcBorders>
              <w:top w:val="single" w:sz="6" w:space="0" w:color="000000"/>
              <w:left w:val="single" w:sz="6" w:space="0" w:color="000000"/>
              <w:bottom w:val="single" w:sz="8" w:space="0" w:color="000000"/>
              <w:right w:val="single" w:sz="6" w:space="0" w:color="000000"/>
            </w:tcBorders>
            <w:shd w:val="clear" w:color="auto" w:fill="D0CECE"/>
          </w:tcPr>
          <w:p>
            <w:pPr>
              <w:pStyle w:val="TableParagraph"/>
              <w:spacing w:line="230" w:lineRule="exact"/>
              <w:ind w:left="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75" w:hRule="exact"/>
        </w:trPr>
        <w:tc>
          <w:tcPr>
            <w:tcW w:w="3299" w:type="dxa"/>
            <w:tcBorders>
              <w:top w:val="single" w:sz="8" w:space="0" w:color="000000"/>
              <w:left w:val="single" w:sz="6" w:space="0" w:color="000000"/>
              <w:bottom w:val="single" w:sz="8" w:space="0" w:color="000000"/>
              <w:right w:val="single" w:sz="6"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302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
              <w:ind w:left="2" w:right="0"/>
              <w:jc w:val="left"/>
              <w:rPr>
                <w:rFonts w:ascii="Times New Roman" w:hAnsi="Times New Roman" w:cs="Times New Roman" w:eastAsia="Times New Roman" w:hint="default"/>
                <w:sz w:val="18"/>
                <w:szCs w:val="18"/>
              </w:rPr>
            </w:pPr>
            <w:r>
              <w:rPr>
                <w:rFonts w:ascii="Times New Roman"/>
                <w:sz w:val="18"/>
              </w:rPr>
              <w:t>154,777,803.00</w:t>
            </w:r>
          </w:p>
        </w:tc>
        <w:tc>
          <w:tcPr>
            <w:tcW w:w="333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
              <w:ind w:left="3" w:right="0"/>
              <w:jc w:val="left"/>
              <w:rPr>
                <w:rFonts w:ascii="Times New Roman" w:hAnsi="Times New Roman" w:cs="Times New Roman" w:eastAsia="Times New Roman" w:hint="default"/>
                <w:sz w:val="18"/>
                <w:szCs w:val="18"/>
              </w:rPr>
            </w:pPr>
            <w:r>
              <w:rPr>
                <w:rFonts w:ascii="Times New Roman"/>
                <w:sz w:val="18"/>
              </w:rPr>
              <w:t>23.66</w:t>
            </w:r>
          </w:p>
        </w:tc>
      </w:tr>
    </w:tbl>
    <w:p>
      <w:pPr>
        <w:spacing w:line="240" w:lineRule="auto" w:before="8"/>
        <w:rPr>
          <w:rFonts w:ascii="宋体" w:hAnsi="宋体" w:cs="宋体" w:eastAsia="宋体" w:hint="default"/>
          <w:sz w:val="18"/>
          <w:szCs w:val="18"/>
        </w:rPr>
      </w:pPr>
    </w:p>
    <w:p>
      <w:pPr>
        <w:spacing w:line="491" w:lineRule="auto" w:before="35"/>
        <w:ind w:left="154" w:right="2332" w:firstLine="0"/>
        <w:jc w:val="left"/>
        <w:rPr>
          <w:rFonts w:ascii="宋体" w:hAnsi="宋体" w:cs="宋体" w:eastAsia="宋体" w:hint="default"/>
          <w:sz w:val="21"/>
          <w:szCs w:val="21"/>
        </w:rPr>
      </w:pPr>
      <w:bookmarkStart w:name="2、本企业的子公司情况" w:id="358"/>
      <w:bookmarkEnd w:id="35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九、在其他主体中的权益</w:t>
      </w:r>
      <w:r>
        <w:rPr>
          <w:rFonts w:ascii="Times New Roman" w:hAnsi="Times New Roman" w:cs="Times New Roman" w:eastAsia="Times New Roman" w:hint="default"/>
          <w:sz w:val="18"/>
          <w:szCs w:val="18"/>
        </w:rPr>
        <w:t>”</w:t>
      </w:r>
      <w:r>
        <w:rPr>
          <w:rFonts w:ascii="宋体" w:hAnsi="宋体" w:cs="宋体" w:eastAsia="宋体" w:hint="default"/>
          <w:sz w:val="18"/>
          <w:szCs w:val="18"/>
        </w:rPr>
        <w:t>之</w:t>
      </w:r>
      <w:r>
        <w:rPr>
          <w:rFonts w:ascii="Times New Roman" w:hAnsi="Times New Roman" w:cs="Times New Roman" w:eastAsia="Times New Roman" w:hint="default"/>
          <w:sz w:val="18"/>
          <w:szCs w:val="18"/>
        </w:rPr>
        <w:t>“1</w:t>
      </w:r>
      <w:r>
        <w:rPr>
          <w:rFonts w:ascii="宋体" w:hAnsi="宋体" w:cs="宋体" w:eastAsia="宋体" w:hint="default"/>
          <w:sz w:val="18"/>
          <w:szCs w:val="18"/>
        </w:rPr>
        <w:t>、在子公司中的权益（</w:t>
      </w:r>
      <w:r>
        <w:rPr>
          <w:rFonts w:ascii="Times New Roman" w:hAnsi="Times New Roman" w:cs="Times New Roman" w:eastAsia="Times New Roman" w:hint="default"/>
          <w:sz w:val="18"/>
          <w:szCs w:val="18"/>
        </w:rPr>
        <w:t>1</w:t>
      </w:r>
      <w:r>
        <w:rPr>
          <w:rFonts w:ascii="宋体" w:hAnsi="宋体" w:cs="宋体" w:eastAsia="宋体" w:hint="default"/>
          <w:sz w:val="18"/>
          <w:szCs w:val="18"/>
        </w:rPr>
        <w:t>）企业集团的构成</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bookmarkStart w:name="3、本企业合营和联营企业情况" w:id="359"/>
      <w:bookmarkEnd w:id="359"/>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232" w:lineRule="exact" w:before="68"/>
        <w:ind w:right="1188" w:firstLine="360"/>
        <w:jc w:val="left"/>
      </w:pPr>
      <w:r>
        <w:rPr/>
        <w:t>本企业重要的合营或联营企业详见附注</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之</w:t>
      </w:r>
      <w:r>
        <w:rPr>
          <w:spacing w:val="-46"/>
        </w:rPr>
        <w:t> </w:t>
      </w:r>
      <w:r>
        <w:rPr>
          <w:rFonts w:ascii="Times New Roman" w:hAnsi="Times New Roman" w:cs="Times New Roman" w:eastAsia="Times New Roman" w:hint="default"/>
        </w:rPr>
        <w:t>2</w:t>
      </w:r>
      <w:r>
        <w:rPr/>
        <w:t>、在合营安排或联营企业中的权益（</w:t>
      </w:r>
      <w:r>
        <w:rPr>
          <w:rFonts w:ascii="Times New Roman" w:hAnsi="Times New Roman" w:cs="Times New Roman" w:eastAsia="Times New Roman" w:hint="default"/>
        </w:rPr>
        <w:t>1</w:t>
      </w:r>
      <w:r>
        <w:rPr/>
        <w:t>）重要合 营企业或联营企业。</w:t>
      </w:r>
    </w:p>
    <w:p>
      <w:pPr>
        <w:pStyle w:val="BodyText"/>
        <w:spacing w:line="240" w:lineRule="auto" w:before="17"/>
        <w:ind w:left="514" w:right="0"/>
        <w:jc w:val="left"/>
      </w:pPr>
      <w:r>
        <w:rPr/>
        <w:t>本期与本公司发生关联方交易，或前期与本公司发生关联方交易形成余额的其他合营或联营企业情况如下：</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6914"/>
        <w:gridCol w:w="2655"/>
      </w:tblGrid>
      <w:tr>
        <w:trPr>
          <w:trHeight w:val="323" w:hRule="exact"/>
        </w:trPr>
        <w:tc>
          <w:tcPr>
            <w:tcW w:w="6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82" w:right="0"/>
              <w:jc w:val="left"/>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323" w:hRule="exact"/>
        </w:trPr>
        <w:tc>
          <w:tcPr>
            <w:tcW w:w="6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成都神州数码索贝科技有限公司（及其子公司北京神州数码索贝科技有限公司</w:t>
            </w:r>
            <w:r>
              <w:rPr>
                <w:rFonts w:ascii="宋体" w:hAnsi="宋体" w:cs="宋体" w:eastAsia="宋体" w:hint="default"/>
                <w:spacing w:val="-90"/>
                <w:sz w:val="18"/>
                <w:szCs w:val="18"/>
              </w:rPr>
              <w:t>）</w:t>
            </w:r>
            <w:r>
              <w:rPr>
                <w:rFonts w:ascii="宋体" w:hAnsi="宋体" w:cs="宋体" w:eastAsia="宋体" w:hint="default"/>
                <w:sz w:val="18"/>
                <w:szCs w:val="18"/>
              </w:rPr>
              <w:t>（注）</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r>
      <w:tr>
        <w:trPr>
          <w:trHeight w:val="324" w:hRule="exact"/>
        </w:trPr>
        <w:tc>
          <w:tcPr>
            <w:tcW w:w="6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北京神州数码置业发展有限公司</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r>
      <w:tr>
        <w:trPr>
          <w:trHeight w:val="323" w:hRule="exact"/>
        </w:trPr>
        <w:tc>
          <w:tcPr>
            <w:tcW w:w="6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北京胜多商贸有限责任公司</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联营企业的子公司</w:t>
            </w:r>
          </w:p>
        </w:tc>
      </w:tr>
      <w:tr>
        <w:trPr>
          <w:trHeight w:val="324" w:hRule="exact"/>
        </w:trPr>
        <w:tc>
          <w:tcPr>
            <w:tcW w:w="6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西安迪信通电子通讯技术有限公司</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联营企业的子公司</w:t>
            </w:r>
          </w:p>
        </w:tc>
      </w:tr>
      <w:tr>
        <w:trPr>
          <w:trHeight w:val="323" w:hRule="exact"/>
        </w:trPr>
        <w:tc>
          <w:tcPr>
            <w:tcW w:w="6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北京今易通达通讯设备维修有限公司</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联营企业的子公司</w:t>
            </w:r>
          </w:p>
        </w:tc>
      </w:tr>
      <w:tr>
        <w:trPr>
          <w:trHeight w:val="324" w:hRule="exact"/>
        </w:trPr>
        <w:tc>
          <w:tcPr>
            <w:tcW w:w="6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神州顶联科技有限公司</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pStyle w:val="BodyText"/>
        <w:spacing w:line="278" w:lineRule="auto" w:before="10"/>
        <w:ind w:right="4362"/>
        <w:jc w:val="left"/>
      </w:pPr>
      <w:r>
        <w:rPr/>
        <w:t>其他说明 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月以后，成都神州数码索贝科技有限公司不再为本公司的合营企业。</w:t>
      </w:r>
    </w:p>
    <w:p>
      <w:pPr>
        <w:spacing w:line="240" w:lineRule="auto" w:before="13"/>
        <w:rPr>
          <w:rFonts w:ascii="宋体" w:hAnsi="宋体" w:cs="宋体" w:eastAsia="宋体" w:hint="default"/>
          <w:sz w:val="18"/>
          <w:szCs w:val="18"/>
        </w:rPr>
      </w:pPr>
    </w:p>
    <w:p>
      <w:pPr>
        <w:pStyle w:val="Heading3"/>
        <w:spacing w:line="240" w:lineRule="auto"/>
        <w:ind w:right="0"/>
        <w:jc w:val="left"/>
        <w:rPr>
          <w:b w:val="0"/>
          <w:bCs w:val="0"/>
        </w:rPr>
      </w:pPr>
      <w:bookmarkStart w:name="4、其他关联方情况" w:id="360"/>
      <w:bookmarkEnd w:id="360"/>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4"/>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32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北京科捷物流有限公司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深圳科捷物流有限公司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上海科捷物流有限公司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西安科捷物流有限公司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Instant Technology Supply Chain Hong Kong</w:t>
            </w:r>
            <w:r>
              <w:rPr>
                <w:rFonts w:ascii="Times New Roman"/>
                <w:spacing w:val="-27"/>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辽宁智慧山水城科技发展有限公司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神州数码系统集成服务有限公司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北京神州数码科捷技术服务有限公司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深圳科捷电商供应链有限公司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智慧神州（北京）科技有限公司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昆山神州数码实业有限公司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北京科捷智云技术服务有限公司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北京神州众腾科技发展有限公司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神州数码信息系统有限公司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神州数码金信科技股份有限公司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辽宁科捷物流有限公司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神州数码融信软件有限公司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北京中农信达信息技术有限公司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32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西安神州数码网络小额贷款有限公司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贵州筑民生运营服务有限公司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神州数码融信云技术服务有限公司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广州智慧神州科技有限公司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杨凌农业云服务有限公司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Digital China Advanced Systems</w:t>
            </w:r>
            <w:r>
              <w:rPr>
                <w:rFonts w:ascii="Times New Roman"/>
                <w:spacing w:val="-19"/>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天津神州数码融资租赁有限公司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神州灵云（北京）科技有限公司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北京神州数码锐行快捷信息技术服务有限公司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智慧神州（福建）信息技术有限公司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神州数码（上海）资产管理有限公司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北京因特睿软件有限公司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上海神州数码信息技术服务有限公司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广州神州金信电子科技有限公司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Digital China Financial Service Holding</w:t>
            </w:r>
            <w:r>
              <w:rPr>
                <w:rFonts w:ascii="Times New Roman"/>
                <w:spacing w:val="-9"/>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神州数码软件有限公司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神州惠云信息技术有限公司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神州投资有限公司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神州数码商业保理有限责任公司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神州数码（武汉）科技园有限公司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南京神州金信电子科技有限公司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神州企橙（北京）科技有限公司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西安神州数码实业有限公司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神州数码（重庆）信息科技有限公司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神州数码（南京）信息科技有限公司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pacing w:val="-3"/>
                <w:sz w:val="18"/>
              </w:rPr>
              <w:t>DIGITAL </w:t>
            </w:r>
            <w:r>
              <w:rPr>
                <w:rFonts w:ascii="Times New Roman"/>
                <w:sz w:val="18"/>
              </w:rPr>
              <w:t>CHINA HOLDINGS </w:t>
            </w:r>
            <w:r>
              <w:rPr>
                <w:rFonts w:ascii="Times New Roman"/>
                <w:spacing w:val="-6"/>
                <w:sz w:val="18"/>
              </w:rPr>
              <w:t>LTD</w:t>
            </w:r>
            <w:r>
              <w:rPr>
                <w:rFonts w:ascii="Times New Roman"/>
                <w:spacing w:val="-11"/>
                <w:sz w:val="18"/>
              </w:rPr>
              <w:t> </w:t>
            </w:r>
            <w:r>
              <w:rPr>
                <w:rFonts w:ascii="Times New Roman"/>
                <w:sz w:val="18"/>
              </w:rPr>
              <w:t>BERMUDA</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神州数码控股有限公司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深圳神州普惠信息有限公司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神州数码金融服务（深圳）有限公司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深圳神州惠众科技有限公司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pStyle w:val="BodyText"/>
        <w:spacing w:line="278" w:lineRule="auto" w:before="10"/>
        <w:ind w:right="1003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5、关联交易情况" w:id="361"/>
      <w:bookmarkEnd w:id="361"/>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bookmarkStart w:name="（1）购销商品、提供和接受劳务的关联交易" w:id="362"/>
      <w:bookmarkEnd w:id="362"/>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25"/>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323"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8"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65"/>
              <w:jc w:val="left"/>
              <w:rPr>
                <w:rFonts w:ascii="宋体" w:hAnsi="宋体" w:cs="宋体" w:eastAsia="宋体" w:hint="default"/>
                <w:sz w:val="18"/>
                <w:szCs w:val="18"/>
              </w:rPr>
            </w:pPr>
            <w:r>
              <w:rPr>
                <w:rFonts w:ascii="宋体" w:hAnsi="宋体" w:cs="宋体" w:eastAsia="宋体" w:hint="default"/>
                <w:sz w:val="18"/>
                <w:szCs w:val="18"/>
              </w:rPr>
              <w:t>北京神州数码科捷 技术服务有限公司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10" w:right="0"/>
              <w:jc w:val="left"/>
              <w:rPr>
                <w:rFonts w:ascii="Times New Roman" w:hAnsi="Times New Roman" w:cs="Times New Roman" w:eastAsia="Times New Roman" w:hint="default"/>
                <w:sz w:val="18"/>
                <w:szCs w:val="18"/>
              </w:rPr>
            </w:pPr>
            <w:r>
              <w:rPr>
                <w:rFonts w:ascii="Times New Roman"/>
                <w:sz w:val="18"/>
              </w:rPr>
              <w:t>733,084.30</w:t>
            </w:r>
          </w:p>
        </w:tc>
        <w:tc>
          <w:tcPr>
            <w:tcW w:w="17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3"/>
              <w:ind w:left="639" w:right="0"/>
              <w:jc w:val="left"/>
              <w:rPr>
                <w:rFonts w:ascii="Times New Roman" w:hAnsi="Times New Roman" w:cs="Times New Roman" w:eastAsia="Times New Roman" w:hint="default"/>
                <w:sz w:val="18"/>
                <w:szCs w:val="18"/>
              </w:rPr>
            </w:pPr>
            <w:r>
              <w:rPr>
                <w:rFonts w:ascii="Times New Roman"/>
                <w:sz w:val="18"/>
              </w:rPr>
              <w:t>40,000,000.00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29" w:right="0"/>
              <w:jc w:val="left"/>
              <w:rPr>
                <w:rFonts w:ascii="Times New Roman" w:hAnsi="Times New Roman" w:cs="Times New Roman" w:eastAsia="Times New Roman" w:hint="default"/>
                <w:sz w:val="18"/>
                <w:szCs w:val="18"/>
              </w:rPr>
            </w:pPr>
            <w:r>
              <w:rPr>
                <w:rFonts w:ascii="Times New Roman"/>
                <w:sz w:val="18"/>
              </w:rPr>
              <w:t>1,433,823.69</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324"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7"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65"/>
              <w:jc w:val="left"/>
              <w:rPr>
                <w:rFonts w:ascii="宋体" w:hAnsi="宋体" w:cs="宋体" w:eastAsia="宋体" w:hint="default"/>
                <w:sz w:val="18"/>
                <w:szCs w:val="18"/>
              </w:rPr>
            </w:pPr>
            <w:r>
              <w:rPr>
                <w:rFonts w:ascii="宋体" w:hAnsi="宋体" w:cs="宋体" w:eastAsia="宋体" w:hint="default"/>
                <w:sz w:val="18"/>
                <w:szCs w:val="18"/>
              </w:rPr>
              <w:t>辽宁智慧山水城科 技发展有限公司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5,598,098.06</w:t>
            </w:r>
          </w:p>
        </w:tc>
        <w:tc>
          <w:tcPr>
            <w:tcW w:w="1706" w:type="dxa"/>
            <w:vMerge w:val="restart"/>
            <w:tcBorders>
              <w:top w:val="single" w:sz="4" w:space="0" w:color="000000"/>
              <w:left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12,874,430.99</w:t>
            </w:r>
          </w:p>
        </w:tc>
      </w:tr>
      <w:tr>
        <w:trPr>
          <w:trHeight w:val="557"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65"/>
              <w:jc w:val="left"/>
              <w:rPr>
                <w:rFonts w:ascii="宋体" w:hAnsi="宋体" w:cs="宋体" w:eastAsia="宋体" w:hint="default"/>
                <w:sz w:val="18"/>
                <w:szCs w:val="18"/>
              </w:rPr>
            </w:pPr>
            <w:r>
              <w:rPr>
                <w:rFonts w:ascii="宋体" w:hAnsi="宋体" w:cs="宋体" w:eastAsia="宋体" w:hint="default"/>
                <w:sz w:val="18"/>
                <w:szCs w:val="18"/>
              </w:rPr>
              <w:t>深圳科捷电商供应 链有限公司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706" w:type="dxa"/>
            <w:vMerge/>
            <w:tcBorders>
              <w:left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2,549.79</w:t>
            </w:r>
          </w:p>
        </w:tc>
      </w:tr>
      <w:tr>
        <w:trPr>
          <w:trHeight w:val="557"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65"/>
              <w:jc w:val="left"/>
              <w:rPr>
                <w:rFonts w:ascii="宋体" w:hAnsi="宋体" w:cs="宋体" w:eastAsia="宋体" w:hint="default"/>
                <w:sz w:val="18"/>
                <w:szCs w:val="18"/>
              </w:rPr>
            </w:pPr>
            <w:r>
              <w:rPr>
                <w:rFonts w:ascii="宋体" w:hAnsi="宋体" w:cs="宋体" w:eastAsia="宋体" w:hint="default"/>
                <w:sz w:val="18"/>
                <w:szCs w:val="18"/>
              </w:rPr>
              <w:t>北京科捷物流有限 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9,013,906.58</w:t>
            </w:r>
          </w:p>
        </w:tc>
        <w:tc>
          <w:tcPr>
            <w:tcW w:w="1706" w:type="dxa"/>
            <w:vMerge/>
            <w:tcBorders>
              <w:left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557"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65"/>
              <w:jc w:val="left"/>
              <w:rPr>
                <w:rFonts w:ascii="宋体" w:hAnsi="宋体" w:cs="宋体" w:eastAsia="宋体" w:hint="default"/>
                <w:sz w:val="18"/>
                <w:szCs w:val="18"/>
              </w:rPr>
            </w:pPr>
            <w:r>
              <w:rPr>
                <w:rFonts w:ascii="宋体" w:hAnsi="宋体" w:cs="宋体" w:eastAsia="宋体" w:hint="default"/>
                <w:sz w:val="18"/>
                <w:szCs w:val="18"/>
              </w:rPr>
              <w:t>北京神州数码科捷 技术服务有限公司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购买固定资产</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334,812.81</w:t>
            </w:r>
          </w:p>
        </w:tc>
        <w:tc>
          <w:tcPr>
            <w:tcW w:w="1706" w:type="dxa"/>
            <w:vMerge/>
            <w:tcBorders>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5,563,434.11</w:t>
            </w:r>
          </w:p>
        </w:tc>
      </w:tr>
      <w:tr>
        <w:trPr>
          <w:trHeight w:val="557"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65"/>
              <w:jc w:val="left"/>
              <w:rPr>
                <w:rFonts w:ascii="宋体" w:hAnsi="宋体" w:cs="宋体" w:eastAsia="宋体" w:hint="default"/>
                <w:sz w:val="18"/>
                <w:szCs w:val="18"/>
              </w:rPr>
            </w:pPr>
            <w:r>
              <w:rPr>
                <w:rFonts w:ascii="宋体" w:hAnsi="宋体" w:cs="宋体" w:eastAsia="宋体" w:hint="default"/>
                <w:sz w:val="18"/>
                <w:szCs w:val="18"/>
              </w:rPr>
              <w:t>神州顶联科技有限 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购买资产</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365,982.90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90"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65"/>
              <w:jc w:val="left"/>
              <w:rPr>
                <w:rFonts w:ascii="宋体" w:hAnsi="宋体" w:cs="宋体" w:eastAsia="宋体" w:hint="default"/>
                <w:sz w:val="18"/>
                <w:szCs w:val="18"/>
              </w:rPr>
            </w:pPr>
            <w:r>
              <w:rPr>
                <w:rFonts w:ascii="宋体" w:hAnsi="宋体" w:cs="宋体" w:eastAsia="宋体" w:hint="default"/>
                <w:sz w:val="18"/>
                <w:szCs w:val="18"/>
              </w:rPr>
              <w:t>北京科捷物流有限 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20"/>
              <w:jc w:val="left"/>
              <w:rPr>
                <w:rFonts w:ascii="宋体" w:hAnsi="宋体" w:cs="宋体" w:eastAsia="宋体" w:hint="default"/>
                <w:sz w:val="18"/>
                <w:szCs w:val="18"/>
              </w:rPr>
            </w:pPr>
            <w:r>
              <w:rPr>
                <w:rFonts w:ascii="宋体" w:hAnsi="宋体" w:cs="宋体" w:eastAsia="宋体" w:hint="default"/>
                <w:sz w:val="18"/>
                <w:szCs w:val="18"/>
              </w:rPr>
              <w:t>采购行政办公服 </w:t>
            </w:r>
            <w:r>
              <w:rPr>
                <w:rFonts w:ascii="宋体" w:hAnsi="宋体" w:cs="宋体" w:eastAsia="宋体" w:hint="default"/>
                <w:spacing w:val="-6"/>
                <w:sz w:val="18"/>
                <w:szCs w:val="18"/>
              </w:rPr>
              <w:t>务、货运服务及其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他</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161,147,002.62</w:t>
            </w:r>
          </w:p>
        </w:tc>
        <w:tc>
          <w:tcPr>
            <w:tcW w:w="17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549" w:right="0"/>
              <w:jc w:val="left"/>
              <w:rPr>
                <w:rFonts w:ascii="Times New Roman" w:hAnsi="Times New Roman" w:cs="Times New Roman" w:eastAsia="Times New Roman" w:hint="default"/>
                <w:sz w:val="18"/>
                <w:szCs w:val="18"/>
              </w:rPr>
            </w:pPr>
            <w:r>
              <w:rPr>
                <w:rFonts w:ascii="Times New Roman"/>
                <w:sz w:val="18"/>
              </w:rPr>
              <w:t>370,000,000.00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184,078,458.45</w:t>
            </w:r>
          </w:p>
        </w:tc>
      </w:tr>
      <w:tr>
        <w:trPr>
          <w:trHeight w:val="791"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65"/>
              <w:jc w:val="left"/>
              <w:rPr>
                <w:rFonts w:ascii="宋体" w:hAnsi="宋体" w:cs="宋体" w:eastAsia="宋体" w:hint="default"/>
                <w:sz w:val="18"/>
                <w:szCs w:val="18"/>
              </w:rPr>
            </w:pPr>
            <w:r>
              <w:rPr>
                <w:rFonts w:ascii="宋体" w:hAnsi="宋体" w:cs="宋体" w:eastAsia="宋体" w:hint="default"/>
                <w:sz w:val="18"/>
                <w:szCs w:val="18"/>
              </w:rPr>
              <w:t>深圳科捷物流有限 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3" w:right="20"/>
              <w:jc w:val="left"/>
              <w:rPr>
                <w:rFonts w:ascii="宋体" w:hAnsi="宋体" w:cs="宋体" w:eastAsia="宋体" w:hint="default"/>
                <w:sz w:val="18"/>
                <w:szCs w:val="18"/>
              </w:rPr>
            </w:pPr>
            <w:r>
              <w:rPr>
                <w:rFonts w:ascii="宋体" w:hAnsi="宋体" w:cs="宋体" w:eastAsia="宋体" w:hint="default"/>
                <w:sz w:val="18"/>
                <w:szCs w:val="18"/>
              </w:rPr>
              <w:t>采购行政办公服 </w:t>
            </w:r>
            <w:r>
              <w:rPr>
                <w:rFonts w:ascii="宋体" w:hAnsi="宋体" w:cs="宋体" w:eastAsia="宋体" w:hint="default"/>
                <w:spacing w:val="-6"/>
                <w:sz w:val="18"/>
                <w:szCs w:val="18"/>
              </w:rPr>
              <w:t>务、货运服务及其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他</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78,548,404.39</w:t>
            </w:r>
          </w:p>
        </w:tc>
        <w:tc>
          <w:tcPr>
            <w:tcW w:w="1706" w:type="dxa"/>
            <w:vMerge/>
            <w:tcBorders>
              <w:left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53,144,903.41</w:t>
            </w:r>
          </w:p>
        </w:tc>
      </w:tr>
      <w:tr>
        <w:trPr>
          <w:trHeight w:val="791"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1"/>
              <w:ind w:left="22" w:right="65"/>
              <w:jc w:val="left"/>
              <w:rPr>
                <w:rFonts w:ascii="宋体" w:hAnsi="宋体" w:cs="宋体" w:eastAsia="宋体" w:hint="default"/>
                <w:sz w:val="18"/>
                <w:szCs w:val="18"/>
              </w:rPr>
            </w:pPr>
            <w:r>
              <w:rPr>
                <w:rFonts w:ascii="宋体" w:hAnsi="宋体" w:cs="宋体" w:eastAsia="宋体" w:hint="default"/>
                <w:sz w:val="18"/>
                <w:szCs w:val="18"/>
              </w:rPr>
              <w:t>北京神州数码科捷 技术服务有限公司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20"/>
              <w:jc w:val="left"/>
              <w:rPr>
                <w:rFonts w:ascii="宋体" w:hAnsi="宋体" w:cs="宋体" w:eastAsia="宋体" w:hint="default"/>
                <w:sz w:val="18"/>
                <w:szCs w:val="18"/>
              </w:rPr>
            </w:pPr>
            <w:r>
              <w:rPr>
                <w:rFonts w:ascii="宋体" w:hAnsi="宋体" w:cs="宋体" w:eastAsia="宋体" w:hint="default"/>
                <w:sz w:val="18"/>
                <w:szCs w:val="18"/>
              </w:rPr>
              <w:t>采购行政办公服 </w:t>
            </w:r>
            <w:r>
              <w:rPr>
                <w:rFonts w:ascii="宋体" w:hAnsi="宋体" w:cs="宋体" w:eastAsia="宋体" w:hint="default"/>
                <w:spacing w:val="-6"/>
                <w:sz w:val="18"/>
                <w:szCs w:val="18"/>
              </w:rPr>
              <w:t>务、货运服务及其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他</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1,524,388.32</w:t>
            </w:r>
          </w:p>
        </w:tc>
        <w:tc>
          <w:tcPr>
            <w:tcW w:w="1706" w:type="dxa"/>
            <w:vMerge/>
            <w:tcBorders>
              <w:left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2,713,988.37</w:t>
            </w:r>
          </w:p>
        </w:tc>
      </w:tr>
      <w:tr>
        <w:trPr>
          <w:trHeight w:val="790"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65"/>
              <w:jc w:val="left"/>
              <w:rPr>
                <w:rFonts w:ascii="宋体" w:hAnsi="宋体" w:cs="宋体" w:eastAsia="宋体" w:hint="default"/>
                <w:sz w:val="18"/>
                <w:szCs w:val="18"/>
              </w:rPr>
            </w:pPr>
            <w:r>
              <w:rPr>
                <w:rFonts w:ascii="宋体" w:hAnsi="宋体" w:cs="宋体" w:eastAsia="宋体" w:hint="default"/>
                <w:sz w:val="18"/>
                <w:szCs w:val="18"/>
              </w:rPr>
              <w:t>上海科捷物流有限 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3" w:right="20"/>
              <w:jc w:val="left"/>
              <w:rPr>
                <w:rFonts w:ascii="宋体" w:hAnsi="宋体" w:cs="宋体" w:eastAsia="宋体" w:hint="default"/>
                <w:sz w:val="18"/>
                <w:szCs w:val="18"/>
              </w:rPr>
            </w:pPr>
            <w:r>
              <w:rPr>
                <w:rFonts w:ascii="宋体" w:hAnsi="宋体" w:cs="宋体" w:eastAsia="宋体" w:hint="default"/>
                <w:sz w:val="18"/>
                <w:szCs w:val="18"/>
              </w:rPr>
              <w:t>采购行政办公服 </w:t>
            </w:r>
            <w:r>
              <w:rPr>
                <w:rFonts w:ascii="宋体" w:hAnsi="宋体" w:cs="宋体" w:eastAsia="宋体" w:hint="default"/>
                <w:spacing w:val="-6"/>
                <w:sz w:val="18"/>
                <w:szCs w:val="18"/>
              </w:rPr>
              <w:t>务、货运服务及其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他</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62,276,632.99</w:t>
            </w:r>
          </w:p>
        </w:tc>
        <w:tc>
          <w:tcPr>
            <w:tcW w:w="1706" w:type="dxa"/>
            <w:vMerge/>
            <w:tcBorders>
              <w:left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12,259,130.26</w:t>
            </w:r>
          </w:p>
        </w:tc>
      </w:tr>
      <w:tr>
        <w:trPr>
          <w:trHeight w:val="791"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65"/>
              <w:jc w:val="left"/>
              <w:rPr>
                <w:rFonts w:ascii="宋体" w:hAnsi="宋体" w:cs="宋体" w:eastAsia="宋体" w:hint="default"/>
                <w:sz w:val="18"/>
                <w:szCs w:val="18"/>
              </w:rPr>
            </w:pPr>
            <w:r>
              <w:rPr>
                <w:rFonts w:ascii="宋体" w:hAnsi="宋体" w:cs="宋体" w:eastAsia="宋体" w:hint="default"/>
                <w:sz w:val="18"/>
                <w:szCs w:val="18"/>
              </w:rPr>
              <w:t>西安科捷物流有限 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3" w:right="20"/>
              <w:jc w:val="left"/>
              <w:rPr>
                <w:rFonts w:ascii="宋体" w:hAnsi="宋体" w:cs="宋体" w:eastAsia="宋体" w:hint="default"/>
                <w:sz w:val="18"/>
                <w:szCs w:val="18"/>
              </w:rPr>
            </w:pPr>
            <w:r>
              <w:rPr>
                <w:rFonts w:ascii="宋体" w:hAnsi="宋体" w:cs="宋体" w:eastAsia="宋体" w:hint="default"/>
                <w:sz w:val="18"/>
                <w:szCs w:val="18"/>
              </w:rPr>
              <w:t>采购行政办公服 </w:t>
            </w:r>
            <w:r>
              <w:rPr>
                <w:rFonts w:ascii="宋体" w:hAnsi="宋体" w:cs="宋体" w:eastAsia="宋体" w:hint="default"/>
                <w:spacing w:val="-6"/>
                <w:sz w:val="18"/>
                <w:szCs w:val="18"/>
              </w:rPr>
              <w:t>务、货运服务及其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他</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17,731,960.17</w:t>
            </w:r>
          </w:p>
        </w:tc>
        <w:tc>
          <w:tcPr>
            <w:tcW w:w="1706" w:type="dxa"/>
            <w:vMerge/>
            <w:tcBorders>
              <w:left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8,586,631.60</w:t>
            </w:r>
          </w:p>
        </w:tc>
      </w:tr>
      <w:tr>
        <w:trPr>
          <w:trHeight w:val="790"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75"/>
              <w:jc w:val="left"/>
              <w:rPr>
                <w:rFonts w:ascii="Times New Roman" w:hAnsi="Times New Roman" w:cs="Times New Roman" w:eastAsia="Times New Roman" w:hint="default"/>
                <w:sz w:val="18"/>
                <w:szCs w:val="18"/>
              </w:rPr>
            </w:pPr>
            <w:r>
              <w:rPr>
                <w:rFonts w:ascii="Times New Roman"/>
                <w:sz w:val="18"/>
              </w:rPr>
              <w:t>Instant</w:t>
            </w:r>
            <w:r>
              <w:rPr>
                <w:rFonts w:ascii="Times New Roman"/>
                <w:spacing w:val="-10"/>
                <w:sz w:val="18"/>
              </w:rPr>
              <w:t> </w:t>
            </w:r>
            <w:r>
              <w:rPr>
                <w:rFonts w:ascii="Times New Roman"/>
                <w:sz w:val="18"/>
              </w:rPr>
              <w:t>Technology</w:t>
            </w:r>
            <w:r>
              <w:rPr>
                <w:rFonts w:ascii="Times New Roman"/>
                <w:w w:val="99"/>
                <w:sz w:val="18"/>
              </w:rPr>
              <w:t> </w:t>
            </w:r>
            <w:r>
              <w:rPr>
                <w:rFonts w:ascii="Times New Roman"/>
                <w:sz w:val="18"/>
              </w:rPr>
              <w:t>Supply Chain</w:t>
            </w:r>
            <w:r>
              <w:rPr>
                <w:rFonts w:ascii="Times New Roman"/>
                <w:spacing w:val="-3"/>
                <w:sz w:val="18"/>
              </w:rPr>
              <w:t> </w:t>
            </w:r>
            <w:r>
              <w:rPr>
                <w:rFonts w:ascii="Times New Roman"/>
                <w:sz w:val="18"/>
              </w:rPr>
              <w:t>Hong</w:t>
            </w:r>
            <w:r>
              <w:rPr>
                <w:rFonts w:ascii="Times New Roman"/>
                <w:w w:val="99"/>
                <w:sz w:val="18"/>
              </w:rPr>
              <w:t> </w:t>
            </w:r>
            <w:r>
              <w:rPr>
                <w:rFonts w:ascii="Times New Roman"/>
                <w:sz w:val="18"/>
              </w:rPr>
              <w:t>Kong</w:t>
            </w:r>
            <w:r>
              <w:rPr>
                <w:rFonts w:ascii="Times New Roman"/>
                <w:spacing w:val="-1"/>
                <w:sz w:val="18"/>
              </w:rPr>
              <w:t> </w:t>
            </w:r>
            <w:r>
              <w:rPr>
                <w:rFonts w:ascii="Times New Roman"/>
                <w:sz w:val="18"/>
              </w:rPr>
              <w:t>Limited</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20"/>
              <w:jc w:val="left"/>
              <w:rPr>
                <w:rFonts w:ascii="宋体" w:hAnsi="宋体" w:cs="宋体" w:eastAsia="宋体" w:hint="default"/>
                <w:sz w:val="18"/>
                <w:szCs w:val="18"/>
              </w:rPr>
            </w:pPr>
            <w:r>
              <w:rPr>
                <w:rFonts w:ascii="宋体" w:hAnsi="宋体" w:cs="宋体" w:eastAsia="宋体" w:hint="default"/>
                <w:sz w:val="18"/>
                <w:szCs w:val="18"/>
              </w:rPr>
              <w:t>采购行政办公服 </w:t>
            </w:r>
            <w:r>
              <w:rPr>
                <w:rFonts w:ascii="宋体" w:hAnsi="宋体" w:cs="宋体" w:eastAsia="宋体" w:hint="default"/>
                <w:spacing w:val="-6"/>
                <w:sz w:val="18"/>
                <w:szCs w:val="18"/>
              </w:rPr>
              <w:t>务、货运服务及其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他</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5,653,705.18</w:t>
            </w:r>
          </w:p>
        </w:tc>
        <w:tc>
          <w:tcPr>
            <w:tcW w:w="1706" w:type="dxa"/>
            <w:vMerge/>
            <w:tcBorders>
              <w:left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4,112,612.50</w:t>
            </w:r>
          </w:p>
        </w:tc>
      </w:tr>
      <w:tr>
        <w:trPr>
          <w:trHeight w:val="791"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65"/>
              <w:jc w:val="left"/>
              <w:rPr>
                <w:rFonts w:ascii="宋体" w:hAnsi="宋体" w:cs="宋体" w:eastAsia="宋体" w:hint="default"/>
                <w:sz w:val="18"/>
                <w:szCs w:val="18"/>
              </w:rPr>
            </w:pPr>
            <w:r>
              <w:rPr>
                <w:rFonts w:ascii="宋体" w:hAnsi="宋体" w:cs="宋体" w:eastAsia="宋体" w:hint="default"/>
                <w:sz w:val="18"/>
                <w:szCs w:val="18"/>
              </w:rPr>
              <w:t>辽宁科捷物流有限 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3" w:right="20"/>
              <w:jc w:val="left"/>
              <w:rPr>
                <w:rFonts w:ascii="宋体" w:hAnsi="宋体" w:cs="宋体" w:eastAsia="宋体" w:hint="default"/>
                <w:sz w:val="18"/>
                <w:szCs w:val="18"/>
              </w:rPr>
            </w:pPr>
            <w:r>
              <w:rPr>
                <w:rFonts w:ascii="宋体" w:hAnsi="宋体" w:cs="宋体" w:eastAsia="宋体" w:hint="default"/>
                <w:sz w:val="18"/>
                <w:szCs w:val="18"/>
              </w:rPr>
              <w:t>采购行政办公服 </w:t>
            </w:r>
            <w:r>
              <w:rPr>
                <w:rFonts w:ascii="宋体" w:hAnsi="宋体" w:cs="宋体" w:eastAsia="宋体" w:hint="default"/>
                <w:spacing w:val="-6"/>
                <w:sz w:val="18"/>
                <w:szCs w:val="18"/>
              </w:rPr>
              <w:t>务、货运服务及其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他</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706" w:type="dxa"/>
            <w:vMerge/>
            <w:tcBorders>
              <w:left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521,354.03</w:t>
            </w:r>
          </w:p>
        </w:tc>
      </w:tr>
      <w:tr>
        <w:trPr>
          <w:trHeight w:val="791"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1"/>
              <w:ind w:left="22" w:right="65"/>
              <w:jc w:val="left"/>
              <w:rPr>
                <w:rFonts w:ascii="宋体" w:hAnsi="宋体" w:cs="宋体" w:eastAsia="宋体" w:hint="default"/>
                <w:sz w:val="18"/>
                <w:szCs w:val="18"/>
              </w:rPr>
            </w:pPr>
            <w:r>
              <w:rPr>
                <w:rFonts w:ascii="宋体" w:hAnsi="宋体" w:cs="宋体" w:eastAsia="宋体" w:hint="default"/>
                <w:sz w:val="18"/>
                <w:szCs w:val="18"/>
              </w:rPr>
              <w:t>深圳科捷电商供应 链有限公司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20"/>
              <w:jc w:val="left"/>
              <w:rPr>
                <w:rFonts w:ascii="宋体" w:hAnsi="宋体" w:cs="宋体" w:eastAsia="宋体" w:hint="default"/>
                <w:sz w:val="18"/>
                <w:szCs w:val="18"/>
              </w:rPr>
            </w:pPr>
            <w:r>
              <w:rPr>
                <w:rFonts w:ascii="宋体" w:hAnsi="宋体" w:cs="宋体" w:eastAsia="宋体" w:hint="default"/>
                <w:sz w:val="18"/>
                <w:szCs w:val="18"/>
              </w:rPr>
              <w:t>采购行政办公服 </w:t>
            </w:r>
            <w:r>
              <w:rPr>
                <w:rFonts w:ascii="宋体" w:hAnsi="宋体" w:cs="宋体" w:eastAsia="宋体" w:hint="default"/>
                <w:spacing w:val="-6"/>
                <w:sz w:val="18"/>
                <w:szCs w:val="18"/>
              </w:rPr>
              <w:t>务、货运服务及其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他</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226,319.21</w:t>
            </w:r>
          </w:p>
        </w:tc>
        <w:tc>
          <w:tcPr>
            <w:tcW w:w="1706" w:type="dxa"/>
            <w:vMerge/>
            <w:tcBorders>
              <w:left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90"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65"/>
              <w:jc w:val="left"/>
              <w:rPr>
                <w:rFonts w:ascii="宋体" w:hAnsi="宋体" w:cs="宋体" w:eastAsia="宋体" w:hint="default"/>
                <w:sz w:val="18"/>
                <w:szCs w:val="18"/>
              </w:rPr>
            </w:pPr>
            <w:r>
              <w:rPr>
                <w:rFonts w:ascii="宋体" w:hAnsi="宋体" w:cs="宋体" w:eastAsia="宋体" w:hint="default"/>
                <w:sz w:val="18"/>
                <w:szCs w:val="18"/>
              </w:rPr>
              <w:t>北京科捷智云技术 服务有限公司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3" w:right="20"/>
              <w:jc w:val="left"/>
              <w:rPr>
                <w:rFonts w:ascii="宋体" w:hAnsi="宋体" w:cs="宋体" w:eastAsia="宋体" w:hint="default"/>
                <w:sz w:val="18"/>
                <w:szCs w:val="18"/>
              </w:rPr>
            </w:pPr>
            <w:r>
              <w:rPr>
                <w:rFonts w:ascii="宋体" w:hAnsi="宋体" w:cs="宋体" w:eastAsia="宋体" w:hint="default"/>
                <w:sz w:val="18"/>
                <w:szCs w:val="18"/>
              </w:rPr>
              <w:t>采购行政办公服 </w:t>
            </w:r>
            <w:r>
              <w:rPr>
                <w:rFonts w:ascii="宋体" w:hAnsi="宋体" w:cs="宋体" w:eastAsia="宋体" w:hint="default"/>
                <w:spacing w:val="-6"/>
                <w:sz w:val="18"/>
                <w:szCs w:val="18"/>
              </w:rPr>
              <w:t>务、货运服务及其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他</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13,650.00</w:t>
            </w:r>
          </w:p>
        </w:tc>
        <w:tc>
          <w:tcPr>
            <w:tcW w:w="1706" w:type="dxa"/>
            <w:vMerge/>
            <w:tcBorders>
              <w:left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91"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65"/>
              <w:jc w:val="left"/>
              <w:rPr>
                <w:rFonts w:ascii="宋体" w:hAnsi="宋体" w:cs="宋体" w:eastAsia="宋体" w:hint="default"/>
                <w:sz w:val="18"/>
                <w:szCs w:val="18"/>
              </w:rPr>
            </w:pPr>
            <w:r>
              <w:rPr>
                <w:rFonts w:ascii="宋体" w:hAnsi="宋体" w:cs="宋体" w:eastAsia="宋体" w:hint="default"/>
                <w:sz w:val="18"/>
                <w:szCs w:val="18"/>
              </w:rPr>
              <w:t>北京神州众腾科技 发展有限公司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3" w:right="20"/>
              <w:jc w:val="left"/>
              <w:rPr>
                <w:rFonts w:ascii="宋体" w:hAnsi="宋体" w:cs="宋体" w:eastAsia="宋体" w:hint="default"/>
                <w:sz w:val="18"/>
                <w:szCs w:val="18"/>
              </w:rPr>
            </w:pPr>
            <w:r>
              <w:rPr>
                <w:rFonts w:ascii="宋体" w:hAnsi="宋体" w:cs="宋体" w:eastAsia="宋体" w:hint="default"/>
                <w:sz w:val="18"/>
                <w:szCs w:val="18"/>
              </w:rPr>
              <w:t>采购行政办公服 </w:t>
            </w:r>
            <w:r>
              <w:rPr>
                <w:rFonts w:ascii="宋体" w:hAnsi="宋体" w:cs="宋体" w:eastAsia="宋体" w:hint="default"/>
                <w:spacing w:val="-6"/>
                <w:sz w:val="18"/>
                <w:szCs w:val="18"/>
              </w:rPr>
              <w:t>务、货运服务及其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他</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12,982.91</w:t>
            </w:r>
          </w:p>
        </w:tc>
        <w:tc>
          <w:tcPr>
            <w:tcW w:w="1706" w:type="dxa"/>
            <w:vMerge/>
            <w:tcBorders>
              <w:left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90"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65"/>
              <w:jc w:val="left"/>
              <w:rPr>
                <w:rFonts w:ascii="宋体" w:hAnsi="宋体" w:cs="宋体" w:eastAsia="宋体" w:hint="default"/>
                <w:sz w:val="18"/>
                <w:szCs w:val="18"/>
              </w:rPr>
            </w:pPr>
            <w:r>
              <w:rPr>
                <w:rFonts w:ascii="宋体" w:hAnsi="宋体" w:cs="宋体" w:eastAsia="宋体" w:hint="default"/>
                <w:sz w:val="18"/>
                <w:szCs w:val="18"/>
              </w:rPr>
              <w:t>昆山神州数码实业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20"/>
              <w:jc w:val="left"/>
              <w:rPr>
                <w:rFonts w:ascii="宋体" w:hAnsi="宋体" w:cs="宋体" w:eastAsia="宋体" w:hint="default"/>
                <w:sz w:val="18"/>
                <w:szCs w:val="18"/>
              </w:rPr>
            </w:pPr>
            <w:r>
              <w:rPr>
                <w:rFonts w:ascii="宋体" w:hAnsi="宋体" w:cs="宋体" w:eastAsia="宋体" w:hint="default"/>
                <w:sz w:val="18"/>
                <w:szCs w:val="18"/>
              </w:rPr>
              <w:t>采购行政办公服 </w:t>
            </w:r>
            <w:r>
              <w:rPr>
                <w:rFonts w:ascii="宋体" w:hAnsi="宋体" w:cs="宋体" w:eastAsia="宋体" w:hint="default"/>
                <w:spacing w:val="-6"/>
                <w:sz w:val="18"/>
                <w:szCs w:val="18"/>
              </w:rPr>
              <w:t>务、货运服务及其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他</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45,648.74</w:t>
            </w:r>
          </w:p>
        </w:tc>
        <w:tc>
          <w:tcPr>
            <w:tcW w:w="1706" w:type="dxa"/>
            <w:vMerge/>
            <w:tcBorders>
              <w:left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91"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65"/>
              <w:jc w:val="left"/>
              <w:rPr>
                <w:rFonts w:ascii="宋体" w:hAnsi="宋体" w:cs="宋体" w:eastAsia="宋体" w:hint="default"/>
                <w:sz w:val="18"/>
                <w:szCs w:val="18"/>
              </w:rPr>
            </w:pPr>
            <w:r>
              <w:rPr>
                <w:rFonts w:ascii="宋体" w:hAnsi="宋体" w:cs="宋体" w:eastAsia="宋体" w:hint="default"/>
                <w:sz w:val="18"/>
                <w:szCs w:val="18"/>
              </w:rPr>
              <w:t>智慧神州（北京） 科技有限公司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3" w:right="20"/>
              <w:jc w:val="left"/>
              <w:rPr>
                <w:rFonts w:ascii="宋体" w:hAnsi="宋体" w:cs="宋体" w:eastAsia="宋体" w:hint="default"/>
                <w:sz w:val="18"/>
                <w:szCs w:val="18"/>
              </w:rPr>
            </w:pPr>
            <w:r>
              <w:rPr>
                <w:rFonts w:ascii="宋体" w:hAnsi="宋体" w:cs="宋体" w:eastAsia="宋体" w:hint="default"/>
                <w:sz w:val="18"/>
                <w:szCs w:val="18"/>
              </w:rPr>
              <w:t>采购行政办公服 </w:t>
            </w:r>
            <w:r>
              <w:rPr>
                <w:rFonts w:ascii="宋体" w:hAnsi="宋体" w:cs="宋体" w:eastAsia="宋体" w:hint="default"/>
                <w:spacing w:val="-6"/>
                <w:sz w:val="18"/>
                <w:szCs w:val="18"/>
              </w:rPr>
              <w:t>务、货运服务及其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他</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94,339.62</w:t>
            </w:r>
          </w:p>
        </w:tc>
        <w:tc>
          <w:tcPr>
            <w:tcW w:w="1706" w:type="dxa"/>
            <w:vMerge/>
            <w:tcBorders>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3,142,016.07</w:t>
            </w:r>
          </w:p>
        </w:tc>
      </w:tr>
      <w:tr>
        <w:trPr>
          <w:trHeight w:val="557"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65"/>
              <w:jc w:val="left"/>
              <w:rPr>
                <w:rFonts w:ascii="宋体" w:hAnsi="宋体" w:cs="宋体" w:eastAsia="宋体" w:hint="default"/>
                <w:sz w:val="18"/>
                <w:szCs w:val="18"/>
              </w:rPr>
            </w:pPr>
            <w:r>
              <w:rPr>
                <w:rFonts w:ascii="宋体" w:hAnsi="宋体" w:cs="宋体" w:eastAsia="宋体" w:hint="default"/>
                <w:sz w:val="18"/>
                <w:szCs w:val="18"/>
              </w:rPr>
              <w:t>神州数码信息系统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158"/>
              <w:jc w:val="left"/>
              <w:rPr>
                <w:rFonts w:ascii="宋体" w:hAnsi="宋体" w:cs="宋体" w:eastAsia="宋体" w:hint="default"/>
                <w:sz w:val="18"/>
                <w:szCs w:val="18"/>
              </w:rPr>
            </w:pPr>
            <w:r>
              <w:rPr>
                <w:rFonts w:ascii="宋体" w:hAnsi="宋体" w:cs="宋体" w:eastAsia="宋体" w:hint="default"/>
                <w:sz w:val="18"/>
                <w:szCs w:val="18"/>
              </w:rPr>
              <w:t>采购技术服务或 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7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729" w:right="0"/>
              <w:jc w:val="left"/>
              <w:rPr>
                <w:rFonts w:ascii="Times New Roman" w:hAnsi="Times New Roman" w:cs="Times New Roman" w:eastAsia="Times New Roman" w:hint="default"/>
                <w:sz w:val="18"/>
                <w:szCs w:val="18"/>
              </w:rPr>
            </w:pPr>
            <w:r>
              <w:rPr>
                <w:rFonts w:ascii="Times New Roman"/>
                <w:sz w:val="18"/>
              </w:rPr>
              <w:t>5,000,000.00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1,141,000.00</w:t>
            </w:r>
          </w:p>
        </w:tc>
      </w:tr>
      <w:tr>
        <w:trPr>
          <w:trHeight w:val="557"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65"/>
              <w:jc w:val="left"/>
              <w:rPr>
                <w:rFonts w:ascii="宋体" w:hAnsi="宋体" w:cs="宋体" w:eastAsia="宋体" w:hint="default"/>
                <w:sz w:val="18"/>
                <w:szCs w:val="18"/>
              </w:rPr>
            </w:pPr>
            <w:r>
              <w:rPr>
                <w:rFonts w:ascii="宋体" w:hAnsi="宋体" w:cs="宋体" w:eastAsia="宋体" w:hint="default"/>
                <w:sz w:val="18"/>
                <w:szCs w:val="18"/>
              </w:rPr>
              <w:t>神州数码金信科技 股份有限公司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158"/>
              <w:jc w:val="left"/>
              <w:rPr>
                <w:rFonts w:ascii="宋体" w:hAnsi="宋体" w:cs="宋体" w:eastAsia="宋体" w:hint="default"/>
                <w:sz w:val="18"/>
                <w:szCs w:val="18"/>
              </w:rPr>
            </w:pPr>
            <w:r>
              <w:rPr>
                <w:rFonts w:ascii="宋体" w:hAnsi="宋体" w:cs="宋体" w:eastAsia="宋体" w:hint="default"/>
                <w:sz w:val="18"/>
                <w:szCs w:val="18"/>
              </w:rPr>
              <w:t>采购技术服务或 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706" w:type="dxa"/>
            <w:vMerge/>
            <w:tcBorders>
              <w:left w:val="single" w:sz="4" w:space="0" w:color="000000"/>
              <w:bottom w:val="nil" w:sz="6" w:space="0" w:color="auto"/>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562,641.51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324"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7"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65"/>
              <w:jc w:val="left"/>
              <w:rPr>
                <w:rFonts w:ascii="宋体" w:hAnsi="宋体" w:cs="宋体" w:eastAsia="宋体" w:hint="default"/>
                <w:sz w:val="18"/>
                <w:szCs w:val="18"/>
              </w:rPr>
            </w:pPr>
            <w:r>
              <w:rPr>
                <w:rFonts w:ascii="宋体" w:hAnsi="宋体" w:cs="宋体" w:eastAsia="宋体" w:hint="default"/>
                <w:sz w:val="18"/>
                <w:szCs w:val="18"/>
              </w:rPr>
              <w:t>神州数码系统集成 服务有限公司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158"/>
              <w:jc w:val="left"/>
              <w:rPr>
                <w:rFonts w:ascii="宋体" w:hAnsi="宋体" w:cs="宋体" w:eastAsia="宋体" w:hint="default"/>
                <w:sz w:val="18"/>
                <w:szCs w:val="18"/>
              </w:rPr>
            </w:pPr>
            <w:r>
              <w:rPr>
                <w:rFonts w:ascii="宋体" w:hAnsi="宋体" w:cs="宋体" w:eastAsia="宋体" w:hint="default"/>
                <w:sz w:val="18"/>
                <w:szCs w:val="18"/>
              </w:rPr>
              <w:t>采购技术服务或 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476" w:right="0"/>
              <w:jc w:val="left"/>
              <w:rPr>
                <w:rFonts w:ascii="Times New Roman" w:hAnsi="Times New Roman" w:cs="Times New Roman" w:eastAsia="Times New Roman" w:hint="default"/>
                <w:sz w:val="18"/>
                <w:szCs w:val="18"/>
              </w:rPr>
            </w:pPr>
            <w:r>
              <w:rPr>
                <w:rFonts w:ascii="Times New Roman"/>
                <w:sz w:val="18"/>
              </w:rPr>
              <w:t>1,850,000.00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863" w:right="0"/>
              <w:jc w:val="left"/>
              <w:rPr>
                <w:rFonts w:ascii="Times New Roman" w:hAnsi="Times New Roman" w:cs="Times New Roman" w:eastAsia="Times New Roman" w:hint="default"/>
                <w:sz w:val="18"/>
                <w:szCs w:val="18"/>
              </w:rPr>
            </w:pPr>
            <w:r>
              <w:rPr>
                <w:rFonts w:ascii="Times New Roman"/>
                <w:sz w:val="18"/>
              </w:rPr>
              <w:t>686,981.13</w:t>
            </w:r>
          </w:p>
        </w:tc>
      </w:tr>
    </w:tbl>
    <w:p>
      <w:pPr>
        <w:spacing w:line="240" w:lineRule="auto" w:before="5"/>
        <w:rPr>
          <w:rFonts w:ascii="Times New Roman" w:hAnsi="Times New Roman" w:cs="Times New Roman" w:eastAsia="Times New Roman" w:hint="default"/>
          <w:sz w:val="18"/>
          <w:szCs w:val="18"/>
        </w:rPr>
      </w:pPr>
    </w:p>
    <w:p>
      <w:pPr>
        <w:pStyle w:val="BodyText"/>
        <w:spacing w:line="240" w:lineRule="auto" w:before="44"/>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25"/>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2432"/>
        <w:gridCol w:w="2259"/>
        <w:gridCol w:w="2260"/>
        <w:gridCol w:w="2652"/>
      </w:tblGrid>
      <w:tr>
        <w:trPr>
          <w:trHeight w:val="323" w:hRule="exact"/>
        </w:trPr>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7"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57"/>
              <w:jc w:val="left"/>
              <w:rPr>
                <w:rFonts w:ascii="宋体" w:hAnsi="宋体" w:cs="宋体" w:eastAsia="宋体" w:hint="default"/>
                <w:sz w:val="18"/>
                <w:szCs w:val="18"/>
              </w:rPr>
            </w:pPr>
            <w:r>
              <w:rPr>
                <w:rFonts w:ascii="宋体" w:hAnsi="宋体" w:cs="宋体" w:eastAsia="宋体" w:hint="default"/>
                <w:sz w:val="18"/>
                <w:szCs w:val="18"/>
              </w:rPr>
              <w:t>神州数码系统集成服务有限公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93,415,530.70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93,457,565.08</w:t>
            </w:r>
          </w:p>
        </w:tc>
      </w:tr>
      <w:tr>
        <w:trPr>
          <w:trHeight w:val="324"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深圳科捷电商供应链有限公司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77,531,576.97</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3,834,936.58</w:t>
            </w:r>
          </w:p>
        </w:tc>
      </w:tr>
      <w:tr>
        <w:trPr>
          <w:trHeight w:val="557"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 w:right="57"/>
              <w:jc w:val="left"/>
              <w:rPr>
                <w:rFonts w:ascii="宋体" w:hAnsi="宋体" w:cs="宋体" w:eastAsia="宋体" w:hint="default"/>
                <w:sz w:val="18"/>
                <w:szCs w:val="18"/>
              </w:rPr>
            </w:pPr>
            <w:r>
              <w:rPr>
                <w:rFonts w:ascii="宋体" w:hAnsi="宋体" w:cs="宋体" w:eastAsia="宋体" w:hint="default"/>
                <w:sz w:val="18"/>
                <w:szCs w:val="18"/>
              </w:rPr>
              <w:t>智慧神州（北京）科技有限公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5,859,194.91</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 w:right="57"/>
              <w:jc w:val="left"/>
              <w:rPr>
                <w:rFonts w:ascii="宋体" w:hAnsi="宋体" w:cs="宋体" w:eastAsia="宋体" w:hint="default"/>
                <w:sz w:val="18"/>
                <w:szCs w:val="18"/>
              </w:rPr>
            </w:pPr>
            <w:r>
              <w:rPr>
                <w:rFonts w:ascii="宋体" w:hAnsi="宋体" w:cs="宋体" w:eastAsia="宋体" w:hint="default"/>
                <w:sz w:val="18"/>
                <w:szCs w:val="18"/>
              </w:rPr>
              <w:t>神州数码融信云技术服务有限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627,829.05</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 w:right="57"/>
              <w:jc w:val="left"/>
              <w:rPr>
                <w:rFonts w:ascii="宋体" w:hAnsi="宋体" w:cs="宋体" w:eastAsia="宋体" w:hint="default"/>
                <w:sz w:val="18"/>
                <w:szCs w:val="18"/>
              </w:rPr>
            </w:pPr>
            <w:r>
              <w:rPr>
                <w:rFonts w:ascii="宋体" w:hAnsi="宋体" w:cs="宋体" w:eastAsia="宋体" w:hint="default"/>
                <w:sz w:val="18"/>
                <w:szCs w:val="18"/>
              </w:rPr>
              <w:t>北京神州数码科捷技术服务有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3,306,789.51</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6,985,006.49</w:t>
            </w:r>
          </w:p>
        </w:tc>
      </w:tr>
      <w:tr>
        <w:trPr>
          <w:trHeight w:val="324"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北京科捷物流有限公司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384,310.03</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960,211.95</w:t>
            </w:r>
          </w:p>
        </w:tc>
      </w:tr>
      <w:tr>
        <w:trPr>
          <w:trHeight w:val="557"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 w:right="57"/>
              <w:jc w:val="left"/>
              <w:rPr>
                <w:rFonts w:ascii="宋体" w:hAnsi="宋体" w:cs="宋体" w:eastAsia="宋体" w:hint="default"/>
                <w:sz w:val="18"/>
                <w:szCs w:val="18"/>
              </w:rPr>
            </w:pPr>
            <w:r>
              <w:rPr>
                <w:rFonts w:ascii="宋体" w:hAnsi="宋体" w:cs="宋体" w:eastAsia="宋体" w:hint="default"/>
                <w:sz w:val="18"/>
                <w:szCs w:val="18"/>
              </w:rPr>
              <w:t>成都神州数码索贝科技有限公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150,209.40</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 w:right="57"/>
              <w:jc w:val="left"/>
              <w:rPr>
                <w:rFonts w:ascii="宋体" w:hAnsi="宋体" w:cs="宋体" w:eastAsia="宋体" w:hint="default"/>
                <w:sz w:val="18"/>
                <w:szCs w:val="18"/>
              </w:rPr>
            </w:pPr>
            <w:r>
              <w:rPr>
                <w:rFonts w:ascii="宋体" w:hAnsi="宋体" w:cs="宋体" w:eastAsia="宋体" w:hint="default"/>
                <w:sz w:val="18"/>
                <w:szCs w:val="18"/>
              </w:rPr>
              <w:t>北京神州数码索贝科技有限公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149,324.78</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上海科捷物流有限公司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47,086.55</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63,884.61</w:t>
            </w:r>
          </w:p>
        </w:tc>
      </w:tr>
      <w:tr>
        <w:trPr>
          <w:trHeight w:val="557"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57"/>
              <w:jc w:val="left"/>
              <w:rPr>
                <w:rFonts w:ascii="宋体" w:hAnsi="宋体" w:cs="宋体" w:eastAsia="宋体" w:hint="default"/>
                <w:sz w:val="18"/>
                <w:szCs w:val="18"/>
              </w:rPr>
            </w:pPr>
            <w:r>
              <w:rPr>
                <w:rFonts w:ascii="宋体" w:hAnsi="宋体" w:cs="宋体" w:eastAsia="宋体" w:hint="default"/>
                <w:sz w:val="18"/>
                <w:szCs w:val="18"/>
              </w:rPr>
              <w:t>上海神州数码信息技术服务有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26,666.67</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4,136.75</w:t>
            </w:r>
          </w:p>
        </w:tc>
      </w:tr>
      <w:tr>
        <w:trPr>
          <w:trHeight w:val="324"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 w:right="0"/>
              <w:jc w:val="left"/>
              <w:rPr>
                <w:rFonts w:ascii="宋体" w:hAnsi="宋体" w:cs="宋体" w:eastAsia="宋体" w:hint="default"/>
                <w:sz w:val="18"/>
                <w:szCs w:val="18"/>
              </w:rPr>
            </w:pPr>
            <w:r>
              <w:rPr>
                <w:rFonts w:ascii="宋体" w:hAnsi="宋体" w:cs="宋体" w:eastAsia="宋体" w:hint="default"/>
                <w:sz w:val="18"/>
                <w:szCs w:val="18"/>
              </w:rPr>
              <w:t>北京胜多商贸有限责任公司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15,081.03</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1,021,115.36</w:t>
            </w:r>
          </w:p>
        </w:tc>
      </w:tr>
      <w:tr>
        <w:trPr>
          <w:trHeight w:val="557"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 w:right="57"/>
              <w:jc w:val="left"/>
              <w:rPr>
                <w:rFonts w:ascii="宋体" w:hAnsi="宋体" w:cs="宋体" w:eastAsia="宋体" w:hint="default"/>
                <w:sz w:val="18"/>
                <w:szCs w:val="18"/>
              </w:rPr>
            </w:pPr>
            <w:r>
              <w:rPr>
                <w:rFonts w:ascii="宋体" w:hAnsi="宋体" w:cs="宋体" w:eastAsia="宋体" w:hint="default"/>
                <w:sz w:val="18"/>
                <w:szCs w:val="18"/>
              </w:rPr>
              <w:t>西安迪信通电子通讯技术有限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136,276.07</w:t>
            </w:r>
          </w:p>
        </w:tc>
      </w:tr>
      <w:tr>
        <w:trPr>
          <w:trHeight w:val="323"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神州数码融信软件有限公司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9,418.80</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神州数码信息系统有限公司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3,015,268.12</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14,759,632.47</w:t>
            </w:r>
          </w:p>
        </w:tc>
      </w:tr>
      <w:tr>
        <w:trPr>
          <w:trHeight w:val="557"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 w:right="57"/>
              <w:jc w:val="left"/>
              <w:rPr>
                <w:rFonts w:ascii="宋体" w:hAnsi="宋体" w:cs="宋体" w:eastAsia="宋体" w:hint="default"/>
                <w:sz w:val="18"/>
                <w:szCs w:val="18"/>
              </w:rPr>
            </w:pPr>
            <w:r>
              <w:rPr>
                <w:rFonts w:ascii="宋体" w:hAnsi="宋体" w:cs="宋体" w:eastAsia="宋体" w:hint="default"/>
                <w:sz w:val="18"/>
                <w:szCs w:val="18"/>
              </w:rPr>
              <w:t>神州数码信息服务股份有限公 司（注）</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-5,023,052.98</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21,039,163.25</w:t>
            </w:r>
          </w:p>
        </w:tc>
      </w:tr>
      <w:tr>
        <w:trPr>
          <w:trHeight w:val="557"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 w:right="57"/>
              <w:jc w:val="left"/>
              <w:rPr>
                <w:rFonts w:ascii="宋体" w:hAnsi="宋体" w:cs="宋体" w:eastAsia="宋体" w:hint="default"/>
                <w:sz w:val="18"/>
                <w:szCs w:val="18"/>
              </w:rPr>
            </w:pPr>
            <w:r>
              <w:rPr>
                <w:rFonts w:ascii="宋体" w:hAnsi="宋体" w:cs="宋体" w:eastAsia="宋体" w:hint="default"/>
                <w:sz w:val="18"/>
                <w:szCs w:val="18"/>
              </w:rPr>
              <w:t>神州灵云（北京）科技有限公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226,415.09</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 w:right="57"/>
              <w:jc w:val="left"/>
              <w:rPr>
                <w:rFonts w:ascii="宋体" w:hAnsi="宋体" w:cs="宋体" w:eastAsia="宋体" w:hint="default"/>
                <w:sz w:val="18"/>
                <w:szCs w:val="18"/>
              </w:rPr>
            </w:pPr>
            <w:r>
              <w:rPr>
                <w:rFonts w:ascii="宋体" w:hAnsi="宋体" w:cs="宋体" w:eastAsia="宋体" w:hint="default"/>
                <w:sz w:val="18"/>
                <w:szCs w:val="18"/>
              </w:rPr>
              <w:t>西安神州数码网络小额贷款有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75,471.70</w:t>
            </w:r>
          </w:p>
        </w:tc>
      </w:tr>
      <w:tr>
        <w:trPr>
          <w:trHeight w:val="324"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神州顶联科技有限公司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53,275.86</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 w:right="57"/>
              <w:jc w:val="left"/>
              <w:rPr>
                <w:rFonts w:ascii="宋体" w:hAnsi="宋体" w:cs="宋体" w:eastAsia="宋体" w:hint="default"/>
                <w:sz w:val="18"/>
                <w:szCs w:val="18"/>
              </w:rPr>
            </w:pPr>
            <w:r>
              <w:rPr>
                <w:rFonts w:ascii="宋体" w:hAnsi="宋体" w:cs="宋体" w:eastAsia="宋体" w:hint="default"/>
                <w:sz w:val="18"/>
                <w:szCs w:val="18"/>
              </w:rPr>
              <w:t>神州数码系统集成服务有限公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64"/>
              <w:jc w:val="left"/>
              <w:rPr>
                <w:rFonts w:ascii="宋体" w:hAnsi="宋体" w:cs="宋体" w:eastAsia="宋体" w:hint="default"/>
                <w:sz w:val="18"/>
                <w:szCs w:val="18"/>
              </w:rPr>
            </w:pPr>
            <w:r>
              <w:rPr>
                <w:rFonts w:ascii="宋体" w:hAnsi="宋体" w:cs="宋体" w:eastAsia="宋体" w:hint="default"/>
                <w:sz w:val="18"/>
                <w:szCs w:val="18"/>
              </w:rPr>
              <w:t>销售行政办公服务、货运服 务及其它</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5,909,908.31</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4,843,189.74</w:t>
            </w:r>
          </w:p>
        </w:tc>
      </w:tr>
      <w:tr>
        <w:trPr>
          <w:trHeight w:val="557"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神州数码融信软件有限公司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64"/>
              <w:jc w:val="left"/>
              <w:rPr>
                <w:rFonts w:ascii="宋体" w:hAnsi="宋体" w:cs="宋体" w:eastAsia="宋体" w:hint="default"/>
                <w:sz w:val="18"/>
                <w:szCs w:val="18"/>
              </w:rPr>
            </w:pPr>
            <w:r>
              <w:rPr>
                <w:rFonts w:ascii="宋体" w:hAnsi="宋体" w:cs="宋体" w:eastAsia="宋体" w:hint="default"/>
                <w:sz w:val="18"/>
                <w:szCs w:val="18"/>
              </w:rPr>
              <w:t>销售行政办公服务、货运服 务及其它</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5,209,188.12</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5,079,934.94</w:t>
            </w:r>
          </w:p>
        </w:tc>
      </w:tr>
      <w:tr>
        <w:trPr>
          <w:trHeight w:val="557"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神州数码信息系统有限公司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64"/>
              <w:jc w:val="left"/>
              <w:rPr>
                <w:rFonts w:ascii="宋体" w:hAnsi="宋体" w:cs="宋体" w:eastAsia="宋体" w:hint="default"/>
                <w:sz w:val="18"/>
                <w:szCs w:val="18"/>
              </w:rPr>
            </w:pPr>
            <w:r>
              <w:rPr>
                <w:rFonts w:ascii="宋体" w:hAnsi="宋体" w:cs="宋体" w:eastAsia="宋体" w:hint="default"/>
                <w:sz w:val="18"/>
                <w:szCs w:val="18"/>
              </w:rPr>
              <w:t>销售行政办公服务、货运服 务及其它</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2,746,934.96</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5,433,960.62</w:t>
            </w:r>
          </w:p>
        </w:tc>
      </w:tr>
      <w:tr>
        <w:trPr>
          <w:trHeight w:val="557"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 w:right="57"/>
              <w:jc w:val="left"/>
              <w:rPr>
                <w:rFonts w:ascii="宋体" w:hAnsi="宋体" w:cs="宋体" w:eastAsia="宋体" w:hint="default"/>
                <w:sz w:val="18"/>
                <w:szCs w:val="18"/>
              </w:rPr>
            </w:pPr>
            <w:r>
              <w:rPr>
                <w:rFonts w:ascii="宋体" w:hAnsi="宋体" w:cs="宋体" w:eastAsia="宋体" w:hint="default"/>
                <w:sz w:val="18"/>
                <w:szCs w:val="18"/>
              </w:rPr>
              <w:t>神州数码融信云技术服务有限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64"/>
              <w:jc w:val="left"/>
              <w:rPr>
                <w:rFonts w:ascii="宋体" w:hAnsi="宋体" w:cs="宋体" w:eastAsia="宋体" w:hint="default"/>
                <w:sz w:val="18"/>
                <w:szCs w:val="18"/>
              </w:rPr>
            </w:pPr>
            <w:r>
              <w:rPr>
                <w:rFonts w:ascii="宋体" w:hAnsi="宋体" w:cs="宋体" w:eastAsia="宋体" w:hint="default"/>
                <w:sz w:val="18"/>
                <w:szCs w:val="18"/>
              </w:rPr>
              <w:t>销售行政办公服务、货运服 务及其它</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353,302.24</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761,283.29</w:t>
            </w:r>
          </w:p>
        </w:tc>
      </w:tr>
      <w:tr>
        <w:trPr>
          <w:trHeight w:val="557"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4" w:right="655"/>
              <w:jc w:val="left"/>
              <w:rPr>
                <w:rFonts w:ascii="Times New Roman" w:hAnsi="Times New Roman" w:cs="Times New Roman" w:eastAsia="Times New Roman" w:hint="default"/>
                <w:sz w:val="18"/>
                <w:szCs w:val="18"/>
              </w:rPr>
            </w:pPr>
            <w:r>
              <w:rPr>
                <w:rFonts w:ascii="Times New Roman"/>
                <w:sz w:val="18"/>
              </w:rPr>
              <w:t>Digital China</w:t>
            </w:r>
            <w:r>
              <w:rPr>
                <w:rFonts w:ascii="Times New Roman"/>
                <w:spacing w:val="-13"/>
                <w:sz w:val="18"/>
              </w:rPr>
              <w:t> </w:t>
            </w:r>
            <w:r>
              <w:rPr>
                <w:rFonts w:ascii="Times New Roman"/>
                <w:sz w:val="18"/>
              </w:rPr>
              <w:t>Advanced</w:t>
            </w:r>
            <w:r>
              <w:rPr>
                <w:rFonts w:ascii="Times New Roman"/>
                <w:sz w:val="18"/>
              </w:rPr>
              <w:t> Systems</w:t>
            </w:r>
            <w:r>
              <w:rPr>
                <w:rFonts w:ascii="Times New Roman"/>
                <w:spacing w:val="-3"/>
                <w:sz w:val="18"/>
              </w:rPr>
              <w:t> </w:t>
            </w:r>
            <w:r>
              <w:rPr>
                <w:rFonts w:ascii="Times New Roman"/>
                <w:sz w:val="18"/>
              </w:rPr>
              <w:t>Limited</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64"/>
              <w:jc w:val="left"/>
              <w:rPr>
                <w:rFonts w:ascii="宋体" w:hAnsi="宋体" w:cs="宋体" w:eastAsia="宋体" w:hint="default"/>
                <w:sz w:val="18"/>
                <w:szCs w:val="18"/>
              </w:rPr>
            </w:pPr>
            <w:r>
              <w:rPr>
                <w:rFonts w:ascii="宋体" w:hAnsi="宋体" w:cs="宋体" w:eastAsia="宋体" w:hint="default"/>
                <w:sz w:val="18"/>
                <w:szCs w:val="18"/>
              </w:rPr>
              <w:t>销售行政办公服务、货运服 务及其它</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300,897.68</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211,447.08</w:t>
            </w:r>
          </w:p>
        </w:tc>
      </w:tr>
      <w:tr>
        <w:trPr>
          <w:trHeight w:val="557"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 w:right="57"/>
              <w:jc w:val="left"/>
              <w:rPr>
                <w:rFonts w:ascii="宋体" w:hAnsi="宋体" w:cs="宋体" w:eastAsia="宋体" w:hint="default"/>
                <w:sz w:val="18"/>
                <w:szCs w:val="18"/>
              </w:rPr>
            </w:pPr>
            <w:r>
              <w:rPr>
                <w:rFonts w:ascii="宋体" w:hAnsi="宋体" w:cs="宋体" w:eastAsia="宋体" w:hint="default"/>
                <w:sz w:val="18"/>
                <w:szCs w:val="18"/>
              </w:rPr>
              <w:t>北京中农信达信息技术有限公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64"/>
              <w:jc w:val="left"/>
              <w:rPr>
                <w:rFonts w:ascii="宋体" w:hAnsi="宋体" w:cs="宋体" w:eastAsia="宋体" w:hint="default"/>
                <w:sz w:val="18"/>
                <w:szCs w:val="18"/>
              </w:rPr>
            </w:pPr>
            <w:r>
              <w:rPr>
                <w:rFonts w:ascii="宋体" w:hAnsi="宋体" w:cs="宋体" w:eastAsia="宋体" w:hint="default"/>
                <w:sz w:val="18"/>
                <w:szCs w:val="18"/>
              </w:rPr>
              <w:t>销售行政办公服务、货运服 务及其它</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1,534,691.72</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571,322.25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5" w:type="dxa"/>
        <w:tblLayout w:type="fixed"/>
        <w:tblCellMar>
          <w:top w:w="0" w:type="dxa"/>
          <w:left w:w="0" w:type="dxa"/>
          <w:bottom w:w="0" w:type="dxa"/>
          <w:right w:w="0" w:type="dxa"/>
        </w:tblCellMar>
        <w:tblLook w:val="01E0"/>
      </w:tblPr>
      <w:tblGrid>
        <w:gridCol w:w="2432"/>
        <w:gridCol w:w="2259"/>
        <w:gridCol w:w="2260"/>
        <w:gridCol w:w="2652"/>
      </w:tblGrid>
      <w:tr>
        <w:trPr>
          <w:trHeight w:val="324" w:hRule="exact"/>
        </w:trPr>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7"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杨凌农业云服务有限公司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64"/>
              <w:jc w:val="left"/>
              <w:rPr>
                <w:rFonts w:ascii="宋体" w:hAnsi="宋体" w:cs="宋体" w:eastAsia="宋体" w:hint="default"/>
                <w:sz w:val="18"/>
                <w:szCs w:val="18"/>
              </w:rPr>
            </w:pPr>
            <w:r>
              <w:rPr>
                <w:rFonts w:ascii="宋体" w:hAnsi="宋体" w:cs="宋体" w:eastAsia="宋体" w:hint="default"/>
                <w:sz w:val="18"/>
                <w:szCs w:val="18"/>
              </w:rPr>
              <w:t>销售行政办公服务、货运服 务及其它</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397,570.70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298,058.11</w:t>
            </w:r>
          </w:p>
        </w:tc>
      </w:tr>
      <w:tr>
        <w:trPr>
          <w:trHeight w:val="557"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 w:right="57"/>
              <w:jc w:val="left"/>
              <w:rPr>
                <w:rFonts w:ascii="宋体" w:hAnsi="宋体" w:cs="宋体" w:eastAsia="宋体" w:hint="default"/>
                <w:sz w:val="18"/>
                <w:szCs w:val="18"/>
              </w:rPr>
            </w:pPr>
            <w:r>
              <w:rPr>
                <w:rFonts w:ascii="宋体" w:hAnsi="宋体" w:cs="宋体" w:eastAsia="宋体" w:hint="default"/>
                <w:sz w:val="18"/>
                <w:szCs w:val="18"/>
              </w:rPr>
              <w:t>神州数码信息服务股份有限公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64"/>
              <w:jc w:val="left"/>
              <w:rPr>
                <w:rFonts w:ascii="宋体" w:hAnsi="宋体" w:cs="宋体" w:eastAsia="宋体" w:hint="default"/>
                <w:sz w:val="18"/>
                <w:szCs w:val="18"/>
              </w:rPr>
            </w:pPr>
            <w:r>
              <w:rPr>
                <w:rFonts w:ascii="宋体" w:hAnsi="宋体" w:cs="宋体" w:eastAsia="宋体" w:hint="default"/>
                <w:sz w:val="18"/>
                <w:szCs w:val="18"/>
              </w:rPr>
              <w:t>销售行政办公服务、货运服 务及其它</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654,875.77</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752,419.52</w:t>
            </w:r>
          </w:p>
        </w:tc>
      </w:tr>
      <w:tr>
        <w:trPr>
          <w:trHeight w:val="557"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 w:right="57"/>
              <w:jc w:val="left"/>
              <w:rPr>
                <w:rFonts w:ascii="宋体" w:hAnsi="宋体" w:cs="宋体" w:eastAsia="宋体" w:hint="default"/>
                <w:sz w:val="18"/>
                <w:szCs w:val="18"/>
              </w:rPr>
            </w:pPr>
            <w:r>
              <w:rPr>
                <w:rFonts w:ascii="宋体" w:hAnsi="宋体" w:cs="宋体" w:eastAsia="宋体" w:hint="default"/>
                <w:sz w:val="18"/>
                <w:szCs w:val="18"/>
              </w:rPr>
              <w:t>广州神州金信电子科技有限公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64"/>
              <w:jc w:val="left"/>
              <w:rPr>
                <w:rFonts w:ascii="宋体" w:hAnsi="宋体" w:cs="宋体" w:eastAsia="宋体" w:hint="default"/>
                <w:sz w:val="18"/>
                <w:szCs w:val="18"/>
              </w:rPr>
            </w:pPr>
            <w:r>
              <w:rPr>
                <w:rFonts w:ascii="宋体" w:hAnsi="宋体" w:cs="宋体" w:eastAsia="宋体" w:hint="default"/>
                <w:sz w:val="18"/>
                <w:szCs w:val="18"/>
              </w:rPr>
              <w:t>销售行政办公服务、货运服 务及其它</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65,747.91</w:t>
            </w:r>
          </w:p>
        </w:tc>
      </w:tr>
      <w:tr>
        <w:trPr>
          <w:trHeight w:val="557"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4" w:right="122"/>
              <w:jc w:val="left"/>
              <w:rPr>
                <w:rFonts w:ascii="Times New Roman" w:hAnsi="Times New Roman" w:cs="Times New Roman" w:eastAsia="Times New Roman" w:hint="default"/>
                <w:sz w:val="18"/>
                <w:szCs w:val="18"/>
              </w:rPr>
            </w:pPr>
            <w:r>
              <w:rPr>
                <w:rFonts w:ascii="Times New Roman"/>
                <w:sz w:val="18"/>
              </w:rPr>
              <w:t>Digital China Financial</w:t>
            </w:r>
            <w:r>
              <w:rPr>
                <w:rFonts w:ascii="Times New Roman"/>
                <w:spacing w:val="-6"/>
                <w:sz w:val="18"/>
              </w:rPr>
              <w:t> </w:t>
            </w:r>
            <w:r>
              <w:rPr>
                <w:rFonts w:ascii="Times New Roman"/>
                <w:sz w:val="18"/>
              </w:rPr>
              <w:t>Service</w:t>
            </w:r>
            <w:r>
              <w:rPr>
                <w:rFonts w:ascii="Times New Roman"/>
                <w:w w:val="99"/>
                <w:sz w:val="18"/>
              </w:rPr>
              <w:t> </w:t>
            </w:r>
            <w:r>
              <w:rPr>
                <w:rFonts w:ascii="Times New Roman"/>
                <w:sz w:val="18"/>
              </w:rPr>
              <w:t>Holding</w:t>
            </w:r>
            <w:r>
              <w:rPr>
                <w:rFonts w:ascii="Times New Roman"/>
                <w:spacing w:val="-2"/>
                <w:sz w:val="18"/>
              </w:rPr>
              <w:t> </w:t>
            </w:r>
            <w:r>
              <w:rPr>
                <w:rFonts w:ascii="Times New Roman"/>
                <w:sz w:val="18"/>
              </w:rPr>
              <w:t>Limited</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64"/>
              <w:jc w:val="left"/>
              <w:rPr>
                <w:rFonts w:ascii="宋体" w:hAnsi="宋体" w:cs="宋体" w:eastAsia="宋体" w:hint="default"/>
                <w:sz w:val="18"/>
                <w:szCs w:val="18"/>
              </w:rPr>
            </w:pPr>
            <w:r>
              <w:rPr>
                <w:rFonts w:ascii="宋体" w:hAnsi="宋体" w:cs="宋体" w:eastAsia="宋体" w:hint="default"/>
                <w:sz w:val="18"/>
                <w:szCs w:val="18"/>
              </w:rPr>
              <w:t>销售行政办公服务、货运服 务及其它</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4,918.90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6,791.73</w:t>
            </w:r>
          </w:p>
        </w:tc>
      </w:tr>
      <w:tr>
        <w:trPr>
          <w:trHeight w:val="557"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 w:right="57"/>
              <w:jc w:val="left"/>
              <w:rPr>
                <w:rFonts w:ascii="宋体" w:hAnsi="宋体" w:cs="宋体" w:eastAsia="宋体" w:hint="default"/>
                <w:sz w:val="18"/>
                <w:szCs w:val="18"/>
              </w:rPr>
            </w:pPr>
            <w:r>
              <w:rPr>
                <w:rFonts w:ascii="宋体" w:hAnsi="宋体" w:cs="宋体" w:eastAsia="宋体" w:hint="default"/>
                <w:sz w:val="18"/>
                <w:szCs w:val="18"/>
              </w:rPr>
              <w:t>北京神州数码锐行快捷信息技 术服务有限公司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64"/>
              <w:jc w:val="left"/>
              <w:rPr>
                <w:rFonts w:ascii="宋体" w:hAnsi="宋体" w:cs="宋体" w:eastAsia="宋体" w:hint="default"/>
                <w:sz w:val="18"/>
                <w:szCs w:val="18"/>
              </w:rPr>
            </w:pPr>
            <w:r>
              <w:rPr>
                <w:rFonts w:ascii="宋体" w:hAnsi="宋体" w:cs="宋体" w:eastAsia="宋体" w:hint="default"/>
                <w:sz w:val="18"/>
                <w:szCs w:val="18"/>
              </w:rPr>
              <w:t>销售行政办公服务、货运服 务及其它</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204,297.65</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254,575.98</w:t>
            </w:r>
          </w:p>
        </w:tc>
      </w:tr>
      <w:tr>
        <w:trPr>
          <w:trHeight w:val="557"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 w:right="57"/>
              <w:jc w:val="left"/>
              <w:rPr>
                <w:rFonts w:ascii="宋体" w:hAnsi="宋体" w:cs="宋体" w:eastAsia="宋体" w:hint="default"/>
                <w:sz w:val="18"/>
                <w:szCs w:val="18"/>
              </w:rPr>
            </w:pPr>
            <w:r>
              <w:rPr>
                <w:rFonts w:ascii="宋体" w:hAnsi="宋体" w:cs="宋体" w:eastAsia="宋体" w:hint="default"/>
                <w:sz w:val="18"/>
                <w:szCs w:val="18"/>
              </w:rPr>
              <w:t>神州数码金信科技股份有限公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64"/>
              <w:jc w:val="left"/>
              <w:rPr>
                <w:rFonts w:ascii="宋体" w:hAnsi="宋体" w:cs="宋体" w:eastAsia="宋体" w:hint="default"/>
                <w:sz w:val="18"/>
                <w:szCs w:val="18"/>
              </w:rPr>
            </w:pPr>
            <w:r>
              <w:rPr>
                <w:rFonts w:ascii="宋体" w:hAnsi="宋体" w:cs="宋体" w:eastAsia="宋体" w:hint="default"/>
                <w:sz w:val="18"/>
                <w:szCs w:val="18"/>
              </w:rPr>
              <w:t>销售行政办公服务、货运服 务及其它</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6,612.87</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234,172.72</w:t>
            </w:r>
          </w:p>
        </w:tc>
      </w:tr>
      <w:tr>
        <w:trPr>
          <w:trHeight w:val="557"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 w:right="57"/>
              <w:jc w:val="left"/>
              <w:rPr>
                <w:rFonts w:ascii="宋体" w:hAnsi="宋体" w:cs="宋体" w:eastAsia="宋体" w:hint="default"/>
                <w:sz w:val="18"/>
                <w:szCs w:val="18"/>
              </w:rPr>
            </w:pPr>
            <w:r>
              <w:rPr>
                <w:rFonts w:ascii="宋体" w:hAnsi="宋体" w:cs="宋体" w:eastAsia="宋体" w:hint="default"/>
                <w:sz w:val="18"/>
                <w:szCs w:val="18"/>
              </w:rPr>
              <w:t>南京神州金信电子科技有限公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64"/>
              <w:jc w:val="left"/>
              <w:rPr>
                <w:rFonts w:ascii="宋体" w:hAnsi="宋体" w:cs="宋体" w:eastAsia="宋体" w:hint="default"/>
                <w:sz w:val="18"/>
                <w:szCs w:val="18"/>
              </w:rPr>
            </w:pPr>
            <w:r>
              <w:rPr>
                <w:rFonts w:ascii="宋体" w:hAnsi="宋体" w:cs="宋体" w:eastAsia="宋体" w:hint="default"/>
                <w:sz w:val="18"/>
                <w:szCs w:val="18"/>
              </w:rPr>
              <w:t>销售行政办公服务、货运服 务及其它</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28,590.02</w:t>
            </w:r>
          </w:p>
        </w:tc>
      </w:tr>
      <w:tr>
        <w:trPr>
          <w:trHeight w:val="324"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北京科捷物流有限公司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销售服务及其它</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7,498,783.41</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7,371,449.92</w:t>
            </w:r>
          </w:p>
        </w:tc>
      </w:tr>
      <w:tr>
        <w:trPr>
          <w:trHeight w:val="323"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神州惠云信息技术有限公司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销售服务及其它</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1,923,719.10</w:t>
            </w:r>
          </w:p>
        </w:tc>
      </w:tr>
      <w:tr>
        <w:trPr>
          <w:trHeight w:val="557"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 w:right="57"/>
              <w:jc w:val="left"/>
              <w:rPr>
                <w:rFonts w:ascii="宋体" w:hAnsi="宋体" w:cs="宋体" w:eastAsia="宋体" w:hint="default"/>
                <w:sz w:val="18"/>
                <w:szCs w:val="18"/>
              </w:rPr>
            </w:pPr>
            <w:r>
              <w:rPr>
                <w:rFonts w:ascii="宋体" w:hAnsi="宋体" w:cs="宋体" w:eastAsia="宋体" w:hint="default"/>
                <w:sz w:val="18"/>
                <w:szCs w:val="18"/>
              </w:rPr>
              <w:t>北京神州数码科捷技术服务有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销售服务及其它</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1,947,755.77</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2,152,847.04</w:t>
            </w:r>
          </w:p>
        </w:tc>
      </w:tr>
      <w:tr>
        <w:trPr>
          <w:trHeight w:val="557"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 w:right="57"/>
              <w:jc w:val="left"/>
              <w:rPr>
                <w:rFonts w:ascii="宋体" w:hAnsi="宋体" w:cs="宋体" w:eastAsia="宋体" w:hint="default"/>
                <w:sz w:val="18"/>
                <w:szCs w:val="18"/>
              </w:rPr>
            </w:pPr>
            <w:r>
              <w:rPr>
                <w:rFonts w:ascii="宋体" w:hAnsi="宋体" w:cs="宋体" w:eastAsia="宋体" w:hint="default"/>
                <w:sz w:val="18"/>
                <w:szCs w:val="18"/>
              </w:rPr>
              <w:t>智慧神州（北京）科技有限公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销售服务及其它</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2,808,540.66</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2,194,299.15</w:t>
            </w:r>
          </w:p>
        </w:tc>
      </w:tr>
      <w:tr>
        <w:trPr>
          <w:trHeight w:val="324"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深圳科捷物流有限公司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销售服务及其它</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320,594.22</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278,540.75</w:t>
            </w:r>
          </w:p>
        </w:tc>
      </w:tr>
      <w:tr>
        <w:trPr>
          <w:trHeight w:val="323"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广州智慧神州科技有限公司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销售服务及其它</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232,655.86</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20,925.97</w:t>
            </w:r>
          </w:p>
        </w:tc>
      </w:tr>
      <w:tr>
        <w:trPr>
          <w:trHeight w:val="324"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深圳科捷电商供应链有限公司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销售服务及其它</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241,899.98</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226,387.60</w:t>
            </w:r>
          </w:p>
        </w:tc>
      </w:tr>
      <w:tr>
        <w:trPr>
          <w:trHeight w:val="323"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北京因特睿软件有限公司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销售服务及其它</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38,132.08</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1,301.89</w:t>
            </w:r>
          </w:p>
        </w:tc>
      </w:tr>
      <w:tr>
        <w:trPr>
          <w:trHeight w:val="557"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4" w:right="57"/>
              <w:jc w:val="left"/>
              <w:rPr>
                <w:rFonts w:ascii="宋体" w:hAnsi="宋体" w:cs="宋体" w:eastAsia="宋体" w:hint="default"/>
                <w:sz w:val="18"/>
                <w:szCs w:val="18"/>
              </w:rPr>
            </w:pPr>
            <w:r>
              <w:rPr>
                <w:rFonts w:ascii="宋体" w:hAnsi="宋体" w:cs="宋体" w:eastAsia="宋体" w:hint="default"/>
                <w:sz w:val="18"/>
                <w:szCs w:val="18"/>
              </w:rPr>
              <w:t>天津神州数码融资租赁有限公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销售服务及其它</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244,113.29</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370,391.67</w:t>
            </w:r>
          </w:p>
        </w:tc>
      </w:tr>
      <w:tr>
        <w:trPr>
          <w:trHeight w:val="504"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4" w:right="461"/>
              <w:jc w:val="left"/>
              <w:rPr>
                <w:rFonts w:ascii="Times New Roman" w:hAnsi="Times New Roman" w:cs="Times New Roman" w:eastAsia="Times New Roman" w:hint="default"/>
                <w:sz w:val="18"/>
                <w:szCs w:val="18"/>
              </w:rPr>
            </w:pPr>
            <w:r>
              <w:rPr>
                <w:rFonts w:ascii="Times New Roman"/>
                <w:sz w:val="18"/>
              </w:rPr>
              <w:t>Instant Technology</w:t>
            </w:r>
            <w:r>
              <w:rPr>
                <w:rFonts w:ascii="Times New Roman"/>
                <w:spacing w:val="-19"/>
                <w:sz w:val="18"/>
              </w:rPr>
              <w:t> </w:t>
            </w:r>
            <w:r>
              <w:rPr>
                <w:rFonts w:ascii="Times New Roman"/>
                <w:sz w:val="18"/>
              </w:rPr>
              <w:t>Supply</w:t>
            </w:r>
            <w:r>
              <w:rPr>
                <w:rFonts w:ascii="Times New Roman"/>
                <w:w w:val="99"/>
                <w:sz w:val="18"/>
              </w:rPr>
              <w:t> </w:t>
            </w:r>
            <w:r>
              <w:rPr>
                <w:rFonts w:ascii="Times New Roman"/>
                <w:sz w:val="18"/>
              </w:rPr>
              <w:t>Chain Hong Kong</w:t>
            </w:r>
            <w:r>
              <w:rPr>
                <w:rFonts w:ascii="Times New Roman"/>
                <w:spacing w:val="-4"/>
                <w:sz w:val="18"/>
              </w:rPr>
              <w:t> </w:t>
            </w:r>
            <w:r>
              <w:rPr>
                <w:rFonts w:ascii="Times New Roman"/>
                <w:sz w:val="18"/>
              </w:rPr>
              <w:t>Limited</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销售服务及其它</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Times New Roman" w:hAnsi="Times New Roman" w:cs="Times New Roman" w:eastAsia="Times New Roman" w:hint="default"/>
                <w:sz w:val="18"/>
                <w:szCs w:val="18"/>
              </w:rPr>
            </w:pPr>
            <w:r>
              <w:rPr>
                <w:rFonts w:ascii="Times New Roman"/>
                <w:sz w:val="18"/>
              </w:rPr>
              <w:t>60,557.27</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0"/>
              <w:jc w:val="right"/>
              <w:rPr>
                <w:rFonts w:ascii="Times New Roman" w:hAnsi="Times New Roman" w:cs="Times New Roman" w:eastAsia="Times New Roman" w:hint="default"/>
                <w:sz w:val="18"/>
                <w:szCs w:val="18"/>
              </w:rPr>
            </w:pPr>
            <w:r>
              <w:rPr>
                <w:rFonts w:ascii="Times New Roman"/>
                <w:sz w:val="18"/>
              </w:rPr>
              <w:t>67,487.97</w:t>
            </w:r>
          </w:p>
        </w:tc>
      </w:tr>
      <w:tr>
        <w:trPr>
          <w:trHeight w:val="557"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57"/>
              <w:jc w:val="left"/>
              <w:rPr>
                <w:rFonts w:ascii="宋体" w:hAnsi="宋体" w:cs="宋体" w:eastAsia="宋体" w:hint="default"/>
                <w:sz w:val="18"/>
                <w:szCs w:val="18"/>
              </w:rPr>
            </w:pPr>
            <w:r>
              <w:rPr>
                <w:rFonts w:ascii="宋体" w:hAnsi="宋体" w:cs="宋体" w:eastAsia="宋体" w:hint="default"/>
                <w:sz w:val="18"/>
                <w:szCs w:val="18"/>
              </w:rPr>
              <w:t>智慧神州（福建）信息技术有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销售服务及其它</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59,512.08</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67,965.71</w:t>
            </w:r>
          </w:p>
        </w:tc>
      </w:tr>
      <w:tr>
        <w:trPr>
          <w:trHeight w:val="324"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上海科捷物流有限公司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销售服务及其它</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2,766.50</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神州数码软件有限公司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销售服务及其它</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498.08</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17,069.37</w:t>
            </w:r>
          </w:p>
        </w:tc>
      </w:tr>
      <w:tr>
        <w:trPr>
          <w:trHeight w:val="324"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神州投资有限公司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销售服务及其它</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791,694.38</w:t>
            </w:r>
          </w:p>
        </w:tc>
      </w:tr>
      <w:tr>
        <w:trPr>
          <w:trHeight w:val="557"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 w:right="57"/>
              <w:jc w:val="left"/>
              <w:rPr>
                <w:rFonts w:ascii="宋体" w:hAnsi="宋体" w:cs="宋体" w:eastAsia="宋体" w:hint="default"/>
                <w:sz w:val="18"/>
                <w:szCs w:val="18"/>
              </w:rPr>
            </w:pPr>
            <w:r>
              <w:rPr>
                <w:rFonts w:ascii="宋体" w:hAnsi="宋体" w:cs="宋体" w:eastAsia="宋体" w:hint="default"/>
                <w:sz w:val="18"/>
                <w:szCs w:val="18"/>
              </w:rPr>
              <w:t>西安神州数码网络小额贷款有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销售服务及其它</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749,165.69</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 w:right="57"/>
              <w:jc w:val="left"/>
              <w:rPr>
                <w:rFonts w:ascii="宋体" w:hAnsi="宋体" w:cs="宋体" w:eastAsia="宋体" w:hint="default"/>
                <w:sz w:val="18"/>
                <w:szCs w:val="18"/>
              </w:rPr>
            </w:pPr>
            <w:r>
              <w:rPr>
                <w:rFonts w:ascii="宋体" w:hAnsi="宋体" w:cs="宋体" w:eastAsia="宋体" w:hint="default"/>
                <w:sz w:val="18"/>
                <w:szCs w:val="18"/>
              </w:rPr>
              <w:t>神州数码（上海）资产管理有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销售服务及其它</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41,967.89</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贵州筑民生运营服务有限公司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销售服务及其它</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674,160.57</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 w:right="57"/>
              <w:jc w:val="left"/>
              <w:rPr>
                <w:rFonts w:ascii="宋体" w:hAnsi="宋体" w:cs="宋体" w:eastAsia="宋体" w:hint="default"/>
                <w:sz w:val="18"/>
                <w:szCs w:val="18"/>
              </w:rPr>
            </w:pPr>
            <w:r>
              <w:rPr>
                <w:rFonts w:ascii="宋体" w:hAnsi="宋体" w:cs="宋体" w:eastAsia="宋体" w:hint="default"/>
                <w:sz w:val="18"/>
                <w:szCs w:val="18"/>
              </w:rPr>
              <w:t>北京神州众腾科技发展有限公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销售服务及其它</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1,086,706.72</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 w:right="57"/>
              <w:jc w:val="left"/>
              <w:rPr>
                <w:rFonts w:ascii="宋体" w:hAnsi="宋体" w:cs="宋体" w:eastAsia="宋体" w:hint="default"/>
                <w:sz w:val="18"/>
                <w:szCs w:val="18"/>
              </w:rPr>
            </w:pPr>
            <w:r>
              <w:rPr>
                <w:rFonts w:ascii="宋体" w:hAnsi="宋体" w:cs="宋体" w:eastAsia="宋体" w:hint="default"/>
                <w:sz w:val="18"/>
                <w:szCs w:val="18"/>
              </w:rPr>
              <w:t>北京科捷智云技术服务有限公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销售服务及其它</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47,845.94</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 w:right="57"/>
              <w:jc w:val="left"/>
              <w:rPr>
                <w:rFonts w:ascii="宋体" w:hAnsi="宋体" w:cs="宋体" w:eastAsia="宋体" w:hint="default"/>
                <w:sz w:val="18"/>
                <w:szCs w:val="18"/>
              </w:rPr>
            </w:pPr>
            <w:r>
              <w:rPr>
                <w:rFonts w:ascii="宋体" w:hAnsi="宋体" w:cs="宋体" w:eastAsia="宋体" w:hint="default"/>
                <w:sz w:val="18"/>
                <w:szCs w:val="18"/>
              </w:rPr>
              <w:t>神州企橙（北京）科技有限公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销售服务及其它</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553.99</w:t>
            </w:r>
          </w:p>
        </w:tc>
      </w:tr>
      <w:tr>
        <w:trPr>
          <w:trHeight w:val="557"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 w:right="57"/>
              <w:jc w:val="left"/>
              <w:rPr>
                <w:rFonts w:ascii="宋体" w:hAnsi="宋体" w:cs="宋体" w:eastAsia="宋体" w:hint="default"/>
                <w:sz w:val="18"/>
                <w:szCs w:val="18"/>
              </w:rPr>
            </w:pPr>
            <w:r>
              <w:rPr>
                <w:rFonts w:ascii="宋体" w:hAnsi="宋体" w:cs="宋体" w:eastAsia="宋体" w:hint="default"/>
                <w:sz w:val="18"/>
                <w:szCs w:val="18"/>
              </w:rPr>
              <w:t>神州数码（武汉）科技园有限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销售服务及其它</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235,262.43</w:t>
            </w:r>
          </w:p>
        </w:tc>
      </w:tr>
      <w:tr>
        <w:trPr>
          <w:trHeight w:val="324"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神州数码商业保理有限责任公</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销售服务及其它</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377,836.62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5" w:type="dxa"/>
        <w:tblLayout w:type="fixed"/>
        <w:tblCellMar>
          <w:top w:w="0" w:type="dxa"/>
          <w:left w:w="0" w:type="dxa"/>
          <w:bottom w:w="0" w:type="dxa"/>
          <w:right w:w="0" w:type="dxa"/>
        </w:tblCellMar>
        <w:tblLook w:val="01E0"/>
      </w:tblPr>
      <w:tblGrid>
        <w:gridCol w:w="2432"/>
        <w:gridCol w:w="2259"/>
        <w:gridCol w:w="2260"/>
        <w:gridCol w:w="2652"/>
      </w:tblGrid>
      <w:tr>
        <w:trPr>
          <w:trHeight w:val="324" w:hRule="exact"/>
        </w:trPr>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83"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 w:right="57"/>
              <w:jc w:val="left"/>
              <w:rPr>
                <w:rFonts w:ascii="宋体" w:hAnsi="宋体" w:cs="宋体" w:eastAsia="宋体" w:hint="default"/>
                <w:sz w:val="18"/>
                <w:szCs w:val="18"/>
              </w:rPr>
            </w:pPr>
            <w:r>
              <w:rPr>
                <w:rFonts w:ascii="宋体" w:hAnsi="宋体" w:cs="宋体" w:eastAsia="宋体" w:hint="default"/>
                <w:sz w:val="18"/>
                <w:szCs w:val="18"/>
              </w:rPr>
              <w:t>北京神州数码置业发展有限公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一般借款利息</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281" w:right="0"/>
              <w:jc w:val="left"/>
              <w:rPr>
                <w:rFonts w:ascii="Times New Roman" w:hAnsi="Times New Roman" w:cs="Times New Roman" w:eastAsia="Times New Roman" w:hint="default"/>
                <w:sz w:val="18"/>
                <w:szCs w:val="18"/>
              </w:rPr>
            </w:pPr>
            <w:r>
              <w:rPr>
                <w:rFonts w:ascii="Times New Roman"/>
                <w:sz w:val="18"/>
              </w:rPr>
              <w:t>4,435,744.59</w:t>
            </w:r>
          </w:p>
        </w:tc>
        <w:tc>
          <w:tcPr>
            <w:tcW w:w="265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8" w:lineRule="auto" w:before="11"/>
        <w:ind w:right="1118"/>
        <w:jc w:val="left"/>
      </w:pPr>
      <w:r>
        <w:rPr/>
        <w:t>购销商品、提供和接受劳务的关联交易说明 注：北京神州数码有限公司与神州数码信息服务股份有限公司之间产生的销售退货。</w:t>
      </w:r>
    </w:p>
    <w:p>
      <w:pPr>
        <w:pStyle w:val="BodyText"/>
        <w:spacing w:line="234" w:lineRule="exact" w:before="32"/>
        <w:ind w:right="0"/>
        <w:jc w:val="left"/>
      </w:pPr>
      <w:r>
        <w:rPr>
          <w:spacing w:val="-2"/>
        </w:rPr>
        <w:t>报告期内，本公司合并范围内公司均以市场价自关联公司购入</w:t>
      </w:r>
      <w:r>
        <w:rPr>
          <w:rFonts w:ascii="Times New Roman" w:hAnsi="Times New Roman" w:cs="Times New Roman" w:eastAsia="Times New Roman" w:hint="default"/>
          <w:spacing w:val="-2"/>
        </w:rPr>
        <w:t>IT</w:t>
      </w:r>
      <w:r>
        <w:rPr>
          <w:spacing w:val="-2"/>
        </w:rPr>
        <w:t>产品或自关联公司购入技术服务及货运服务，以市场价向关</w:t>
      </w:r>
      <w:r>
        <w:rPr>
          <w:spacing w:val="-52"/>
        </w:rPr>
        <w:t> </w:t>
      </w:r>
      <w:r>
        <w:rPr>
          <w:spacing w:val="-52"/>
        </w:rPr>
      </w:r>
      <w:r>
        <w:rPr/>
        <w:t>联公司销售</w:t>
      </w:r>
      <w:r>
        <w:rPr>
          <w:rFonts w:ascii="Times New Roman" w:hAnsi="Times New Roman" w:cs="Times New Roman" w:eastAsia="Times New Roman" w:hint="default"/>
        </w:rPr>
        <w:t>IT</w:t>
      </w:r>
      <w:r>
        <w:rPr/>
        <w:t>产品。</w:t>
      </w: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2）关联租赁情况" w:id="363"/>
      <w:bookmarkEnd w:id="363"/>
      <w:r>
        <w:rPr>
          <w:b w:val="0"/>
          <w:bCs w:val="0"/>
        </w:rPr>
      </w:r>
      <w:r>
        <w:rPr/>
        <w:t>（</w:t>
      </w:r>
      <w:r>
        <w:rPr>
          <w:rFonts w:ascii="Times New Roman" w:hAnsi="Times New Roman" w:cs="Times New Roman" w:eastAsia="Times New Roman" w:hint="default"/>
        </w:rPr>
        <w:t>2</w:t>
      </w:r>
      <w:r>
        <w:rPr/>
        <w:t>）关联租赁情况</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right="0"/>
        <w:jc w:val="left"/>
      </w:pPr>
      <w:r>
        <w:rPr/>
        <w:t>本公司作为出租方：</w:t>
      </w:r>
    </w:p>
    <w:p>
      <w:pPr>
        <w:pStyle w:val="BodyText"/>
        <w:spacing w:line="240" w:lineRule="auto" w:before="38"/>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937"/>
        <w:gridCol w:w="1418"/>
        <w:gridCol w:w="2268"/>
        <w:gridCol w:w="1945"/>
      </w:tblGrid>
      <w:tr>
        <w:trPr>
          <w:trHeight w:val="323" w:hRule="exact"/>
        </w:trPr>
        <w:tc>
          <w:tcPr>
            <w:tcW w:w="3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承租方名称</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6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18"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1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57"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32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北京科捷物流有限公司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268"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161.60</w:t>
            </w:r>
          </w:p>
        </w:tc>
      </w:tr>
      <w:tr>
        <w:trPr>
          <w:trHeight w:val="32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神州数码系统集成服务有限公司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1,340,202.99</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275,349.42</w:t>
            </w:r>
          </w:p>
        </w:tc>
      </w:tr>
      <w:tr>
        <w:trPr>
          <w:trHeight w:val="32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神州数码融信软件有限公司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276,408.87</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1,134,598.24</w:t>
            </w:r>
          </w:p>
        </w:tc>
      </w:tr>
      <w:tr>
        <w:trPr>
          <w:trHeight w:val="32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北京神州数码科捷技术服务有限公司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268"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480.00</w:t>
            </w:r>
          </w:p>
        </w:tc>
      </w:tr>
      <w:tr>
        <w:trPr>
          <w:trHeight w:val="32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北京中农信达信息技术有限公司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160.98</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54,504.32</w:t>
            </w:r>
          </w:p>
        </w:tc>
      </w:tr>
      <w:tr>
        <w:trPr>
          <w:trHeight w:val="32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智慧神州（北京）科技有限公司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268"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91,816.14</w:t>
            </w:r>
          </w:p>
        </w:tc>
      </w:tr>
      <w:tr>
        <w:trPr>
          <w:trHeight w:val="32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广州智慧神州科技有限公司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286,254.29</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374,831.88</w:t>
            </w:r>
          </w:p>
        </w:tc>
      </w:tr>
      <w:tr>
        <w:trPr>
          <w:trHeight w:val="32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天津神州数码融资租赁有限公司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268"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14,858.35</w:t>
            </w:r>
          </w:p>
        </w:tc>
      </w:tr>
      <w:tr>
        <w:trPr>
          <w:trHeight w:val="32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广州神州金信电子科技有限公司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10,809.95</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2,919.17</w:t>
            </w:r>
          </w:p>
        </w:tc>
      </w:tr>
      <w:tr>
        <w:trPr>
          <w:trHeight w:val="32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神州数码商业保理有限责任公司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268"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4,313.31</w:t>
            </w:r>
          </w:p>
        </w:tc>
      </w:tr>
    </w:tbl>
    <w:p>
      <w:pPr>
        <w:spacing w:line="240" w:lineRule="auto" w:before="3"/>
        <w:rPr>
          <w:rFonts w:ascii="宋体" w:hAnsi="宋体" w:cs="宋体" w:eastAsia="宋体" w:hint="default"/>
          <w:sz w:val="16"/>
          <w:szCs w:val="16"/>
        </w:rPr>
      </w:pPr>
    </w:p>
    <w:p>
      <w:pPr>
        <w:pStyle w:val="BodyText"/>
        <w:spacing w:line="240" w:lineRule="auto" w:before="44"/>
        <w:ind w:right="0"/>
        <w:jc w:val="left"/>
      </w:pPr>
      <w:r>
        <w:rPr/>
        <w:t>本公司作为承租方：</w:t>
      </w:r>
    </w:p>
    <w:p>
      <w:pPr>
        <w:pStyle w:val="BodyText"/>
        <w:spacing w:line="240" w:lineRule="auto" w:before="38"/>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087"/>
        <w:gridCol w:w="1984"/>
        <w:gridCol w:w="2106"/>
        <w:gridCol w:w="2392"/>
      </w:tblGrid>
      <w:tr>
        <w:trPr>
          <w:trHeight w:val="323" w:hRule="exact"/>
        </w:trPr>
        <w:tc>
          <w:tcPr>
            <w:tcW w:w="3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出租方名称</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46"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27"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32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神州数码软件有限公司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38,108,538.48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46,851,435.31</w:t>
            </w:r>
          </w:p>
        </w:tc>
      </w:tr>
      <w:tr>
        <w:trPr>
          <w:trHeight w:val="32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西安神州数码实业有限公司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2,043,024.56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1,783,104.67</w:t>
            </w:r>
          </w:p>
        </w:tc>
      </w:tr>
      <w:tr>
        <w:trPr>
          <w:trHeight w:val="32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神州数码（武汉）科技园有限公司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1,267,253.16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1,190,900.66</w:t>
            </w:r>
          </w:p>
        </w:tc>
      </w:tr>
      <w:tr>
        <w:trPr>
          <w:trHeight w:val="32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神州数码（重庆）信息科技有限公司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161,558.27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231,360.59</w:t>
            </w:r>
          </w:p>
        </w:tc>
      </w:tr>
      <w:tr>
        <w:trPr>
          <w:trHeight w:val="32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神州顶联科技有限公司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639,600.00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8" w:lineRule="auto" w:before="10"/>
        <w:ind w:right="9312"/>
        <w:jc w:val="left"/>
      </w:pPr>
      <w:r>
        <w:rPr/>
        <w:t>关联租赁情况说明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关联方资金拆借" w:id="364"/>
      <w:bookmarkEnd w:id="364"/>
      <w:r>
        <w:rPr>
          <w:b w:val="0"/>
          <w:bCs w:val="0"/>
        </w:rPr>
      </w:r>
      <w:r>
        <w:rPr/>
        <w:t>（</w:t>
      </w:r>
      <w:r>
        <w:rPr>
          <w:rFonts w:ascii="Times New Roman" w:hAnsi="Times New Roman" w:cs="Times New Roman" w:eastAsia="Times New Roman" w:hint="default"/>
        </w:rPr>
        <w:t>3</w:t>
      </w:r>
      <w:r>
        <w:rPr/>
        <w:t>）关联方资金拆借</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32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23"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324"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557"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78"/>
              <w:jc w:val="left"/>
              <w:rPr>
                <w:rFonts w:ascii="宋体" w:hAnsi="宋体" w:cs="宋体" w:eastAsia="宋体" w:hint="default"/>
                <w:sz w:val="18"/>
                <w:szCs w:val="18"/>
              </w:rPr>
            </w:pPr>
            <w:r>
              <w:rPr>
                <w:rFonts w:ascii="宋体" w:hAnsi="宋体" w:cs="宋体" w:eastAsia="宋体" w:hint="default"/>
                <w:sz w:val="18"/>
                <w:szCs w:val="18"/>
              </w:rPr>
              <w:t>北京神州数码置业发展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78"/>
              <w:jc w:val="left"/>
              <w:rPr>
                <w:rFonts w:ascii="宋体" w:hAnsi="宋体" w:cs="宋体" w:eastAsia="宋体" w:hint="default"/>
                <w:sz w:val="18"/>
                <w:szCs w:val="18"/>
              </w:rPr>
            </w:pPr>
            <w:r>
              <w:rPr>
                <w:rFonts w:ascii="宋体" w:hAnsi="宋体" w:cs="宋体" w:eastAsia="宋体" w:hint="default"/>
                <w:sz w:val="18"/>
                <w:szCs w:val="18"/>
              </w:rPr>
              <w:t>北京神州数码置业发展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557"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78"/>
              <w:jc w:val="left"/>
              <w:rPr>
                <w:rFonts w:ascii="宋体" w:hAnsi="宋体" w:cs="宋体" w:eastAsia="宋体" w:hint="default"/>
                <w:sz w:val="18"/>
                <w:szCs w:val="18"/>
              </w:rPr>
            </w:pPr>
            <w:r>
              <w:rPr>
                <w:rFonts w:ascii="宋体" w:hAnsi="宋体" w:cs="宋体" w:eastAsia="宋体" w:hint="default"/>
                <w:sz w:val="18"/>
                <w:szCs w:val="18"/>
              </w:rPr>
              <w:t>北京神州数码置业发展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78"/>
              <w:jc w:val="left"/>
              <w:rPr>
                <w:rFonts w:ascii="宋体" w:hAnsi="宋体" w:cs="宋体" w:eastAsia="宋体" w:hint="default"/>
                <w:sz w:val="18"/>
                <w:szCs w:val="18"/>
              </w:rPr>
            </w:pPr>
            <w:r>
              <w:rPr>
                <w:rFonts w:ascii="宋体" w:hAnsi="宋体" w:cs="宋体" w:eastAsia="宋体" w:hint="default"/>
                <w:sz w:val="18"/>
                <w:szCs w:val="18"/>
              </w:rPr>
              <w:t>北京神州数码置业发展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6,250,000.00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78"/>
              <w:jc w:val="left"/>
              <w:rPr>
                <w:rFonts w:ascii="宋体" w:hAnsi="宋体" w:cs="宋体" w:eastAsia="宋体" w:hint="default"/>
                <w:sz w:val="18"/>
                <w:szCs w:val="18"/>
              </w:rPr>
            </w:pPr>
            <w:r>
              <w:rPr>
                <w:rFonts w:ascii="宋体" w:hAnsi="宋体" w:cs="宋体" w:eastAsia="宋体" w:hint="default"/>
                <w:sz w:val="18"/>
                <w:szCs w:val="18"/>
              </w:rPr>
              <w:t>北京神州数码置业发展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78"/>
              <w:jc w:val="left"/>
              <w:rPr>
                <w:rFonts w:ascii="宋体" w:hAnsi="宋体" w:cs="宋体" w:eastAsia="宋体" w:hint="default"/>
                <w:sz w:val="18"/>
                <w:szCs w:val="18"/>
              </w:rPr>
            </w:pPr>
            <w:r>
              <w:rPr>
                <w:rFonts w:ascii="宋体" w:hAnsi="宋体" w:cs="宋体" w:eastAsia="宋体" w:hint="default"/>
                <w:sz w:val="18"/>
                <w:szCs w:val="18"/>
              </w:rPr>
              <w:t>北京神州数码置业发展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78"/>
              <w:jc w:val="left"/>
              <w:rPr>
                <w:rFonts w:ascii="宋体" w:hAnsi="宋体" w:cs="宋体" w:eastAsia="宋体" w:hint="default"/>
                <w:sz w:val="18"/>
                <w:szCs w:val="18"/>
              </w:rPr>
            </w:pPr>
            <w:r>
              <w:rPr>
                <w:rFonts w:ascii="宋体" w:hAnsi="宋体" w:cs="宋体" w:eastAsia="宋体" w:hint="default"/>
                <w:sz w:val="18"/>
                <w:szCs w:val="18"/>
              </w:rPr>
              <w:t>北京神州数码置业发展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104,464,643.42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4）关联方资产转让、债务重组情况" w:id="365"/>
      <w:bookmarkEnd w:id="365"/>
      <w:r>
        <w:rPr>
          <w:b w:val="0"/>
          <w:bCs w:val="0"/>
        </w:rPr>
      </w:r>
      <w:r>
        <w:rPr/>
        <w:t>（</w:t>
      </w:r>
      <w:r>
        <w:rPr>
          <w:rFonts w:ascii="Times New Roman" w:hAnsi="Times New Roman" w:cs="Times New Roman" w:eastAsia="Times New Roman" w:hint="default"/>
        </w:rPr>
        <w:t>4</w:t>
      </w:r>
      <w:r>
        <w:rPr/>
        <w:t>）关联方资产转让、债务重组情况</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32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神州顶联科技有限公司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处置在建工程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2,500,909.09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17"/>
              <w:jc w:val="both"/>
              <w:rPr>
                <w:rFonts w:ascii="宋体" w:hAnsi="宋体" w:cs="宋体" w:eastAsia="宋体" w:hint="default"/>
                <w:sz w:val="18"/>
                <w:szCs w:val="18"/>
              </w:rPr>
            </w:pPr>
            <w:r>
              <w:rPr>
                <w:rFonts w:ascii="宋体" w:hAnsi="宋体" w:cs="宋体" w:eastAsia="宋体" w:hint="default"/>
                <w:sz w:val="18"/>
                <w:szCs w:val="18"/>
              </w:rPr>
              <w:t>深圳神州普惠信息有限公司、 神州数码金融服务（深圳）有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购买股权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1,644,277.96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深圳神州惠众科技有限公司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购买股权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13,900,000.00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购买股权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6,694,627.04</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5）其他关联交易" w:id="366"/>
      <w:bookmarkEnd w:id="366"/>
      <w:r>
        <w:rPr>
          <w:b w:val="0"/>
          <w:bCs w:val="0"/>
        </w:rPr>
      </w:r>
      <w:r>
        <w:rPr/>
        <w:t>（</w:t>
      </w:r>
      <w:r>
        <w:rPr>
          <w:rFonts w:ascii="Times New Roman" w:hAnsi="Times New Roman" w:cs="Times New Roman" w:eastAsia="Times New Roman" w:hint="default"/>
        </w:rPr>
        <w:t>5</w:t>
      </w:r>
      <w:r>
        <w:rPr/>
        <w:t>）其他关联交易</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right="0"/>
        <w:jc w:val="left"/>
      </w:pPr>
      <w:r>
        <w:rPr>
          <w:rFonts w:ascii="Times New Roman" w:hAnsi="Times New Roman" w:cs="Times New Roman" w:eastAsia="Times New Roman" w:hint="default"/>
        </w:rPr>
        <w:t>1</w:t>
      </w:r>
      <w:r>
        <w:rPr/>
        <w:t>、供应商担保</w:t>
      </w:r>
    </w:p>
    <w:tbl>
      <w:tblPr>
        <w:tblW w:w="0" w:type="auto"/>
        <w:jc w:val="left"/>
        <w:tblInd w:w="162" w:type="dxa"/>
        <w:tblLayout w:type="fixed"/>
        <w:tblCellMar>
          <w:top w:w="0" w:type="dxa"/>
          <w:left w:w="0" w:type="dxa"/>
          <w:bottom w:w="0" w:type="dxa"/>
          <w:right w:w="0" w:type="dxa"/>
        </w:tblCellMar>
        <w:tblLook w:val="01E0"/>
      </w:tblPr>
      <w:tblGrid>
        <w:gridCol w:w="1828"/>
        <w:gridCol w:w="2284"/>
        <w:gridCol w:w="1543"/>
        <w:gridCol w:w="1560"/>
        <w:gridCol w:w="1559"/>
        <w:gridCol w:w="833"/>
      </w:tblGrid>
      <w:tr>
        <w:trPr>
          <w:trHeight w:val="815" w:hRule="exact"/>
        </w:trPr>
        <w:tc>
          <w:tcPr>
            <w:tcW w:w="18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22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54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04"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6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5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83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7" w:lineRule="auto" w:before="22"/>
              <w:ind w:left="48" w:right="48"/>
              <w:jc w:val="center"/>
              <w:rPr>
                <w:rFonts w:ascii="宋体" w:hAnsi="宋体" w:cs="宋体" w:eastAsia="宋体" w:hint="default"/>
                <w:sz w:val="18"/>
                <w:szCs w:val="18"/>
              </w:rPr>
            </w:pPr>
            <w:r>
              <w:rPr>
                <w:rFonts w:ascii="宋体" w:hAnsi="宋体" w:cs="宋体" w:eastAsia="宋体" w:hint="default"/>
                <w:sz w:val="18"/>
                <w:szCs w:val="18"/>
              </w:rPr>
              <w:t>担保是已 经否履行 完毕</w:t>
            </w:r>
          </w:p>
        </w:tc>
      </w:tr>
      <w:tr>
        <w:trPr>
          <w:trHeight w:val="503"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3"/>
              <w:ind w:left="3" w:right="0"/>
              <w:jc w:val="left"/>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 w:right="0"/>
              <w:jc w:val="left"/>
              <w:rPr>
                <w:rFonts w:ascii="宋体" w:hAnsi="宋体" w:cs="宋体" w:eastAsia="宋体" w:hint="default"/>
                <w:sz w:val="18"/>
                <w:szCs w:val="18"/>
              </w:rPr>
            </w:pPr>
            <w:r>
              <w:rPr>
                <w:rFonts w:ascii="宋体" w:hAnsi="宋体" w:cs="宋体" w:eastAsia="宋体" w:hint="default"/>
                <w:sz w:val="18"/>
                <w:szCs w:val="18"/>
              </w:rPr>
              <w:t>神州数码（深圳）有限公司</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1"/>
              <w:jc w:val="right"/>
              <w:rPr>
                <w:rFonts w:ascii="Times New Roman" w:hAnsi="Times New Roman" w:cs="Times New Roman" w:eastAsia="Times New Roman" w:hint="default"/>
                <w:sz w:val="18"/>
                <w:szCs w:val="18"/>
              </w:rPr>
            </w:pPr>
            <w:r>
              <w:rPr>
                <w:rFonts w:ascii="Times New Roman"/>
                <w:spacing w:val="-1"/>
                <w:sz w:val="18"/>
              </w:rPr>
              <w:t>3,000,000,000.00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1"/>
              <w:jc w:val="center"/>
              <w:rPr>
                <w:rFonts w:ascii="Times New Roman" w:hAnsi="Times New Roman" w:cs="Times New Roman" w:eastAsia="Times New Roman" w:hint="default"/>
                <w:sz w:val="18"/>
                <w:szCs w:val="18"/>
              </w:rPr>
            </w:pPr>
            <w:r>
              <w:rPr>
                <w:rFonts w:ascii="Times New Roman"/>
                <w:sz w:val="18"/>
              </w:rPr>
              <w:t>2018/9/26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1"/>
              <w:jc w:val="center"/>
              <w:rPr>
                <w:rFonts w:ascii="Times New Roman" w:hAnsi="Times New Roman" w:cs="Times New Roman" w:eastAsia="Times New Roman" w:hint="default"/>
                <w:sz w:val="18"/>
                <w:szCs w:val="18"/>
              </w:rPr>
            </w:pPr>
            <w:r>
              <w:rPr>
                <w:rFonts w:ascii="Times New Roman"/>
                <w:sz w:val="18"/>
              </w:rPr>
              <w:t>2018/12/31</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81"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 w:right="3"/>
              <w:jc w:val="left"/>
              <w:rPr>
                <w:rFonts w:ascii="宋体" w:hAnsi="宋体" w:cs="宋体" w:eastAsia="宋体" w:hint="default"/>
                <w:sz w:val="18"/>
                <w:szCs w:val="18"/>
              </w:rPr>
            </w:pPr>
            <w:r>
              <w:rPr>
                <w:rFonts w:ascii="宋体" w:hAnsi="宋体" w:cs="宋体" w:eastAsia="宋体" w:hint="default"/>
                <w:spacing w:val="8"/>
                <w:sz w:val="18"/>
                <w:szCs w:val="18"/>
              </w:rPr>
              <w:t>广州神州数码信息科技有限</w:t>
            </w:r>
            <w:r>
              <w:rPr>
                <w:rFonts w:ascii="宋体" w:hAnsi="宋体" w:cs="宋体" w:eastAsia="宋体" w:hint="default"/>
                <w:sz w:val="18"/>
                <w:szCs w:val="18"/>
              </w:rPr>
              <w:t> 公司</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1,500,000,000.00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交割日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2018/8/8</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3"/>
              <w:jc w:val="left"/>
              <w:rPr>
                <w:rFonts w:ascii="宋体" w:hAnsi="宋体" w:cs="宋体" w:eastAsia="宋体" w:hint="default"/>
                <w:sz w:val="18"/>
                <w:szCs w:val="18"/>
              </w:rPr>
            </w:pPr>
            <w:r>
              <w:rPr>
                <w:rFonts w:ascii="宋体" w:hAnsi="宋体" w:cs="宋体" w:eastAsia="宋体" w:hint="default"/>
                <w:spacing w:val="8"/>
                <w:sz w:val="18"/>
                <w:szCs w:val="18"/>
              </w:rPr>
              <w:t>广州神州数码信息科技有限</w:t>
            </w:r>
            <w:r>
              <w:rPr>
                <w:rFonts w:ascii="宋体" w:hAnsi="宋体" w:cs="宋体" w:eastAsia="宋体" w:hint="default"/>
                <w:sz w:val="18"/>
                <w:szCs w:val="18"/>
              </w:rPr>
              <w:t> 公司</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1,500,000,000.00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2018/9/21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2021/8/7</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1,200,000,000.00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2018/10/15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2019/3/31</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516"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22"/>
              <w:ind w:left="3" w:right="0"/>
              <w:jc w:val="both"/>
              <w:rPr>
                <w:rFonts w:ascii="宋体" w:hAnsi="宋体" w:cs="宋体" w:eastAsia="宋体" w:hint="default"/>
                <w:sz w:val="18"/>
                <w:szCs w:val="18"/>
              </w:rPr>
            </w:pPr>
            <w:r>
              <w:rPr>
                <w:rFonts w:ascii="宋体" w:hAnsi="宋体" w:cs="宋体" w:eastAsia="宋体" w:hint="default"/>
                <w:sz w:val="18"/>
                <w:szCs w:val="18"/>
              </w:rPr>
              <w:t>北</w:t>
            </w:r>
            <w:r>
              <w:rPr>
                <w:rFonts w:ascii="宋体" w:hAnsi="宋体" w:cs="宋体" w:eastAsia="宋体" w:hint="default"/>
                <w:spacing w:val="-68"/>
                <w:sz w:val="18"/>
                <w:szCs w:val="18"/>
              </w:rPr>
              <w:t> </w:t>
            </w:r>
            <w:r>
              <w:rPr>
                <w:rFonts w:ascii="宋体" w:hAnsi="宋体" w:cs="宋体" w:eastAsia="宋体" w:hint="default"/>
                <w:sz w:val="18"/>
                <w:szCs w:val="18"/>
              </w:rPr>
              <w:t>京</w:t>
            </w:r>
            <w:r>
              <w:rPr>
                <w:rFonts w:ascii="宋体" w:hAnsi="宋体" w:cs="宋体" w:eastAsia="宋体" w:hint="default"/>
                <w:spacing w:val="-68"/>
                <w:sz w:val="18"/>
                <w:szCs w:val="18"/>
              </w:rPr>
              <w:t> </w:t>
            </w:r>
            <w:r>
              <w:rPr>
                <w:rFonts w:ascii="宋体" w:hAnsi="宋体" w:cs="宋体" w:eastAsia="宋体" w:hint="default"/>
                <w:sz w:val="18"/>
                <w:szCs w:val="18"/>
              </w:rPr>
              <w:t>神</w:t>
            </w:r>
            <w:r>
              <w:rPr>
                <w:rFonts w:ascii="宋体" w:hAnsi="宋体" w:cs="宋体" w:eastAsia="宋体" w:hint="default"/>
                <w:spacing w:val="-67"/>
                <w:sz w:val="18"/>
                <w:szCs w:val="18"/>
              </w:rPr>
              <w:t> </w:t>
            </w:r>
            <w:r>
              <w:rPr>
                <w:rFonts w:ascii="宋体" w:hAnsi="宋体" w:cs="宋体" w:eastAsia="宋体" w:hint="default"/>
                <w:sz w:val="18"/>
                <w:szCs w:val="18"/>
              </w:rPr>
              <w:t>州</w:t>
            </w:r>
            <w:r>
              <w:rPr>
                <w:rFonts w:ascii="宋体" w:hAnsi="宋体" w:cs="宋体" w:eastAsia="宋体" w:hint="default"/>
                <w:spacing w:val="-68"/>
                <w:sz w:val="18"/>
                <w:szCs w:val="18"/>
              </w:rPr>
              <w:t> </w:t>
            </w:r>
            <w:r>
              <w:rPr>
                <w:rFonts w:ascii="宋体" w:hAnsi="宋体" w:cs="宋体" w:eastAsia="宋体" w:hint="default"/>
                <w:sz w:val="18"/>
                <w:szCs w:val="18"/>
              </w:rPr>
              <w:t>数</w:t>
            </w:r>
            <w:r>
              <w:rPr>
                <w:rFonts w:ascii="宋体" w:hAnsi="宋体" w:cs="宋体" w:eastAsia="宋体" w:hint="default"/>
                <w:spacing w:val="-67"/>
                <w:sz w:val="18"/>
                <w:szCs w:val="18"/>
              </w:rPr>
              <w:t> </w:t>
            </w:r>
            <w:r>
              <w:rPr>
                <w:rFonts w:ascii="宋体" w:hAnsi="宋体" w:cs="宋体" w:eastAsia="宋体" w:hint="default"/>
                <w:sz w:val="18"/>
                <w:szCs w:val="18"/>
              </w:rPr>
              <w:t>码</w:t>
            </w:r>
            <w:r>
              <w:rPr>
                <w:rFonts w:ascii="宋体" w:hAnsi="宋体" w:cs="宋体" w:eastAsia="宋体" w:hint="default"/>
                <w:spacing w:val="-67"/>
                <w:sz w:val="18"/>
                <w:szCs w:val="18"/>
              </w:rPr>
              <w:t> </w:t>
            </w:r>
            <w:r>
              <w:rPr>
                <w:rFonts w:ascii="宋体" w:hAnsi="宋体" w:cs="宋体" w:eastAsia="宋体" w:hint="default"/>
                <w:sz w:val="18"/>
                <w:szCs w:val="18"/>
              </w:rPr>
              <w:t>有</w:t>
            </w:r>
            <w:r>
              <w:rPr>
                <w:rFonts w:ascii="宋体" w:hAnsi="宋体" w:cs="宋体" w:eastAsia="宋体" w:hint="default"/>
                <w:spacing w:val="-68"/>
                <w:sz w:val="18"/>
                <w:szCs w:val="18"/>
              </w:rPr>
              <w:t> </w:t>
            </w:r>
            <w:r>
              <w:rPr>
                <w:rFonts w:ascii="宋体" w:hAnsi="宋体" w:cs="宋体" w:eastAsia="宋体" w:hint="default"/>
                <w:sz w:val="18"/>
                <w:szCs w:val="18"/>
              </w:rPr>
              <w:t>限</w:t>
            </w:r>
            <w:r>
              <w:rPr>
                <w:rFonts w:ascii="宋体" w:hAnsi="宋体" w:cs="宋体" w:eastAsia="宋体" w:hint="default"/>
                <w:spacing w:val="-68"/>
                <w:sz w:val="18"/>
                <w:szCs w:val="18"/>
              </w:rPr>
              <w:t> </w:t>
            </w:r>
            <w:r>
              <w:rPr>
                <w:rFonts w:ascii="宋体" w:hAnsi="宋体" w:cs="宋体" w:eastAsia="宋体" w:hint="default"/>
                <w:sz w:val="18"/>
                <w:szCs w:val="18"/>
              </w:rPr>
              <w:t>公</w:t>
            </w:r>
            <w:r>
              <w:rPr>
                <w:rFonts w:ascii="宋体" w:hAnsi="宋体" w:cs="宋体" w:eastAsia="宋体" w:hint="default"/>
                <w:sz w:val="18"/>
                <w:szCs w:val="18"/>
              </w:rPr>
              <w:t> 司、北京神州数码供应</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链服务有限公司、上海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神州数码有限公司、广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州神州数码信息科技有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限公司</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2"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1,100,000,000.00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2017/4/24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2020/3/31</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816"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22"/>
              <w:ind w:left="3" w:right="0"/>
              <w:jc w:val="both"/>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公司、神州数码集团股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份有限公司</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left="2" w:right="3"/>
              <w:jc w:val="left"/>
              <w:rPr>
                <w:rFonts w:ascii="宋体" w:hAnsi="宋体" w:cs="宋体" w:eastAsia="宋体" w:hint="default"/>
                <w:sz w:val="18"/>
                <w:szCs w:val="18"/>
              </w:rPr>
            </w:pPr>
            <w:r>
              <w:rPr>
                <w:rFonts w:ascii="宋体" w:hAnsi="宋体" w:cs="宋体" w:eastAsia="宋体" w:hint="default"/>
                <w:spacing w:val="8"/>
                <w:sz w:val="18"/>
                <w:szCs w:val="18"/>
              </w:rPr>
              <w:t>神州数码澳门离岸商业服务</w:t>
            </w:r>
            <w:r>
              <w:rPr>
                <w:rFonts w:ascii="宋体" w:hAnsi="宋体" w:cs="宋体" w:eastAsia="宋体" w:hint="default"/>
                <w:sz w:val="18"/>
                <w:szCs w:val="18"/>
              </w:rPr>
              <w:t> 有限公司</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825,600,000.00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2017/9/18</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2022/12/31</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5"/>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left="2" w:right="0"/>
              <w:jc w:val="left"/>
              <w:rPr>
                <w:rFonts w:ascii="宋体" w:hAnsi="宋体" w:cs="宋体" w:eastAsia="宋体" w:hint="default"/>
                <w:sz w:val="18"/>
                <w:szCs w:val="18"/>
              </w:rPr>
            </w:pPr>
            <w:r>
              <w:rPr>
                <w:rFonts w:ascii="宋体" w:hAnsi="宋体" w:cs="宋体" w:eastAsia="宋体" w:hint="default"/>
                <w:sz w:val="18"/>
                <w:szCs w:val="18"/>
              </w:rPr>
              <w:t>神州数码（深圳）有限公司</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500,000,000.00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2017/7/3</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2019/12/31</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left"/>
              <w:rPr>
                <w:rFonts w:ascii="宋体" w:hAnsi="宋体" w:cs="宋体" w:eastAsia="宋体" w:hint="default"/>
                <w:sz w:val="18"/>
                <w:szCs w:val="18"/>
              </w:rPr>
            </w:pPr>
            <w:r>
              <w:rPr>
                <w:rFonts w:ascii="宋体" w:hAnsi="宋体" w:cs="宋体" w:eastAsia="宋体" w:hint="default"/>
                <w:sz w:val="18"/>
                <w:szCs w:val="18"/>
              </w:rPr>
              <w:t>上海神州数码有限公司</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500,000,000.00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2018/3/20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2019/12/31</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2" w:type="dxa"/>
        <w:tblLayout w:type="fixed"/>
        <w:tblCellMar>
          <w:top w:w="0" w:type="dxa"/>
          <w:left w:w="0" w:type="dxa"/>
          <w:bottom w:w="0" w:type="dxa"/>
          <w:right w:w="0" w:type="dxa"/>
        </w:tblCellMar>
        <w:tblLook w:val="01E0"/>
      </w:tblPr>
      <w:tblGrid>
        <w:gridCol w:w="1828"/>
        <w:gridCol w:w="2284"/>
        <w:gridCol w:w="1543"/>
        <w:gridCol w:w="1560"/>
        <w:gridCol w:w="1559"/>
        <w:gridCol w:w="833"/>
      </w:tblGrid>
      <w:tr>
        <w:trPr>
          <w:trHeight w:val="815" w:hRule="exact"/>
        </w:trPr>
        <w:tc>
          <w:tcPr>
            <w:tcW w:w="18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22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54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04"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6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5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83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7" w:lineRule="auto" w:before="22"/>
              <w:ind w:left="48" w:right="48"/>
              <w:jc w:val="center"/>
              <w:rPr>
                <w:rFonts w:ascii="宋体" w:hAnsi="宋体" w:cs="宋体" w:eastAsia="宋体" w:hint="default"/>
                <w:sz w:val="18"/>
                <w:szCs w:val="18"/>
              </w:rPr>
            </w:pPr>
            <w:r>
              <w:rPr>
                <w:rFonts w:ascii="宋体" w:hAnsi="宋体" w:cs="宋体" w:eastAsia="宋体" w:hint="default"/>
                <w:sz w:val="18"/>
                <w:szCs w:val="18"/>
              </w:rPr>
              <w:t>担保是已 经否履行 完毕</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left"/>
              <w:rPr>
                <w:rFonts w:ascii="宋体" w:hAnsi="宋体" w:cs="宋体" w:eastAsia="宋体" w:hint="default"/>
                <w:sz w:val="18"/>
                <w:szCs w:val="18"/>
              </w:rPr>
            </w:pPr>
            <w:r>
              <w:rPr>
                <w:rFonts w:ascii="宋体" w:hAnsi="宋体" w:cs="宋体" w:eastAsia="宋体" w:hint="default"/>
                <w:sz w:val="18"/>
                <w:szCs w:val="18"/>
              </w:rPr>
              <w:t>神州数码（深圳）有限公司</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401" w:right="0"/>
              <w:jc w:val="left"/>
              <w:rPr>
                <w:rFonts w:ascii="Times New Roman" w:hAnsi="Times New Roman" w:cs="Times New Roman" w:eastAsia="Times New Roman" w:hint="default"/>
                <w:sz w:val="18"/>
                <w:szCs w:val="18"/>
              </w:rPr>
            </w:pPr>
            <w:r>
              <w:rPr>
                <w:rFonts w:ascii="Times New Roman"/>
                <w:sz w:val="18"/>
              </w:rPr>
              <w:t>500,000,000.00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2018/6/26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2021/6/25</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3"/>
              <w:jc w:val="left"/>
              <w:rPr>
                <w:rFonts w:ascii="宋体" w:hAnsi="宋体" w:cs="宋体" w:eastAsia="宋体" w:hint="default"/>
                <w:sz w:val="18"/>
                <w:szCs w:val="18"/>
              </w:rPr>
            </w:pPr>
            <w:r>
              <w:rPr>
                <w:rFonts w:ascii="宋体" w:hAnsi="宋体" w:cs="宋体" w:eastAsia="宋体" w:hint="default"/>
                <w:spacing w:val="8"/>
                <w:sz w:val="18"/>
                <w:szCs w:val="18"/>
              </w:rPr>
              <w:t>北京神州数码供应链服务有</w:t>
            </w:r>
            <w:r>
              <w:rPr>
                <w:rFonts w:ascii="宋体" w:hAnsi="宋体" w:cs="宋体" w:eastAsia="宋体" w:hint="default"/>
                <w:sz w:val="18"/>
                <w:szCs w:val="18"/>
              </w:rPr>
              <w:t> 限公司</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01" w:right="0"/>
              <w:jc w:val="left"/>
              <w:rPr>
                <w:rFonts w:ascii="Times New Roman" w:hAnsi="Times New Roman" w:cs="Times New Roman" w:eastAsia="Times New Roman" w:hint="default"/>
                <w:sz w:val="18"/>
                <w:szCs w:val="18"/>
              </w:rPr>
            </w:pPr>
            <w:r>
              <w:rPr>
                <w:rFonts w:ascii="Times New Roman"/>
                <w:sz w:val="18"/>
              </w:rPr>
              <w:t>420,000,000.00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2016/3/7</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2019/12/31</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01" w:right="0"/>
              <w:jc w:val="left"/>
              <w:rPr>
                <w:rFonts w:ascii="Times New Roman" w:hAnsi="Times New Roman" w:cs="Times New Roman" w:eastAsia="Times New Roman" w:hint="default"/>
                <w:sz w:val="18"/>
                <w:szCs w:val="18"/>
              </w:rPr>
            </w:pPr>
            <w:r>
              <w:rPr>
                <w:rFonts w:ascii="Times New Roman"/>
                <w:sz w:val="18"/>
              </w:rPr>
              <w:t>412,800,000.00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2017/12/25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2018/5/29</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01" w:right="0"/>
              <w:jc w:val="left"/>
              <w:rPr>
                <w:rFonts w:ascii="Times New Roman" w:hAnsi="Times New Roman" w:cs="Times New Roman" w:eastAsia="Times New Roman" w:hint="default"/>
                <w:sz w:val="18"/>
                <w:szCs w:val="18"/>
              </w:rPr>
            </w:pPr>
            <w:r>
              <w:rPr>
                <w:rFonts w:ascii="Times New Roman"/>
                <w:sz w:val="18"/>
              </w:rPr>
              <w:t>412,800,000.00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2018/5/29</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无明确到期日</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3"/>
              <w:jc w:val="left"/>
              <w:rPr>
                <w:rFonts w:ascii="宋体" w:hAnsi="宋体" w:cs="宋体" w:eastAsia="宋体" w:hint="default"/>
                <w:sz w:val="18"/>
                <w:szCs w:val="18"/>
              </w:rPr>
            </w:pPr>
            <w:r>
              <w:rPr>
                <w:rFonts w:ascii="宋体" w:hAnsi="宋体" w:cs="宋体" w:eastAsia="宋体" w:hint="default"/>
                <w:spacing w:val="8"/>
                <w:sz w:val="18"/>
                <w:szCs w:val="18"/>
              </w:rPr>
              <w:t>广州神州数码信息科技有限</w:t>
            </w:r>
            <w:r>
              <w:rPr>
                <w:rFonts w:ascii="宋体" w:hAnsi="宋体" w:cs="宋体" w:eastAsia="宋体" w:hint="default"/>
                <w:sz w:val="18"/>
                <w:szCs w:val="18"/>
              </w:rPr>
              <w:t> 公司</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01" w:right="0"/>
              <w:jc w:val="left"/>
              <w:rPr>
                <w:rFonts w:ascii="Times New Roman" w:hAnsi="Times New Roman" w:cs="Times New Roman" w:eastAsia="Times New Roman" w:hint="default"/>
                <w:sz w:val="18"/>
                <w:szCs w:val="18"/>
              </w:rPr>
            </w:pPr>
            <w:r>
              <w:rPr>
                <w:rFonts w:ascii="Times New Roman"/>
                <w:sz w:val="18"/>
              </w:rPr>
              <w:t>300,000,000.00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2017/4/25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2019/7/30</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01" w:right="0"/>
              <w:jc w:val="left"/>
              <w:rPr>
                <w:rFonts w:ascii="Times New Roman" w:hAnsi="Times New Roman" w:cs="Times New Roman" w:eastAsia="Times New Roman" w:hint="default"/>
                <w:sz w:val="18"/>
                <w:szCs w:val="18"/>
              </w:rPr>
            </w:pPr>
            <w:r>
              <w:rPr>
                <w:rFonts w:ascii="Times New Roman"/>
                <w:sz w:val="18"/>
              </w:rPr>
              <w:t>275,200,000.00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2016/2/1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2018/1/31</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01" w:right="0"/>
              <w:jc w:val="left"/>
              <w:rPr>
                <w:rFonts w:ascii="Times New Roman" w:hAnsi="Times New Roman" w:cs="Times New Roman" w:eastAsia="Times New Roman" w:hint="default"/>
                <w:sz w:val="18"/>
                <w:szCs w:val="18"/>
              </w:rPr>
            </w:pPr>
            <w:r>
              <w:rPr>
                <w:rFonts w:ascii="Times New Roman"/>
                <w:sz w:val="18"/>
              </w:rPr>
              <w:t>250,000,000.00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2018/1/1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2018/12/31</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5"/>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left"/>
              <w:rPr>
                <w:rFonts w:ascii="宋体" w:hAnsi="宋体" w:cs="宋体" w:eastAsia="宋体" w:hint="default"/>
                <w:sz w:val="18"/>
                <w:szCs w:val="18"/>
              </w:rPr>
            </w:pPr>
            <w:r>
              <w:rPr>
                <w:rFonts w:ascii="宋体" w:hAnsi="宋体" w:cs="宋体" w:eastAsia="宋体" w:hint="default"/>
                <w:sz w:val="18"/>
                <w:szCs w:val="18"/>
              </w:rPr>
              <w:t>神州数码（深圳）有限公司</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01" w:right="0"/>
              <w:jc w:val="left"/>
              <w:rPr>
                <w:rFonts w:ascii="Times New Roman" w:hAnsi="Times New Roman" w:cs="Times New Roman" w:eastAsia="Times New Roman" w:hint="default"/>
                <w:sz w:val="18"/>
                <w:szCs w:val="18"/>
              </w:rPr>
            </w:pPr>
            <w:r>
              <w:rPr>
                <w:rFonts w:ascii="Times New Roman"/>
                <w:sz w:val="18"/>
              </w:rPr>
              <w:t>250,000,000.00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2018/1/1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2018/12/31</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81"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left"/>
              <w:rPr>
                <w:rFonts w:ascii="宋体" w:hAnsi="宋体" w:cs="宋体" w:eastAsia="宋体" w:hint="default"/>
                <w:sz w:val="18"/>
                <w:szCs w:val="18"/>
              </w:rPr>
            </w:pPr>
            <w:r>
              <w:rPr>
                <w:rFonts w:ascii="宋体" w:hAnsi="宋体" w:cs="宋体" w:eastAsia="宋体" w:hint="default"/>
                <w:sz w:val="18"/>
                <w:szCs w:val="18"/>
              </w:rPr>
              <w:t>神州数码（深圳）有限公司</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01" w:right="0"/>
              <w:jc w:val="left"/>
              <w:rPr>
                <w:rFonts w:ascii="Times New Roman" w:hAnsi="Times New Roman" w:cs="Times New Roman" w:eastAsia="Times New Roman" w:hint="default"/>
                <w:sz w:val="18"/>
                <w:szCs w:val="18"/>
              </w:rPr>
            </w:pPr>
            <w:r>
              <w:rPr>
                <w:rFonts w:ascii="Times New Roman"/>
                <w:sz w:val="18"/>
              </w:rPr>
              <w:t>200,000,000.00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2017/4/1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2019/3/31</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3" w:right="0"/>
              <w:jc w:val="left"/>
              <w:rPr>
                <w:rFonts w:ascii="宋体" w:hAnsi="宋体" w:cs="宋体" w:eastAsia="宋体" w:hint="default"/>
                <w:sz w:val="18"/>
                <w:szCs w:val="18"/>
              </w:rPr>
            </w:pPr>
            <w:r>
              <w:rPr>
                <w:rFonts w:ascii="宋体" w:hAnsi="宋体" w:cs="宋体" w:eastAsia="宋体" w:hint="default"/>
                <w:sz w:val="18"/>
                <w:szCs w:val="18"/>
              </w:rPr>
              <w:t>北京神州数码</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3"/>
              <w:jc w:val="left"/>
              <w:rPr>
                <w:rFonts w:ascii="宋体" w:hAnsi="宋体" w:cs="宋体" w:eastAsia="宋体" w:hint="default"/>
                <w:sz w:val="18"/>
                <w:szCs w:val="18"/>
              </w:rPr>
            </w:pPr>
            <w:r>
              <w:rPr>
                <w:rFonts w:ascii="宋体" w:hAnsi="宋体" w:cs="宋体" w:eastAsia="宋体" w:hint="default"/>
                <w:spacing w:val="8"/>
                <w:sz w:val="18"/>
                <w:szCs w:val="18"/>
              </w:rPr>
              <w:t>北京神州数码供应链服务有</w:t>
            </w:r>
            <w:r>
              <w:rPr>
                <w:rFonts w:ascii="宋体" w:hAnsi="宋体" w:cs="宋体" w:eastAsia="宋体" w:hint="default"/>
                <w:sz w:val="18"/>
                <w:szCs w:val="18"/>
              </w:rPr>
              <w:t> 限公司</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401" w:right="0"/>
              <w:jc w:val="left"/>
              <w:rPr>
                <w:rFonts w:ascii="Times New Roman" w:hAnsi="Times New Roman" w:cs="Times New Roman" w:eastAsia="Times New Roman" w:hint="default"/>
                <w:sz w:val="18"/>
                <w:szCs w:val="18"/>
              </w:rPr>
            </w:pPr>
            <w:r>
              <w:rPr>
                <w:rFonts w:ascii="Times New Roman"/>
                <w:sz w:val="18"/>
              </w:rPr>
              <w:t>200,000,000.00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2018/4/9</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2018/12/31</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left="2" w:right="0"/>
              <w:jc w:val="left"/>
              <w:rPr>
                <w:rFonts w:ascii="宋体" w:hAnsi="宋体" w:cs="宋体" w:eastAsia="宋体" w:hint="default"/>
                <w:sz w:val="18"/>
                <w:szCs w:val="18"/>
              </w:rPr>
            </w:pPr>
            <w:r>
              <w:rPr>
                <w:rFonts w:ascii="宋体" w:hAnsi="宋体" w:cs="宋体" w:eastAsia="宋体" w:hint="default"/>
                <w:sz w:val="18"/>
                <w:szCs w:val="18"/>
              </w:rPr>
              <w:t>神州数码（深圳）有限公司</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401" w:right="0"/>
              <w:jc w:val="left"/>
              <w:rPr>
                <w:rFonts w:ascii="Times New Roman" w:hAnsi="Times New Roman" w:cs="Times New Roman" w:eastAsia="Times New Roman" w:hint="default"/>
                <w:sz w:val="18"/>
                <w:szCs w:val="18"/>
              </w:rPr>
            </w:pPr>
            <w:r>
              <w:rPr>
                <w:rFonts w:ascii="Times New Roman"/>
                <w:sz w:val="18"/>
              </w:rPr>
              <w:t>200,000,000.00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2018/7/23</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2018/12/31</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left"/>
              <w:rPr>
                <w:rFonts w:ascii="宋体" w:hAnsi="宋体" w:cs="宋体" w:eastAsia="宋体" w:hint="default"/>
                <w:sz w:val="18"/>
                <w:szCs w:val="18"/>
              </w:rPr>
            </w:pPr>
            <w:r>
              <w:rPr>
                <w:rFonts w:ascii="宋体" w:hAnsi="宋体" w:cs="宋体" w:eastAsia="宋体" w:hint="default"/>
                <w:sz w:val="18"/>
                <w:szCs w:val="18"/>
              </w:rPr>
              <w:t>神州数码科技发展有限公司</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01" w:right="0"/>
              <w:jc w:val="left"/>
              <w:rPr>
                <w:rFonts w:ascii="Times New Roman" w:hAnsi="Times New Roman" w:cs="Times New Roman" w:eastAsia="Times New Roman" w:hint="default"/>
                <w:sz w:val="18"/>
                <w:szCs w:val="18"/>
              </w:rPr>
            </w:pPr>
            <w:r>
              <w:rPr>
                <w:rFonts w:ascii="Times New Roman"/>
                <w:sz w:val="18"/>
              </w:rPr>
              <w:t>185,760,000.00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2017/12/25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无明确到期日</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3"/>
              <w:jc w:val="left"/>
              <w:rPr>
                <w:rFonts w:ascii="宋体" w:hAnsi="宋体" w:cs="宋体" w:eastAsia="宋体" w:hint="default"/>
                <w:sz w:val="18"/>
                <w:szCs w:val="18"/>
              </w:rPr>
            </w:pPr>
            <w:r>
              <w:rPr>
                <w:rFonts w:ascii="宋体" w:hAnsi="宋体" w:cs="宋体" w:eastAsia="宋体" w:hint="default"/>
                <w:spacing w:val="8"/>
                <w:sz w:val="18"/>
                <w:szCs w:val="18"/>
              </w:rPr>
              <w:t>广州神州数码信息科技有限</w:t>
            </w:r>
            <w:r>
              <w:rPr>
                <w:rFonts w:ascii="宋体" w:hAnsi="宋体" w:cs="宋体" w:eastAsia="宋体" w:hint="default"/>
                <w:sz w:val="18"/>
                <w:szCs w:val="18"/>
              </w:rPr>
              <w:t> 公司</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01" w:right="0"/>
              <w:jc w:val="left"/>
              <w:rPr>
                <w:rFonts w:ascii="Times New Roman" w:hAnsi="Times New Roman" w:cs="Times New Roman" w:eastAsia="Times New Roman" w:hint="default"/>
                <w:sz w:val="18"/>
                <w:szCs w:val="18"/>
              </w:rPr>
            </w:pPr>
            <w:r>
              <w:rPr>
                <w:rFonts w:ascii="Times New Roman"/>
                <w:sz w:val="18"/>
              </w:rPr>
              <w:t>160,000,000.00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2018/9/28</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2021/5/31</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left"/>
              <w:rPr>
                <w:rFonts w:ascii="宋体" w:hAnsi="宋体" w:cs="宋体" w:eastAsia="宋体" w:hint="default"/>
                <w:sz w:val="18"/>
                <w:szCs w:val="18"/>
              </w:rPr>
            </w:pPr>
            <w:r>
              <w:rPr>
                <w:rFonts w:ascii="宋体" w:hAnsi="宋体" w:cs="宋体" w:eastAsia="宋体" w:hint="default"/>
                <w:sz w:val="18"/>
                <w:szCs w:val="18"/>
              </w:rPr>
              <w:t>神州数码科技发展有限公司</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01" w:right="0"/>
              <w:jc w:val="left"/>
              <w:rPr>
                <w:rFonts w:ascii="Times New Roman" w:hAnsi="Times New Roman" w:cs="Times New Roman" w:eastAsia="Times New Roman" w:hint="default"/>
                <w:sz w:val="18"/>
                <w:szCs w:val="18"/>
              </w:rPr>
            </w:pPr>
            <w:r>
              <w:rPr>
                <w:rFonts w:ascii="Times New Roman"/>
                <w:sz w:val="18"/>
              </w:rPr>
              <w:t>172,000,000.00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2017/12/25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无明确到期日</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left"/>
              <w:rPr>
                <w:rFonts w:ascii="宋体" w:hAnsi="宋体" w:cs="宋体" w:eastAsia="宋体" w:hint="default"/>
                <w:sz w:val="18"/>
                <w:szCs w:val="18"/>
              </w:rPr>
            </w:pPr>
            <w:r>
              <w:rPr>
                <w:rFonts w:ascii="宋体" w:hAnsi="宋体" w:cs="宋体" w:eastAsia="宋体" w:hint="default"/>
                <w:sz w:val="18"/>
                <w:szCs w:val="18"/>
              </w:rPr>
              <w:t>神州数码科技发展有限公司</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01" w:right="0"/>
              <w:jc w:val="left"/>
              <w:rPr>
                <w:rFonts w:ascii="Times New Roman" w:hAnsi="Times New Roman" w:cs="Times New Roman" w:eastAsia="Times New Roman" w:hint="default"/>
                <w:sz w:val="18"/>
                <w:szCs w:val="18"/>
              </w:rPr>
            </w:pPr>
            <w:r>
              <w:rPr>
                <w:rFonts w:ascii="Times New Roman"/>
                <w:sz w:val="18"/>
              </w:rPr>
              <w:t>172,000,000.00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2017/12/25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无明确到期日</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left"/>
              <w:rPr>
                <w:rFonts w:ascii="宋体" w:hAnsi="宋体" w:cs="宋体" w:eastAsia="宋体" w:hint="default"/>
                <w:sz w:val="18"/>
                <w:szCs w:val="18"/>
              </w:rPr>
            </w:pPr>
            <w:r>
              <w:rPr>
                <w:rFonts w:ascii="宋体" w:hAnsi="宋体" w:cs="宋体" w:eastAsia="宋体" w:hint="default"/>
                <w:sz w:val="18"/>
                <w:szCs w:val="18"/>
              </w:rPr>
              <w:t>神州数码科技发展有限公司</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01" w:right="0"/>
              <w:jc w:val="left"/>
              <w:rPr>
                <w:rFonts w:ascii="Times New Roman" w:hAnsi="Times New Roman" w:cs="Times New Roman" w:eastAsia="Times New Roman" w:hint="default"/>
                <w:sz w:val="18"/>
                <w:szCs w:val="18"/>
              </w:rPr>
            </w:pPr>
            <w:r>
              <w:rPr>
                <w:rFonts w:ascii="Times New Roman"/>
                <w:sz w:val="18"/>
              </w:rPr>
              <w:t>172,000,000.00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2017/12/25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无明确到期日</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4"/>
              <w:ind w:left="3" w:right="0"/>
              <w:jc w:val="left"/>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left"/>
              <w:rPr>
                <w:rFonts w:ascii="宋体" w:hAnsi="宋体" w:cs="宋体" w:eastAsia="宋体" w:hint="default"/>
                <w:sz w:val="18"/>
                <w:szCs w:val="18"/>
              </w:rPr>
            </w:pPr>
            <w:r>
              <w:rPr>
                <w:rFonts w:ascii="宋体" w:hAnsi="宋体" w:cs="宋体" w:eastAsia="宋体" w:hint="default"/>
                <w:sz w:val="18"/>
                <w:szCs w:val="18"/>
              </w:rPr>
              <w:t>神州数码科技发展有限公司</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01" w:right="0"/>
              <w:jc w:val="left"/>
              <w:rPr>
                <w:rFonts w:ascii="Times New Roman" w:hAnsi="Times New Roman" w:cs="Times New Roman" w:eastAsia="Times New Roman" w:hint="default"/>
                <w:sz w:val="18"/>
                <w:szCs w:val="18"/>
              </w:rPr>
            </w:pPr>
            <w:r>
              <w:rPr>
                <w:rFonts w:ascii="Times New Roman"/>
                <w:sz w:val="18"/>
              </w:rPr>
              <w:t>137,600,000.00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2017/2/1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2018/1/31</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 w:right="3"/>
              <w:jc w:val="left"/>
              <w:rPr>
                <w:rFonts w:ascii="宋体" w:hAnsi="宋体" w:cs="宋体" w:eastAsia="宋体" w:hint="default"/>
                <w:sz w:val="18"/>
                <w:szCs w:val="18"/>
              </w:rPr>
            </w:pPr>
            <w:r>
              <w:rPr>
                <w:rFonts w:ascii="宋体" w:hAnsi="宋体" w:cs="宋体" w:eastAsia="宋体" w:hint="default"/>
                <w:spacing w:val="8"/>
                <w:sz w:val="18"/>
                <w:szCs w:val="18"/>
              </w:rPr>
              <w:t>神州数码澳门离岸商业服务</w:t>
            </w:r>
            <w:r>
              <w:rPr>
                <w:rFonts w:ascii="宋体" w:hAnsi="宋体" w:cs="宋体" w:eastAsia="宋体" w:hint="default"/>
                <w:sz w:val="18"/>
                <w:szCs w:val="18"/>
              </w:rPr>
              <w:t> 有限公司</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01" w:right="0"/>
              <w:jc w:val="left"/>
              <w:rPr>
                <w:rFonts w:ascii="Times New Roman" w:hAnsi="Times New Roman" w:cs="Times New Roman" w:eastAsia="Times New Roman" w:hint="default"/>
                <w:sz w:val="18"/>
                <w:szCs w:val="18"/>
              </w:rPr>
            </w:pPr>
            <w:r>
              <w:rPr>
                <w:rFonts w:ascii="Times New Roman"/>
                <w:sz w:val="18"/>
              </w:rPr>
              <w:t>137,600,000.00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2017/12/25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无明确到期日</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1"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left"/>
              <w:rPr>
                <w:rFonts w:ascii="宋体" w:hAnsi="宋体" w:cs="宋体" w:eastAsia="宋体" w:hint="default"/>
                <w:sz w:val="18"/>
                <w:szCs w:val="18"/>
              </w:rPr>
            </w:pPr>
            <w:r>
              <w:rPr>
                <w:rFonts w:ascii="宋体" w:hAnsi="宋体" w:cs="宋体" w:eastAsia="宋体" w:hint="default"/>
                <w:sz w:val="18"/>
                <w:szCs w:val="18"/>
              </w:rPr>
              <w:t>神州数码科技发展有限公司</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01" w:right="0"/>
              <w:jc w:val="left"/>
              <w:rPr>
                <w:rFonts w:ascii="Times New Roman" w:hAnsi="Times New Roman" w:cs="Times New Roman" w:eastAsia="Times New Roman" w:hint="default"/>
                <w:sz w:val="18"/>
                <w:szCs w:val="18"/>
              </w:rPr>
            </w:pPr>
            <w:r>
              <w:rPr>
                <w:rFonts w:ascii="Times New Roman"/>
                <w:sz w:val="18"/>
              </w:rPr>
              <w:t>137,600,000.00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2018/2/1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2019/1/31</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49"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 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 w:right="3"/>
              <w:jc w:val="left"/>
              <w:rPr>
                <w:rFonts w:ascii="宋体" w:hAnsi="宋体" w:cs="宋体" w:eastAsia="宋体" w:hint="default"/>
                <w:sz w:val="18"/>
                <w:szCs w:val="18"/>
              </w:rPr>
            </w:pPr>
            <w:r>
              <w:rPr>
                <w:rFonts w:ascii="宋体" w:hAnsi="宋体" w:cs="宋体" w:eastAsia="宋体" w:hint="default"/>
                <w:spacing w:val="8"/>
                <w:sz w:val="18"/>
                <w:szCs w:val="18"/>
              </w:rPr>
              <w:t>神州数码澳门离岸商业服务</w:t>
            </w:r>
            <w:r>
              <w:rPr>
                <w:rFonts w:ascii="宋体" w:hAnsi="宋体" w:cs="宋体" w:eastAsia="宋体" w:hint="default"/>
                <w:sz w:val="18"/>
                <w:szCs w:val="18"/>
              </w:rPr>
              <w:t> 有限公司</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401" w:right="0"/>
              <w:jc w:val="left"/>
              <w:rPr>
                <w:rFonts w:ascii="Times New Roman" w:hAnsi="Times New Roman" w:cs="Times New Roman" w:eastAsia="Times New Roman" w:hint="default"/>
                <w:sz w:val="18"/>
                <w:szCs w:val="18"/>
              </w:rPr>
            </w:pPr>
            <w:r>
              <w:rPr>
                <w:rFonts w:ascii="Times New Roman"/>
                <w:sz w:val="18"/>
              </w:rPr>
              <w:t>137,600,000.00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2018/9/18</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2" w:lineRule="exact"/>
              <w:ind w:left="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p>
            <w:pPr>
              <w:pStyle w:val="TableParagraph"/>
              <w:spacing w:line="242" w:lineRule="exact"/>
              <w:ind w:left="51" w:right="0"/>
              <w:jc w:val="left"/>
              <w:rPr>
                <w:rFonts w:ascii="宋体" w:hAnsi="宋体" w:cs="宋体" w:eastAsia="宋体" w:hint="default"/>
                <w:sz w:val="18"/>
                <w:szCs w:val="18"/>
              </w:rPr>
            </w:pPr>
            <w:r>
              <w:rPr>
                <w:rFonts w:ascii="宋体" w:hAnsi="宋体" w:cs="宋体" w:eastAsia="宋体" w:hint="default"/>
                <w:sz w:val="18"/>
                <w:szCs w:val="18"/>
              </w:rPr>
              <w:t>（自动延续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401" w:right="0"/>
              <w:jc w:val="left"/>
              <w:rPr>
                <w:rFonts w:ascii="Times New Roman" w:hAnsi="Times New Roman" w:cs="Times New Roman" w:eastAsia="Times New Roman" w:hint="default"/>
                <w:sz w:val="18"/>
                <w:szCs w:val="18"/>
              </w:rPr>
            </w:pPr>
            <w:r>
              <w:rPr>
                <w:rFonts w:ascii="Times New Roman"/>
                <w:sz w:val="18"/>
              </w:rPr>
              <w:t>120,000,000.00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2016/3/7</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2019/12/31</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9"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01" w:right="0"/>
              <w:jc w:val="left"/>
              <w:rPr>
                <w:rFonts w:ascii="Times New Roman" w:hAnsi="Times New Roman" w:cs="Times New Roman" w:eastAsia="Times New Roman" w:hint="default"/>
                <w:sz w:val="18"/>
                <w:szCs w:val="18"/>
              </w:rPr>
            </w:pPr>
            <w:r>
              <w:rPr>
                <w:rFonts w:ascii="Times New Roman"/>
                <w:sz w:val="18"/>
              </w:rPr>
              <w:t>100,000,000.00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2017/4/1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2019/3/31</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2" w:type="dxa"/>
        <w:tblLayout w:type="fixed"/>
        <w:tblCellMar>
          <w:top w:w="0" w:type="dxa"/>
          <w:left w:w="0" w:type="dxa"/>
          <w:bottom w:w="0" w:type="dxa"/>
          <w:right w:w="0" w:type="dxa"/>
        </w:tblCellMar>
        <w:tblLook w:val="01E0"/>
      </w:tblPr>
      <w:tblGrid>
        <w:gridCol w:w="1828"/>
        <w:gridCol w:w="2284"/>
        <w:gridCol w:w="1543"/>
        <w:gridCol w:w="1560"/>
        <w:gridCol w:w="1559"/>
        <w:gridCol w:w="833"/>
      </w:tblGrid>
      <w:tr>
        <w:trPr>
          <w:trHeight w:val="815" w:hRule="exact"/>
        </w:trPr>
        <w:tc>
          <w:tcPr>
            <w:tcW w:w="18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22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54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04"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6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5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83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7" w:lineRule="auto" w:before="22"/>
              <w:ind w:left="48" w:right="48"/>
              <w:jc w:val="center"/>
              <w:rPr>
                <w:rFonts w:ascii="宋体" w:hAnsi="宋体" w:cs="宋体" w:eastAsia="宋体" w:hint="default"/>
                <w:sz w:val="18"/>
                <w:szCs w:val="18"/>
              </w:rPr>
            </w:pPr>
            <w:r>
              <w:rPr>
                <w:rFonts w:ascii="宋体" w:hAnsi="宋体" w:cs="宋体" w:eastAsia="宋体" w:hint="default"/>
                <w:sz w:val="18"/>
                <w:szCs w:val="18"/>
              </w:rPr>
              <w:t>担保是已 经否履行 完毕</w:t>
            </w:r>
          </w:p>
        </w:tc>
      </w:tr>
      <w:tr>
        <w:trPr>
          <w:trHeight w:val="308"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284"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833" w:type="dxa"/>
            <w:tcBorders>
              <w:top w:val="single" w:sz="6" w:space="0" w:color="000000"/>
              <w:left w:val="single" w:sz="6" w:space="0" w:color="000000"/>
              <w:bottom w:val="single" w:sz="6" w:space="0" w:color="000000"/>
              <w:right w:val="single" w:sz="6" w:space="0" w:color="000000"/>
            </w:tcBorders>
          </w:tcPr>
          <w:p>
            <w:pP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100,000,000.00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2017/12/4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2019/3/31</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97,500,000.00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2017/4/1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2018/3/31</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97,500,000.00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2018/5/14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2020/3/31</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left"/>
              <w:rPr>
                <w:rFonts w:ascii="宋体" w:hAnsi="宋体" w:cs="宋体" w:eastAsia="宋体" w:hint="default"/>
                <w:sz w:val="18"/>
                <w:szCs w:val="18"/>
              </w:rPr>
            </w:pPr>
            <w:r>
              <w:rPr>
                <w:rFonts w:ascii="宋体" w:hAnsi="宋体" w:cs="宋体" w:eastAsia="宋体" w:hint="default"/>
                <w:sz w:val="18"/>
                <w:szCs w:val="18"/>
              </w:rPr>
              <w:t>神州数码（深圳）有限公司</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80,000,000.00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2017/4/15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2019/4/14</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3"/>
              <w:jc w:val="left"/>
              <w:rPr>
                <w:rFonts w:ascii="宋体" w:hAnsi="宋体" w:cs="宋体" w:eastAsia="宋体" w:hint="default"/>
                <w:sz w:val="18"/>
                <w:szCs w:val="18"/>
              </w:rPr>
            </w:pPr>
            <w:r>
              <w:rPr>
                <w:rFonts w:ascii="宋体" w:hAnsi="宋体" w:cs="宋体" w:eastAsia="宋体" w:hint="default"/>
                <w:spacing w:val="8"/>
                <w:sz w:val="18"/>
                <w:szCs w:val="18"/>
              </w:rPr>
              <w:t>广州神州数码信息科技有限</w:t>
            </w:r>
            <w:r>
              <w:rPr>
                <w:rFonts w:ascii="宋体" w:hAnsi="宋体" w:cs="宋体" w:eastAsia="宋体" w:hint="default"/>
                <w:sz w:val="18"/>
                <w:szCs w:val="18"/>
              </w:rPr>
              <w:t> 公司</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65,000,000.00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2018/7/6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2018/9/28</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left"/>
              <w:rPr>
                <w:rFonts w:ascii="宋体" w:hAnsi="宋体" w:cs="宋体" w:eastAsia="宋体" w:hint="default"/>
                <w:sz w:val="18"/>
                <w:szCs w:val="18"/>
              </w:rPr>
            </w:pPr>
            <w:r>
              <w:rPr>
                <w:rFonts w:ascii="宋体" w:hAnsi="宋体" w:cs="宋体" w:eastAsia="宋体" w:hint="default"/>
                <w:sz w:val="18"/>
                <w:szCs w:val="18"/>
              </w:rPr>
              <w:t>神州数码（香港）有限公司</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68,800,000.00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2017/12/25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无明确到期日</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255"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28" w:lineRule="auto" w:before="54"/>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DigitalChinaMarketing</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&amp;ServicesLtd</w:t>
            </w:r>
            <w:r>
              <w:rPr>
                <w:rFonts w:ascii="宋体" w:hAnsi="宋体" w:cs="宋体" w:eastAsia="宋体" w:hint="default"/>
                <w:sz w:val="18"/>
                <w:szCs w:val="18"/>
              </w:rPr>
              <w:t>、</w:t>
            </w:r>
            <w:r>
              <w:rPr>
                <w:rFonts w:ascii="宋体" w:hAnsi="宋体" w:cs="宋体" w:eastAsia="宋体" w:hint="default"/>
                <w:spacing w:val="-61"/>
                <w:sz w:val="18"/>
                <w:szCs w:val="18"/>
              </w:rPr>
              <w:t> </w:t>
            </w:r>
            <w:r>
              <w:rPr>
                <w:rFonts w:ascii="宋体" w:hAnsi="宋体" w:cs="宋体" w:eastAsia="宋体" w:hint="default"/>
                <w:spacing w:val="14"/>
                <w:sz w:val="18"/>
                <w:szCs w:val="18"/>
              </w:rPr>
              <w:t>神州数</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码科技发展有限公司、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神州数码（香港）有限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2" w:right="3"/>
              <w:jc w:val="left"/>
              <w:rPr>
                <w:rFonts w:ascii="宋体" w:hAnsi="宋体" w:cs="宋体" w:eastAsia="宋体" w:hint="default"/>
                <w:sz w:val="18"/>
                <w:szCs w:val="18"/>
              </w:rPr>
            </w:pPr>
            <w:r>
              <w:rPr>
                <w:rFonts w:ascii="宋体" w:hAnsi="宋体" w:cs="宋体" w:eastAsia="宋体" w:hint="default"/>
                <w:spacing w:val="8"/>
                <w:sz w:val="18"/>
                <w:szCs w:val="18"/>
              </w:rPr>
              <w:t>神州数码澳门离岸商业服务</w:t>
            </w:r>
            <w:r>
              <w:rPr>
                <w:rFonts w:ascii="宋体" w:hAnsi="宋体" w:cs="宋体" w:eastAsia="宋体" w:hint="default"/>
                <w:sz w:val="18"/>
                <w:szCs w:val="18"/>
              </w:rPr>
              <w:t> 有限公司</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60,200,000.00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2016/3/3</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2020/3/2</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50,000,000.00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2018/1/1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2018/12/31</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left"/>
              <w:rPr>
                <w:rFonts w:ascii="宋体" w:hAnsi="宋体" w:cs="宋体" w:eastAsia="宋体" w:hint="default"/>
                <w:sz w:val="18"/>
                <w:szCs w:val="18"/>
              </w:rPr>
            </w:pPr>
            <w:r>
              <w:rPr>
                <w:rFonts w:ascii="宋体" w:hAnsi="宋体" w:cs="宋体" w:eastAsia="宋体" w:hint="default"/>
                <w:sz w:val="18"/>
                <w:szCs w:val="18"/>
              </w:rPr>
              <w:t>神州数码（深圳）有限公司</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50,000,000.00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2018/1/1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2018/12/31</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45,000,000.00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2018/7/24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2021/6/30</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3"/>
              <w:jc w:val="left"/>
              <w:rPr>
                <w:rFonts w:ascii="宋体" w:hAnsi="宋体" w:cs="宋体" w:eastAsia="宋体" w:hint="default"/>
                <w:sz w:val="18"/>
                <w:szCs w:val="18"/>
              </w:rPr>
            </w:pPr>
            <w:r>
              <w:rPr>
                <w:rFonts w:ascii="宋体" w:hAnsi="宋体" w:cs="宋体" w:eastAsia="宋体" w:hint="default"/>
                <w:spacing w:val="8"/>
                <w:sz w:val="18"/>
                <w:szCs w:val="18"/>
              </w:rPr>
              <w:t>神州数码澳门离岸商业服务</w:t>
            </w:r>
            <w:r>
              <w:rPr>
                <w:rFonts w:ascii="宋体" w:hAnsi="宋体" w:cs="宋体" w:eastAsia="宋体" w:hint="default"/>
                <w:sz w:val="18"/>
                <w:szCs w:val="18"/>
              </w:rPr>
              <w:t> 有限公司</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48,160,000.00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2018/2/5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无明确到期日</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43"/>
              <w:ind w:left="2" w:right="2"/>
              <w:jc w:val="left"/>
              <w:rPr>
                <w:rFonts w:ascii="宋体" w:hAnsi="宋体" w:cs="宋体" w:eastAsia="宋体" w:hint="default"/>
                <w:sz w:val="18"/>
                <w:szCs w:val="18"/>
              </w:rPr>
            </w:pPr>
            <w:r>
              <w:rPr>
                <w:rFonts w:ascii="宋体" w:hAnsi="宋体" w:cs="宋体" w:eastAsia="宋体" w:hint="default"/>
                <w:spacing w:val="11"/>
                <w:sz w:val="18"/>
                <w:szCs w:val="18"/>
              </w:rPr>
              <w:t>神州数码数据服务</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香港</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有</w:t>
            </w:r>
            <w:r>
              <w:rPr>
                <w:rFonts w:ascii="宋体" w:hAnsi="宋体" w:cs="宋体" w:eastAsia="宋体" w:hint="default"/>
                <w:spacing w:val="-79"/>
                <w:sz w:val="18"/>
                <w:szCs w:val="18"/>
              </w:rPr>
              <w:t> </w:t>
            </w:r>
            <w:r>
              <w:rPr>
                <w:rFonts w:ascii="宋体" w:hAnsi="宋体" w:cs="宋体" w:eastAsia="宋体" w:hint="default"/>
                <w:sz w:val="18"/>
                <w:szCs w:val="18"/>
              </w:rPr>
              <w:t>限公司</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41,280,000.00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2017/12/25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无明确到期日</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5"/>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30,000,000.00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2016/3/7</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2019/12/31</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left"/>
              <w:rPr>
                <w:rFonts w:ascii="宋体" w:hAnsi="宋体" w:cs="宋体" w:eastAsia="宋体" w:hint="default"/>
                <w:sz w:val="18"/>
                <w:szCs w:val="18"/>
              </w:rPr>
            </w:pPr>
            <w:r>
              <w:rPr>
                <w:rFonts w:ascii="宋体" w:hAnsi="宋体" w:cs="宋体" w:eastAsia="宋体" w:hint="default"/>
                <w:sz w:val="18"/>
                <w:szCs w:val="18"/>
              </w:rPr>
              <w:t>南京神州数码有限公司</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30,000,000.00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2017/7/3</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2019/12/31</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1"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left"/>
              <w:rPr>
                <w:rFonts w:ascii="宋体" w:hAnsi="宋体" w:cs="宋体" w:eastAsia="宋体" w:hint="default"/>
                <w:sz w:val="18"/>
                <w:szCs w:val="18"/>
              </w:rPr>
            </w:pPr>
            <w:r>
              <w:rPr>
                <w:rFonts w:ascii="宋体" w:hAnsi="宋体" w:cs="宋体" w:eastAsia="宋体" w:hint="default"/>
                <w:sz w:val="18"/>
                <w:szCs w:val="18"/>
              </w:rPr>
              <w:t>上海云角信息技术有限公司</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30,000,000.00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2018/11/20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2019/8/31</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20,000,000.00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2016/10/1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2018/9/30</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left"/>
              <w:rPr>
                <w:rFonts w:ascii="宋体" w:hAnsi="宋体" w:cs="宋体" w:eastAsia="宋体" w:hint="default"/>
                <w:sz w:val="18"/>
                <w:szCs w:val="18"/>
              </w:rPr>
            </w:pPr>
            <w:r>
              <w:rPr>
                <w:rFonts w:ascii="宋体" w:hAnsi="宋体" w:cs="宋体" w:eastAsia="宋体" w:hint="default"/>
                <w:sz w:val="18"/>
                <w:szCs w:val="18"/>
              </w:rPr>
              <w:t>上海神州数码有限公司</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20,000,000.00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2017/4/25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1" w:right="50"/>
              <w:jc w:val="left"/>
              <w:rPr>
                <w:rFonts w:ascii="宋体" w:hAnsi="宋体" w:cs="宋体" w:eastAsia="宋体" w:hint="default"/>
                <w:sz w:val="18"/>
                <w:szCs w:val="18"/>
              </w:rPr>
            </w:pPr>
            <w:r>
              <w:rPr>
                <w:rFonts w:ascii="宋体" w:hAnsi="宋体" w:cs="宋体" w:eastAsia="宋体" w:hint="default"/>
                <w:sz w:val="18"/>
                <w:szCs w:val="18"/>
              </w:rPr>
              <w:t>应收账款购买协议 到期或终止时终止</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left"/>
              <w:rPr>
                <w:rFonts w:ascii="宋体" w:hAnsi="宋体" w:cs="宋体" w:eastAsia="宋体" w:hint="default"/>
                <w:sz w:val="18"/>
                <w:szCs w:val="18"/>
              </w:rPr>
            </w:pPr>
            <w:r>
              <w:rPr>
                <w:rFonts w:ascii="宋体" w:hAnsi="宋体" w:cs="宋体" w:eastAsia="宋体" w:hint="default"/>
                <w:sz w:val="18"/>
                <w:szCs w:val="18"/>
              </w:rPr>
              <w:t>神州数码（香港）有限公司</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20,640,000.00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2018/11/8</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2020/9/6</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left="2" w:right="0"/>
              <w:jc w:val="left"/>
              <w:rPr>
                <w:rFonts w:ascii="宋体" w:hAnsi="宋体" w:cs="宋体" w:eastAsia="宋体" w:hint="default"/>
                <w:sz w:val="18"/>
                <w:szCs w:val="18"/>
              </w:rPr>
            </w:pPr>
            <w:r>
              <w:rPr>
                <w:rFonts w:ascii="宋体" w:hAnsi="宋体" w:cs="宋体" w:eastAsia="宋体" w:hint="default"/>
                <w:sz w:val="18"/>
                <w:szCs w:val="18"/>
              </w:rPr>
              <w:t>上海云角信息技术有限公司</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15,000,000.00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2018/1/29</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2018/8/31</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13,500,000.00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2017/10/1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2019/3/31</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9"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13,760,000.00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2017/12/25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无明确到期日</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2" w:type="dxa"/>
        <w:tblLayout w:type="fixed"/>
        <w:tblCellMar>
          <w:top w:w="0" w:type="dxa"/>
          <w:left w:w="0" w:type="dxa"/>
          <w:bottom w:w="0" w:type="dxa"/>
          <w:right w:w="0" w:type="dxa"/>
        </w:tblCellMar>
        <w:tblLook w:val="01E0"/>
      </w:tblPr>
      <w:tblGrid>
        <w:gridCol w:w="1828"/>
        <w:gridCol w:w="2284"/>
        <w:gridCol w:w="1543"/>
        <w:gridCol w:w="1560"/>
        <w:gridCol w:w="1559"/>
        <w:gridCol w:w="833"/>
      </w:tblGrid>
      <w:tr>
        <w:trPr>
          <w:trHeight w:val="815" w:hRule="exact"/>
        </w:trPr>
        <w:tc>
          <w:tcPr>
            <w:tcW w:w="18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22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54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04"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6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5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83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7" w:lineRule="auto" w:before="22"/>
              <w:ind w:left="48" w:right="48"/>
              <w:jc w:val="center"/>
              <w:rPr>
                <w:rFonts w:ascii="宋体" w:hAnsi="宋体" w:cs="宋体" w:eastAsia="宋体" w:hint="default"/>
                <w:sz w:val="18"/>
                <w:szCs w:val="18"/>
              </w:rPr>
            </w:pPr>
            <w:r>
              <w:rPr>
                <w:rFonts w:ascii="宋体" w:hAnsi="宋体" w:cs="宋体" w:eastAsia="宋体" w:hint="default"/>
                <w:sz w:val="18"/>
                <w:szCs w:val="18"/>
              </w:rPr>
              <w:t>担保是已 经否履行 完毕</w:t>
            </w:r>
          </w:p>
        </w:tc>
      </w:tr>
      <w:tr>
        <w:trPr>
          <w:trHeight w:val="308"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284"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833" w:type="dxa"/>
            <w:tcBorders>
              <w:top w:val="single" w:sz="6" w:space="0" w:color="000000"/>
              <w:left w:val="single" w:sz="6" w:space="0" w:color="000000"/>
              <w:bottom w:val="single" w:sz="6" w:space="0" w:color="000000"/>
              <w:right w:val="single" w:sz="6" w:space="0" w:color="000000"/>
            </w:tcBorders>
          </w:tcPr>
          <w:p>
            <w:pP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10,000,000.00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2018/6/25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361" w:right="0"/>
              <w:jc w:val="left"/>
              <w:rPr>
                <w:rFonts w:ascii="Times New Roman" w:hAnsi="Times New Roman" w:cs="Times New Roman" w:eastAsia="Times New Roman" w:hint="default"/>
                <w:sz w:val="18"/>
                <w:szCs w:val="18"/>
              </w:rPr>
            </w:pPr>
            <w:r>
              <w:rPr>
                <w:rFonts w:ascii="Times New Roman"/>
                <w:sz w:val="18"/>
              </w:rPr>
              <w:t>2018/12/31</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10,000,000.00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2018/8/31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06" w:right="0"/>
              <w:jc w:val="left"/>
              <w:rPr>
                <w:rFonts w:ascii="Times New Roman" w:hAnsi="Times New Roman" w:cs="Times New Roman" w:eastAsia="Times New Roman" w:hint="default"/>
                <w:sz w:val="18"/>
                <w:szCs w:val="18"/>
              </w:rPr>
            </w:pPr>
            <w:r>
              <w:rPr>
                <w:rFonts w:ascii="Times New Roman"/>
                <w:sz w:val="18"/>
              </w:rPr>
              <w:t>2019/3/31</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3"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10,000,000.00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2018/7/27</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06" w:right="0"/>
              <w:jc w:val="left"/>
              <w:rPr>
                <w:rFonts w:ascii="Times New Roman" w:hAnsi="Times New Roman" w:cs="Times New Roman" w:eastAsia="Times New Roman" w:hint="default"/>
                <w:sz w:val="18"/>
                <w:szCs w:val="18"/>
              </w:rPr>
            </w:pPr>
            <w:r>
              <w:rPr>
                <w:rFonts w:ascii="Times New Roman"/>
                <w:sz w:val="18"/>
              </w:rPr>
              <w:t>2020/6/10</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9"/>
          <w:szCs w:val="19"/>
        </w:rPr>
      </w:pPr>
    </w:p>
    <w:p>
      <w:pPr>
        <w:pStyle w:val="BodyText"/>
        <w:spacing w:line="240" w:lineRule="auto" w:before="44"/>
        <w:ind w:right="0"/>
        <w:jc w:val="left"/>
      </w:pPr>
      <w:r>
        <w:rPr>
          <w:rFonts w:ascii="宋体" w:hAnsi="宋体" w:cs="宋体" w:eastAsia="宋体" w:hint="default"/>
        </w:rPr>
        <w:t>2</w:t>
      </w:r>
      <w:r>
        <w:rPr/>
        <w:t>、融资担保</w:t>
      </w:r>
    </w:p>
    <w:p>
      <w:pPr>
        <w:spacing w:line="240" w:lineRule="auto" w:before="2"/>
        <w:rPr>
          <w:rFonts w:ascii="宋体" w:hAnsi="宋体" w:cs="宋体" w:eastAsia="宋体" w:hint="default"/>
          <w:sz w:val="2"/>
          <w:szCs w:val="2"/>
        </w:rPr>
      </w:pPr>
    </w:p>
    <w:tbl>
      <w:tblPr>
        <w:tblW w:w="0" w:type="auto"/>
        <w:jc w:val="left"/>
        <w:tblInd w:w="162" w:type="dxa"/>
        <w:tblLayout w:type="fixed"/>
        <w:tblCellMar>
          <w:top w:w="0" w:type="dxa"/>
          <w:left w:w="0" w:type="dxa"/>
          <w:bottom w:w="0" w:type="dxa"/>
          <w:right w:w="0" w:type="dxa"/>
        </w:tblCellMar>
        <w:tblLook w:val="01E0"/>
      </w:tblPr>
      <w:tblGrid>
        <w:gridCol w:w="1828"/>
        <w:gridCol w:w="1994"/>
        <w:gridCol w:w="1559"/>
        <w:gridCol w:w="1417"/>
        <w:gridCol w:w="1977"/>
        <w:gridCol w:w="833"/>
      </w:tblGrid>
      <w:tr>
        <w:trPr>
          <w:trHeight w:val="815" w:hRule="exact"/>
        </w:trPr>
        <w:tc>
          <w:tcPr>
            <w:tcW w:w="18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28"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5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4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9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83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7" w:lineRule="auto" w:before="21"/>
              <w:ind w:left="48" w:right="48"/>
              <w:jc w:val="center"/>
              <w:rPr>
                <w:rFonts w:ascii="宋体" w:hAnsi="宋体" w:cs="宋体" w:eastAsia="宋体" w:hint="default"/>
                <w:sz w:val="18"/>
                <w:szCs w:val="18"/>
              </w:rPr>
            </w:pPr>
            <w:r>
              <w:rPr>
                <w:rFonts w:ascii="宋体" w:hAnsi="宋体" w:cs="宋体" w:eastAsia="宋体" w:hint="default"/>
                <w:sz w:val="18"/>
                <w:szCs w:val="18"/>
              </w:rPr>
              <w:t>担保是已 经否履行 完毕</w:t>
            </w:r>
          </w:p>
        </w:tc>
      </w:tr>
      <w:tr>
        <w:trPr>
          <w:trHeight w:val="12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6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1,600,000,000.00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2016/2/4</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21"/>
              <w:ind w:left="2" w:right="0" w:hanging="2"/>
              <w:jc w:val="center"/>
              <w:rPr>
                <w:rFonts w:ascii="宋体" w:hAnsi="宋体" w:cs="宋体" w:eastAsia="宋体" w:hint="default"/>
                <w:sz w:val="18"/>
                <w:szCs w:val="18"/>
              </w:rPr>
            </w:pPr>
            <w:r>
              <w:rPr>
                <w:rFonts w:ascii="宋体" w:hAnsi="宋体" w:cs="宋体" w:eastAsia="宋体" w:hint="default"/>
                <w:sz w:val="18"/>
                <w:szCs w:val="18"/>
              </w:rPr>
              <w:t>自保证书签署之日起至 </w:t>
            </w:r>
            <w:r>
              <w:rPr>
                <w:rFonts w:ascii="宋体" w:hAnsi="宋体" w:cs="宋体" w:eastAsia="宋体" w:hint="default"/>
                <w:spacing w:val="-3"/>
                <w:sz w:val="18"/>
                <w:szCs w:val="18"/>
              </w:rPr>
              <w:t>银行收到保证人、保证人</w:t>
            </w:r>
            <w:r>
              <w:rPr>
                <w:rFonts w:ascii="宋体" w:hAnsi="宋体" w:cs="宋体" w:eastAsia="宋体" w:hint="default"/>
                <w:sz w:val="18"/>
                <w:szCs w:val="18"/>
              </w:rPr>
              <w:t> 的清算人或接管人终止 本保证书的书面通知后 一个日历月</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283"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 w:right="-16"/>
              <w:jc w:val="left"/>
              <w:rPr>
                <w:rFonts w:ascii="宋体" w:hAnsi="宋体" w:cs="宋体" w:eastAsia="宋体" w:hint="default"/>
                <w:sz w:val="18"/>
                <w:szCs w:val="18"/>
              </w:rPr>
            </w:pPr>
            <w:r>
              <w:rPr>
                <w:rFonts w:ascii="宋体" w:hAnsi="宋体" w:cs="宋体" w:eastAsia="宋体" w:hint="default"/>
                <w:spacing w:val="17"/>
                <w:sz w:val="18"/>
                <w:szCs w:val="18"/>
              </w:rPr>
              <w:t>北京神州数码供应链服</w:t>
            </w:r>
            <w:r>
              <w:rPr>
                <w:rFonts w:ascii="宋体" w:hAnsi="宋体" w:cs="宋体" w:eastAsia="宋体" w:hint="default"/>
                <w:spacing w:val="-71"/>
                <w:sz w:val="18"/>
                <w:szCs w:val="18"/>
              </w:rPr>
              <w:t> </w:t>
            </w:r>
            <w:r>
              <w:rPr>
                <w:rFonts w:ascii="宋体" w:hAnsi="宋体" w:cs="宋体" w:eastAsia="宋体" w:hint="default"/>
                <w:sz w:val="18"/>
                <w:szCs w:val="18"/>
              </w:rPr>
              <w:t>务有限公司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1,500,000,000.00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2016/2/4</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22"/>
              <w:ind w:left="2" w:right="0" w:hanging="2"/>
              <w:jc w:val="center"/>
              <w:rPr>
                <w:rFonts w:ascii="宋体" w:hAnsi="宋体" w:cs="宋体" w:eastAsia="宋体" w:hint="default"/>
                <w:sz w:val="18"/>
                <w:szCs w:val="18"/>
              </w:rPr>
            </w:pPr>
            <w:r>
              <w:rPr>
                <w:rFonts w:ascii="宋体" w:hAnsi="宋体" w:cs="宋体" w:eastAsia="宋体" w:hint="default"/>
                <w:sz w:val="18"/>
                <w:szCs w:val="18"/>
              </w:rPr>
              <w:t>自保证书签署之日起至 </w:t>
            </w:r>
            <w:r>
              <w:rPr>
                <w:rFonts w:ascii="宋体" w:hAnsi="宋体" w:cs="宋体" w:eastAsia="宋体" w:hint="default"/>
                <w:spacing w:val="-3"/>
                <w:sz w:val="18"/>
                <w:szCs w:val="18"/>
              </w:rPr>
              <w:t>银行收到保证人、保证人</w:t>
            </w:r>
            <w:r>
              <w:rPr>
                <w:rFonts w:ascii="宋体" w:hAnsi="宋体" w:cs="宋体" w:eastAsia="宋体" w:hint="default"/>
                <w:sz w:val="18"/>
                <w:szCs w:val="18"/>
              </w:rPr>
              <w:t> 的清算人或接管人终止 本保证书的书面通知后 一个日历月</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2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2" w:right="3"/>
              <w:jc w:val="left"/>
              <w:rPr>
                <w:rFonts w:ascii="宋体" w:hAnsi="宋体" w:cs="宋体" w:eastAsia="宋体" w:hint="default"/>
                <w:sz w:val="18"/>
                <w:szCs w:val="18"/>
              </w:rPr>
            </w:pPr>
            <w:r>
              <w:rPr>
                <w:rFonts w:ascii="宋体" w:hAnsi="宋体" w:cs="宋体" w:eastAsia="宋体" w:hint="default"/>
                <w:sz w:val="18"/>
                <w:szCs w:val="18"/>
              </w:rPr>
              <w:t>神州数码（中国）有限公 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1,300,000,000.00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2016/2/4</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21"/>
              <w:ind w:left="2" w:right="0" w:hanging="2"/>
              <w:jc w:val="center"/>
              <w:rPr>
                <w:rFonts w:ascii="宋体" w:hAnsi="宋体" w:cs="宋体" w:eastAsia="宋体" w:hint="default"/>
                <w:sz w:val="18"/>
                <w:szCs w:val="18"/>
              </w:rPr>
            </w:pPr>
            <w:r>
              <w:rPr>
                <w:rFonts w:ascii="宋体" w:hAnsi="宋体" w:cs="宋体" w:eastAsia="宋体" w:hint="default"/>
                <w:sz w:val="18"/>
                <w:szCs w:val="18"/>
              </w:rPr>
              <w:t>自保证书签署之日起至 </w:t>
            </w:r>
            <w:r>
              <w:rPr>
                <w:rFonts w:ascii="宋体" w:hAnsi="宋体" w:cs="宋体" w:eastAsia="宋体" w:hint="default"/>
                <w:spacing w:val="-3"/>
                <w:sz w:val="18"/>
                <w:szCs w:val="18"/>
              </w:rPr>
              <w:t>银行收到保证人、保证人</w:t>
            </w:r>
            <w:r>
              <w:rPr>
                <w:rFonts w:ascii="宋体" w:hAnsi="宋体" w:cs="宋体" w:eastAsia="宋体" w:hint="default"/>
                <w:sz w:val="18"/>
                <w:szCs w:val="18"/>
              </w:rPr>
              <w:t> 的清算人或接管人终止 本保证书的书面通知后 一个日历月</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815"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left="3" w:right="0"/>
              <w:jc w:val="left"/>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1,300,000,000.00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2017/11/16</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22"/>
              <w:ind w:left="80" w:right="81"/>
              <w:jc w:val="center"/>
              <w:rPr>
                <w:rFonts w:ascii="宋体" w:hAnsi="宋体" w:cs="宋体" w:eastAsia="宋体" w:hint="default"/>
                <w:sz w:val="18"/>
                <w:szCs w:val="18"/>
              </w:rPr>
            </w:pPr>
            <w:r>
              <w:rPr>
                <w:rFonts w:ascii="宋体" w:hAnsi="宋体" w:cs="宋体" w:eastAsia="宋体" w:hint="default"/>
                <w:sz w:val="18"/>
                <w:szCs w:val="18"/>
              </w:rPr>
              <w:t>从签署日起至主合同项 下的借款期限届满之次 日起两年。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816"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32" w:lineRule="exact"/>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神州数码</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1,200,000,000.00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2018/11/12</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0" w:right="81"/>
              <w:jc w:val="center"/>
              <w:rPr>
                <w:rFonts w:ascii="宋体" w:hAnsi="宋体" w:cs="宋体" w:eastAsia="宋体" w:hint="default"/>
                <w:sz w:val="18"/>
                <w:szCs w:val="18"/>
              </w:rPr>
            </w:pPr>
            <w:r>
              <w:rPr>
                <w:rFonts w:ascii="宋体" w:hAnsi="宋体" w:cs="宋体" w:eastAsia="宋体" w:hint="default"/>
                <w:sz w:val="18"/>
                <w:szCs w:val="18"/>
              </w:rPr>
              <w:t>主合同项下各具体授信 的债务履行期限届满之 日后两年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3"/>
              <w:jc w:val="left"/>
              <w:rPr>
                <w:rFonts w:ascii="宋体" w:hAnsi="宋体" w:cs="宋体" w:eastAsia="宋体" w:hint="default"/>
                <w:sz w:val="18"/>
                <w:szCs w:val="18"/>
              </w:rPr>
            </w:pPr>
            <w:r>
              <w:rPr>
                <w:rFonts w:ascii="宋体" w:hAnsi="宋体" w:cs="宋体" w:eastAsia="宋体" w:hint="default"/>
                <w:sz w:val="18"/>
                <w:szCs w:val="18"/>
              </w:rPr>
              <w:t>神州数码（中国）有限公 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1,169,600,000.00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2017/11/23</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4"/>
              <w:jc w:val="center"/>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4"/>
              <w:ind w:left="2" w:right="3"/>
              <w:jc w:val="left"/>
              <w:rPr>
                <w:rFonts w:ascii="宋体" w:hAnsi="宋体" w:cs="宋体" w:eastAsia="宋体" w:hint="default"/>
                <w:sz w:val="18"/>
                <w:szCs w:val="18"/>
              </w:rPr>
            </w:pPr>
            <w:r>
              <w:rPr>
                <w:rFonts w:ascii="宋体" w:hAnsi="宋体" w:cs="宋体" w:eastAsia="宋体" w:hint="default"/>
                <w:sz w:val="18"/>
                <w:szCs w:val="18"/>
              </w:rPr>
              <w:t>神州数码（中国）有限公 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1,169,600,000.00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2017/11/23</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2018/11/29</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4"/>
              <w:ind w:left="3" w:right="0"/>
              <w:jc w:val="left"/>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1,000,000,000.00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2016/10/26</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2018/1/8</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815"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left="2" w:right="-16"/>
              <w:jc w:val="left"/>
              <w:rPr>
                <w:rFonts w:ascii="宋体" w:hAnsi="宋体" w:cs="宋体" w:eastAsia="宋体" w:hint="default"/>
                <w:sz w:val="18"/>
                <w:szCs w:val="18"/>
              </w:rPr>
            </w:pPr>
            <w:r>
              <w:rPr>
                <w:rFonts w:ascii="宋体" w:hAnsi="宋体" w:cs="宋体" w:eastAsia="宋体" w:hint="default"/>
                <w:spacing w:val="17"/>
                <w:sz w:val="18"/>
                <w:szCs w:val="18"/>
              </w:rPr>
              <w:t>神州数码澳门离岸商业</w:t>
            </w:r>
            <w:r>
              <w:rPr>
                <w:rFonts w:ascii="宋体" w:hAnsi="宋体" w:cs="宋体" w:eastAsia="宋体" w:hint="default"/>
                <w:spacing w:val="-71"/>
                <w:sz w:val="18"/>
                <w:szCs w:val="18"/>
              </w:rPr>
              <w:t> </w:t>
            </w:r>
            <w:r>
              <w:rPr>
                <w:rFonts w:ascii="宋体" w:hAnsi="宋体" w:cs="宋体" w:eastAsia="宋体" w:hint="default"/>
                <w:sz w:val="18"/>
                <w:szCs w:val="18"/>
              </w:rPr>
              <w:t>服务有限公司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894,400,000.00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2017/11/21</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80" w:right="81"/>
              <w:jc w:val="center"/>
              <w:rPr>
                <w:rFonts w:ascii="宋体" w:hAnsi="宋体" w:cs="宋体" w:eastAsia="宋体" w:hint="default"/>
                <w:sz w:val="18"/>
                <w:szCs w:val="18"/>
              </w:rPr>
            </w:pPr>
            <w:r>
              <w:rPr>
                <w:rFonts w:ascii="宋体" w:hAnsi="宋体" w:cs="宋体" w:eastAsia="宋体" w:hint="default"/>
                <w:sz w:val="18"/>
                <w:szCs w:val="18"/>
              </w:rPr>
              <w:t>自签署之日起至银行收 到担保人书面通知终止 担保后三个月止</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815"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16"/>
              <w:jc w:val="left"/>
              <w:rPr>
                <w:rFonts w:ascii="宋体" w:hAnsi="宋体" w:cs="宋体" w:eastAsia="宋体" w:hint="default"/>
                <w:sz w:val="18"/>
                <w:szCs w:val="18"/>
              </w:rPr>
            </w:pPr>
            <w:r>
              <w:rPr>
                <w:rFonts w:ascii="宋体" w:hAnsi="宋体" w:cs="宋体" w:eastAsia="宋体" w:hint="default"/>
                <w:spacing w:val="17"/>
                <w:sz w:val="18"/>
                <w:szCs w:val="18"/>
              </w:rPr>
              <w:t>神州数码科技发展有限</w:t>
            </w:r>
            <w:r>
              <w:rPr>
                <w:rFonts w:ascii="宋体" w:hAnsi="宋体" w:cs="宋体" w:eastAsia="宋体" w:hint="default"/>
                <w:spacing w:val="-71"/>
                <w:sz w:val="18"/>
                <w:szCs w:val="18"/>
              </w:rPr>
              <w:t> </w:t>
            </w:r>
            <w:r>
              <w:rPr>
                <w:rFonts w:ascii="宋体" w:hAnsi="宋体" w:cs="宋体" w:eastAsia="宋体" w:hint="default"/>
                <w:sz w:val="18"/>
                <w:szCs w:val="18"/>
              </w:rPr>
              <w:t>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894,400,000.00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2017/11/21</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22"/>
              <w:ind w:left="80" w:right="81"/>
              <w:jc w:val="center"/>
              <w:rPr>
                <w:rFonts w:ascii="宋体" w:hAnsi="宋体" w:cs="宋体" w:eastAsia="宋体" w:hint="default"/>
                <w:sz w:val="18"/>
                <w:szCs w:val="18"/>
              </w:rPr>
            </w:pPr>
            <w:r>
              <w:rPr>
                <w:rFonts w:ascii="宋体" w:hAnsi="宋体" w:cs="宋体" w:eastAsia="宋体" w:hint="default"/>
                <w:sz w:val="18"/>
                <w:szCs w:val="18"/>
              </w:rPr>
              <w:t>自签署之日起至银行收 到担保人书面通知终止 担保后三个月止</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3"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left"/>
              <w:rPr>
                <w:rFonts w:ascii="宋体" w:hAnsi="宋体" w:cs="宋体" w:eastAsia="宋体" w:hint="default"/>
                <w:sz w:val="18"/>
                <w:szCs w:val="18"/>
              </w:rPr>
            </w:pPr>
            <w:r>
              <w:rPr>
                <w:rFonts w:ascii="宋体" w:hAnsi="宋体" w:cs="宋体" w:eastAsia="宋体" w:hint="default"/>
                <w:sz w:val="18"/>
                <w:szCs w:val="18"/>
              </w:rPr>
              <w:t>神州数码</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870,000,000.00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2017/3/13</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2" w:right="0" w:firstLine="78"/>
              <w:jc w:val="left"/>
              <w:rPr>
                <w:rFonts w:ascii="宋体" w:hAnsi="宋体" w:cs="宋体" w:eastAsia="宋体" w:hint="default"/>
                <w:sz w:val="18"/>
                <w:szCs w:val="18"/>
              </w:rPr>
            </w:pPr>
            <w:r>
              <w:rPr>
                <w:rFonts w:ascii="宋体" w:hAnsi="宋体" w:cs="宋体" w:eastAsia="宋体" w:hint="default"/>
                <w:sz w:val="18"/>
                <w:szCs w:val="18"/>
              </w:rPr>
              <w:t>自保证书签署之日起至 </w:t>
            </w:r>
            <w:r>
              <w:rPr>
                <w:rFonts w:ascii="宋体" w:hAnsi="宋体" w:cs="宋体" w:eastAsia="宋体" w:hint="default"/>
                <w:spacing w:val="-3"/>
                <w:sz w:val="18"/>
                <w:szCs w:val="18"/>
              </w:rPr>
              <w:t>银行收到保证人、保证人</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2" w:type="dxa"/>
        <w:tblLayout w:type="fixed"/>
        <w:tblCellMar>
          <w:top w:w="0" w:type="dxa"/>
          <w:left w:w="0" w:type="dxa"/>
          <w:bottom w:w="0" w:type="dxa"/>
          <w:right w:w="0" w:type="dxa"/>
        </w:tblCellMar>
        <w:tblLook w:val="01E0"/>
      </w:tblPr>
      <w:tblGrid>
        <w:gridCol w:w="1828"/>
        <w:gridCol w:w="1994"/>
        <w:gridCol w:w="1559"/>
        <w:gridCol w:w="1417"/>
        <w:gridCol w:w="1977"/>
        <w:gridCol w:w="833"/>
      </w:tblGrid>
      <w:tr>
        <w:trPr>
          <w:trHeight w:val="814" w:hRule="exact"/>
        </w:trPr>
        <w:tc>
          <w:tcPr>
            <w:tcW w:w="18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28"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5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4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9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530"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83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7" w:lineRule="auto" w:before="21"/>
              <w:ind w:left="48" w:right="48"/>
              <w:jc w:val="center"/>
              <w:rPr>
                <w:rFonts w:ascii="宋体" w:hAnsi="宋体" w:cs="宋体" w:eastAsia="宋体" w:hint="default"/>
                <w:sz w:val="18"/>
                <w:szCs w:val="18"/>
              </w:rPr>
            </w:pPr>
            <w:r>
              <w:rPr>
                <w:rFonts w:ascii="宋体" w:hAnsi="宋体" w:cs="宋体" w:eastAsia="宋体" w:hint="default"/>
                <w:sz w:val="18"/>
                <w:szCs w:val="18"/>
              </w:rPr>
              <w:t>担保是已 经否履行 完毕</w:t>
            </w:r>
          </w:p>
        </w:tc>
      </w:tr>
      <w:tr>
        <w:trPr>
          <w:trHeight w:val="777" w:hRule="exact"/>
        </w:trPr>
        <w:tc>
          <w:tcPr>
            <w:tcW w:w="1828"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1"/>
              <w:jc w:val="center"/>
              <w:rPr>
                <w:rFonts w:ascii="宋体" w:hAnsi="宋体" w:cs="宋体" w:eastAsia="宋体" w:hint="default"/>
                <w:sz w:val="18"/>
                <w:szCs w:val="18"/>
              </w:rPr>
            </w:pPr>
            <w:r>
              <w:rPr>
                <w:rFonts w:ascii="宋体" w:hAnsi="宋体" w:cs="宋体" w:eastAsia="宋体" w:hint="default"/>
                <w:sz w:val="18"/>
                <w:szCs w:val="18"/>
              </w:rPr>
              <w:t>的清算人或接管人终止</w:t>
            </w:r>
          </w:p>
          <w:p>
            <w:pPr>
              <w:pStyle w:val="TableParagraph"/>
              <w:spacing w:line="234" w:lineRule="exact" w:before="22"/>
              <w:ind w:left="80" w:right="81"/>
              <w:jc w:val="center"/>
              <w:rPr>
                <w:rFonts w:ascii="宋体" w:hAnsi="宋体" w:cs="宋体" w:eastAsia="宋体" w:hint="default"/>
                <w:sz w:val="18"/>
                <w:szCs w:val="18"/>
              </w:rPr>
            </w:pPr>
            <w:r>
              <w:rPr>
                <w:rFonts w:ascii="宋体" w:hAnsi="宋体" w:cs="宋体" w:eastAsia="宋体" w:hint="default"/>
                <w:sz w:val="18"/>
                <w:szCs w:val="18"/>
              </w:rPr>
              <w:t>本保证书的书面通知后 一个日历月</w:t>
            </w:r>
          </w:p>
        </w:tc>
        <w:tc>
          <w:tcPr>
            <w:tcW w:w="833" w:type="dxa"/>
            <w:tcBorders>
              <w:top w:val="single" w:sz="6" w:space="0" w:color="000000"/>
              <w:left w:val="single" w:sz="6" w:space="0" w:color="000000"/>
              <w:bottom w:val="single" w:sz="6" w:space="0" w:color="000000"/>
              <w:right w:val="single" w:sz="6" w:space="0" w:color="000000"/>
            </w:tcBorders>
          </w:tcPr>
          <w:p>
            <w:pPr/>
          </w:p>
        </w:tc>
      </w:tr>
      <w:tr>
        <w:trPr>
          <w:trHeight w:val="581"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4"/>
              <w:jc w:val="center"/>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 w:right="3"/>
              <w:jc w:val="left"/>
              <w:rPr>
                <w:rFonts w:ascii="宋体" w:hAnsi="宋体" w:cs="宋体" w:eastAsia="宋体" w:hint="default"/>
                <w:sz w:val="18"/>
                <w:szCs w:val="18"/>
              </w:rPr>
            </w:pPr>
            <w:r>
              <w:rPr>
                <w:rFonts w:ascii="宋体" w:hAnsi="宋体" w:cs="宋体" w:eastAsia="宋体" w:hint="default"/>
                <w:sz w:val="18"/>
                <w:szCs w:val="18"/>
              </w:rPr>
              <w:t>神州数码（中国）有限公 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700,000,000.00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2017/1/1</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2018/5/3</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left"/>
              <w:rPr>
                <w:rFonts w:ascii="宋体" w:hAnsi="宋体" w:cs="宋体" w:eastAsia="宋体" w:hint="default"/>
                <w:sz w:val="18"/>
                <w:szCs w:val="18"/>
              </w:rPr>
            </w:pPr>
            <w:r>
              <w:rPr>
                <w:rFonts w:ascii="宋体" w:hAnsi="宋体" w:cs="宋体" w:eastAsia="宋体" w:hint="default"/>
                <w:sz w:val="18"/>
                <w:szCs w:val="18"/>
              </w:rPr>
              <w:t>神州数码</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700,000,000.00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2018/1/17</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282"/>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left"/>
              <w:rPr>
                <w:rFonts w:ascii="宋体" w:hAnsi="宋体" w:cs="宋体" w:eastAsia="宋体" w:hint="default"/>
                <w:sz w:val="18"/>
                <w:szCs w:val="18"/>
              </w:rPr>
            </w:pPr>
            <w:r>
              <w:rPr>
                <w:rFonts w:ascii="宋体" w:hAnsi="宋体" w:cs="宋体" w:eastAsia="宋体" w:hint="default"/>
                <w:sz w:val="18"/>
                <w:szCs w:val="18"/>
              </w:rPr>
              <w:t>神州数码</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700,000,000.00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2018/8/31</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60" w:right="81" w:hanging="181"/>
              <w:jc w:val="left"/>
              <w:rPr>
                <w:rFonts w:ascii="宋体" w:hAnsi="宋体" w:cs="宋体" w:eastAsia="宋体" w:hint="default"/>
                <w:sz w:val="18"/>
                <w:szCs w:val="18"/>
              </w:rPr>
            </w:pPr>
            <w:r>
              <w:rPr>
                <w:rFonts w:ascii="宋体" w:hAnsi="宋体" w:cs="宋体" w:eastAsia="宋体" w:hint="default"/>
                <w:sz w:val="18"/>
                <w:szCs w:val="18"/>
              </w:rPr>
              <w:t>主合同项下的债务期限 届满之次日起两年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283"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416" w:right="0"/>
              <w:jc w:val="left"/>
              <w:rPr>
                <w:rFonts w:ascii="Times New Roman" w:hAnsi="Times New Roman" w:cs="Times New Roman" w:eastAsia="Times New Roman" w:hint="default"/>
                <w:sz w:val="18"/>
                <w:szCs w:val="18"/>
              </w:rPr>
            </w:pPr>
            <w:r>
              <w:rPr>
                <w:rFonts w:ascii="Times New Roman"/>
                <w:sz w:val="18"/>
              </w:rPr>
              <w:t>690,000,000.00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1"/>
              <w:jc w:val="center"/>
              <w:rPr>
                <w:rFonts w:ascii="Times New Roman" w:hAnsi="Times New Roman" w:cs="Times New Roman" w:eastAsia="Times New Roman" w:hint="default"/>
                <w:sz w:val="18"/>
                <w:szCs w:val="18"/>
              </w:rPr>
            </w:pPr>
            <w:r>
              <w:rPr>
                <w:rFonts w:ascii="Times New Roman"/>
                <w:sz w:val="18"/>
              </w:rPr>
              <w:t>2018/1/8</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22"/>
              <w:ind w:left="2" w:right="2"/>
              <w:jc w:val="center"/>
              <w:rPr>
                <w:rFonts w:ascii="宋体" w:hAnsi="宋体" w:cs="宋体" w:eastAsia="宋体" w:hint="default"/>
                <w:sz w:val="18"/>
                <w:szCs w:val="18"/>
              </w:rPr>
            </w:pPr>
            <w:r>
              <w:rPr>
                <w:rFonts w:ascii="宋体" w:hAnsi="宋体" w:cs="宋体" w:eastAsia="宋体" w:hint="default"/>
                <w:spacing w:val="-3"/>
                <w:sz w:val="18"/>
                <w:szCs w:val="18"/>
              </w:rPr>
              <w:t>自《授信合作协议》生效</w:t>
            </w:r>
            <w:r>
              <w:rPr>
                <w:rFonts w:ascii="宋体" w:hAnsi="宋体" w:cs="宋体" w:eastAsia="宋体" w:hint="default"/>
                <w:sz w:val="18"/>
                <w:szCs w:val="18"/>
              </w:rPr>
              <w:t> 之日至该协议及其修订 或补充所规定的授信额 度使用期限届满之日起 两年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5"/>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605,000,000.00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2018/9/21</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5"/>
              <w:ind w:left="710" w:right="81" w:hanging="631"/>
              <w:jc w:val="left"/>
              <w:rPr>
                <w:rFonts w:ascii="宋体" w:hAnsi="宋体" w:cs="宋体" w:eastAsia="宋体" w:hint="default"/>
                <w:sz w:val="18"/>
                <w:szCs w:val="18"/>
              </w:rPr>
            </w:pPr>
            <w:r>
              <w:rPr>
                <w:rFonts w:ascii="宋体" w:hAnsi="宋体" w:cs="宋体" w:eastAsia="宋体" w:hint="default"/>
                <w:sz w:val="18"/>
                <w:szCs w:val="18"/>
              </w:rPr>
              <w:t>债务履行期限届满之日 起两年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2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 w:right="-16"/>
              <w:jc w:val="left"/>
              <w:rPr>
                <w:rFonts w:ascii="宋体" w:hAnsi="宋体" w:cs="宋体" w:eastAsia="宋体" w:hint="default"/>
                <w:sz w:val="18"/>
                <w:szCs w:val="18"/>
              </w:rPr>
            </w:pPr>
            <w:r>
              <w:rPr>
                <w:rFonts w:ascii="宋体" w:hAnsi="宋体" w:cs="宋体" w:eastAsia="宋体" w:hint="default"/>
                <w:spacing w:val="17"/>
                <w:sz w:val="18"/>
                <w:szCs w:val="18"/>
              </w:rPr>
              <w:t>广州神州数码信息科技</w:t>
            </w:r>
            <w:r>
              <w:rPr>
                <w:rFonts w:ascii="宋体" w:hAnsi="宋体" w:cs="宋体" w:eastAsia="宋体" w:hint="default"/>
                <w:spacing w:val="-71"/>
                <w:sz w:val="18"/>
                <w:szCs w:val="18"/>
              </w:rPr>
              <w:t> </w:t>
            </w:r>
            <w:r>
              <w:rPr>
                <w:rFonts w:ascii="宋体" w:hAnsi="宋体" w:cs="宋体" w:eastAsia="宋体" w:hint="default"/>
                <w:sz w:val="18"/>
                <w:szCs w:val="18"/>
              </w:rPr>
              <w:t>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416" w:right="0"/>
              <w:jc w:val="left"/>
              <w:rPr>
                <w:rFonts w:ascii="Times New Roman" w:hAnsi="Times New Roman" w:cs="Times New Roman" w:eastAsia="Times New Roman" w:hint="default"/>
                <w:sz w:val="18"/>
                <w:szCs w:val="18"/>
              </w:rPr>
            </w:pPr>
            <w:r>
              <w:rPr>
                <w:rFonts w:ascii="Times New Roman"/>
                <w:sz w:val="18"/>
              </w:rPr>
              <w:t>600,000,000.00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1"/>
              <w:jc w:val="center"/>
              <w:rPr>
                <w:rFonts w:ascii="Times New Roman" w:hAnsi="Times New Roman" w:cs="Times New Roman" w:eastAsia="Times New Roman" w:hint="default"/>
                <w:sz w:val="18"/>
                <w:szCs w:val="18"/>
              </w:rPr>
            </w:pPr>
            <w:r>
              <w:rPr>
                <w:rFonts w:ascii="Times New Roman"/>
                <w:sz w:val="18"/>
              </w:rPr>
              <w:t>2016/2/4</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21"/>
              <w:ind w:left="2" w:right="0" w:hanging="2"/>
              <w:jc w:val="center"/>
              <w:rPr>
                <w:rFonts w:ascii="宋体" w:hAnsi="宋体" w:cs="宋体" w:eastAsia="宋体" w:hint="default"/>
                <w:sz w:val="18"/>
                <w:szCs w:val="18"/>
              </w:rPr>
            </w:pPr>
            <w:r>
              <w:rPr>
                <w:rFonts w:ascii="宋体" w:hAnsi="宋体" w:cs="宋体" w:eastAsia="宋体" w:hint="default"/>
                <w:sz w:val="18"/>
                <w:szCs w:val="18"/>
              </w:rPr>
              <w:t>自保证书签署之日起至 </w:t>
            </w:r>
            <w:r>
              <w:rPr>
                <w:rFonts w:ascii="宋体" w:hAnsi="宋体" w:cs="宋体" w:eastAsia="宋体" w:hint="default"/>
                <w:spacing w:val="-3"/>
                <w:sz w:val="18"/>
                <w:szCs w:val="18"/>
              </w:rPr>
              <w:t>银行收到保证人、保证人</w:t>
            </w:r>
            <w:r>
              <w:rPr>
                <w:rFonts w:ascii="宋体" w:hAnsi="宋体" w:cs="宋体" w:eastAsia="宋体" w:hint="default"/>
                <w:sz w:val="18"/>
                <w:szCs w:val="18"/>
              </w:rPr>
              <w:t> 的清算人或接管人终止 本保证书的书面通知后 一个日历月</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600,000,000.00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2017/1/3</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615" w:right="0"/>
              <w:jc w:val="left"/>
              <w:rPr>
                <w:rFonts w:ascii="Times New Roman" w:hAnsi="Times New Roman" w:cs="Times New Roman" w:eastAsia="Times New Roman" w:hint="default"/>
                <w:sz w:val="18"/>
                <w:szCs w:val="18"/>
              </w:rPr>
            </w:pPr>
            <w:r>
              <w:rPr>
                <w:rFonts w:ascii="Times New Roman"/>
                <w:sz w:val="18"/>
              </w:rPr>
              <w:t>2018/1/16</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600,000,000.00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2018/1/16</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60" w:right="81" w:hanging="181"/>
              <w:jc w:val="left"/>
              <w:rPr>
                <w:rFonts w:ascii="宋体" w:hAnsi="宋体" w:cs="宋体" w:eastAsia="宋体" w:hint="default"/>
                <w:sz w:val="18"/>
                <w:szCs w:val="18"/>
              </w:rPr>
            </w:pPr>
            <w:r>
              <w:rPr>
                <w:rFonts w:ascii="宋体" w:hAnsi="宋体" w:cs="宋体" w:eastAsia="宋体" w:hint="default"/>
                <w:sz w:val="18"/>
                <w:szCs w:val="18"/>
              </w:rPr>
              <w:t>主合同项下的借款期限 届满之次日起两年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4"/>
              <w:jc w:val="center"/>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3"/>
              <w:jc w:val="left"/>
              <w:rPr>
                <w:rFonts w:ascii="宋体" w:hAnsi="宋体" w:cs="宋体" w:eastAsia="宋体" w:hint="default"/>
                <w:sz w:val="18"/>
                <w:szCs w:val="18"/>
              </w:rPr>
            </w:pPr>
            <w:r>
              <w:rPr>
                <w:rFonts w:ascii="宋体" w:hAnsi="宋体" w:cs="宋体" w:eastAsia="宋体" w:hint="default"/>
                <w:sz w:val="18"/>
                <w:szCs w:val="18"/>
              </w:rPr>
              <w:t>神州数码（中国）有限公 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600,000,000.00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2018/5/3</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60" w:right="81" w:hanging="181"/>
              <w:jc w:val="left"/>
              <w:rPr>
                <w:rFonts w:ascii="宋体" w:hAnsi="宋体" w:cs="宋体" w:eastAsia="宋体" w:hint="default"/>
                <w:sz w:val="18"/>
                <w:szCs w:val="18"/>
              </w:rPr>
            </w:pPr>
            <w:r>
              <w:rPr>
                <w:rFonts w:ascii="宋体" w:hAnsi="宋体" w:cs="宋体" w:eastAsia="宋体" w:hint="default"/>
                <w:sz w:val="18"/>
                <w:szCs w:val="18"/>
              </w:rPr>
              <w:t>主合同项下的借款期限 届满之次日起两年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4"/>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4"/>
              <w:ind w:left="2" w:right="-16"/>
              <w:jc w:val="left"/>
              <w:rPr>
                <w:rFonts w:ascii="宋体" w:hAnsi="宋体" w:cs="宋体" w:eastAsia="宋体" w:hint="default"/>
                <w:sz w:val="18"/>
                <w:szCs w:val="18"/>
              </w:rPr>
            </w:pPr>
            <w:r>
              <w:rPr>
                <w:rFonts w:ascii="宋体" w:hAnsi="宋体" w:cs="宋体" w:eastAsia="宋体" w:hint="default"/>
                <w:spacing w:val="17"/>
                <w:sz w:val="18"/>
                <w:szCs w:val="18"/>
              </w:rPr>
              <w:t>神州数码澳门离岸商业</w:t>
            </w:r>
            <w:r>
              <w:rPr>
                <w:rFonts w:ascii="宋体" w:hAnsi="宋体" w:cs="宋体" w:eastAsia="宋体" w:hint="default"/>
                <w:spacing w:val="-71"/>
                <w:sz w:val="18"/>
                <w:szCs w:val="18"/>
              </w:rPr>
              <w:t> </w:t>
            </w:r>
            <w:r>
              <w:rPr>
                <w:rFonts w:ascii="宋体" w:hAnsi="宋体" w:cs="宋体" w:eastAsia="宋体" w:hint="default"/>
                <w:sz w:val="18"/>
                <w:szCs w:val="18"/>
              </w:rPr>
              <w:t>服务有限公司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550,400,000.00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2016/2/18</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615" w:right="0"/>
              <w:jc w:val="left"/>
              <w:rPr>
                <w:rFonts w:ascii="Times New Roman" w:hAnsi="Times New Roman" w:cs="Times New Roman" w:eastAsia="Times New Roman" w:hint="default"/>
                <w:sz w:val="18"/>
                <w:szCs w:val="18"/>
              </w:rPr>
            </w:pPr>
            <w:r>
              <w:rPr>
                <w:rFonts w:ascii="Times New Roman"/>
                <w:sz w:val="18"/>
              </w:rPr>
              <w:t>2018/2/17</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5"/>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5"/>
              <w:ind w:left="2" w:right="-16"/>
              <w:jc w:val="left"/>
              <w:rPr>
                <w:rFonts w:ascii="宋体" w:hAnsi="宋体" w:cs="宋体" w:eastAsia="宋体" w:hint="default"/>
                <w:sz w:val="18"/>
                <w:szCs w:val="18"/>
              </w:rPr>
            </w:pPr>
            <w:r>
              <w:rPr>
                <w:rFonts w:ascii="宋体" w:hAnsi="宋体" w:cs="宋体" w:eastAsia="宋体" w:hint="default"/>
                <w:spacing w:val="17"/>
                <w:sz w:val="18"/>
                <w:szCs w:val="18"/>
              </w:rPr>
              <w:t>神州数码科技发展有限</w:t>
            </w:r>
            <w:r>
              <w:rPr>
                <w:rFonts w:ascii="宋体" w:hAnsi="宋体" w:cs="宋体" w:eastAsia="宋体" w:hint="default"/>
                <w:spacing w:val="-71"/>
                <w:sz w:val="18"/>
                <w:szCs w:val="18"/>
              </w:rPr>
              <w:t> </w:t>
            </w:r>
            <w:r>
              <w:rPr>
                <w:rFonts w:ascii="宋体" w:hAnsi="宋体" w:cs="宋体" w:eastAsia="宋体" w:hint="default"/>
                <w:sz w:val="18"/>
                <w:szCs w:val="18"/>
              </w:rPr>
              <w:t>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550,400,000.00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2016/2/18</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615" w:right="0"/>
              <w:jc w:val="left"/>
              <w:rPr>
                <w:rFonts w:ascii="Times New Roman" w:hAnsi="Times New Roman" w:cs="Times New Roman" w:eastAsia="Times New Roman" w:hint="default"/>
                <w:sz w:val="18"/>
                <w:szCs w:val="18"/>
              </w:rPr>
            </w:pPr>
            <w:r>
              <w:rPr>
                <w:rFonts w:ascii="Times New Roman"/>
                <w:sz w:val="18"/>
              </w:rPr>
              <w:t>2018/2/17</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81"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528,000,000.00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2017/7/24</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615" w:right="0"/>
              <w:jc w:val="left"/>
              <w:rPr>
                <w:rFonts w:ascii="Times New Roman" w:hAnsi="Times New Roman" w:cs="Times New Roman" w:eastAsia="Times New Roman" w:hint="default"/>
                <w:sz w:val="18"/>
                <w:szCs w:val="18"/>
              </w:rPr>
            </w:pPr>
            <w:r>
              <w:rPr>
                <w:rFonts w:ascii="Times New Roman"/>
                <w:sz w:val="18"/>
              </w:rPr>
              <w:t>2018/9/21</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500,000,000.00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2017/3/2</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326"/>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left"/>
              <w:rPr>
                <w:rFonts w:ascii="宋体" w:hAnsi="宋体" w:cs="宋体" w:eastAsia="宋体" w:hint="default"/>
                <w:sz w:val="18"/>
                <w:szCs w:val="18"/>
              </w:rPr>
            </w:pPr>
            <w:r>
              <w:rPr>
                <w:rFonts w:ascii="宋体" w:hAnsi="宋体" w:cs="宋体" w:eastAsia="宋体" w:hint="default"/>
                <w:sz w:val="18"/>
                <w:szCs w:val="18"/>
              </w:rPr>
              <w:t>神州数码</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500,000,000.00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2017/11/17</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236"/>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816"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500,000,000.00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2018/1/30</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before="20"/>
              <w:ind w:left="80" w:right="0"/>
              <w:jc w:val="left"/>
              <w:rPr>
                <w:rFonts w:ascii="宋体" w:hAnsi="宋体" w:cs="宋体" w:eastAsia="宋体" w:hint="default"/>
                <w:sz w:val="18"/>
                <w:szCs w:val="18"/>
              </w:rPr>
            </w:pPr>
            <w:r>
              <w:rPr>
                <w:rFonts w:ascii="宋体" w:hAnsi="宋体" w:cs="宋体" w:eastAsia="宋体" w:hint="default"/>
                <w:sz w:val="18"/>
                <w:szCs w:val="18"/>
              </w:rPr>
              <w:t>自担保书生效之日起至</w:t>
            </w:r>
          </w:p>
          <w:p>
            <w:pPr>
              <w:pStyle w:val="TableParagraph"/>
              <w:spacing w:line="232" w:lineRule="exact" w:before="24"/>
              <w:ind w:left="170" w:right="0" w:hanging="169"/>
              <w:jc w:val="left"/>
              <w:rPr>
                <w:rFonts w:ascii="宋体" w:hAnsi="宋体" w:cs="宋体" w:eastAsia="宋体" w:hint="default"/>
                <w:sz w:val="18"/>
                <w:szCs w:val="18"/>
              </w:rPr>
            </w:pPr>
            <w:r>
              <w:rPr>
                <w:rFonts w:ascii="宋体" w:hAnsi="宋体" w:cs="宋体" w:eastAsia="宋体" w:hint="default"/>
                <w:spacing w:val="-3"/>
                <w:sz w:val="18"/>
                <w:szCs w:val="18"/>
              </w:rPr>
              <w:t>《授信协议》项下每笔融</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资的到期日另加三年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5"/>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5"/>
              <w:ind w:left="2" w:right="3"/>
              <w:jc w:val="left"/>
              <w:rPr>
                <w:rFonts w:ascii="宋体" w:hAnsi="宋体" w:cs="宋体" w:eastAsia="宋体" w:hint="default"/>
                <w:sz w:val="18"/>
                <w:szCs w:val="18"/>
              </w:rPr>
            </w:pPr>
            <w:r>
              <w:rPr>
                <w:rFonts w:ascii="宋体" w:hAnsi="宋体" w:cs="宋体" w:eastAsia="宋体" w:hint="default"/>
                <w:sz w:val="18"/>
                <w:szCs w:val="18"/>
              </w:rPr>
              <w:t>神州数码（中国）有限公 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450,000,000.00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2016/12/26</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282"/>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81"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left="2"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450,000,000.00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2016/12/26</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615" w:right="0"/>
              <w:jc w:val="left"/>
              <w:rPr>
                <w:rFonts w:ascii="Times New Roman" w:hAnsi="Times New Roman" w:cs="Times New Roman" w:eastAsia="Times New Roman" w:hint="default"/>
                <w:sz w:val="18"/>
                <w:szCs w:val="18"/>
              </w:rPr>
            </w:pPr>
            <w:r>
              <w:rPr>
                <w:rFonts w:ascii="Times New Roman"/>
                <w:sz w:val="18"/>
              </w:rPr>
              <w:t>2018/1/10</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83"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3"/>
              <w:jc w:val="left"/>
              <w:rPr>
                <w:rFonts w:ascii="宋体" w:hAnsi="宋体" w:cs="宋体" w:eastAsia="宋体" w:hint="default"/>
                <w:sz w:val="18"/>
                <w:szCs w:val="18"/>
              </w:rPr>
            </w:pPr>
            <w:r>
              <w:rPr>
                <w:rFonts w:ascii="宋体" w:hAnsi="宋体" w:cs="宋体" w:eastAsia="宋体" w:hint="default"/>
                <w:sz w:val="18"/>
                <w:szCs w:val="18"/>
              </w:rPr>
              <w:t>神州数码（中国）有限公 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450,000,000.00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2018/1/10</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0" w:right="81"/>
              <w:jc w:val="left"/>
              <w:rPr>
                <w:rFonts w:ascii="宋体" w:hAnsi="宋体" w:cs="宋体" w:eastAsia="宋体" w:hint="default"/>
                <w:sz w:val="18"/>
                <w:szCs w:val="18"/>
              </w:rPr>
            </w:pPr>
            <w:r>
              <w:rPr>
                <w:rFonts w:ascii="宋体" w:hAnsi="宋体" w:cs="宋体" w:eastAsia="宋体" w:hint="default"/>
                <w:sz w:val="18"/>
                <w:szCs w:val="18"/>
              </w:rPr>
              <w:t>自主合同债务人履行债 务期限届满之日起两年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2" w:type="dxa"/>
        <w:tblLayout w:type="fixed"/>
        <w:tblCellMar>
          <w:top w:w="0" w:type="dxa"/>
          <w:left w:w="0" w:type="dxa"/>
          <w:bottom w:w="0" w:type="dxa"/>
          <w:right w:w="0" w:type="dxa"/>
        </w:tblCellMar>
        <w:tblLook w:val="01E0"/>
      </w:tblPr>
      <w:tblGrid>
        <w:gridCol w:w="1828"/>
        <w:gridCol w:w="1994"/>
        <w:gridCol w:w="1559"/>
        <w:gridCol w:w="1417"/>
        <w:gridCol w:w="1977"/>
        <w:gridCol w:w="833"/>
      </w:tblGrid>
      <w:tr>
        <w:trPr>
          <w:trHeight w:val="814" w:hRule="exact"/>
        </w:trPr>
        <w:tc>
          <w:tcPr>
            <w:tcW w:w="18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28"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5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4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9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83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7" w:lineRule="auto" w:before="21"/>
              <w:ind w:left="48" w:right="48"/>
              <w:jc w:val="center"/>
              <w:rPr>
                <w:rFonts w:ascii="宋体" w:hAnsi="宋体" w:cs="宋体" w:eastAsia="宋体" w:hint="default"/>
                <w:sz w:val="18"/>
                <w:szCs w:val="18"/>
              </w:rPr>
            </w:pPr>
            <w:r>
              <w:rPr>
                <w:rFonts w:ascii="宋体" w:hAnsi="宋体" w:cs="宋体" w:eastAsia="宋体" w:hint="default"/>
                <w:sz w:val="18"/>
                <w:szCs w:val="18"/>
              </w:rPr>
              <w:t>担保是已 经否履行 完毕</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450,000,000.00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2018/1/10</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0" w:right="81"/>
              <w:jc w:val="left"/>
              <w:rPr>
                <w:rFonts w:ascii="宋体" w:hAnsi="宋体" w:cs="宋体" w:eastAsia="宋体" w:hint="default"/>
                <w:sz w:val="18"/>
                <w:szCs w:val="18"/>
              </w:rPr>
            </w:pPr>
            <w:r>
              <w:rPr>
                <w:rFonts w:ascii="宋体" w:hAnsi="宋体" w:cs="宋体" w:eastAsia="宋体" w:hint="default"/>
                <w:sz w:val="18"/>
                <w:szCs w:val="18"/>
              </w:rPr>
              <w:t>自主合同债务人履行债 务期限届满之日起两年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450,000,000.00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2018/1/10</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0" w:right="81"/>
              <w:jc w:val="left"/>
              <w:rPr>
                <w:rFonts w:ascii="宋体" w:hAnsi="宋体" w:cs="宋体" w:eastAsia="宋体" w:hint="default"/>
                <w:sz w:val="18"/>
                <w:szCs w:val="18"/>
              </w:rPr>
            </w:pPr>
            <w:r>
              <w:rPr>
                <w:rFonts w:ascii="宋体" w:hAnsi="宋体" w:cs="宋体" w:eastAsia="宋体" w:hint="default"/>
                <w:sz w:val="18"/>
                <w:szCs w:val="18"/>
              </w:rPr>
              <w:t>自主合同债务人履行债 务期限届满之日起两年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816"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450,000,000.00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2018/7/25</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22"/>
              <w:ind w:left="80" w:right="81"/>
              <w:jc w:val="center"/>
              <w:rPr>
                <w:rFonts w:ascii="宋体" w:hAnsi="宋体" w:cs="宋体" w:eastAsia="宋体" w:hint="default"/>
                <w:sz w:val="18"/>
                <w:szCs w:val="18"/>
              </w:rPr>
            </w:pPr>
            <w:r>
              <w:rPr>
                <w:rFonts w:ascii="宋体" w:hAnsi="宋体" w:cs="宋体" w:eastAsia="宋体" w:hint="default"/>
                <w:sz w:val="18"/>
                <w:szCs w:val="18"/>
              </w:rPr>
              <w:t>主合同项下最后到期的 主债务履行期限届满之 日后两年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815"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left="2" w:right="3"/>
              <w:jc w:val="left"/>
              <w:rPr>
                <w:rFonts w:ascii="宋体" w:hAnsi="宋体" w:cs="宋体" w:eastAsia="宋体" w:hint="default"/>
                <w:sz w:val="18"/>
                <w:szCs w:val="18"/>
              </w:rPr>
            </w:pPr>
            <w:r>
              <w:rPr>
                <w:rFonts w:ascii="宋体" w:hAnsi="宋体" w:cs="宋体" w:eastAsia="宋体" w:hint="default"/>
                <w:sz w:val="18"/>
                <w:szCs w:val="18"/>
              </w:rPr>
              <w:t>神州数码（中国）有限公 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450,000,000.00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2018/7/25</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80" w:right="81"/>
              <w:jc w:val="center"/>
              <w:rPr>
                <w:rFonts w:ascii="宋体" w:hAnsi="宋体" w:cs="宋体" w:eastAsia="宋体" w:hint="default"/>
                <w:sz w:val="18"/>
                <w:szCs w:val="18"/>
              </w:rPr>
            </w:pPr>
            <w:r>
              <w:rPr>
                <w:rFonts w:ascii="宋体" w:hAnsi="宋体" w:cs="宋体" w:eastAsia="宋体" w:hint="default"/>
                <w:sz w:val="18"/>
                <w:szCs w:val="18"/>
              </w:rPr>
              <w:t>主合同项下最后到期的 主债务履行期限届满之 日后两年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816"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left="2" w:right="-16"/>
              <w:jc w:val="left"/>
              <w:rPr>
                <w:rFonts w:ascii="宋体" w:hAnsi="宋体" w:cs="宋体" w:eastAsia="宋体" w:hint="default"/>
                <w:sz w:val="18"/>
                <w:szCs w:val="18"/>
              </w:rPr>
            </w:pPr>
            <w:r>
              <w:rPr>
                <w:rFonts w:ascii="宋体" w:hAnsi="宋体" w:cs="宋体" w:eastAsia="宋体" w:hint="default"/>
                <w:spacing w:val="17"/>
                <w:sz w:val="18"/>
                <w:szCs w:val="18"/>
              </w:rPr>
              <w:t>神州数码澳门离岸商业</w:t>
            </w:r>
            <w:r>
              <w:rPr>
                <w:rFonts w:ascii="宋体" w:hAnsi="宋体" w:cs="宋体" w:eastAsia="宋体" w:hint="default"/>
                <w:spacing w:val="-71"/>
                <w:sz w:val="18"/>
                <w:szCs w:val="18"/>
              </w:rPr>
              <w:t> </w:t>
            </w:r>
            <w:r>
              <w:rPr>
                <w:rFonts w:ascii="宋体" w:hAnsi="宋体" w:cs="宋体" w:eastAsia="宋体" w:hint="default"/>
                <w:sz w:val="18"/>
                <w:szCs w:val="18"/>
              </w:rPr>
              <w:t>服务有限公司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447,200,000.00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2018/9/13</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22"/>
              <w:ind w:left="80" w:right="81"/>
              <w:jc w:val="center"/>
              <w:rPr>
                <w:rFonts w:ascii="宋体" w:hAnsi="宋体" w:cs="宋体" w:eastAsia="宋体" w:hint="default"/>
                <w:sz w:val="18"/>
                <w:szCs w:val="18"/>
              </w:rPr>
            </w:pPr>
            <w:r>
              <w:rPr>
                <w:rFonts w:ascii="宋体" w:hAnsi="宋体" w:cs="宋体" w:eastAsia="宋体" w:hint="default"/>
                <w:sz w:val="18"/>
                <w:szCs w:val="18"/>
              </w:rPr>
              <w:t>生效日至银行收到保证 人终止保证书的书面通 知后六个月</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815"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61"/>
              <w:ind w:left="3" w:right="0"/>
              <w:jc w:val="left"/>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61"/>
              <w:ind w:left="2" w:right="-16"/>
              <w:jc w:val="left"/>
              <w:rPr>
                <w:rFonts w:ascii="宋体" w:hAnsi="宋体" w:cs="宋体" w:eastAsia="宋体" w:hint="default"/>
                <w:sz w:val="18"/>
                <w:szCs w:val="18"/>
              </w:rPr>
            </w:pPr>
            <w:r>
              <w:rPr>
                <w:rFonts w:ascii="宋体" w:hAnsi="宋体" w:cs="宋体" w:eastAsia="宋体" w:hint="default"/>
                <w:spacing w:val="17"/>
                <w:sz w:val="18"/>
                <w:szCs w:val="18"/>
              </w:rPr>
              <w:t>神州数码澳门离岸商业</w:t>
            </w:r>
            <w:r>
              <w:rPr>
                <w:rFonts w:ascii="宋体" w:hAnsi="宋体" w:cs="宋体" w:eastAsia="宋体" w:hint="default"/>
                <w:spacing w:val="-71"/>
                <w:sz w:val="18"/>
                <w:szCs w:val="18"/>
              </w:rPr>
              <w:t> </w:t>
            </w:r>
            <w:r>
              <w:rPr>
                <w:rFonts w:ascii="宋体" w:hAnsi="宋体" w:cs="宋体" w:eastAsia="宋体" w:hint="default"/>
                <w:sz w:val="18"/>
                <w:szCs w:val="18"/>
              </w:rPr>
              <w:t>服务有限公司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447,200,000.00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2018/9/13</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80" w:right="81"/>
              <w:jc w:val="center"/>
              <w:rPr>
                <w:rFonts w:ascii="宋体" w:hAnsi="宋体" w:cs="宋体" w:eastAsia="宋体" w:hint="default"/>
                <w:sz w:val="18"/>
                <w:szCs w:val="18"/>
              </w:rPr>
            </w:pPr>
            <w:r>
              <w:rPr>
                <w:rFonts w:ascii="宋体" w:hAnsi="宋体" w:cs="宋体" w:eastAsia="宋体" w:hint="default"/>
                <w:sz w:val="18"/>
                <w:szCs w:val="18"/>
              </w:rPr>
              <w:t>生效日至银行收到保证 人终止保证书的书面通 知后六个月</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815"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left="2" w:right="-16"/>
              <w:jc w:val="left"/>
              <w:rPr>
                <w:rFonts w:ascii="宋体" w:hAnsi="宋体" w:cs="宋体" w:eastAsia="宋体" w:hint="default"/>
                <w:sz w:val="18"/>
                <w:szCs w:val="18"/>
              </w:rPr>
            </w:pPr>
            <w:r>
              <w:rPr>
                <w:rFonts w:ascii="宋体" w:hAnsi="宋体" w:cs="宋体" w:eastAsia="宋体" w:hint="default"/>
                <w:spacing w:val="17"/>
                <w:sz w:val="18"/>
                <w:szCs w:val="18"/>
              </w:rPr>
              <w:t>神州数码科技发展有限</w:t>
            </w:r>
            <w:r>
              <w:rPr>
                <w:rFonts w:ascii="宋体" w:hAnsi="宋体" w:cs="宋体" w:eastAsia="宋体" w:hint="default"/>
                <w:spacing w:val="-71"/>
                <w:sz w:val="18"/>
                <w:szCs w:val="18"/>
              </w:rPr>
              <w:t> </w:t>
            </w:r>
            <w:r>
              <w:rPr>
                <w:rFonts w:ascii="宋体" w:hAnsi="宋体" w:cs="宋体" w:eastAsia="宋体" w:hint="default"/>
                <w:sz w:val="18"/>
                <w:szCs w:val="18"/>
              </w:rPr>
              <w:t>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447,200,000.00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2018/9/13</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22"/>
              <w:ind w:left="80" w:right="81"/>
              <w:jc w:val="center"/>
              <w:rPr>
                <w:rFonts w:ascii="宋体" w:hAnsi="宋体" w:cs="宋体" w:eastAsia="宋体" w:hint="default"/>
                <w:sz w:val="18"/>
                <w:szCs w:val="18"/>
              </w:rPr>
            </w:pPr>
            <w:r>
              <w:rPr>
                <w:rFonts w:ascii="宋体" w:hAnsi="宋体" w:cs="宋体" w:eastAsia="宋体" w:hint="default"/>
                <w:sz w:val="18"/>
                <w:szCs w:val="18"/>
              </w:rPr>
              <w:t>生效日至银行收到保证 人终止保证书的书面通 知后六个月</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816"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left="3" w:right="0"/>
              <w:jc w:val="left"/>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left="2" w:right="-16"/>
              <w:jc w:val="left"/>
              <w:rPr>
                <w:rFonts w:ascii="宋体" w:hAnsi="宋体" w:cs="宋体" w:eastAsia="宋体" w:hint="default"/>
                <w:sz w:val="18"/>
                <w:szCs w:val="18"/>
              </w:rPr>
            </w:pPr>
            <w:r>
              <w:rPr>
                <w:rFonts w:ascii="宋体" w:hAnsi="宋体" w:cs="宋体" w:eastAsia="宋体" w:hint="default"/>
                <w:spacing w:val="17"/>
                <w:sz w:val="18"/>
                <w:szCs w:val="18"/>
              </w:rPr>
              <w:t>神州数码科技发展有限</w:t>
            </w:r>
            <w:r>
              <w:rPr>
                <w:rFonts w:ascii="宋体" w:hAnsi="宋体" w:cs="宋体" w:eastAsia="宋体" w:hint="default"/>
                <w:spacing w:val="-71"/>
                <w:sz w:val="18"/>
                <w:szCs w:val="18"/>
              </w:rPr>
              <w:t> </w:t>
            </w:r>
            <w:r>
              <w:rPr>
                <w:rFonts w:ascii="宋体" w:hAnsi="宋体" w:cs="宋体" w:eastAsia="宋体" w:hint="default"/>
                <w:sz w:val="18"/>
                <w:szCs w:val="18"/>
              </w:rPr>
              <w:t>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447,200,000.00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2018/9/13</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0" w:right="81"/>
              <w:jc w:val="center"/>
              <w:rPr>
                <w:rFonts w:ascii="宋体" w:hAnsi="宋体" w:cs="宋体" w:eastAsia="宋体" w:hint="default"/>
                <w:sz w:val="18"/>
                <w:szCs w:val="18"/>
              </w:rPr>
            </w:pPr>
            <w:r>
              <w:rPr>
                <w:rFonts w:ascii="宋体" w:hAnsi="宋体" w:cs="宋体" w:eastAsia="宋体" w:hint="default"/>
                <w:sz w:val="18"/>
                <w:szCs w:val="18"/>
              </w:rPr>
              <w:t>生效日至银行收到保证 人终止保证书的书面通 知后六个月</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5"/>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5"/>
              <w:ind w:left="2" w:right="-16"/>
              <w:jc w:val="left"/>
              <w:rPr>
                <w:rFonts w:ascii="宋体" w:hAnsi="宋体" w:cs="宋体" w:eastAsia="宋体" w:hint="default"/>
                <w:sz w:val="18"/>
                <w:szCs w:val="18"/>
              </w:rPr>
            </w:pPr>
            <w:r>
              <w:rPr>
                <w:rFonts w:ascii="宋体" w:hAnsi="宋体" w:cs="宋体" w:eastAsia="宋体" w:hint="default"/>
                <w:spacing w:val="17"/>
                <w:sz w:val="18"/>
                <w:szCs w:val="18"/>
              </w:rPr>
              <w:t>神州数码澳门离岸商业</w:t>
            </w:r>
            <w:r>
              <w:rPr>
                <w:rFonts w:ascii="宋体" w:hAnsi="宋体" w:cs="宋体" w:eastAsia="宋体" w:hint="default"/>
                <w:spacing w:val="-71"/>
                <w:sz w:val="18"/>
                <w:szCs w:val="18"/>
              </w:rPr>
              <w:t> </w:t>
            </w:r>
            <w:r>
              <w:rPr>
                <w:rFonts w:ascii="宋体" w:hAnsi="宋体" w:cs="宋体" w:eastAsia="宋体" w:hint="default"/>
                <w:sz w:val="18"/>
                <w:szCs w:val="18"/>
              </w:rPr>
              <w:t>服务有限公司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438,215,000.00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2017/6/26</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2020/6/26</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2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上海神州数码有限公司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416" w:right="0"/>
              <w:jc w:val="left"/>
              <w:rPr>
                <w:rFonts w:ascii="Times New Roman" w:hAnsi="Times New Roman" w:cs="Times New Roman" w:eastAsia="Times New Roman" w:hint="default"/>
                <w:sz w:val="18"/>
                <w:szCs w:val="18"/>
              </w:rPr>
            </w:pPr>
            <w:r>
              <w:rPr>
                <w:rFonts w:ascii="Times New Roman"/>
                <w:sz w:val="18"/>
              </w:rPr>
              <w:t>400,000,000.00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1"/>
              <w:jc w:val="center"/>
              <w:rPr>
                <w:rFonts w:ascii="Times New Roman" w:hAnsi="Times New Roman" w:cs="Times New Roman" w:eastAsia="Times New Roman" w:hint="default"/>
                <w:sz w:val="18"/>
                <w:szCs w:val="18"/>
              </w:rPr>
            </w:pPr>
            <w:r>
              <w:rPr>
                <w:rFonts w:ascii="Times New Roman"/>
                <w:sz w:val="18"/>
              </w:rPr>
              <w:t>2016/2/4</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22"/>
              <w:ind w:left="2" w:right="0" w:hanging="2"/>
              <w:jc w:val="center"/>
              <w:rPr>
                <w:rFonts w:ascii="宋体" w:hAnsi="宋体" w:cs="宋体" w:eastAsia="宋体" w:hint="default"/>
                <w:sz w:val="18"/>
                <w:szCs w:val="18"/>
              </w:rPr>
            </w:pPr>
            <w:r>
              <w:rPr>
                <w:rFonts w:ascii="宋体" w:hAnsi="宋体" w:cs="宋体" w:eastAsia="宋体" w:hint="default"/>
                <w:sz w:val="18"/>
                <w:szCs w:val="18"/>
              </w:rPr>
              <w:t>自保证书签署之日起至 </w:t>
            </w:r>
            <w:r>
              <w:rPr>
                <w:rFonts w:ascii="宋体" w:hAnsi="宋体" w:cs="宋体" w:eastAsia="宋体" w:hint="default"/>
                <w:spacing w:val="-3"/>
                <w:sz w:val="18"/>
                <w:szCs w:val="18"/>
              </w:rPr>
              <w:t>银行收到保证人、保证人</w:t>
            </w:r>
            <w:r>
              <w:rPr>
                <w:rFonts w:ascii="宋体" w:hAnsi="宋体" w:cs="宋体" w:eastAsia="宋体" w:hint="default"/>
                <w:sz w:val="18"/>
                <w:szCs w:val="18"/>
              </w:rPr>
              <w:t> 的清算人或接管人终止 本保证书的书面通知后 一个日历月</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400,000,000.00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2016/11/1</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2018/2/27</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3"/>
              <w:jc w:val="left"/>
              <w:rPr>
                <w:rFonts w:ascii="宋体" w:hAnsi="宋体" w:cs="宋体" w:eastAsia="宋体" w:hint="default"/>
                <w:sz w:val="18"/>
                <w:szCs w:val="18"/>
              </w:rPr>
            </w:pPr>
            <w:r>
              <w:rPr>
                <w:rFonts w:ascii="宋体" w:hAnsi="宋体" w:cs="宋体" w:eastAsia="宋体" w:hint="default"/>
                <w:sz w:val="18"/>
                <w:szCs w:val="18"/>
              </w:rPr>
              <w:t>神州数码（中国）有限公 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400,000,000.00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2016/11/1</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2018/2/27</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16"/>
              <w:jc w:val="left"/>
              <w:rPr>
                <w:rFonts w:ascii="宋体" w:hAnsi="宋体" w:cs="宋体" w:eastAsia="宋体" w:hint="default"/>
                <w:sz w:val="18"/>
                <w:szCs w:val="18"/>
              </w:rPr>
            </w:pPr>
            <w:r>
              <w:rPr>
                <w:rFonts w:ascii="宋体" w:hAnsi="宋体" w:cs="宋体" w:eastAsia="宋体" w:hint="default"/>
                <w:spacing w:val="17"/>
                <w:sz w:val="18"/>
                <w:szCs w:val="18"/>
              </w:rPr>
              <w:t>北京神州数码供应链服</w:t>
            </w:r>
            <w:r>
              <w:rPr>
                <w:rFonts w:ascii="宋体" w:hAnsi="宋体" w:cs="宋体" w:eastAsia="宋体" w:hint="default"/>
                <w:spacing w:val="-71"/>
                <w:sz w:val="18"/>
                <w:szCs w:val="18"/>
              </w:rPr>
              <w:t> </w:t>
            </w:r>
            <w:r>
              <w:rPr>
                <w:rFonts w:ascii="宋体" w:hAnsi="宋体" w:cs="宋体" w:eastAsia="宋体" w:hint="default"/>
                <w:sz w:val="18"/>
                <w:szCs w:val="18"/>
              </w:rPr>
              <w:t>务有限公司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400,000,000.00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2017/3/24</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2018/9/25</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049"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 w:right="3"/>
              <w:jc w:val="left"/>
              <w:rPr>
                <w:rFonts w:ascii="宋体" w:hAnsi="宋体" w:cs="宋体" w:eastAsia="宋体" w:hint="default"/>
                <w:sz w:val="18"/>
                <w:szCs w:val="18"/>
              </w:rPr>
            </w:pPr>
            <w:r>
              <w:rPr>
                <w:rFonts w:ascii="宋体" w:hAnsi="宋体" w:cs="宋体" w:eastAsia="宋体" w:hint="default"/>
                <w:sz w:val="18"/>
                <w:szCs w:val="18"/>
              </w:rPr>
              <w:t>神州数码（中国）有限公 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400,000,000.00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2017/6/23</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22"/>
              <w:ind w:left="80" w:right="81"/>
              <w:jc w:val="center"/>
              <w:rPr>
                <w:rFonts w:ascii="宋体" w:hAnsi="宋体" w:cs="宋体" w:eastAsia="宋体" w:hint="default"/>
                <w:sz w:val="18"/>
                <w:szCs w:val="18"/>
              </w:rPr>
            </w:pPr>
            <w:r>
              <w:rPr>
                <w:rFonts w:ascii="宋体" w:hAnsi="宋体" w:cs="宋体" w:eastAsia="宋体" w:hint="default"/>
                <w:sz w:val="18"/>
                <w:szCs w:val="18"/>
              </w:rPr>
              <w:t>合同项下债务人每次使 用授信额度而发生的债 务履行期限届满之日起 两年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3"/>
              <w:jc w:val="left"/>
              <w:rPr>
                <w:rFonts w:ascii="宋体" w:hAnsi="宋体" w:cs="宋体" w:eastAsia="宋体" w:hint="default"/>
                <w:sz w:val="18"/>
                <w:szCs w:val="18"/>
              </w:rPr>
            </w:pPr>
            <w:r>
              <w:rPr>
                <w:rFonts w:ascii="宋体" w:hAnsi="宋体" w:cs="宋体" w:eastAsia="宋体" w:hint="default"/>
                <w:sz w:val="18"/>
                <w:szCs w:val="18"/>
              </w:rPr>
              <w:t>神州数码（中国）有限公 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400,000,000.00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2017/8/22</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2018/12/27</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43"/>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left"/>
              <w:rPr>
                <w:rFonts w:ascii="宋体" w:hAnsi="宋体" w:cs="宋体" w:eastAsia="宋体" w:hint="default"/>
                <w:sz w:val="18"/>
                <w:szCs w:val="18"/>
              </w:rPr>
            </w:pPr>
            <w:r>
              <w:rPr>
                <w:rFonts w:ascii="宋体" w:hAnsi="宋体" w:cs="宋体" w:eastAsia="宋体" w:hint="default"/>
                <w:sz w:val="18"/>
                <w:szCs w:val="18"/>
              </w:rPr>
              <w:t>神州数码</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400,000,000.00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2017/9/11</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400,000,000.00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2018/2/27</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70" w:right="81" w:hanging="91"/>
              <w:jc w:val="left"/>
              <w:rPr>
                <w:rFonts w:ascii="宋体" w:hAnsi="宋体" w:cs="宋体" w:eastAsia="宋体" w:hint="default"/>
                <w:sz w:val="18"/>
                <w:szCs w:val="18"/>
              </w:rPr>
            </w:pPr>
            <w:r>
              <w:rPr>
                <w:rFonts w:ascii="宋体" w:hAnsi="宋体" w:cs="宋体" w:eastAsia="宋体" w:hint="default"/>
                <w:sz w:val="18"/>
                <w:szCs w:val="18"/>
              </w:rPr>
              <w:t>主合同项下债务履行期 限届满之日起两年。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 w:right="3"/>
              <w:jc w:val="left"/>
              <w:rPr>
                <w:rFonts w:ascii="宋体" w:hAnsi="宋体" w:cs="宋体" w:eastAsia="宋体" w:hint="default"/>
                <w:sz w:val="18"/>
                <w:szCs w:val="18"/>
              </w:rPr>
            </w:pPr>
            <w:r>
              <w:rPr>
                <w:rFonts w:ascii="宋体" w:hAnsi="宋体" w:cs="宋体" w:eastAsia="宋体" w:hint="default"/>
                <w:sz w:val="18"/>
                <w:szCs w:val="18"/>
              </w:rPr>
              <w:t>神州数码（中国）有限公 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400,000,000.00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2018/2/27</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70" w:right="81" w:hanging="91"/>
              <w:jc w:val="left"/>
              <w:rPr>
                <w:rFonts w:ascii="宋体" w:hAnsi="宋体" w:cs="宋体" w:eastAsia="宋体" w:hint="default"/>
                <w:sz w:val="18"/>
                <w:szCs w:val="18"/>
              </w:rPr>
            </w:pPr>
            <w:r>
              <w:rPr>
                <w:rFonts w:ascii="宋体" w:hAnsi="宋体" w:cs="宋体" w:eastAsia="宋体" w:hint="default"/>
                <w:sz w:val="18"/>
                <w:szCs w:val="18"/>
              </w:rPr>
              <w:t>主合同项下债务履行期 限届满之日起两年。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2" w:type="dxa"/>
        <w:tblLayout w:type="fixed"/>
        <w:tblCellMar>
          <w:top w:w="0" w:type="dxa"/>
          <w:left w:w="0" w:type="dxa"/>
          <w:bottom w:w="0" w:type="dxa"/>
          <w:right w:w="0" w:type="dxa"/>
        </w:tblCellMar>
        <w:tblLook w:val="01E0"/>
      </w:tblPr>
      <w:tblGrid>
        <w:gridCol w:w="1828"/>
        <w:gridCol w:w="1994"/>
        <w:gridCol w:w="1559"/>
        <w:gridCol w:w="1417"/>
        <w:gridCol w:w="1977"/>
        <w:gridCol w:w="833"/>
      </w:tblGrid>
      <w:tr>
        <w:trPr>
          <w:trHeight w:val="814" w:hRule="exact"/>
        </w:trPr>
        <w:tc>
          <w:tcPr>
            <w:tcW w:w="18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28"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5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4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9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83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7" w:lineRule="auto" w:before="21"/>
              <w:ind w:left="48" w:right="48"/>
              <w:jc w:val="center"/>
              <w:rPr>
                <w:rFonts w:ascii="宋体" w:hAnsi="宋体" w:cs="宋体" w:eastAsia="宋体" w:hint="default"/>
                <w:sz w:val="18"/>
                <w:szCs w:val="18"/>
              </w:rPr>
            </w:pPr>
            <w:r>
              <w:rPr>
                <w:rFonts w:ascii="宋体" w:hAnsi="宋体" w:cs="宋体" w:eastAsia="宋体" w:hint="default"/>
                <w:sz w:val="18"/>
                <w:szCs w:val="18"/>
              </w:rPr>
              <w:t>担保是已 经否履行 完毕</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left"/>
              <w:rPr>
                <w:rFonts w:ascii="宋体" w:hAnsi="宋体" w:cs="宋体" w:eastAsia="宋体" w:hint="default"/>
                <w:sz w:val="18"/>
                <w:szCs w:val="18"/>
              </w:rPr>
            </w:pPr>
            <w:r>
              <w:rPr>
                <w:rFonts w:ascii="宋体" w:hAnsi="宋体" w:cs="宋体" w:eastAsia="宋体" w:hint="default"/>
                <w:sz w:val="18"/>
                <w:szCs w:val="18"/>
              </w:rPr>
              <w:t>神州数码</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400,000,000.00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2018/4/25</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firstLine="78"/>
              <w:jc w:val="left"/>
              <w:rPr>
                <w:rFonts w:ascii="宋体" w:hAnsi="宋体" w:cs="宋体" w:eastAsia="宋体" w:hint="default"/>
                <w:sz w:val="18"/>
                <w:szCs w:val="18"/>
              </w:rPr>
            </w:pPr>
            <w:r>
              <w:rPr>
                <w:rFonts w:ascii="宋体" w:hAnsi="宋体" w:cs="宋体" w:eastAsia="宋体" w:hint="default"/>
                <w:sz w:val="18"/>
                <w:szCs w:val="18"/>
              </w:rPr>
              <w:t>主合同项下债务人债务 履行期限届满之日起</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49"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神州数码</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400,000,000.00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2018/5/2</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22"/>
              <w:ind w:left="80" w:right="81"/>
              <w:jc w:val="both"/>
              <w:rPr>
                <w:rFonts w:ascii="宋体" w:hAnsi="宋体" w:cs="宋体" w:eastAsia="宋体" w:hint="default"/>
                <w:sz w:val="18"/>
                <w:szCs w:val="18"/>
              </w:rPr>
            </w:pPr>
            <w:r>
              <w:rPr>
                <w:rFonts w:ascii="宋体" w:hAnsi="宋体" w:cs="宋体" w:eastAsia="宋体" w:hint="default"/>
                <w:sz w:val="18"/>
                <w:szCs w:val="18"/>
              </w:rPr>
              <w:t>自每笔债权合同债务履 行期届满之日起至该债 权合同约定的债务履行 期届满之日后两年止。</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3"/>
              <w:jc w:val="left"/>
              <w:rPr>
                <w:rFonts w:ascii="宋体" w:hAnsi="宋体" w:cs="宋体" w:eastAsia="宋体" w:hint="default"/>
                <w:sz w:val="18"/>
                <w:szCs w:val="18"/>
              </w:rPr>
            </w:pPr>
            <w:r>
              <w:rPr>
                <w:rFonts w:ascii="宋体" w:hAnsi="宋体" w:cs="宋体" w:eastAsia="宋体" w:hint="default"/>
                <w:sz w:val="18"/>
                <w:szCs w:val="18"/>
              </w:rPr>
              <w:t>神州数码（中国）有限公 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400,000,000.00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2018/11/23</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60" w:right="81" w:hanging="181"/>
              <w:jc w:val="left"/>
              <w:rPr>
                <w:rFonts w:ascii="宋体" w:hAnsi="宋体" w:cs="宋体" w:eastAsia="宋体" w:hint="default"/>
                <w:sz w:val="18"/>
                <w:szCs w:val="18"/>
              </w:rPr>
            </w:pPr>
            <w:r>
              <w:rPr>
                <w:rFonts w:ascii="宋体" w:hAnsi="宋体" w:cs="宋体" w:eastAsia="宋体" w:hint="default"/>
                <w:sz w:val="18"/>
                <w:szCs w:val="18"/>
              </w:rPr>
              <w:t>主合同项下债务履行期 届满之日起两年。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4"/>
              <w:jc w:val="center"/>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3"/>
              <w:jc w:val="left"/>
              <w:rPr>
                <w:rFonts w:ascii="宋体" w:hAnsi="宋体" w:cs="宋体" w:eastAsia="宋体" w:hint="default"/>
                <w:sz w:val="18"/>
                <w:szCs w:val="18"/>
              </w:rPr>
            </w:pPr>
            <w:r>
              <w:rPr>
                <w:rFonts w:ascii="宋体" w:hAnsi="宋体" w:cs="宋体" w:eastAsia="宋体" w:hint="default"/>
                <w:sz w:val="18"/>
                <w:szCs w:val="18"/>
              </w:rPr>
              <w:t>神州数码（中国）有限公 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400,000,000.00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2018/11/23</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60" w:right="81" w:hanging="181"/>
              <w:jc w:val="left"/>
              <w:rPr>
                <w:rFonts w:ascii="宋体" w:hAnsi="宋体" w:cs="宋体" w:eastAsia="宋体" w:hint="default"/>
                <w:sz w:val="18"/>
                <w:szCs w:val="18"/>
              </w:rPr>
            </w:pPr>
            <w:r>
              <w:rPr>
                <w:rFonts w:ascii="宋体" w:hAnsi="宋体" w:cs="宋体" w:eastAsia="宋体" w:hint="default"/>
                <w:sz w:val="18"/>
                <w:szCs w:val="18"/>
              </w:rPr>
              <w:t>主合同项下债务履行期 届满之日起两年。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816"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left="2" w:right="3"/>
              <w:jc w:val="left"/>
              <w:rPr>
                <w:rFonts w:ascii="宋体" w:hAnsi="宋体" w:cs="宋体" w:eastAsia="宋体" w:hint="default"/>
                <w:sz w:val="18"/>
                <w:szCs w:val="18"/>
              </w:rPr>
            </w:pPr>
            <w:r>
              <w:rPr>
                <w:rFonts w:ascii="宋体" w:hAnsi="宋体" w:cs="宋体" w:eastAsia="宋体" w:hint="default"/>
                <w:sz w:val="18"/>
                <w:szCs w:val="18"/>
              </w:rPr>
              <w:t>神州数码（中国）有限公 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400,000,000.00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2018/12/27</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22"/>
              <w:ind w:left="80" w:right="81"/>
              <w:jc w:val="center"/>
              <w:rPr>
                <w:rFonts w:ascii="宋体" w:hAnsi="宋体" w:cs="宋体" w:eastAsia="宋体" w:hint="default"/>
                <w:sz w:val="18"/>
                <w:szCs w:val="18"/>
              </w:rPr>
            </w:pPr>
            <w:r>
              <w:rPr>
                <w:rFonts w:ascii="宋体" w:hAnsi="宋体" w:cs="宋体" w:eastAsia="宋体" w:hint="default"/>
                <w:sz w:val="18"/>
                <w:szCs w:val="18"/>
              </w:rPr>
              <w:t>主合同项下各具体授信 的债务履行期限届满之 日后两年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1"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 w:right="-16"/>
              <w:jc w:val="left"/>
              <w:rPr>
                <w:rFonts w:ascii="宋体" w:hAnsi="宋体" w:cs="宋体" w:eastAsia="宋体" w:hint="default"/>
                <w:sz w:val="18"/>
                <w:szCs w:val="18"/>
              </w:rPr>
            </w:pPr>
            <w:r>
              <w:rPr>
                <w:rFonts w:ascii="宋体" w:hAnsi="宋体" w:cs="宋体" w:eastAsia="宋体" w:hint="default"/>
                <w:spacing w:val="17"/>
                <w:sz w:val="18"/>
                <w:szCs w:val="18"/>
              </w:rPr>
              <w:t>神州数码科技发展有限</w:t>
            </w:r>
            <w:r>
              <w:rPr>
                <w:rFonts w:ascii="宋体" w:hAnsi="宋体" w:cs="宋体" w:eastAsia="宋体" w:hint="default"/>
                <w:spacing w:val="-71"/>
                <w:sz w:val="18"/>
                <w:szCs w:val="18"/>
              </w:rPr>
              <w:t> </w:t>
            </w:r>
            <w:r>
              <w:rPr>
                <w:rFonts w:ascii="宋体" w:hAnsi="宋体" w:cs="宋体" w:eastAsia="宋体" w:hint="default"/>
                <w:sz w:val="18"/>
                <w:szCs w:val="18"/>
              </w:rPr>
              <w:t>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394,393,500.00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2017/6/26</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2020/6/26</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3"/>
              <w:jc w:val="left"/>
              <w:rPr>
                <w:rFonts w:ascii="宋体" w:hAnsi="宋体" w:cs="宋体" w:eastAsia="宋体" w:hint="default"/>
                <w:sz w:val="18"/>
                <w:szCs w:val="18"/>
              </w:rPr>
            </w:pPr>
            <w:r>
              <w:rPr>
                <w:rFonts w:ascii="宋体" w:hAnsi="宋体" w:cs="宋体" w:eastAsia="宋体" w:hint="default"/>
                <w:sz w:val="18"/>
                <w:szCs w:val="18"/>
              </w:rPr>
              <w:t>神州数码（中国）有限公 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370,000,000.00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2016/11/7</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816"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left="2" w:right="3"/>
              <w:jc w:val="left"/>
              <w:rPr>
                <w:rFonts w:ascii="宋体" w:hAnsi="宋体" w:cs="宋体" w:eastAsia="宋体" w:hint="default"/>
                <w:sz w:val="18"/>
                <w:szCs w:val="18"/>
              </w:rPr>
            </w:pPr>
            <w:r>
              <w:rPr>
                <w:rFonts w:ascii="宋体" w:hAnsi="宋体" w:cs="宋体" w:eastAsia="宋体" w:hint="default"/>
                <w:sz w:val="18"/>
                <w:szCs w:val="18"/>
              </w:rPr>
              <w:t>神州数码（中国）有限公 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370,000,000.00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2018/1/29</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before="20"/>
              <w:ind w:left="80" w:right="0"/>
              <w:jc w:val="left"/>
              <w:rPr>
                <w:rFonts w:ascii="宋体" w:hAnsi="宋体" w:cs="宋体" w:eastAsia="宋体" w:hint="default"/>
                <w:sz w:val="18"/>
                <w:szCs w:val="18"/>
              </w:rPr>
            </w:pPr>
            <w:r>
              <w:rPr>
                <w:rFonts w:ascii="宋体" w:hAnsi="宋体" w:cs="宋体" w:eastAsia="宋体" w:hint="default"/>
                <w:sz w:val="18"/>
                <w:szCs w:val="18"/>
              </w:rPr>
              <w:t>自担保书生效之日起至</w:t>
            </w:r>
          </w:p>
          <w:p>
            <w:pPr>
              <w:pStyle w:val="TableParagraph"/>
              <w:spacing w:line="240" w:lineRule="auto"/>
              <w:ind w:left="170" w:right="0" w:hanging="169"/>
              <w:jc w:val="left"/>
              <w:rPr>
                <w:rFonts w:ascii="宋体" w:hAnsi="宋体" w:cs="宋体" w:eastAsia="宋体" w:hint="default"/>
                <w:sz w:val="18"/>
                <w:szCs w:val="18"/>
              </w:rPr>
            </w:pPr>
            <w:r>
              <w:rPr>
                <w:rFonts w:ascii="宋体" w:hAnsi="宋体" w:cs="宋体" w:eastAsia="宋体" w:hint="default"/>
                <w:spacing w:val="-3"/>
                <w:sz w:val="18"/>
                <w:szCs w:val="18"/>
              </w:rPr>
              <w:t>《授信协议》项下每笔融</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资的到期日另加三年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4"/>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4"/>
              <w:ind w:left="2" w:right="3"/>
              <w:jc w:val="left"/>
              <w:rPr>
                <w:rFonts w:ascii="宋体" w:hAnsi="宋体" w:cs="宋体" w:eastAsia="宋体" w:hint="default"/>
                <w:sz w:val="18"/>
                <w:szCs w:val="18"/>
              </w:rPr>
            </w:pPr>
            <w:r>
              <w:rPr>
                <w:rFonts w:ascii="宋体" w:hAnsi="宋体" w:cs="宋体" w:eastAsia="宋体" w:hint="default"/>
                <w:sz w:val="18"/>
                <w:szCs w:val="18"/>
              </w:rPr>
              <w:t>神州数码（中国）有限公 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370,000,000.00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2018/12/13</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4"/>
              <w:ind w:left="260" w:right="81" w:hanging="181"/>
              <w:jc w:val="left"/>
              <w:rPr>
                <w:rFonts w:ascii="宋体" w:hAnsi="宋体" w:cs="宋体" w:eastAsia="宋体" w:hint="default"/>
                <w:sz w:val="18"/>
                <w:szCs w:val="18"/>
              </w:rPr>
            </w:pPr>
            <w:r>
              <w:rPr>
                <w:rFonts w:ascii="宋体" w:hAnsi="宋体" w:cs="宋体" w:eastAsia="宋体" w:hint="default"/>
                <w:sz w:val="18"/>
                <w:szCs w:val="18"/>
              </w:rPr>
              <w:t>主合同项下债务履行期 届满之日起两年。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4"/>
              <w:jc w:val="center"/>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 w:right="3"/>
              <w:jc w:val="left"/>
              <w:rPr>
                <w:rFonts w:ascii="宋体" w:hAnsi="宋体" w:cs="宋体" w:eastAsia="宋体" w:hint="default"/>
                <w:sz w:val="18"/>
                <w:szCs w:val="18"/>
              </w:rPr>
            </w:pPr>
            <w:r>
              <w:rPr>
                <w:rFonts w:ascii="宋体" w:hAnsi="宋体" w:cs="宋体" w:eastAsia="宋体" w:hint="default"/>
                <w:sz w:val="18"/>
                <w:szCs w:val="18"/>
              </w:rPr>
              <w:t>神州数码（中国）有限公 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370,000,000.00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2018/12/13</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60" w:right="81" w:hanging="181"/>
              <w:jc w:val="left"/>
              <w:rPr>
                <w:rFonts w:ascii="宋体" w:hAnsi="宋体" w:cs="宋体" w:eastAsia="宋体" w:hint="default"/>
                <w:sz w:val="18"/>
                <w:szCs w:val="18"/>
              </w:rPr>
            </w:pPr>
            <w:r>
              <w:rPr>
                <w:rFonts w:ascii="宋体" w:hAnsi="宋体" w:cs="宋体" w:eastAsia="宋体" w:hint="default"/>
                <w:sz w:val="18"/>
                <w:szCs w:val="18"/>
              </w:rPr>
              <w:t>主合同项下债务履行期 届满之日起两年。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1"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 w:right="3"/>
              <w:jc w:val="left"/>
              <w:rPr>
                <w:rFonts w:ascii="宋体" w:hAnsi="宋体" w:cs="宋体" w:eastAsia="宋体" w:hint="default"/>
                <w:sz w:val="18"/>
                <w:szCs w:val="18"/>
              </w:rPr>
            </w:pPr>
            <w:r>
              <w:rPr>
                <w:rFonts w:ascii="宋体" w:hAnsi="宋体" w:cs="宋体" w:eastAsia="宋体" w:hint="default"/>
                <w:sz w:val="18"/>
                <w:szCs w:val="18"/>
              </w:rPr>
              <w:t>神州数码（香港）有限公 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357,760,000.00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2017/7/28</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2020/7/28</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16"/>
              <w:jc w:val="left"/>
              <w:rPr>
                <w:rFonts w:ascii="宋体" w:hAnsi="宋体" w:cs="宋体" w:eastAsia="宋体" w:hint="default"/>
                <w:sz w:val="18"/>
                <w:szCs w:val="18"/>
              </w:rPr>
            </w:pPr>
            <w:r>
              <w:rPr>
                <w:rFonts w:ascii="宋体" w:hAnsi="宋体" w:cs="宋体" w:eastAsia="宋体" w:hint="default"/>
                <w:spacing w:val="17"/>
                <w:sz w:val="18"/>
                <w:szCs w:val="18"/>
              </w:rPr>
              <w:t>神州数码澳门离岸商业</w:t>
            </w:r>
            <w:r>
              <w:rPr>
                <w:rFonts w:ascii="宋体" w:hAnsi="宋体" w:cs="宋体" w:eastAsia="宋体" w:hint="default"/>
                <w:spacing w:val="-71"/>
                <w:sz w:val="18"/>
                <w:szCs w:val="18"/>
              </w:rPr>
              <w:t> </w:t>
            </w:r>
            <w:r>
              <w:rPr>
                <w:rFonts w:ascii="宋体" w:hAnsi="宋体" w:cs="宋体" w:eastAsia="宋体" w:hint="default"/>
                <w:sz w:val="18"/>
                <w:szCs w:val="18"/>
              </w:rPr>
              <w:t>服务有限公司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357,760,000.00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2017/7/28</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2020/7/28</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16"/>
              <w:jc w:val="left"/>
              <w:rPr>
                <w:rFonts w:ascii="宋体" w:hAnsi="宋体" w:cs="宋体" w:eastAsia="宋体" w:hint="default"/>
                <w:sz w:val="18"/>
                <w:szCs w:val="18"/>
              </w:rPr>
            </w:pPr>
            <w:r>
              <w:rPr>
                <w:rFonts w:ascii="宋体" w:hAnsi="宋体" w:cs="宋体" w:eastAsia="宋体" w:hint="default"/>
                <w:spacing w:val="17"/>
                <w:sz w:val="18"/>
                <w:szCs w:val="18"/>
              </w:rPr>
              <w:t>神州数码科技发展有限</w:t>
            </w:r>
            <w:r>
              <w:rPr>
                <w:rFonts w:ascii="宋体" w:hAnsi="宋体" w:cs="宋体" w:eastAsia="宋体" w:hint="default"/>
                <w:spacing w:val="-71"/>
                <w:sz w:val="18"/>
                <w:szCs w:val="18"/>
              </w:rPr>
              <w:t> </w:t>
            </w:r>
            <w:r>
              <w:rPr>
                <w:rFonts w:ascii="宋体" w:hAnsi="宋体" w:cs="宋体" w:eastAsia="宋体" w:hint="default"/>
                <w:sz w:val="18"/>
                <w:szCs w:val="18"/>
              </w:rPr>
              <w:t>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357,760,000.00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2017/7/28</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2020/7/28</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350,000,000.00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2017/1/18</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60" w:right="81" w:hanging="181"/>
              <w:jc w:val="left"/>
              <w:rPr>
                <w:rFonts w:ascii="宋体" w:hAnsi="宋体" w:cs="宋体" w:eastAsia="宋体" w:hint="default"/>
                <w:sz w:val="18"/>
                <w:szCs w:val="18"/>
              </w:rPr>
            </w:pPr>
            <w:r>
              <w:rPr>
                <w:rFonts w:ascii="宋体" w:hAnsi="宋体" w:cs="宋体" w:eastAsia="宋体" w:hint="default"/>
                <w:sz w:val="18"/>
                <w:szCs w:val="18"/>
              </w:rPr>
              <w:t>自不特定债权的确定期 间届满之日起两年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3"/>
              <w:jc w:val="left"/>
              <w:rPr>
                <w:rFonts w:ascii="宋体" w:hAnsi="宋体" w:cs="宋体" w:eastAsia="宋体" w:hint="default"/>
                <w:sz w:val="18"/>
                <w:szCs w:val="18"/>
              </w:rPr>
            </w:pPr>
            <w:r>
              <w:rPr>
                <w:rFonts w:ascii="宋体" w:hAnsi="宋体" w:cs="宋体" w:eastAsia="宋体" w:hint="default"/>
                <w:sz w:val="18"/>
                <w:szCs w:val="18"/>
              </w:rPr>
              <w:t>神州数码（中国）有限公 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350,000,000.00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2017/1/18</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60" w:right="81" w:hanging="181"/>
              <w:jc w:val="left"/>
              <w:rPr>
                <w:rFonts w:ascii="宋体" w:hAnsi="宋体" w:cs="宋体" w:eastAsia="宋体" w:hint="default"/>
                <w:sz w:val="18"/>
                <w:szCs w:val="18"/>
              </w:rPr>
            </w:pPr>
            <w:r>
              <w:rPr>
                <w:rFonts w:ascii="宋体" w:hAnsi="宋体" w:cs="宋体" w:eastAsia="宋体" w:hint="default"/>
                <w:sz w:val="18"/>
                <w:szCs w:val="18"/>
              </w:rPr>
              <w:t>自不特定债权的确定期 间届满之日起两年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4"/>
              <w:jc w:val="center"/>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3"/>
              <w:jc w:val="left"/>
              <w:rPr>
                <w:rFonts w:ascii="宋体" w:hAnsi="宋体" w:cs="宋体" w:eastAsia="宋体" w:hint="default"/>
                <w:sz w:val="18"/>
                <w:szCs w:val="18"/>
              </w:rPr>
            </w:pPr>
            <w:r>
              <w:rPr>
                <w:rFonts w:ascii="宋体" w:hAnsi="宋体" w:cs="宋体" w:eastAsia="宋体" w:hint="default"/>
                <w:sz w:val="18"/>
                <w:szCs w:val="18"/>
              </w:rPr>
              <w:t>神州数码（中国）有限公 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350,000,000.00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2017/2/20</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2018/3/26</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049"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 w:right="3"/>
              <w:jc w:val="left"/>
              <w:rPr>
                <w:rFonts w:ascii="宋体" w:hAnsi="宋体" w:cs="宋体" w:eastAsia="宋体" w:hint="default"/>
                <w:sz w:val="18"/>
                <w:szCs w:val="18"/>
              </w:rPr>
            </w:pPr>
            <w:r>
              <w:rPr>
                <w:rFonts w:ascii="宋体" w:hAnsi="宋体" w:cs="宋体" w:eastAsia="宋体" w:hint="default"/>
                <w:sz w:val="18"/>
                <w:szCs w:val="18"/>
              </w:rPr>
              <w:t>神州数码（中国）有限公 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350,000,000.00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2018/3/26</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22"/>
              <w:ind w:left="80" w:right="81"/>
              <w:jc w:val="both"/>
              <w:rPr>
                <w:rFonts w:ascii="宋体" w:hAnsi="宋体" w:cs="宋体" w:eastAsia="宋体" w:hint="default"/>
                <w:sz w:val="18"/>
                <w:szCs w:val="18"/>
              </w:rPr>
            </w:pPr>
            <w:r>
              <w:rPr>
                <w:rFonts w:ascii="宋体" w:hAnsi="宋体" w:cs="宋体" w:eastAsia="宋体" w:hint="default"/>
                <w:sz w:val="18"/>
                <w:szCs w:val="18"/>
              </w:rPr>
              <w:t>自每笔债权合同债务履 行期届满之日起至该债 权合同约定的债务履行 期届满之日后两年止。</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16"/>
              <w:jc w:val="left"/>
              <w:rPr>
                <w:rFonts w:ascii="宋体" w:hAnsi="宋体" w:cs="宋体" w:eastAsia="宋体" w:hint="default"/>
                <w:sz w:val="18"/>
                <w:szCs w:val="18"/>
              </w:rPr>
            </w:pPr>
            <w:r>
              <w:rPr>
                <w:rFonts w:ascii="宋体" w:hAnsi="宋体" w:cs="宋体" w:eastAsia="宋体" w:hint="default"/>
                <w:spacing w:val="17"/>
                <w:sz w:val="18"/>
                <w:szCs w:val="18"/>
              </w:rPr>
              <w:t>神州数码澳门离岸商业</w:t>
            </w:r>
            <w:r>
              <w:rPr>
                <w:rFonts w:ascii="宋体" w:hAnsi="宋体" w:cs="宋体" w:eastAsia="宋体" w:hint="default"/>
                <w:spacing w:val="-71"/>
                <w:sz w:val="18"/>
                <w:szCs w:val="18"/>
              </w:rPr>
              <w:t> </w:t>
            </w:r>
            <w:r>
              <w:rPr>
                <w:rFonts w:ascii="宋体" w:hAnsi="宋体" w:cs="宋体" w:eastAsia="宋体" w:hint="default"/>
                <w:sz w:val="18"/>
                <w:szCs w:val="18"/>
              </w:rPr>
              <w:t>服务有限公司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344,000,000.00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2016/9/30</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4"/>
              <w:ind w:left="3" w:right="0"/>
              <w:jc w:val="left"/>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4"/>
              <w:ind w:left="2" w:right="-16"/>
              <w:jc w:val="left"/>
              <w:rPr>
                <w:rFonts w:ascii="宋体" w:hAnsi="宋体" w:cs="宋体" w:eastAsia="宋体" w:hint="default"/>
                <w:sz w:val="18"/>
                <w:szCs w:val="18"/>
              </w:rPr>
            </w:pPr>
            <w:r>
              <w:rPr>
                <w:rFonts w:ascii="宋体" w:hAnsi="宋体" w:cs="宋体" w:eastAsia="宋体" w:hint="default"/>
                <w:spacing w:val="17"/>
                <w:sz w:val="18"/>
                <w:szCs w:val="18"/>
              </w:rPr>
              <w:t>神州数码澳门离岸商业</w:t>
            </w:r>
            <w:r>
              <w:rPr>
                <w:rFonts w:ascii="宋体" w:hAnsi="宋体" w:cs="宋体" w:eastAsia="宋体" w:hint="default"/>
                <w:spacing w:val="-71"/>
                <w:sz w:val="18"/>
                <w:szCs w:val="18"/>
              </w:rPr>
              <w:t> </w:t>
            </w:r>
            <w:r>
              <w:rPr>
                <w:rFonts w:ascii="宋体" w:hAnsi="宋体" w:cs="宋体" w:eastAsia="宋体" w:hint="default"/>
                <w:sz w:val="18"/>
                <w:szCs w:val="18"/>
              </w:rPr>
              <w:t>服务有限公司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344,000,000.00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2016/9/30</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2018/3/31</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 w:right="-16"/>
              <w:jc w:val="left"/>
              <w:rPr>
                <w:rFonts w:ascii="宋体" w:hAnsi="宋体" w:cs="宋体" w:eastAsia="宋体" w:hint="default"/>
                <w:sz w:val="18"/>
                <w:szCs w:val="18"/>
              </w:rPr>
            </w:pPr>
            <w:r>
              <w:rPr>
                <w:rFonts w:ascii="宋体" w:hAnsi="宋体" w:cs="宋体" w:eastAsia="宋体" w:hint="default"/>
                <w:spacing w:val="17"/>
                <w:sz w:val="18"/>
                <w:szCs w:val="18"/>
              </w:rPr>
              <w:t>神州数码科技发展有限</w:t>
            </w:r>
            <w:r>
              <w:rPr>
                <w:rFonts w:ascii="宋体" w:hAnsi="宋体" w:cs="宋体" w:eastAsia="宋体" w:hint="default"/>
                <w:spacing w:val="-71"/>
                <w:sz w:val="18"/>
                <w:szCs w:val="18"/>
              </w:rPr>
              <w:t> </w:t>
            </w:r>
            <w:r>
              <w:rPr>
                <w:rFonts w:ascii="宋体" w:hAnsi="宋体" w:cs="宋体" w:eastAsia="宋体" w:hint="default"/>
                <w:sz w:val="18"/>
                <w:szCs w:val="18"/>
              </w:rPr>
              <w:t>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344,000,000.00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2016/9/30</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2" w:type="dxa"/>
        <w:tblLayout w:type="fixed"/>
        <w:tblCellMar>
          <w:top w:w="0" w:type="dxa"/>
          <w:left w:w="0" w:type="dxa"/>
          <w:bottom w:w="0" w:type="dxa"/>
          <w:right w:w="0" w:type="dxa"/>
        </w:tblCellMar>
        <w:tblLook w:val="01E0"/>
      </w:tblPr>
      <w:tblGrid>
        <w:gridCol w:w="1828"/>
        <w:gridCol w:w="1994"/>
        <w:gridCol w:w="1559"/>
        <w:gridCol w:w="1417"/>
        <w:gridCol w:w="1977"/>
        <w:gridCol w:w="833"/>
      </w:tblGrid>
      <w:tr>
        <w:trPr>
          <w:trHeight w:val="814" w:hRule="exact"/>
        </w:trPr>
        <w:tc>
          <w:tcPr>
            <w:tcW w:w="18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28"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5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4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9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83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7" w:lineRule="auto" w:before="21"/>
              <w:ind w:left="48" w:right="48"/>
              <w:jc w:val="center"/>
              <w:rPr>
                <w:rFonts w:ascii="宋体" w:hAnsi="宋体" w:cs="宋体" w:eastAsia="宋体" w:hint="default"/>
                <w:sz w:val="18"/>
                <w:szCs w:val="18"/>
              </w:rPr>
            </w:pPr>
            <w:r>
              <w:rPr>
                <w:rFonts w:ascii="宋体" w:hAnsi="宋体" w:cs="宋体" w:eastAsia="宋体" w:hint="default"/>
                <w:sz w:val="18"/>
                <w:szCs w:val="18"/>
              </w:rPr>
              <w:t>担保是已 经否履行 完毕</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16"/>
              <w:jc w:val="left"/>
              <w:rPr>
                <w:rFonts w:ascii="宋体" w:hAnsi="宋体" w:cs="宋体" w:eastAsia="宋体" w:hint="default"/>
                <w:sz w:val="18"/>
                <w:szCs w:val="18"/>
              </w:rPr>
            </w:pPr>
            <w:r>
              <w:rPr>
                <w:rFonts w:ascii="宋体" w:hAnsi="宋体" w:cs="宋体" w:eastAsia="宋体" w:hint="default"/>
                <w:spacing w:val="17"/>
                <w:sz w:val="18"/>
                <w:szCs w:val="18"/>
              </w:rPr>
              <w:t>神州数码科技发展有限</w:t>
            </w:r>
            <w:r>
              <w:rPr>
                <w:rFonts w:ascii="宋体" w:hAnsi="宋体" w:cs="宋体" w:eastAsia="宋体" w:hint="default"/>
                <w:spacing w:val="-71"/>
                <w:sz w:val="18"/>
                <w:szCs w:val="18"/>
              </w:rPr>
              <w:t> </w:t>
            </w:r>
            <w:r>
              <w:rPr>
                <w:rFonts w:ascii="宋体" w:hAnsi="宋体" w:cs="宋体" w:eastAsia="宋体" w:hint="default"/>
                <w:sz w:val="18"/>
                <w:szCs w:val="18"/>
              </w:rPr>
              <w:t>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344,000,000.00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2016/9/30</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2018/3/31</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3"/>
              <w:jc w:val="left"/>
              <w:rPr>
                <w:rFonts w:ascii="宋体" w:hAnsi="宋体" w:cs="宋体" w:eastAsia="宋体" w:hint="default"/>
                <w:sz w:val="18"/>
                <w:szCs w:val="18"/>
              </w:rPr>
            </w:pPr>
            <w:r>
              <w:rPr>
                <w:rFonts w:ascii="宋体" w:hAnsi="宋体" w:cs="宋体" w:eastAsia="宋体" w:hint="default"/>
                <w:sz w:val="18"/>
                <w:szCs w:val="18"/>
              </w:rPr>
              <w:t>神州数码（中国）有限公 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344,000,000.00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2016/11/15</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16"/>
              <w:jc w:val="left"/>
              <w:rPr>
                <w:rFonts w:ascii="宋体" w:hAnsi="宋体" w:cs="宋体" w:eastAsia="宋体" w:hint="default"/>
                <w:sz w:val="18"/>
                <w:szCs w:val="18"/>
              </w:rPr>
            </w:pPr>
            <w:r>
              <w:rPr>
                <w:rFonts w:ascii="宋体" w:hAnsi="宋体" w:cs="宋体" w:eastAsia="宋体" w:hint="default"/>
                <w:spacing w:val="17"/>
                <w:sz w:val="18"/>
                <w:szCs w:val="18"/>
              </w:rPr>
              <w:t>神州数码澳门离岸商业</w:t>
            </w:r>
            <w:r>
              <w:rPr>
                <w:rFonts w:ascii="宋体" w:hAnsi="宋体" w:cs="宋体" w:eastAsia="宋体" w:hint="default"/>
                <w:spacing w:val="-71"/>
                <w:sz w:val="18"/>
                <w:szCs w:val="18"/>
              </w:rPr>
              <w:t> </w:t>
            </w:r>
            <w:r>
              <w:rPr>
                <w:rFonts w:ascii="宋体" w:hAnsi="宋体" w:cs="宋体" w:eastAsia="宋体" w:hint="default"/>
                <w:sz w:val="18"/>
                <w:szCs w:val="18"/>
              </w:rPr>
              <w:t>服务有限公司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341,807,700.00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2016/3/7</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2018/10/20</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3"/>
              <w:jc w:val="left"/>
              <w:rPr>
                <w:rFonts w:ascii="宋体" w:hAnsi="宋体" w:cs="宋体" w:eastAsia="宋体" w:hint="default"/>
                <w:sz w:val="18"/>
                <w:szCs w:val="18"/>
              </w:rPr>
            </w:pPr>
            <w:r>
              <w:rPr>
                <w:rFonts w:ascii="宋体" w:hAnsi="宋体" w:cs="宋体" w:eastAsia="宋体" w:hint="default"/>
                <w:sz w:val="18"/>
                <w:szCs w:val="18"/>
              </w:rPr>
              <w:t>神州数码（中国）有限公 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321,984,000.00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2016/3/7</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309,600,000.00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2018/11/14</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90" w:right="81" w:hanging="811"/>
              <w:jc w:val="left"/>
              <w:rPr>
                <w:rFonts w:ascii="宋体" w:hAnsi="宋体" w:cs="宋体" w:eastAsia="宋体" w:hint="default"/>
                <w:sz w:val="18"/>
                <w:szCs w:val="18"/>
              </w:rPr>
            </w:pPr>
            <w:r>
              <w:rPr>
                <w:rFonts w:ascii="宋体" w:hAnsi="宋体" w:cs="宋体" w:eastAsia="宋体" w:hint="default"/>
                <w:sz w:val="18"/>
                <w:szCs w:val="18"/>
              </w:rPr>
              <w:t>债务履行期届满日起两 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309,600,000.00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2018/11/14</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90" w:right="81" w:hanging="811"/>
              <w:jc w:val="left"/>
              <w:rPr>
                <w:rFonts w:ascii="宋体" w:hAnsi="宋体" w:cs="宋体" w:eastAsia="宋体" w:hint="default"/>
                <w:sz w:val="18"/>
                <w:szCs w:val="18"/>
              </w:rPr>
            </w:pPr>
            <w:r>
              <w:rPr>
                <w:rFonts w:ascii="宋体" w:hAnsi="宋体" w:cs="宋体" w:eastAsia="宋体" w:hint="default"/>
                <w:sz w:val="18"/>
                <w:szCs w:val="18"/>
              </w:rPr>
              <w:t>债务履行期届满日起两 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3"/>
              <w:jc w:val="left"/>
              <w:rPr>
                <w:rFonts w:ascii="宋体" w:hAnsi="宋体" w:cs="宋体" w:eastAsia="宋体" w:hint="default"/>
                <w:sz w:val="18"/>
                <w:szCs w:val="18"/>
              </w:rPr>
            </w:pPr>
            <w:r>
              <w:rPr>
                <w:rFonts w:ascii="宋体" w:hAnsi="宋体" w:cs="宋体" w:eastAsia="宋体" w:hint="default"/>
                <w:sz w:val="18"/>
                <w:szCs w:val="18"/>
              </w:rPr>
              <w:t>神州数码（中国）有限公 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309,600,000.00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2018/11/14</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90" w:right="81" w:hanging="811"/>
              <w:jc w:val="left"/>
              <w:rPr>
                <w:rFonts w:ascii="宋体" w:hAnsi="宋体" w:cs="宋体" w:eastAsia="宋体" w:hint="default"/>
                <w:sz w:val="18"/>
                <w:szCs w:val="18"/>
              </w:rPr>
            </w:pPr>
            <w:r>
              <w:rPr>
                <w:rFonts w:ascii="宋体" w:hAnsi="宋体" w:cs="宋体" w:eastAsia="宋体" w:hint="default"/>
                <w:sz w:val="18"/>
                <w:szCs w:val="18"/>
              </w:rPr>
              <w:t>债务履行期届满日起两 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4"/>
              <w:jc w:val="center"/>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5"/>
              <w:ind w:left="2" w:right="3"/>
              <w:jc w:val="left"/>
              <w:rPr>
                <w:rFonts w:ascii="宋体" w:hAnsi="宋体" w:cs="宋体" w:eastAsia="宋体" w:hint="default"/>
                <w:sz w:val="18"/>
                <w:szCs w:val="18"/>
              </w:rPr>
            </w:pPr>
            <w:r>
              <w:rPr>
                <w:rFonts w:ascii="宋体" w:hAnsi="宋体" w:cs="宋体" w:eastAsia="宋体" w:hint="default"/>
                <w:sz w:val="18"/>
                <w:szCs w:val="18"/>
              </w:rPr>
              <w:t>神州数码（中国）有限公 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309,600,000.00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2018/11/14</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5"/>
              <w:ind w:left="890" w:right="81" w:hanging="811"/>
              <w:jc w:val="left"/>
              <w:rPr>
                <w:rFonts w:ascii="宋体" w:hAnsi="宋体" w:cs="宋体" w:eastAsia="宋体" w:hint="default"/>
                <w:sz w:val="18"/>
                <w:szCs w:val="18"/>
              </w:rPr>
            </w:pPr>
            <w:r>
              <w:rPr>
                <w:rFonts w:ascii="宋体" w:hAnsi="宋体" w:cs="宋体" w:eastAsia="宋体" w:hint="default"/>
                <w:sz w:val="18"/>
                <w:szCs w:val="18"/>
              </w:rPr>
              <w:t>债务履行期届满日起两 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1"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left"/>
              <w:rPr>
                <w:rFonts w:ascii="宋体" w:hAnsi="宋体" w:cs="宋体" w:eastAsia="宋体" w:hint="default"/>
                <w:sz w:val="18"/>
                <w:szCs w:val="18"/>
              </w:rPr>
            </w:pPr>
            <w:r>
              <w:rPr>
                <w:rFonts w:ascii="宋体" w:hAnsi="宋体" w:cs="宋体" w:eastAsia="宋体" w:hint="default"/>
                <w:sz w:val="18"/>
                <w:szCs w:val="18"/>
              </w:rPr>
              <w:t>上海神州数码有限公司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300,000,000.00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2016/9/18</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300,000,000.00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2017/3/31</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2018/5/23</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816"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神州数码</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300,000,000.00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2017/5/23</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0" w:right="81"/>
              <w:jc w:val="center"/>
              <w:rPr>
                <w:rFonts w:ascii="宋体" w:hAnsi="宋体" w:cs="宋体" w:eastAsia="宋体" w:hint="default"/>
                <w:sz w:val="18"/>
                <w:szCs w:val="18"/>
              </w:rPr>
            </w:pPr>
            <w:r>
              <w:rPr>
                <w:rFonts w:ascii="宋体" w:hAnsi="宋体" w:cs="宋体" w:eastAsia="宋体" w:hint="default"/>
                <w:sz w:val="18"/>
                <w:szCs w:val="18"/>
              </w:rPr>
              <w:t>从签署日起至主合同项 下被保证人债务履行期 届满之后两年止。</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815"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left="3" w:right="0"/>
              <w:jc w:val="left"/>
              <w:rPr>
                <w:rFonts w:ascii="宋体" w:hAnsi="宋体" w:cs="宋体" w:eastAsia="宋体" w:hint="default"/>
                <w:sz w:val="18"/>
                <w:szCs w:val="18"/>
              </w:rPr>
            </w:pPr>
            <w:r>
              <w:rPr>
                <w:rFonts w:ascii="宋体" w:hAnsi="宋体" w:cs="宋体" w:eastAsia="宋体" w:hint="default"/>
                <w:sz w:val="18"/>
                <w:szCs w:val="18"/>
              </w:rPr>
              <w:t>广州神州数码信息科技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有限公司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神州数码</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300,000,000.00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2017/5/23</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22"/>
              <w:ind w:left="80" w:right="81"/>
              <w:jc w:val="center"/>
              <w:rPr>
                <w:rFonts w:ascii="宋体" w:hAnsi="宋体" w:cs="宋体" w:eastAsia="宋体" w:hint="default"/>
                <w:sz w:val="18"/>
                <w:szCs w:val="18"/>
              </w:rPr>
            </w:pPr>
            <w:r>
              <w:rPr>
                <w:rFonts w:ascii="宋体" w:hAnsi="宋体" w:cs="宋体" w:eastAsia="宋体" w:hint="default"/>
                <w:sz w:val="18"/>
                <w:szCs w:val="18"/>
              </w:rPr>
              <w:t>从签署日起至主合同项 下被保证人债务履行期 届满之后两年止。</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left"/>
              <w:rPr>
                <w:rFonts w:ascii="宋体" w:hAnsi="宋体" w:cs="宋体" w:eastAsia="宋体" w:hint="default"/>
                <w:sz w:val="18"/>
                <w:szCs w:val="18"/>
              </w:rPr>
            </w:pPr>
            <w:r>
              <w:rPr>
                <w:rFonts w:ascii="宋体" w:hAnsi="宋体" w:cs="宋体" w:eastAsia="宋体" w:hint="default"/>
                <w:sz w:val="18"/>
                <w:szCs w:val="18"/>
              </w:rPr>
              <w:t>神州数码</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300,000,000.00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2017/11/15</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60" w:right="81" w:hanging="181"/>
              <w:jc w:val="left"/>
              <w:rPr>
                <w:rFonts w:ascii="宋体" w:hAnsi="宋体" w:cs="宋体" w:eastAsia="宋体" w:hint="default"/>
                <w:sz w:val="18"/>
                <w:szCs w:val="18"/>
              </w:rPr>
            </w:pPr>
            <w:r>
              <w:rPr>
                <w:rFonts w:ascii="宋体" w:hAnsi="宋体" w:cs="宋体" w:eastAsia="宋体" w:hint="default"/>
                <w:sz w:val="18"/>
                <w:szCs w:val="18"/>
              </w:rPr>
              <w:t>主合同项下债务履行期 届满之日起两年。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left"/>
              <w:rPr>
                <w:rFonts w:ascii="宋体" w:hAnsi="宋体" w:cs="宋体" w:eastAsia="宋体" w:hint="default"/>
                <w:sz w:val="18"/>
                <w:szCs w:val="18"/>
              </w:rPr>
            </w:pPr>
            <w:r>
              <w:rPr>
                <w:rFonts w:ascii="宋体" w:hAnsi="宋体" w:cs="宋体" w:eastAsia="宋体" w:hint="default"/>
                <w:sz w:val="18"/>
                <w:szCs w:val="18"/>
              </w:rPr>
              <w:t>神州数码</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300,000,000.00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2017/11/15</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60" w:right="81" w:hanging="181"/>
              <w:jc w:val="left"/>
              <w:rPr>
                <w:rFonts w:ascii="宋体" w:hAnsi="宋体" w:cs="宋体" w:eastAsia="宋体" w:hint="default"/>
                <w:sz w:val="18"/>
                <w:szCs w:val="18"/>
              </w:rPr>
            </w:pPr>
            <w:r>
              <w:rPr>
                <w:rFonts w:ascii="宋体" w:hAnsi="宋体" w:cs="宋体" w:eastAsia="宋体" w:hint="default"/>
                <w:sz w:val="18"/>
                <w:szCs w:val="18"/>
              </w:rPr>
              <w:t>主合同项下债务履行期 届满之日起两年。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815"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上海神州数码有限公司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300,000,000.00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2018/1/31</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before="20"/>
              <w:ind w:left="80" w:right="0"/>
              <w:jc w:val="left"/>
              <w:rPr>
                <w:rFonts w:ascii="宋体" w:hAnsi="宋体" w:cs="宋体" w:eastAsia="宋体" w:hint="default"/>
                <w:sz w:val="18"/>
                <w:szCs w:val="18"/>
              </w:rPr>
            </w:pPr>
            <w:r>
              <w:rPr>
                <w:rFonts w:ascii="宋体" w:hAnsi="宋体" w:cs="宋体" w:eastAsia="宋体" w:hint="default"/>
                <w:sz w:val="18"/>
                <w:szCs w:val="18"/>
              </w:rPr>
              <w:t>自担保书生效之日起至</w:t>
            </w:r>
          </w:p>
          <w:p>
            <w:pPr>
              <w:pStyle w:val="TableParagraph"/>
              <w:spacing w:line="232" w:lineRule="exact" w:before="24"/>
              <w:ind w:left="170" w:right="0" w:hanging="169"/>
              <w:jc w:val="left"/>
              <w:rPr>
                <w:rFonts w:ascii="宋体" w:hAnsi="宋体" w:cs="宋体" w:eastAsia="宋体" w:hint="default"/>
                <w:sz w:val="18"/>
                <w:szCs w:val="18"/>
              </w:rPr>
            </w:pPr>
            <w:r>
              <w:rPr>
                <w:rFonts w:ascii="宋体" w:hAnsi="宋体" w:cs="宋体" w:eastAsia="宋体" w:hint="default"/>
                <w:spacing w:val="-3"/>
                <w:sz w:val="18"/>
                <w:szCs w:val="18"/>
              </w:rPr>
              <w:t>《授信协议》项下每笔融</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资的到期日另加三年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816"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32" w:lineRule="exact"/>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300,000,000.00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2018/5/23</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0" w:right="81"/>
              <w:jc w:val="center"/>
              <w:rPr>
                <w:rFonts w:ascii="宋体" w:hAnsi="宋体" w:cs="宋体" w:eastAsia="宋体" w:hint="default"/>
                <w:sz w:val="18"/>
                <w:szCs w:val="18"/>
              </w:rPr>
            </w:pPr>
            <w:r>
              <w:rPr>
                <w:rFonts w:ascii="宋体" w:hAnsi="宋体" w:cs="宋体" w:eastAsia="宋体" w:hint="default"/>
                <w:sz w:val="18"/>
                <w:szCs w:val="18"/>
              </w:rPr>
              <w:t>从签署日起至主合同项 下被保证人债务履行期 届满之后两年止。</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16"/>
              <w:jc w:val="left"/>
              <w:rPr>
                <w:rFonts w:ascii="宋体" w:hAnsi="宋体" w:cs="宋体" w:eastAsia="宋体" w:hint="default"/>
                <w:sz w:val="18"/>
                <w:szCs w:val="18"/>
              </w:rPr>
            </w:pPr>
            <w:r>
              <w:rPr>
                <w:rFonts w:ascii="宋体" w:hAnsi="宋体" w:cs="宋体" w:eastAsia="宋体" w:hint="default"/>
                <w:spacing w:val="17"/>
                <w:sz w:val="18"/>
                <w:szCs w:val="18"/>
              </w:rPr>
              <w:t>神州数码澳门离岸商业</w:t>
            </w:r>
            <w:r>
              <w:rPr>
                <w:rFonts w:ascii="宋体" w:hAnsi="宋体" w:cs="宋体" w:eastAsia="宋体" w:hint="default"/>
                <w:spacing w:val="-71"/>
                <w:sz w:val="18"/>
                <w:szCs w:val="18"/>
              </w:rPr>
              <w:t> </w:t>
            </w:r>
            <w:r>
              <w:rPr>
                <w:rFonts w:ascii="宋体" w:hAnsi="宋体" w:cs="宋体" w:eastAsia="宋体" w:hint="default"/>
                <w:sz w:val="18"/>
                <w:szCs w:val="18"/>
              </w:rPr>
              <w:t>服务有限公司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261,440,000.00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2016/9/12</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4"/>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4"/>
              <w:ind w:left="2" w:right="-16"/>
              <w:jc w:val="left"/>
              <w:rPr>
                <w:rFonts w:ascii="宋体" w:hAnsi="宋体" w:cs="宋体" w:eastAsia="宋体" w:hint="default"/>
                <w:sz w:val="18"/>
                <w:szCs w:val="18"/>
              </w:rPr>
            </w:pPr>
            <w:r>
              <w:rPr>
                <w:rFonts w:ascii="宋体" w:hAnsi="宋体" w:cs="宋体" w:eastAsia="宋体" w:hint="default"/>
                <w:spacing w:val="17"/>
                <w:sz w:val="18"/>
                <w:szCs w:val="18"/>
              </w:rPr>
              <w:t>神州数码科技发展有限</w:t>
            </w:r>
            <w:r>
              <w:rPr>
                <w:rFonts w:ascii="宋体" w:hAnsi="宋体" w:cs="宋体" w:eastAsia="宋体" w:hint="default"/>
                <w:spacing w:val="-71"/>
                <w:sz w:val="18"/>
                <w:szCs w:val="18"/>
              </w:rPr>
              <w:t> </w:t>
            </w:r>
            <w:r>
              <w:rPr>
                <w:rFonts w:ascii="宋体" w:hAnsi="宋体" w:cs="宋体" w:eastAsia="宋体" w:hint="default"/>
                <w:sz w:val="18"/>
                <w:szCs w:val="18"/>
              </w:rPr>
              <w:t>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261,440,000.00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2016/9/12</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43"/>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left="2"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260,000,000.00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2018/1/31</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2018/11/26</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81"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260,000,000.00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2018/11/26</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50" w:right="81" w:hanging="271"/>
              <w:jc w:val="left"/>
              <w:rPr>
                <w:rFonts w:ascii="宋体" w:hAnsi="宋体" w:cs="宋体" w:eastAsia="宋体" w:hint="default"/>
                <w:sz w:val="18"/>
                <w:szCs w:val="18"/>
              </w:rPr>
            </w:pPr>
            <w:r>
              <w:rPr>
                <w:rFonts w:ascii="宋体" w:hAnsi="宋体" w:cs="宋体" w:eastAsia="宋体" w:hint="default"/>
                <w:sz w:val="18"/>
                <w:szCs w:val="18"/>
              </w:rPr>
              <w:t>主合同项下的债务期限 届满之日起两年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9"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1" w:right="0"/>
              <w:jc w:val="center"/>
              <w:rPr>
                <w:rFonts w:ascii="宋体" w:hAnsi="宋体" w:cs="宋体" w:eastAsia="宋体" w:hint="default"/>
                <w:sz w:val="18"/>
                <w:szCs w:val="18"/>
              </w:rPr>
            </w:pPr>
            <w:r>
              <w:rPr>
                <w:rFonts w:ascii="宋体" w:hAnsi="宋体" w:cs="宋体" w:eastAsia="宋体" w:hint="default"/>
                <w:sz w:val="18"/>
                <w:szCs w:val="18"/>
              </w:rPr>
              <w:t>神州数码集团股份有限</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神州数码</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16" w:right="0"/>
              <w:jc w:val="left"/>
              <w:rPr>
                <w:rFonts w:ascii="Times New Roman" w:hAnsi="Times New Roman" w:cs="Times New Roman" w:eastAsia="Times New Roman" w:hint="default"/>
                <w:sz w:val="18"/>
                <w:szCs w:val="18"/>
              </w:rPr>
            </w:pPr>
            <w:r>
              <w:rPr>
                <w:rFonts w:ascii="Times New Roman"/>
                <w:sz w:val="18"/>
              </w:rPr>
              <w:t>250,000,000.00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2017/12/12</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
              <w:jc w:val="center"/>
              <w:rPr>
                <w:rFonts w:ascii="宋体" w:hAnsi="宋体" w:cs="宋体" w:eastAsia="宋体" w:hint="default"/>
                <w:sz w:val="18"/>
                <w:szCs w:val="18"/>
              </w:rPr>
            </w:pPr>
            <w:r>
              <w:rPr>
                <w:rFonts w:ascii="宋体" w:hAnsi="宋体" w:cs="宋体" w:eastAsia="宋体" w:hint="default"/>
                <w:sz w:val="18"/>
                <w:szCs w:val="18"/>
              </w:rPr>
              <w:t>债务履行期限届满之日</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2" w:type="dxa"/>
        <w:tblLayout w:type="fixed"/>
        <w:tblCellMar>
          <w:top w:w="0" w:type="dxa"/>
          <w:left w:w="0" w:type="dxa"/>
          <w:bottom w:w="0" w:type="dxa"/>
          <w:right w:w="0" w:type="dxa"/>
        </w:tblCellMar>
        <w:tblLook w:val="01E0"/>
      </w:tblPr>
      <w:tblGrid>
        <w:gridCol w:w="1828"/>
        <w:gridCol w:w="1994"/>
        <w:gridCol w:w="1559"/>
        <w:gridCol w:w="1417"/>
        <w:gridCol w:w="1977"/>
        <w:gridCol w:w="833"/>
      </w:tblGrid>
      <w:tr>
        <w:trPr>
          <w:trHeight w:val="814" w:hRule="exact"/>
        </w:trPr>
        <w:tc>
          <w:tcPr>
            <w:tcW w:w="18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28"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5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4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9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83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7" w:lineRule="auto" w:before="21"/>
              <w:ind w:left="48" w:right="48"/>
              <w:jc w:val="center"/>
              <w:rPr>
                <w:rFonts w:ascii="宋体" w:hAnsi="宋体" w:cs="宋体" w:eastAsia="宋体" w:hint="default"/>
                <w:sz w:val="18"/>
                <w:szCs w:val="18"/>
              </w:rPr>
            </w:pPr>
            <w:r>
              <w:rPr>
                <w:rFonts w:ascii="宋体" w:hAnsi="宋体" w:cs="宋体" w:eastAsia="宋体" w:hint="default"/>
                <w:sz w:val="18"/>
                <w:szCs w:val="18"/>
              </w:rPr>
              <w:t>担保是已 经否履行 完毕</w:t>
            </w:r>
          </w:p>
        </w:tc>
      </w:tr>
      <w:tr>
        <w:trPr>
          <w:trHeight w:val="308"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后两年止</w:t>
            </w:r>
          </w:p>
        </w:tc>
        <w:tc>
          <w:tcPr>
            <w:tcW w:w="833" w:type="dxa"/>
            <w:tcBorders>
              <w:top w:val="single" w:sz="6" w:space="0" w:color="000000"/>
              <w:left w:val="single" w:sz="6" w:space="0" w:color="000000"/>
              <w:bottom w:val="single" w:sz="6" w:space="0" w:color="000000"/>
              <w:right w:val="single" w:sz="6" w:space="0" w:color="000000"/>
            </w:tcBorders>
          </w:tcPr>
          <w:p>
            <w:pP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left"/>
              <w:rPr>
                <w:rFonts w:ascii="宋体" w:hAnsi="宋体" w:cs="宋体" w:eastAsia="宋体" w:hint="default"/>
                <w:sz w:val="18"/>
                <w:szCs w:val="18"/>
              </w:rPr>
            </w:pPr>
            <w:r>
              <w:rPr>
                <w:rFonts w:ascii="宋体" w:hAnsi="宋体" w:cs="宋体" w:eastAsia="宋体" w:hint="default"/>
                <w:sz w:val="18"/>
                <w:szCs w:val="18"/>
              </w:rPr>
              <w:t>神州数码</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250,000,000.00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2018/3/20</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0" w:right="81"/>
              <w:jc w:val="left"/>
              <w:rPr>
                <w:rFonts w:ascii="宋体" w:hAnsi="宋体" w:cs="宋体" w:eastAsia="宋体" w:hint="default"/>
                <w:sz w:val="18"/>
                <w:szCs w:val="18"/>
              </w:rPr>
            </w:pPr>
            <w:r>
              <w:rPr>
                <w:rFonts w:ascii="宋体" w:hAnsi="宋体" w:cs="宋体" w:eastAsia="宋体" w:hint="default"/>
                <w:sz w:val="18"/>
                <w:szCs w:val="18"/>
              </w:rPr>
              <w:t>自主合同债务人履行债 务期限届满之日起两年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left"/>
              <w:rPr>
                <w:rFonts w:ascii="宋体" w:hAnsi="宋体" w:cs="宋体" w:eastAsia="宋体" w:hint="default"/>
                <w:sz w:val="18"/>
                <w:szCs w:val="18"/>
              </w:rPr>
            </w:pPr>
            <w:r>
              <w:rPr>
                <w:rFonts w:ascii="宋体" w:hAnsi="宋体" w:cs="宋体" w:eastAsia="宋体" w:hint="default"/>
                <w:sz w:val="18"/>
                <w:szCs w:val="18"/>
              </w:rPr>
              <w:t>神州数码</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250,000,000.00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2018/3/20</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0" w:right="81"/>
              <w:jc w:val="left"/>
              <w:rPr>
                <w:rFonts w:ascii="宋体" w:hAnsi="宋体" w:cs="宋体" w:eastAsia="宋体" w:hint="default"/>
                <w:sz w:val="18"/>
                <w:szCs w:val="18"/>
              </w:rPr>
            </w:pPr>
            <w:r>
              <w:rPr>
                <w:rFonts w:ascii="宋体" w:hAnsi="宋体" w:cs="宋体" w:eastAsia="宋体" w:hint="default"/>
                <w:sz w:val="18"/>
                <w:szCs w:val="18"/>
              </w:rPr>
              <w:t>自主合同债务人履行债 务期限届满之日起两年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16"/>
              <w:jc w:val="left"/>
              <w:rPr>
                <w:rFonts w:ascii="宋体" w:hAnsi="宋体" w:cs="宋体" w:eastAsia="宋体" w:hint="default"/>
                <w:sz w:val="18"/>
                <w:szCs w:val="18"/>
              </w:rPr>
            </w:pPr>
            <w:r>
              <w:rPr>
                <w:rFonts w:ascii="宋体" w:hAnsi="宋体" w:cs="宋体" w:eastAsia="宋体" w:hint="default"/>
                <w:spacing w:val="17"/>
                <w:sz w:val="18"/>
                <w:szCs w:val="18"/>
              </w:rPr>
              <w:t>神州数码澳门离岸商业</w:t>
            </w:r>
            <w:r>
              <w:rPr>
                <w:rFonts w:ascii="宋体" w:hAnsi="宋体" w:cs="宋体" w:eastAsia="宋体" w:hint="default"/>
                <w:spacing w:val="-71"/>
                <w:sz w:val="18"/>
                <w:szCs w:val="18"/>
              </w:rPr>
              <w:t> </w:t>
            </w:r>
            <w:r>
              <w:rPr>
                <w:rFonts w:ascii="宋体" w:hAnsi="宋体" w:cs="宋体" w:eastAsia="宋体" w:hint="default"/>
                <w:sz w:val="18"/>
                <w:szCs w:val="18"/>
              </w:rPr>
              <w:t>服务有限公司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245,400,400.00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2017/3/30</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16"/>
              <w:jc w:val="left"/>
              <w:rPr>
                <w:rFonts w:ascii="宋体" w:hAnsi="宋体" w:cs="宋体" w:eastAsia="宋体" w:hint="default"/>
                <w:sz w:val="18"/>
                <w:szCs w:val="18"/>
              </w:rPr>
            </w:pPr>
            <w:r>
              <w:rPr>
                <w:rFonts w:ascii="宋体" w:hAnsi="宋体" w:cs="宋体" w:eastAsia="宋体" w:hint="default"/>
                <w:spacing w:val="17"/>
                <w:sz w:val="18"/>
                <w:szCs w:val="18"/>
              </w:rPr>
              <w:t>神州数码科技发展有限</w:t>
            </w:r>
            <w:r>
              <w:rPr>
                <w:rFonts w:ascii="宋体" w:hAnsi="宋体" w:cs="宋体" w:eastAsia="宋体" w:hint="default"/>
                <w:spacing w:val="-71"/>
                <w:sz w:val="18"/>
                <w:szCs w:val="18"/>
              </w:rPr>
              <w:t> </w:t>
            </w:r>
            <w:r>
              <w:rPr>
                <w:rFonts w:ascii="宋体" w:hAnsi="宋体" w:cs="宋体" w:eastAsia="宋体" w:hint="default"/>
                <w:sz w:val="18"/>
                <w:szCs w:val="18"/>
              </w:rPr>
              <w:t>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245,400,400.00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2017/3/30</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16"/>
              <w:jc w:val="left"/>
              <w:rPr>
                <w:rFonts w:ascii="宋体" w:hAnsi="宋体" w:cs="宋体" w:eastAsia="宋体" w:hint="default"/>
                <w:sz w:val="18"/>
                <w:szCs w:val="18"/>
              </w:rPr>
            </w:pPr>
            <w:r>
              <w:rPr>
                <w:rFonts w:ascii="宋体" w:hAnsi="宋体" w:cs="宋体" w:eastAsia="宋体" w:hint="default"/>
                <w:spacing w:val="17"/>
                <w:sz w:val="18"/>
                <w:szCs w:val="18"/>
              </w:rPr>
              <w:t>神州数码科技发展有限</w:t>
            </w:r>
            <w:r>
              <w:rPr>
                <w:rFonts w:ascii="宋体" w:hAnsi="宋体" w:cs="宋体" w:eastAsia="宋体" w:hint="default"/>
                <w:spacing w:val="-71"/>
                <w:sz w:val="18"/>
                <w:szCs w:val="18"/>
              </w:rPr>
              <w:t> </w:t>
            </w:r>
            <w:r>
              <w:rPr>
                <w:rFonts w:ascii="宋体" w:hAnsi="宋体" w:cs="宋体" w:eastAsia="宋体" w:hint="default"/>
                <w:sz w:val="18"/>
                <w:szCs w:val="18"/>
              </w:rPr>
              <w:t>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235,000,000.00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2017/3/17</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815"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left="2" w:right="-16"/>
              <w:jc w:val="left"/>
              <w:rPr>
                <w:rFonts w:ascii="宋体" w:hAnsi="宋体" w:cs="宋体" w:eastAsia="宋体" w:hint="default"/>
                <w:sz w:val="18"/>
                <w:szCs w:val="18"/>
              </w:rPr>
            </w:pPr>
            <w:r>
              <w:rPr>
                <w:rFonts w:ascii="宋体" w:hAnsi="宋体" w:cs="宋体" w:eastAsia="宋体" w:hint="default"/>
                <w:spacing w:val="17"/>
                <w:sz w:val="18"/>
                <w:szCs w:val="18"/>
              </w:rPr>
              <w:t>广州神州数码信息科技</w:t>
            </w:r>
            <w:r>
              <w:rPr>
                <w:rFonts w:ascii="宋体" w:hAnsi="宋体" w:cs="宋体" w:eastAsia="宋体" w:hint="default"/>
                <w:spacing w:val="-71"/>
                <w:sz w:val="18"/>
                <w:szCs w:val="18"/>
              </w:rPr>
              <w:t> </w:t>
            </w:r>
            <w:r>
              <w:rPr>
                <w:rFonts w:ascii="宋体" w:hAnsi="宋体" w:cs="宋体" w:eastAsia="宋体" w:hint="default"/>
                <w:sz w:val="18"/>
                <w:szCs w:val="18"/>
              </w:rPr>
              <w:t>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220,000,000.00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2017/2/28</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22"/>
              <w:ind w:left="80" w:right="81"/>
              <w:jc w:val="center"/>
              <w:rPr>
                <w:rFonts w:ascii="宋体" w:hAnsi="宋体" w:cs="宋体" w:eastAsia="宋体" w:hint="default"/>
                <w:sz w:val="18"/>
                <w:szCs w:val="18"/>
              </w:rPr>
            </w:pPr>
            <w:r>
              <w:rPr>
                <w:rFonts w:ascii="宋体" w:hAnsi="宋体" w:cs="宋体" w:eastAsia="宋体" w:hint="default"/>
                <w:sz w:val="18"/>
                <w:szCs w:val="18"/>
              </w:rPr>
              <w:t>从签署日起至主合同项 下的借款期限届满之次 日起两年。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816"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left="3" w:right="0"/>
              <w:jc w:val="left"/>
              <w:rPr>
                <w:rFonts w:ascii="宋体" w:hAnsi="宋体" w:cs="宋体" w:eastAsia="宋体" w:hint="default"/>
                <w:sz w:val="18"/>
                <w:szCs w:val="18"/>
              </w:rPr>
            </w:pPr>
            <w:r>
              <w:rPr>
                <w:rFonts w:ascii="宋体" w:hAnsi="宋体" w:cs="宋体" w:eastAsia="宋体" w:hint="default"/>
                <w:sz w:val="18"/>
                <w:szCs w:val="18"/>
              </w:rPr>
              <w:t>神州数码（深圳）有限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left="2" w:right="-16"/>
              <w:jc w:val="left"/>
              <w:rPr>
                <w:rFonts w:ascii="宋体" w:hAnsi="宋体" w:cs="宋体" w:eastAsia="宋体" w:hint="default"/>
                <w:sz w:val="18"/>
                <w:szCs w:val="18"/>
              </w:rPr>
            </w:pPr>
            <w:r>
              <w:rPr>
                <w:rFonts w:ascii="宋体" w:hAnsi="宋体" w:cs="宋体" w:eastAsia="宋体" w:hint="default"/>
                <w:spacing w:val="17"/>
                <w:sz w:val="18"/>
                <w:szCs w:val="18"/>
              </w:rPr>
              <w:t>广州神州数码信息科技</w:t>
            </w:r>
            <w:r>
              <w:rPr>
                <w:rFonts w:ascii="宋体" w:hAnsi="宋体" w:cs="宋体" w:eastAsia="宋体" w:hint="default"/>
                <w:spacing w:val="-71"/>
                <w:sz w:val="18"/>
                <w:szCs w:val="18"/>
              </w:rPr>
              <w:t> </w:t>
            </w:r>
            <w:r>
              <w:rPr>
                <w:rFonts w:ascii="宋体" w:hAnsi="宋体" w:cs="宋体" w:eastAsia="宋体" w:hint="default"/>
                <w:sz w:val="18"/>
                <w:szCs w:val="18"/>
              </w:rPr>
              <w:t>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220,000,000.00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2017/2/28</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0" w:right="81"/>
              <w:jc w:val="center"/>
              <w:rPr>
                <w:rFonts w:ascii="宋体" w:hAnsi="宋体" w:cs="宋体" w:eastAsia="宋体" w:hint="default"/>
                <w:sz w:val="18"/>
                <w:szCs w:val="18"/>
              </w:rPr>
            </w:pPr>
            <w:r>
              <w:rPr>
                <w:rFonts w:ascii="宋体" w:hAnsi="宋体" w:cs="宋体" w:eastAsia="宋体" w:hint="default"/>
                <w:sz w:val="18"/>
                <w:szCs w:val="18"/>
              </w:rPr>
              <w:t>从签署日起至主合同项 下的借款期限届满之次 日起两年。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5"/>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5"/>
              <w:ind w:left="2" w:right="-16"/>
              <w:jc w:val="left"/>
              <w:rPr>
                <w:rFonts w:ascii="宋体" w:hAnsi="宋体" w:cs="宋体" w:eastAsia="宋体" w:hint="default"/>
                <w:sz w:val="18"/>
                <w:szCs w:val="18"/>
              </w:rPr>
            </w:pPr>
            <w:r>
              <w:rPr>
                <w:rFonts w:ascii="宋体" w:hAnsi="宋体" w:cs="宋体" w:eastAsia="宋体" w:hint="default"/>
                <w:spacing w:val="17"/>
                <w:sz w:val="18"/>
                <w:szCs w:val="18"/>
              </w:rPr>
              <w:t>广州神州数码信息科技</w:t>
            </w:r>
            <w:r>
              <w:rPr>
                <w:rFonts w:ascii="宋体" w:hAnsi="宋体" w:cs="宋体" w:eastAsia="宋体" w:hint="default"/>
                <w:spacing w:val="-71"/>
                <w:sz w:val="18"/>
                <w:szCs w:val="18"/>
              </w:rPr>
              <w:t> </w:t>
            </w:r>
            <w:r>
              <w:rPr>
                <w:rFonts w:ascii="宋体" w:hAnsi="宋体" w:cs="宋体" w:eastAsia="宋体" w:hint="default"/>
                <w:sz w:val="18"/>
                <w:szCs w:val="18"/>
              </w:rPr>
              <w:t>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214,000,000.00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2018/4/17</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5"/>
              <w:ind w:left="800" w:right="81" w:hanging="721"/>
              <w:jc w:val="left"/>
              <w:rPr>
                <w:rFonts w:ascii="宋体" w:hAnsi="宋体" w:cs="宋体" w:eastAsia="宋体" w:hint="default"/>
                <w:sz w:val="18"/>
                <w:szCs w:val="18"/>
              </w:rPr>
            </w:pPr>
            <w:r>
              <w:rPr>
                <w:rFonts w:ascii="宋体" w:hAnsi="宋体" w:cs="宋体" w:eastAsia="宋体" w:hint="default"/>
                <w:sz w:val="18"/>
                <w:szCs w:val="18"/>
              </w:rPr>
              <w:t>债务履行期限届满之日 两年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5"/>
              <w:ind w:left="3" w:right="0"/>
              <w:jc w:val="left"/>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5"/>
              <w:ind w:left="2" w:right="-16"/>
              <w:jc w:val="left"/>
              <w:rPr>
                <w:rFonts w:ascii="宋体" w:hAnsi="宋体" w:cs="宋体" w:eastAsia="宋体" w:hint="default"/>
                <w:sz w:val="18"/>
                <w:szCs w:val="18"/>
              </w:rPr>
            </w:pPr>
            <w:r>
              <w:rPr>
                <w:rFonts w:ascii="宋体" w:hAnsi="宋体" w:cs="宋体" w:eastAsia="宋体" w:hint="default"/>
                <w:spacing w:val="17"/>
                <w:sz w:val="18"/>
                <w:szCs w:val="18"/>
              </w:rPr>
              <w:t>广州神州数码信息科技</w:t>
            </w:r>
            <w:r>
              <w:rPr>
                <w:rFonts w:ascii="宋体" w:hAnsi="宋体" w:cs="宋体" w:eastAsia="宋体" w:hint="default"/>
                <w:spacing w:val="-71"/>
                <w:sz w:val="18"/>
                <w:szCs w:val="18"/>
              </w:rPr>
              <w:t> </w:t>
            </w:r>
            <w:r>
              <w:rPr>
                <w:rFonts w:ascii="宋体" w:hAnsi="宋体" w:cs="宋体" w:eastAsia="宋体" w:hint="default"/>
                <w:sz w:val="18"/>
                <w:szCs w:val="18"/>
              </w:rPr>
              <w:t>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214,000,000.00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2018/4/17</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5"/>
              <w:ind w:left="800" w:right="81" w:hanging="721"/>
              <w:jc w:val="left"/>
              <w:rPr>
                <w:rFonts w:ascii="宋体" w:hAnsi="宋体" w:cs="宋体" w:eastAsia="宋体" w:hint="default"/>
                <w:sz w:val="18"/>
                <w:szCs w:val="18"/>
              </w:rPr>
            </w:pPr>
            <w:r>
              <w:rPr>
                <w:rFonts w:ascii="宋体" w:hAnsi="宋体" w:cs="宋体" w:eastAsia="宋体" w:hint="default"/>
                <w:sz w:val="18"/>
                <w:szCs w:val="18"/>
              </w:rPr>
              <w:t>债务履行期限届满之日 两年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1"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 w:right="-16"/>
              <w:jc w:val="left"/>
              <w:rPr>
                <w:rFonts w:ascii="宋体" w:hAnsi="宋体" w:cs="宋体" w:eastAsia="宋体" w:hint="default"/>
                <w:sz w:val="18"/>
                <w:szCs w:val="18"/>
              </w:rPr>
            </w:pPr>
            <w:r>
              <w:rPr>
                <w:rFonts w:ascii="宋体" w:hAnsi="宋体" w:cs="宋体" w:eastAsia="宋体" w:hint="default"/>
                <w:spacing w:val="17"/>
                <w:sz w:val="18"/>
                <w:szCs w:val="18"/>
              </w:rPr>
              <w:t>神州数码澳门离岸商业</w:t>
            </w:r>
            <w:r>
              <w:rPr>
                <w:rFonts w:ascii="宋体" w:hAnsi="宋体" w:cs="宋体" w:eastAsia="宋体" w:hint="default"/>
                <w:spacing w:val="-71"/>
                <w:sz w:val="18"/>
                <w:szCs w:val="18"/>
              </w:rPr>
              <w:t> </w:t>
            </w:r>
            <w:r>
              <w:rPr>
                <w:rFonts w:ascii="宋体" w:hAnsi="宋体" w:cs="宋体" w:eastAsia="宋体" w:hint="default"/>
                <w:sz w:val="18"/>
                <w:szCs w:val="18"/>
              </w:rPr>
              <w:t>服务有限公司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206,400,000.00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2016/10/31</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16"/>
              <w:jc w:val="left"/>
              <w:rPr>
                <w:rFonts w:ascii="宋体" w:hAnsi="宋体" w:cs="宋体" w:eastAsia="宋体" w:hint="default"/>
                <w:sz w:val="18"/>
                <w:szCs w:val="18"/>
              </w:rPr>
            </w:pPr>
            <w:r>
              <w:rPr>
                <w:rFonts w:ascii="宋体" w:hAnsi="宋体" w:cs="宋体" w:eastAsia="宋体" w:hint="default"/>
                <w:spacing w:val="17"/>
                <w:sz w:val="18"/>
                <w:szCs w:val="18"/>
              </w:rPr>
              <w:t>神州数码澳门离岸商业</w:t>
            </w:r>
            <w:r>
              <w:rPr>
                <w:rFonts w:ascii="宋体" w:hAnsi="宋体" w:cs="宋体" w:eastAsia="宋体" w:hint="default"/>
                <w:spacing w:val="-71"/>
                <w:sz w:val="18"/>
                <w:szCs w:val="18"/>
              </w:rPr>
              <w:t> </w:t>
            </w:r>
            <w:r>
              <w:rPr>
                <w:rFonts w:ascii="宋体" w:hAnsi="宋体" w:cs="宋体" w:eastAsia="宋体" w:hint="default"/>
                <w:sz w:val="18"/>
                <w:szCs w:val="18"/>
              </w:rPr>
              <w:t>服务有限公司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206,400,000.00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2017/1/11</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2020/1/11</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16"/>
              <w:jc w:val="left"/>
              <w:rPr>
                <w:rFonts w:ascii="宋体" w:hAnsi="宋体" w:cs="宋体" w:eastAsia="宋体" w:hint="default"/>
                <w:sz w:val="18"/>
                <w:szCs w:val="18"/>
              </w:rPr>
            </w:pPr>
            <w:r>
              <w:rPr>
                <w:rFonts w:ascii="宋体" w:hAnsi="宋体" w:cs="宋体" w:eastAsia="宋体" w:hint="default"/>
                <w:spacing w:val="17"/>
                <w:sz w:val="18"/>
                <w:szCs w:val="18"/>
              </w:rPr>
              <w:t>神州数码科技发展有限</w:t>
            </w:r>
            <w:r>
              <w:rPr>
                <w:rFonts w:ascii="宋体" w:hAnsi="宋体" w:cs="宋体" w:eastAsia="宋体" w:hint="default"/>
                <w:spacing w:val="-71"/>
                <w:sz w:val="18"/>
                <w:szCs w:val="18"/>
              </w:rPr>
              <w:t> </w:t>
            </w:r>
            <w:r>
              <w:rPr>
                <w:rFonts w:ascii="宋体" w:hAnsi="宋体" w:cs="宋体" w:eastAsia="宋体" w:hint="default"/>
                <w:sz w:val="18"/>
                <w:szCs w:val="18"/>
              </w:rPr>
              <w:t>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206,400,000.00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2017/1/11</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16"/>
              <w:jc w:val="left"/>
              <w:rPr>
                <w:rFonts w:ascii="宋体" w:hAnsi="宋体" w:cs="宋体" w:eastAsia="宋体" w:hint="default"/>
                <w:sz w:val="18"/>
                <w:szCs w:val="18"/>
              </w:rPr>
            </w:pPr>
            <w:r>
              <w:rPr>
                <w:rFonts w:ascii="宋体" w:hAnsi="宋体" w:cs="宋体" w:eastAsia="宋体" w:hint="default"/>
                <w:spacing w:val="17"/>
                <w:sz w:val="18"/>
                <w:szCs w:val="18"/>
              </w:rPr>
              <w:t>广州神州数码信息科技</w:t>
            </w:r>
            <w:r>
              <w:rPr>
                <w:rFonts w:ascii="宋体" w:hAnsi="宋体" w:cs="宋体" w:eastAsia="宋体" w:hint="default"/>
                <w:spacing w:val="-71"/>
                <w:sz w:val="18"/>
                <w:szCs w:val="18"/>
              </w:rPr>
              <w:t> </w:t>
            </w:r>
            <w:r>
              <w:rPr>
                <w:rFonts w:ascii="宋体" w:hAnsi="宋体" w:cs="宋体" w:eastAsia="宋体" w:hint="default"/>
                <w:sz w:val="18"/>
                <w:szCs w:val="18"/>
              </w:rPr>
              <w:t>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200,000,000.00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2016/9/18</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816"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22"/>
              <w:ind w:left="3" w:right="0"/>
              <w:jc w:val="both"/>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公司、北京神州数码有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上海神州数码有限公司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200,000,000.00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2017/3/13</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22"/>
              <w:ind w:left="80" w:right="81"/>
              <w:jc w:val="center"/>
              <w:rPr>
                <w:rFonts w:ascii="宋体" w:hAnsi="宋体" w:cs="宋体" w:eastAsia="宋体" w:hint="default"/>
                <w:sz w:val="18"/>
                <w:szCs w:val="18"/>
              </w:rPr>
            </w:pPr>
            <w:r>
              <w:rPr>
                <w:rFonts w:ascii="宋体" w:hAnsi="宋体" w:cs="宋体" w:eastAsia="宋体" w:hint="default"/>
                <w:sz w:val="18"/>
                <w:szCs w:val="18"/>
              </w:rPr>
              <w:t>主合同项下被担保债务 的履行期届满之后两年 止。</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49"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200,000,000.00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2017/6/23</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21"/>
              <w:ind w:left="80" w:right="81"/>
              <w:jc w:val="center"/>
              <w:rPr>
                <w:rFonts w:ascii="宋体" w:hAnsi="宋体" w:cs="宋体" w:eastAsia="宋体" w:hint="default"/>
                <w:sz w:val="18"/>
                <w:szCs w:val="18"/>
              </w:rPr>
            </w:pPr>
            <w:r>
              <w:rPr>
                <w:rFonts w:ascii="宋体" w:hAnsi="宋体" w:cs="宋体" w:eastAsia="宋体" w:hint="default"/>
                <w:sz w:val="18"/>
                <w:szCs w:val="18"/>
              </w:rPr>
              <w:t>合同项下债务人每次使 用授信额度而发生的债 务履行期限届满之日起 两年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1"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 w:right="3"/>
              <w:jc w:val="left"/>
              <w:rPr>
                <w:rFonts w:ascii="宋体" w:hAnsi="宋体" w:cs="宋体" w:eastAsia="宋体" w:hint="default"/>
                <w:sz w:val="18"/>
                <w:szCs w:val="18"/>
              </w:rPr>
            </w:pPr>
            <w:r>
              <w:rPr>
                <w:rFonts w:ascii="宋体" w:hAnsi="宋体" w:cs="宋体" w:eastAsia="宋体" w:hint="default"/>
                <w:sz w:val="18"/>
                <w:szCs w:val="18"/>
              </w:rPr>
              <w:t>神州数码（中国）有限公 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200,000,000.00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2017/8/11</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70" w:right="81" w:hanging="91"/>
              <w:jc w:val="left"/>
              <w:rPr>
                <w:rFonts w:ascii="宋体" w:hAnsi="宋体" w:cs="宋体" w:eastAsia="宋体" w:hint="default"/>
                <w:sz w:val="18"/>
                <w:szCs w:val="18"/>
              </w:rPr>
            </w:pPr>
            <w:r>
              <w:rPr>
                <w:rFonts w:ascii="宋体" w:hAnsi="宋体" w:cs="宋体" w:eastAsia="宋体" w:hint="default"/>
                <w:sz w:val="18"/>
                <w:szCs w:val="18"/>
              </w:rPr>
              <w:t>主合同项下每笔债务履 行期届满之日起两年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816"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32" w:lineRule="exact"/>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神州数码</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200,000,000.00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2017/12/7</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0" w:right="81"/>
              <w:jc w:val="center"/>
              <w:rPr>
                <w:rFonts w:ascii="宋体" w:hAnsi="宋体" w:cs="宋体" w:eastAsia="宋体" w:hint="default"/>
                <w:sz w:val="18"/>
                <w:szCs w:val="18"/>
              </w:rPr>
            </w:pPr>
            <w:r>
              <w:rPr>
                <w:rFonts w:ascii="宋体" w:hAnsi="宋体" w:cs="宋体" w:eastAsia="宋体" w:hint="default"/>
                <w:sz w:val="18"/>
                <w:szCs w:val="18"/>
              </w:rPr>
              <w:t>主合同约定的债务人履 行债务期限届满之日起 两年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left="2"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200,000,000.00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2018/1/18</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60" w:right="81" w:hanging="181"/>
              <w:jc w:val="left"/>
              <w:rPr>
                <w:rFonts w:ascii="宋体" w:hAnsi="宋体" w:cs="宋体" w:eastAsia="宋体" w:hint="default"/>
                <w:sz w:val="18"/>
                <w:szCs w:val="18"/>
              </w:rPr>
            </w:pPr>
            <w:r>
              <w:rPr>
                <w:rFonts w:ascii="宋体" w:hAnsi="宋体" w:cs="宋体" w:eastAsia="宋体" w:hint="default"/>
                <w:sz w:val="18"/>
                <w:szCs w:val="18"/>
              </w:rPr>
              <w:t>主合同项下债务履行期 限届满之日起两年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816"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left="2" w:right="-16"/>
              <w:jc w:val="left"/>
              <w:rPr>
                <w:rFonts w:ascii="宋体" w:hAnsi="宋体" w:cs="宋体" w:eastAsia="宋体" w:hint="default"/>
                <w:sz w:val="18"/>
                <w:szCs w:val="18"/>
              </w:rPr>
            </w:pPr>
            <w:r>
              <w:rPr>
                <w:rFonts w:ascii="宋体" w:hAnsi="宋体" w:cs="宋体" w:eastAsia="宋体" w:hint="default"/>
                <w:spacing w:val="17"/>
                <w:sz w:val="18"/>
                <w:szCs w:val="18"/>
              </w:rPr>
              <w:t>广州神州数码信息科技</w:t>
            </w:r>
            <w:r>
              <w:rPr>
                <w:rFonts w:ascii="宋体" w:hAnsi="宋体" w:cs="宋体" w:eastAsia="宋体" w:hint="default"/>
                <w:spacing w:val="-71"/>
                <w:sz w:val="18"/>
                <w:szCs w:val="18"/>
              </w:rPr>
              <w:t> </w:t>
            </w:r>
            <w:r>
              <w:rPr>
                <w:rFonts w:ascii="宋体" w:hAnsi="宋体" w:cs="宋体" w:eastAsia="宋体" w:hint="default"/>
                <w:sz w:val="18"/>
                <w:szCs w:val="18"/>
              </w:rPr>
              <w:t>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200,000,000.00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2018/1/31</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20"/>
              <w:ind w:left="80" w:right="0"/>
              <w:jc w:val="left"/>
              <w:rPr>
                <w:rFonts w:ascii="宋体" w:hAnsi="宋体" w:cs="宋体" w:eastAsia="宋体" w:hint="default"/>
                <w:sz w:val="18"/>
                <w:szCs w:val="18"/>
              </w:rPr>
            </w:pPr>
            <w:r>
              <w:rPr>
                <w:rFonts w:ascii="宋体" w:hAnsi="宋体" w:cs="宋体" w:eastAsia="宋体" w:hint="default"/>
                <w:sz w:val="18"/>
                <w:szCs w:val="18"/>
              </w:rPr>
              <w:t>自担保书生效之日起至</w:t>
            </w:r>
          </w:p>
          <w:p>
            <w:pPr>
              <w:pStyle w:val="TableParagraph"/>
              <w:spacing w:line="240" w:lineRule="auto"/>
              <w:ind w:left="170" w:right="0" w:hanging="169"/>
              <w:jc w:val="left"/>
              <w:rPr>
                <w:rFonts w:ascii="宋体" w:hAnsi="宋体" w:cs="宋体" w:eastAsia="宋体" w:hint="default"/>
                <w:sz w:val="18"/>
                <w:szCs w:val="18"/>
              </w:rPr>
            </w:pPr>
            <w:r>
              <w:rPr>
                <w:rFonts w:ascii="宋体" w:hAnsi="宋体" w:cs="宋体" w:eastAsia="宋体" w:hint="default"/>
                <w:spacing w:val="-3"/>
                <w:sz w:val="18"/>
                <w:szCs w:val="18"/>
              </w:rPr>
              <w:t>《授信协议》项下每笔融</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资的到期日另加三年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2" w:type="dxa"/>
        <w:tblLayout w:type="fixed"/>
        <w:tblCellMar>
          <w:top w:w="0" w:type="dxa"/>
          <w:left w:w="0" w:type="dxa"/>
          <w:bottom w:w="0" w:type="dxa"/>
          <w:right w:w="0" w:type="dxa"/>
        </w:tblCellMar>
        <w:tblLook w:val="01E0"/>
      </w:tblPr>
      <w:tblGrid>
        <w:gridCol w:w="1828"/>
        <w:gridCol w:w="1994"/>
        <w:gridCol w:w="1559"/>
        <w:gridCol w:w="1417"/>
        <w:gridCol w:w="1977"/>
        <w:gridCol w:w="833"/>
      </w:tblGrid>
      <w:tr>
        <w:trPr>
          <w:trHeight w:val="814" w:hRule="exact"/>
        </w:trPr>
        <w:tc>
          <w:tcPr>
            <w:tcW w:w="18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28"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5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4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9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83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7" w:lineRule="auto" w:before="21"/>
              <w:ind w:left="48" w:right="48"/>
              <w:jc w:val="center"/>
              <w:rPr>
                <w:rFonts w:ascii="宋体" w:hAnsi="宋体" w:cs="宋体" w:eastAsia="宋体" w:hint="default"/>
                <w:sz w:val="18"/>
                <w:szCs w:val="18"/>
              </w:rPr>
            </w:pPr>
            <w:r>
              <w:rPr>
                <w:rFonts w:ascii="宋体" w:hAnsi="宋体" w:cs="宋体" w:eastAsia="宋体" w:hint="default"/>
                <w:sz w:val="18"/>
                <w:szCs w:val="18"/>
              </w:rPr>
              <w:t>担保是已 经否履行 完毕</w:t>
            </w:r>
          </w:p>
        </w:tc>
      </w:tr>
      <w:tr>
        <w:trPr>
          <w:trHeight w:val="816"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161"/>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神州数码</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200,000,000.00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2018/1/31</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before="20"/>
              <w:ind w:left="80" w:right="0"/>
              <w:jc w:val="left"/>
              <w:rPr>
                <w:rFonts w:ascii="宋体" w:hAnsi="宋体" w:cs="宋体" w:eastAsia="宋体" w:hint="default"/>
                <w:sz w:val="18"/>
                <w:szCs w:val="18"/>
              </w:rPr>
            </w:pPr>
            <w:r>
              <w:rPr>
                <w:rFonts w:ascii="宋体" w:hAnsi="宋体" w:cs="宋体" w:eastAsia="宋体" w:hint="default"/>
                <w:sz w:val="18"/>
                <w:szCs w:val="18"/>
              </w:rPr>
              <w:t>自担保书生效之日起至</w:t>
            </w:r>
          </w:p>
          <w:p>
            <w:pPr>
              <w:pStyle w:val="TableParagraph"/>
              <w:spacing w:line="240" w:lineRule="auto"/>
              <w:ind w:left="170" w:right="0" w:hanging="169"/>
              <w:jc w:val="left"/>
              <w:rPr>
                <w:rFonts w:ascii="宋体" w:hAnsi="宋体" w:cs="宋体" w:eastAsia="宋体" w:hint="default"/>
                <w:sz w:val="18"/>
                <w:szCs w:val="18"/>
              </w:rPr>
            </w:pPr>
            <w:r>
              <w:rPr>
                <w:rFonts w:ascii="宋体" w:hAnsi="宋体" w:cs="宋体" w:eastAsia="宋体" w:hint="default"/>
                <w:spacing w:val="-3"/>
                <w:sz w:val="18"/>
                <w:szCs w:val="18"/>
              </w:rPr>
              <w:t>《授信协议》项下每笔融</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资的到期日另加三年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3"/>
              <w:jc w:val="left"/>
              <w:rPr>
                <w:rFonts w:ascii="宋体" w:hAnsi="宋体" w:cs="宋体" w:eastAsia="宋体" w:hint="default"/>
                <w:sz w:val="18"/>
                <w:szCs w:val="18"/>
              </w:rPr>
            </w:pPr>
            <w:r>
              <w:rPr>
                <w:rFonts w:ascii="宋体" w:hAnsi="宋体" w:cs="宋体" w:eastAsia="宋体" w:hint="default"/>
                <w:sz w:val="18"/>
                <w:szCs w:val="18"/>
              </w:rPr>
              <w:t>神州数码（中国）有限公 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200,000,000.00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2018/6/13</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60" w:right="81" w:hanging="181"/>
              <w:jc w:val="left"/>
              <w:rPr>
                <w:rFonts w:ascii="宋体" w:hAnsi="宋体" w:cs="宋体" w:eastAsia="宋体" w:hint="default"/>
                <w:sz w:val="18"/>
                <w:szCs w:val="18"/>
              </w:rPr>
            </w:pPr>
            <w:r>
              <w:rPr>
                <w:rFonts w:ascii="宋体" w:hAnsi="宋体" w:cs="宋体" w:eastAsia="宋体" w:hint="default"/>
                <w:sz w:val="18"/>
                <w:szCs w:val="18"/>
              </w:rPr>
              <w:t>主合同项下债务履行期 限届满之日起两年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815"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left="3" w:right="0"/>
              <w:jc w:val="left"/>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left="2" w:right="-16"/>
              <w:jc w:val="left"/>
              <w:rPr>
                <w:rFonts w:ascii="宋体" w:hAnsi="宋体" w:cs="宋体" w:eastAsia="宋体" w:hint="default"/>
                <w:sz w:val="18"/>
                <w:szCs w:val="18"/>
              </w:rPr>
            </w:pPr>
            <w:r>
              <w:rPr>
                <w:rFonts w:ascii="宋体" w:hAnsi="宋体" w:cs="宋体" w:eastAsia="宋体" w:hint="default"/>
                <w:spacing w:val="17"/>
                <w:sz w:val="18"/>
                <w:szCs w:val="18"/>
              </w:rPr>
              <w:t>北京神州数码供应链服</w:t>
            </w:r>
            <w:r>
              <w:rPr>
                <w:rFonts w:ascii="宋体" w:hAnsi="宋体" w:cs="宋体" w:eastAsia="宋体" w:hint="default"/>
                <w:spacing w:val="-71"/>
                <w:sz w:val="18"/>
                <w:szCs w:val="18"/>
              </w:rPr>
              <w:t> </w:t>
            </w:r>
            <w:r>
              <w:rPr>
                <w:rFonts w:ascii="宋体" w:hAnsi="宋体" w:cs="宋体" w:eastAsia="宋体" w:hint="default"/>
                <w:sz w:val="18"/>
                <w:szCs w:val="18"/>
              </w:rPr>
              <w:t>务有限公司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200,000,000.00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2018/9/25</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22"/>
              <w:ind w:left="80" w:right="81"/>
              <w:jc w:val="center"/>
              <w:rPr>
                <w:rFonts w:ascii="宋体" w:hAnsi="宋体" w:cs="宋体" w:eastAsia="宋体" w:hint="default"/>
                <w:sz w:val="18"/>
                <w:szCs w:val="18"/>
              </w:rPr>
            </w:pPr>
            <w:r>
              <w:rPr>
                <w:rFonts w:ascii="宋体" w:hAnsi="宋体" w:cs="宋体" w:eastAsia="宋体" w:hint="default"/>
                <w:sz w:val="18"/>
                <w:szCs w:val="18"/>
              </w:rPr>
              <w:t>从签署日起至主合同项 下的借款期限届满之日 起两年。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16"/>
              <w:jc w:val="left"/>
              <w:rPr>
                <w:rFonts w:ascii="宋体" w:hAnsi="宋体" w:cs="宋体" w:eastAsia="宋体" w:hint="default"/>
                <w:sz w:val="18"/>
                <w:szCs w:val="18"/>
              </w:rPr>
            </w:pPr>
            <w:r>
              <w:rPr>
                <w:rFonts w:ascii="宋体" w:hAnsi="宋体" w:cs="宋体" w:eastAsia="宋体" w:hint="default"/>
                <w:spacing w:val="17"/>
                <w:sz w:val="18"/>
                <w:szCs w:val="18"/>
              </w:rPr>
              <w:t>神州数码科技发展有限</w:t>
            </w:r>
            <w:r>
              <w:rPr>
                <w:rFonts w:ascii="宋体" w:hAnsi="宋体" w:cs="宋体" w:eastAsia="宋体" w:hint="default"/>
                <w:spacing w:val="-71"/>
                <w:sz w:val="18"/>
                <w:szCs w:val="18"/>
              </w:rPr>
              <w:t> </w:t>
            </w:r>
            <w:r>
              <w:rPr>
                <w:rFonts w:ascii="宋体" w:hAnsi="宋体" w:cs="宋体" w:eastAsia="宋体" w:hint="default"/>
                <w:sz w:val="18"/>
                <w:szCs w:val="18"/>
              </w:rPr>
              <w:t>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174,064,000.00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2016/8/8</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2018/2/28</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150,000,000.00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2017/2/20</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2018/3/26</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815"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22"/>
              <w:ind w:left="3" w:right="0"/>
              <w:jc w:val="both"/>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公司、北京神州数码有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上海神州数码有限公司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150,000,000.00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2017/11/15</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2018/11/5</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049"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150,000,000.00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2018/3/26</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22"/>
              <w:ind w:left="80" w:right="81"/>
              <w:jc w:val="both"/>
              <w:rPr>
                <w:rFonts w:ascii="宋体" w:hAnsi="宋体" w:cs="宋体" w:eastAsia="宋体" w:hint="default"/>
                <w:sz w:val="18"/>
                <w:szCs w:val="18"/>
              </w:rPr>
            </w:pPr>
            <w:r>
              <w:rPr>
                <w:rFonts w:ascii="宋体" w:hAnsi="宋体" w:cs="宋体" w:eastAsia="宋体" w:hint="default"/>
                <w:sz w:val="18"/>
                <w:szCs w:val="18"/>
              </w:rPr>
              <w:t>自每笔债权合同债务履 行期届满之日起至该债 权合同约定的债务履行 期届满之日后两年止。</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150,000,000.00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2018/6/6</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60" w:right="81" w:hanging="181"/>
              <w:jc w:val="left"/>
              <w:rPr>
                <w:rFonts w:ascii="宋体" w:hAnsi="宋体" w:cs="宋体" w:eastAsia="宋体" w:hint="default"/>
                <w:sz w:val="18"/>
                <w:szCs w:val="18"/>
              </w:rPr>
            </w:pPr>
            <w:r>
              <w:rPr>
                <w:rFonts w:ascii="宋体" w:hAnsi="宋体" w:cs="宋体" w:eastAsia="宋体" w:hint="default"/>
                <w:sz w:val="18"/>
                <w:szCs w:val="18"/>
              </w:rPr>
              <w:t>主合同项下的债务履行 期限届满日后三年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left="2"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150,000,000.00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2018/6/29</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10" w:right="81" w:hanging="631"/>
              <w:jc w:val="left"/>
              <w:rPr>
                <w:rFonts w:ascii="宋体" w:hAnsi="宋体" w:cs="宋体" w:eastAsia="宋体" w:hint="default"/>
                <w:sz w:val="18"/>
                <w:szCs w:val="18"/>
              </w:rPr>
            </w:pPr>
            <w:r>
              <w:rPr>
                <w:rFonts w:ascii="宋体" w:hAnsi="宋体" w:cs="宋体" w:eastAsia="宋体" w:hint="default"/>
                <w:sz w:val="18"/>
                <w:szCs w:val="18"/>
              </w:rPr>
              <w:t>履行债务期限届满之日 起两年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816"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150,000,000.00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2018/9/6</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22"/>
              <w:ind w:left="80" w:right="81"/>
              <w:jc w:val="center"/>
              <w:rPr>
                <w:rFonts w:ascii="宋体" w:hAnsi="宋体" w:cs="宋体" w:eastAsia="宋体" w:hint="default"/>
                <w:sz w:val="18"/>
                <w:szCs w:val="18"/>
              </w:rPr>
            </w:pPr>
            <w:r>
              <w:rPr>
                <w:rFonts w:ascii="宋体" w:hAnsi="宋体" w:cs="宋体" w:eastAsia="宋体" w:hint="default"/>
                <w:sz w:val="18"/>
                <w:szCs w:val="18"/>
              </w:rPr>
              <w:t>担保合同生效之日至主 合同项下债务到期后满 两年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815"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both"/>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公司、北京神州数码有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上海神州数码有限公司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150,000,000.00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2018/11/5</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80" w:right="81"/>
              <w:jc w:val="center"/>
              <w:rPr>
                <w:rFonts w:ascii="宋体" w:hAnsi="宋体" w:cs="宋体" w:eastAsia="宋体" w:hint="default"/>
                <w:sz w:val="18"/>
                <w:szCs w:val="18"/>
              </w:rPr>
            </w:pPr>
            <w:r>
              <w:rPr>
                <w:rFonts w:ascii="宋体" w:hAnsi="宋体" w:cs="宋体" w:eastAsia="宋体" w:hint="default"/>
                <w:sz w:val="18"/>
                <w:szCs w:val="18"/>
              </w:rPr>
              <w:t>主合同项下被担保债务 的履行期届满之后两年 止。</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137,600,000.00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2018/11/19</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债务到期日起两年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3"/>
              <w:jc w:val="left"/>
              <w:rPr>
                <w:rFonts w:ascii="宋体" w:hAnsi="宋体" w:cs="宋体" w:eastAsia="宋体" w:hint="default"/>
                <w:sz w:val="18"/>
                <w:szCs w:val="18"/>
              </w:rPr>
            </w:pPr>
            <w:r>
              <w:rPr>
                <w:rFonts w:ascii="宋体" w:hAnsi="宋体" w:cs="宋体" w:eastAsia="宋体" w:hint="default"/>
                <w:sz w:val="18"/>
                <w:szCs w:val="18"/>
              </w:rPr>
              <w:t>神州数码（中国）有限公 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137,600,000.00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2018/11/19</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债务到期日起两年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4"/>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4"/>
              <w:ind w:left="2" w:right="-16"/>
              <w:jc w:val="left"/>
              <w:rPr>
                <w:rFonts w:ascii="宋体" w:hAnsi="宋体" w:cs="宋体" w:eastAsia="宋体" w:hint="default"/>
                <w:sz w:val="18"/>
                <w:szCs w:val="18"/>
              </w:rPr>
            </w:pPr>
            <w:r>
              <w:rPr>
                <w:rFonts w:ascii="宋体" w:hAnsi="宋体" w:cs="宋体" w:eastAsia="宋体" w:hint="default"/>
                <w:spacing w:val="17"/>
                <w:sz w:val="18"/>
                <w:szCs w:val="18"/>
              </w:rPr>
              <w:t>北京神州数码供应链服</w:t>
            </w:r>
            <w:r>
              <w:rPr>
                <w:rFonts w:ascii="宋体" w:hAnsi="宋体" w:cs="宋体" w:eastAsia="宋体" w:hint="default"/>
                <w:spacing w:val="-71"/>
                <w:sz w:val="18"/>
                <w:szCs w:val="18"/>
              </w:rPr>
              <w:t> </w:t>
            </w:r>
            <w:r>
              <w:rPr>
                <w:rFonts w:ascii="宋体" w:hAnsi="宋体" w:cs="宋体" w:eastAsia="宋体" w:hint="default"/>
                <w:sz w:val="18"/>
                <w:szCs w:val="18"/>
              </w:rPr>
              <w:t>务有限公司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130,000,000.00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2017/3/2</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815"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left="2" w:right="-16"/>
              <w:jc w:val="left"/>
              <w:rPr>
                <w:rFonts w:ascii="宋体" w:hAnsi="宋体" w:cs="宋体" w:eastAsia="宋体" w:hint="default"/>
                <w:sz w:val="18"/>
                <w:szCs w:val="18"/>
              </w:rPr>
            </w:pPr>
            <w:r>
              <w:rPr>
                <w:rFonts w:ascii="宋体" w:hAnsi="宋体" w:cs="宋体" w:eastAsia="宋体" w:hint="default"/>
                <w:spacing w:val="17"/>
                <w:sz w:val="18"/>
                <w:szCs w:val="18"/>
              </w:rPr>
              <w:t>北京神州数码供应链服</w:t>
            </w:r>
            <w:r>
              <w:rPr>
                <w:rFonts w:ascii="宋体" w:hAnsi="宋体" w:cs="宋体" w:eastAsia="宋体" w:hint="default"/>
                <w:spacing w:val="-71"/>
                <w:sz w:val="18"/>
                <w:szCs w:val="18"/>
              </w:rPr>
              <w:t> </w:t>
            </w:r>
            <w:r>
              <w:rPr>
                <w:rFonts w:ascii="宋体" w:hAnsi="宋体" w:cs="宋体" w:eastAsia="宋体" w:hint="default"/>
                <w:sz w:val="18"/>
                <w:szCs w:val="18"/>
              </w:rPr>
              <w:t>务有限公司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130,000,000.00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2018/1/30</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20"/>
              <w:ind w:left="80" w:right="0"/>
              <w:jc w:val="left"/>
              <w:rPr>
                <w:rFonts w:ascii="宋体" w:hAnsi="宋体" w:cs="宋体" w:eastAsia="宋体" w:hint="default"/>
                <w:sz w:val="18"/>
                <w:szCs w:val="18"/>
              </w:rPr>
            </w:pPr>
            <w:r>
              <w:rPr>
                <w:rFonts w:ascii="宋体" w:hAnsi="宋体" w:cs="宋体" w:eastAsia="宋体" w:hint="default"/>
                <w:sz w:val="18"/>
                <w:szCs w:val="18"/>
              </w:rPr>
              <w:t>自担保书生效之日起至</w:t>
            </w:r>
          </w:p>
          <w:p>
            <w:pPr>
              <w:pStyle w:val="TableParagraph"/>
              <w:spacing w:line="240" w:lineRule="auto"/>
              <w:ind w:left="170" w:right="0" w:hanging="169"/>
              <w:jc w:val="left"/>
              <w:rPr>
                <w:rFonts w:ascii="宋体" w:hAnsi="宋体" w:cs="宋体" w:eastAsia="宋体" w:hint="default"/>
                <w:sz w:val="18"/>
                <w:szCs w:val="18"/>
              </w:rPr>
            </w:pPr>
            <w:r>
              <w:rPr>
                <w:rFonts w:ascii="宋体" w:hAnsi="宋体" w:cs="宋体" w:eastAsia="宋体" w:hint="default"/>
                <w:spacing w:val="-3"/>
                <w:sz w:val="18"/>
                <w:szCs w:val="18"/>
              </w:rPr>
              <w:t>《授信协议》项下每笔融</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资的到期日另加三年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3"/>
              <w:jc w:val="left"/>
              <w:rPr>
                <w:rFonts w:ascii="宋体" w:hAnsi="宋体" w:cs="宋体" w:eastAsia="宋体" w:hint="default"/>
                <w:sz w:val="18"/>
                <w:szCs w:val="18"/>
              </w:rPr>
            </w:pPr>
            <w:r>
              <w:rPr>
                <w:rFonts w:ascii="宋体" w:hAnsi="宋体" w:cs="宋体" w:eastAsia="宋体" w:hint="default"/>
                <w:sz w:val="18"/>
                <w:szCs w:val="18"/>
              </w:rPr>
              <w:t>神州数码（中国）有限公 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22" w:right="0"/>
              <w:jc w:val="left"/>
              <w:rPr>
                <w:rFonts w:ascii="Times New Roman" w:hAnsi="Times New Roman" w:cs="Times New Roman" w:eastAsia="Times New Roman" w:hint="default"/>
                <w:sz w:val="18"/>
                <w:szCs w:val="18"/>
              </w:rPr>
            </w:pPr>
            <w:r>
              <w:rPr>
                <w:rFonts w:ascii="Times New Roman"/>
                <w:sz w:val="18"/>
              </w:rPr>
              <w:t>110,000,000.00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2017/6/27</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3"/>
              <w:jc w:val="left"/>
              <w:rPr>
                <w:rFonts w:ascii="宋体" w:hAnsi="宋体" w:cs="宋体" w:eastAsia="宋体" w:hint="default"/>
                <w:sz w:val="18"/>
                <w:szCs w:val="18"/>
              </w:rPr>
            </w:pPr>
            <w:r>
              <w:rPr>
                <w:rFonts w:ascii="宋体" w:hAnsi="宋体" w:cs="宋体" w:eastAsia="宋体" w:hint="default"/>
                <w:sz w:val="18"/>
                <w:szCs w:val="18"/>
              </w:rPr>
              <w:t>神州数码（深圳）有限公 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100,000,000.00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2017/6/13</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2019/6/12</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815"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22"/>
              <w:ind w:left="3" w:right="0"/>
              <w:jc w:val="both"/>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公司、北京神州数码有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上海神州数码有限公司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100,000,000.00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2017/7/13</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2018/7/6</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49"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1" w:right="0"/>
              <w:jc w:val="center"/>
              <w:rPr>
                <w:rFonts w:ascii="宋体" w:hAnsi="宋体" w:cs="宋体" w:eastAsia="宋体" w:hint="default"/>
                <w:sz w:val="18"/>
                <w:szCs w:val="18"/>
              </w:rPr>
            </w:pPr>
            <w:r>
              <w:rPr>
                <w:rFonts w:ascii="宋体" w:hAnsi="宋体" w:cs="宋体" w:eastAsia="宋体" w:hint="default"/>
                <w:sz w:val="18"/>
                <w:szCs w:val="18"/>
              </w:rPr>
              <w:t>神州数码集团股份有限</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16" w:right="0"/>
              <w:jc w:val="left"/>
              <w:rPr>
                <w:rFonts w:ascii="Times New Roman" w:hAnsi="Times New Roman" w:cs="Times New Roman" w:eastAsia="Times New Roman" w:hint="default"/>
                <w:sz w:val="18"/>
                <w:szCs w:val="18"/>
              </w:rPr>
            </w:pPr>
            <w:r>
              <w:rPr>
                <w:rFonts w:ascii="Times New Roman"/>
                <w:sz w:val="18"/>
              </w:rPr>
              <w:t>100,000,000.00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2017/8/10</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2018/9/6</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2" w:type="dxa"/>
        <w:tblLayout w:type="fixed"/>
        <w:tblCellMar>
          <w:top w:w="0" w:type="dxa"/>
          <w:left w:w="0" w:type="dxa"/>
          <w:bottom w:w="0" w:type="dxa"/>
          <w:right w:w="0" w:type="dxa"/>
        </w:tblCellMar>
        <w:tblLook w:val="01E0"/>
      </w:tblPr>
      <w:tblGrid>
        <w:gridCol w:w="1828"/>
        <w:gridCol w:w="1994"/>
        <w:gridCol w:w="1559"/>
        <w:gridCol w:w="1417"/>
        <w:gridCol w:w="1977"/>
        <w:gridCol w:w="833"/>
      </w:tblGrid>
      <w:tr>
        <w:trPr>
          <w:trHeight w:val="814" w:hRule="exact"/>
        </w:trPr>
        <w:tc>
          <w:tcPr>
            <w:tcW w:w="18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28"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5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4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9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83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7" w:lineRule="auto" w:before="21"/>
              <w:ind w:left="48" w:right="48"/>
              <w:jc w:val="center"/>
              <w:rPr>
                <w:rFonts w:ascii="宋体" w:hAnsi="宋体" w:cs="宋体" w:eastAsia="宋体" w:hint="default"/>
                <w:sz w:val="18"/>
                <w:szCs w:val="18"/>
              </w:rPr>
            </w:pPr>
            <w:r>
              <w:rPr>
                <w:rFonts w:ascii="宋体" w:hAnsi="宋体" w:cs="宋体" w:eastAsia="宋体" w:hint="default"/>
                <w:sz w:val="18"/>
                <w:szCs w:val="18"/>
              </w:rPr>
              <w:t>担保是已 经否履行 完毕</w:t>
            </w:r>
          </w:p>
        </w:tc>
      </w:tr>
      <w:tr>
        <w:trPr>
          <w:trHeight w:val="308"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
        </w:tc>
        <w:tc>
          <w:tcPr>
            <w:tcW w:w="833" w:type="dxa"/>
            <w:tcBorders>
              <w:top w:val="single" w:sz="6" w:space="0" w:color="000000"/>
              <w:left w:val="single" w:sz="6" w:space="0" w:color="000000"/>
              <w:bottom w:val="single" w:sz="6" w:space="0" w:color="000000"/>
              <w:right w:val="single" w:sz="6" w:space="0" w:color="000000"/>
            </w:tcBorders>
          </w:tcPr>
          <w:p>
            <w:pP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3"/>
              <w:jc w:val="left"/>
              <w:rPr>
                <w:rFonts w:ascii="宋体" w:hAnsi="宋体" w:cs="宋体" w:eastAsia="宋体" w:hint="default"/>
                <w:sz w:val="18"/>
                <w:szCs w:val="18"/>
              </w:rPr>
            </w:pPr>
            <w:r>
              <w:rPr>
                <w:rFonts w:ascii="宋体" w:hAnsi="宋体" w:cs="宋体" w:eastAsia="宋体" w:hint="default"/>
                <w:sz w:val="18"/>
                <w:szCs w:val="18"/>
              </w:rPr>
              <w:t>神州数码（中国）有限公 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100,000,000.00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2017/8/10</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left"/>
              <w:rPr>
                <w:rFonts w:ascii="宋体" w:hAnsi="宋体" w:cs="宋体" w:eastAsia="宋体" w:hint="default"/>
                <w:sz w:val="18"/>
                <w:szCs w:val="18"/>
              </w:rPr>
            </w:pPr>
            <w:r>
              <w:rPr>
                <w:rFonts w:ascii="宋体" w:hAnsi="宋体" w:cs="宋体" w:eastAsia="宋体" w:hint="default"/>
                <w:sz w:val="18"/>
                <w:szCs w:val="18"/>
              </w:rPr>
              <w:t>神州数码</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100,000,000.00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2017/9/5</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20" w:right="81" w:hanging="541"/>
              <w:jc w:val="left"/>
              <w:rPr>
                <w:rFonts w:ascii="宋体" w:hAnsi="宋体" w:cs="宋体" w:eastAsia="宋体" w:hint="default"/>
                <w:sz w:val="18"/>
                <w:szCs w:val="18"/>
              </w:rPr>
            </w:pPr>
            <w:r>
              <w:rPr>
                <w:rFonts w:ascii="宋体" w:hAnsi="宋体" w:cs="宋体" w:eastAsia="宋体" w:hint="default"/>
                <w:sz w:val="18"/>
                <w:szCs w:val="18"/>
              </w:rPr>
              <w:t>主债权发生期间届满之 日起两年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816"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神州数码</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100,000,000.00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2017/11/29</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22"/>
              <w:ind w:left="80" w:right="81"/>
              <w:jc w:val="center"/>
              <w:rPr>
                <w:rFonts w:ascii="宋体" w:hAnsi="宋体" w:cs="宋体" w:eastAsia="宋体" w:hint="default"/>
                <w:sz w:val="18"/>
                <w:szCs w:val="18"/>
              </w:rPr>
            </w:pPr>
            <w:r>
              <w:rPr>
                <w:rFonts w:ascii="宋体" w:hAnsi="宋体" w:cs="宋体" w:eastAsia="宋体" w:hint="default"/>
                <w:sz w:val="18"/>
                <w:szCs w:val="18"/>
              </w:rPr>
              <w:t>主合同项下最后到期主 债务履行期限届满之日 后两年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815"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left="3" w:right="0"/>
              <w:jc w:val="left"/>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神州数码</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100,000,000.00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2017/11/29</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22"/>
              <w:ind w:left="80" w:right="81"/>
              <w:jc w:val="center"/>
              <w:rPr>
                <w:rFonts w:ascii="宋体" w:hAnsi="宋体" w:cs="宋体" w:eastAsia="宋体" w:hint="default"/>
                <w:sz w:val="18"/>
                <w:szCs w:val="18"/>
              </w:rPr>
            </w:pPr>
            <w:r>
              <w:rPr>
                <w:rFonts w:ascii="宋体" w:hAnsi="宋体" w:cs="宋体" w:eastAsia="宋体" w:hint="default"/>
                <w:sz w:val="18"/>
                <w:szCs w:val="18"/>
              </w:rPr>
              <w:t>主合同项下最后到期主 债务履行期限届满之日 后两年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left"/>
              <w:rPr>
                <w:rFonts w:ascii="宋体" w:hAnsi="宋体" w:cs="宋体" w:eastAsia="宋体" w:hint="default"/>
                <w:sz w:val="18"/>
                <w:szCs w:val="18"/>
              </w:rPr>
            </w:pPr>
            <w:r>
              <w:rPr>
                <w:rFonts w:ascii="宋体" w:hAnsi="宋体" w:cs="宋体" w:eastAsia="宋体" w:hint="default"/>
                <w:sz w:val="18"/>
                <w:szCs w:val="18"/>
              </w:rPr>
              <w:t>神州数码</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100,000,000.00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2018/1/5</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2018/7/5</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left"/>
              <w:rPr>
                <w:rFonts w:ascii="宋体" w:hAnsi="宋体" w:cs="宋体" w:eastAsia="宋体" w:hint="default"/>
                <w:sz w:val="18"/>
                <w:szCs w:val="18"/>
              </w:rPr>
            </w:pPr>
            <w:r>
              <w:rPr>
                <w:rFonts w:ascii="宋体" w:hAnsi="宋体" w:cs="宋体" w:eastAsia="宋体" w:hint="default"/>
                <w:sz w:val="18"/>
                <w:szCs w:val="18"/>
              </w:rPr>
              <w:t>神州数码</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100,000,000.00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2018/1/5</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16"/>
              <w:jc w:val="left"/>
              <w:rPr>
                <w:rFonts w:ascii="宋体" w:hAnsi="宋体" w:cs="宋体" w:eastAsia="宋体" w:hint="default"/>
                <w:sz w:val="18"/>
                <w:szCs w:val="18"/>
              </w:rPr>
            </w:pPr>
            <w:r>
              <w:rPr>
                <w:rFonts w:ascii="宋体" w:hAnsi="宋体" w:cs="宋体" w:eastAsia="宋体" w:hint="default"/>
                <w:spacing w:val="17"/>
                <w:sz w:val="18"/>
                <w:szCs w:val="18"/>
              </w:rPr>
              <w:t>广州神州数码信息科技</w:t>
            </w:r>
            <w:r>
              <w:rPr>
                <w:rFonts w:ascii="宋体" w:hAnsi="宋体" w:cs="宋体" w:eastAsia="宋体" w:hint="default"/>
                <w:spacing w:val="-71"/>
                <w:sz w:val="18"/>
                <w:szCs w:val="18"/>
              </w:rPr>
              <w:t> </w:t>
            </w:r>
            <w:r>
              <w:rPr>
                <w:rFonts w:ascii="宋体" w:hAnsi="宋体" w:cs="宋体" w:eastAsia="宋体" w:hint="default"/>
                <w:sz w:val="18"/>
                <w:szCs w:val="18"/>
              </w:rPr>
              <w:t>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100,000,000.00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2018/3/9</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0" w:right="81"/>
              <w:jc w:val="left"/>
              <w:rPr>
                <w:rFonts w:ascii="宋体" w:hAnsi="宋体" w:cs="宋体" w:eastAsia="宋体" w:hint="default"/>
                <w:sz w:val="18"/>
                <w:szCs w:val="18"/>
              </w:rPr>
            </w:pPr>
            <w:r>
              <w:rPr>
                <w:rFonts w:ascii="宋体" w:hAnsi="宋体" w:cs="宋体" w:eastAsia="宋体" w:hint="default"/>
                <w:sz w:val="18"/>
                <w:szCs w:val="18"/>
              </w:rPr>
              <w:t>自主合同债务人履行债 务期限届满之日起两年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5"/>
              <w:ind w:left="3" w:right="0"/>
              <w:jc w:val="left"/>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5"/>
              <w:ind w:left="2" w:right="-16"/>
              <w:jc w:val="left"/>
              <w:rPr>
                <w:rFonts w:ascii="宋体" w:hAnsi="宋体" w:cs="宋体" w:eastAsia="宋体" w:hint="default"/>
                <w:sz w:val="18"/>
                <w:szCs w:val="18"/>
              </w:rPr>
            </w:pPr>
            <w:r>
              <w:rPr>
                <w:rFonts w:ascii="宋体" w:hAnsi="宋体" w:cs="宋体" w:eastAsia="宋体" w:hint="default"/>
                <w:spacing w:val="17"/>
                <w:sz w:val="18"/>
                <w:szCs w:val="18"/>
              </w:rPr>
              <w:t>广州神州数码信息科技</w:t>
            </w:r>
            <w:r>
              <w:rPr>
                <w:rFonts w:ascii="宋体" w:hAnsi="宋体" w:cs="宋体" w:eastAsia="宋体" w:hint="default"/>
                <w:spacing w:val="-71"/>
                <w:sz w:val="18"/>
                <w:szCs w:val="18"/>
              </w:rPr>
              <w:t> </w:t>
            </w:r>
            <w:r>
              <w:rPr>
                <w:rFonts w:ascii="宋体" w:hAnsi="宋体" w:cs="宋体" w:eastAsia="宋体" w:hint="default"/>
                <w:sz w:val="18"/>
                <w:szCs w:val="18"/>
              </w:rPr>
              <w:t>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100,000,000.00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2018/3/9</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5"/>
              <w:ind w:left="80" w:right="81"/>
              <w:jc w:val="left"/>
              <w:rPr>
                <w:rFonts w:ascii="宋体" w:hAnsi="宋体" w:cs="宋体" w:eastAsia="宋体" w:hint="default"/>
                <w:sz w:val="18"/>
                <w:szCs w:val="18"/>
              </w:rPr>
            </w:pPr>
            <w:r>
              <w:rPr>
                <w:rFonts w:ascii="宋体" w:hAnsi="宋体" w:cs="宋体" w:eastAsia="宋体" w:hint="default"/>
                <w:sz w:val="18"/>
                <w:szCs w:val="18"/>
              </w:rPr>
              <w:t>自主合同债务人履行债 务期限届满之日起两年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5"/>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left"/>
              <w:rPr>
                <w:rFonts w:ascii="宋体" w:hAnsi="宋体" w:cs="宋体" w:eastAsia="宋体" w:hint="default"/>
                <w:sz w:val="18"/>
                <w:szCs w:val="18"/>
              </w:rPr>
            </w:pPr>
            <w:r>
              <w:rPr>
                <w:rFonts w:ascii="宋体" w:hAnsi="宋体" w:cs="宋体" w:eastAsia="宋体" w:hint="default"/>
                <w:sz w:val="18"/>
                <w:szCs w:val="18"/>
              </w:rPr>
              <w:t>神州数码</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100,000,000.00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2018/3/13</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2018/8/16</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81"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left="2" w:right="0"/>
              <w:jc w:val="left"/>
              <w:rPr>
                <w:rFonts w:ascii="宋体" w:hAnsi="宋体" w:cs="宋体" w:eastAsia="宋体" w:hint="default"/>
                <w:sz w:val="18"/>
                <w:szCs w:val="18"/>
              </w:rPr>
            </w:pPr>
            <w:r>
              <w:rPr>
                <w:rFonts w:ascii="宋体" w:hAnsi="宋体" w:cs="宋体" w:eastAsia="宋体" w:hint="default"/>
                <w:sz w:val="18"/>
                <w:szCs w:val="18"/>
              </w:rPr>
              <w:t>神州数码</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100,000,000.00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2018/4/8</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710" w:right="81" w:hanging="631"/>
              <w:jc w:val="left"/>
              <w:rPr>
                <w:rFonts w:ascii="宋体" w:hAnsi="宋体" w:cs="宋体" w:eastAsia="宋体" w:hint="default"/>
                <w:sz w:val="18"/>
                <w:szCs w:val="18"/>
              </w:rPr>
            </w:pPr>
            <w:r>
              <w:rPr>
                <w:rFonts w:ascii="宋体" w:hAnsi="宋体" w:cs="宋体" w:eastAsia="宋体" w:hint="default"/>
                <w:sz w:val="18"/>
                <w:szCs w:val="18"/>
              </w:rPr>
              <w:t>履行债务期限届满之日 起两年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left"/>
              <w:rPr>
                <w:rFonts w:ascii="宋体" w:hAnsi="宋体" w:cs="宋体" w:eastAsia="宋体" w:hint="default"/>
                <w:sz w:val="18"/>
                <w:szCs w:val="18"/>
              </w:rPr>
            </w:pPr>
            <w:r>
              <w:rPr>
                <w:rFonts w:ascii="宋体" w:hAnsi="宋体" w:cs="宋体" w:eastAsia="宋体" w:hint="default"/>
                <w:sz w:val="18"/>
                <w:szCs w:val="18"/>
              </w:rPr>
              <w:t>神州数码</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100,000,000.00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2018/6/13</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60" w:right="81" w:hanging="181"/>
              <w:jc w:val="left"/>
              <w:rPr>
                <w:rFonts w:ascii="宋体" w:hAnsi="宋体" w:cs="宋体" w:eastAsia="宋体" w:hint="default"/>
                <w:sz w:val="18"/>
                <w:szCs w:val="18"/>
              </w:rPr>
            </w:pPr>
            <w:r>
              <w:rPr>
                <w:rFonts w:ascii="宋体" w:hAnsi="宋体" w:cs="宋体" w:eastAsia="宋体" w:hint="default"/>
                <w:sz w:val="18"/>
                <w:szCs w:val="18"/>
              </w:rPr>
              <w:t>主合同项下债务履行期 限届满之日起两年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816"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left="2" w:right="3"/>
              <w:jc w:val="left"/>
              <w:rPr>
                <w:rFonts w:ascii="宋体" w:hAnsi="宋体" w:cs="宋体" w:eastAsia="宋体" w:hint="default"/>
                <w:sz w:val="18"/>
                <w:szCs w:val="18"/>
              </w:rPr>
            </w:pPr>
            <w:r>
              <w:rPr>
                <w:rFonts w:ascii="宋体" w:hAnsi="宋体" w:cs="宋体" w:eastAsia="宋体" w:hint="default"/>
                <w:sz w:val="18"/>
                <w:szCs w:val="18"/>
              </w:rPr>
              <w:t>神州数码（中国）有限公 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100,000,000.00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2018/9/6</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0" w:right="81"/>
              <w:jc w:val="center"/>
              <w:rPr>
                <w:rFonts w:ascii="宋体" w:hAnsi="宋体" w:cs="宋体" w:eastAsia="宋体" w:hint="default"/>
                <w:sz w:val="18"/>
                <w:szCs w:val="18"/>
              </w:rPr>
            </w:pPr>
            <w:r>
              <w:rPr>
                <w:rFonts w:ascii="宋体" w:hAnsi="宋体" w:cs="宋体" w:eastAsia="宋体" w:hint="default"/>
                <w:sz w:val="18"/>
                <w:szCs w:val="18"/>
              </w:rPr>
              <w:t>担保合同生效之日至主 合同项下债务到期后满 两年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16"/>
              <w:jc w:val="left"/>
              <w:rPr>
                <w:rFonts w:ascii="宋体" w:hAnsi="宋体" w:cs="宋体" w:eastAsia="宋体" w:hint="default"/>
                <w:sz w:val="18"/>
                <w:szCs w:val="18"/>
              </w:rPr>
            </w:pPr>
            <w:r>
              <w:rPr>
                <w:rFonts w:ascii="宋体" w:hAnsi="宋体" w:cs="宋体" w:eastAsia="宋体" w:hint="default"/>
                <w:spacing w:val="17"/>
                <w:sz w:val="18"/>
                <w:szCs w:val="18"/>
              </w:rPr>
              <w:t>广州神州数码信息科技</w:t>
            </w:r>
            <w:r>
              <w:rPr>
                <w:rFonts w:ascii="宋体" w:hAnsi="宋体" w:cs="宋体" w:eastAsia="宋体" w:hint="default"/>
                <w:spacing w:val="-71"/>
                <w:sz w:val="18"/>
                <w:szCs w:val="18"/>
              </w:rPr>
              <w:t> </w:t>
            </w:r>
            <w:r>
              <w:rPr>
                <w:rFonts w:ascii="宋体" w:hAnsi="宋体" w:cs="宋体" w:eastAsia="宋体" w:hint="default"/>
                <w:sz w:val="18"/>
                <w:szCs w:val="18"/>
              </w:rPr>
              <w:t>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75,000,000.00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2017/1/10</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2018/3/9</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4"/>
              <w:ind w:left="3" w:right="0"/>
              <w:jc w:val="left"/>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4"/>
              <w:ind w:left="2" w:right="-16"/>
              <w:jc w:val="left"/>
              <w:rPr>
                <w:rFonts w:ascii="宋体" w:hAnsi="宋体" w:cs="宋体" w:eastAsia="宋体" w:hint="default"/>
                <w:sz w:val="18"/>
                <w:szCs w:val="18"/>
              </w:rPr>
            </w:pPr>
            <w:r>
              <w:rPr>
                <w:rFonts w:ascii="宋体" w:hAnsi="宋体" w:cs="宋体" w:eastAsia="宋体" w:hint="default"/>
                <w:spacing w:val="17"/>
                <w:sz w:val="18"/>
                <w:szCs w:val="18"/>
              </w:rPr>
              <w:t>广州神州数码信息科技</w:t>
            </w:r>
            <w:r>
              <w:rPr>
                <w:rFonts w:ascii="宋体" w:hAnsi="宋体" w:cs="宋体" w:eastAsia="宋体" w:hint="default"/>
                <w:spacing w:val="-71"/>
                <w:sz w:val="18"/>
                <w:szCs w:val="18"/>
              </w:rPr>
              <w:t> </w:t>
            </w:r>
            <w:r>
              <w:rPr>
                <w:rFonts w:ascii="宋体" w:hAnsi="宋体" w:cs="宋体" w:eastAsia="宋体" w:hint="default"/>
                <w:sz w:val="18"/>
                <w:szCs w:val="18"/>
              </w:rPr>
              <w:t>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75,000,000.00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2017/1/10</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2018/3/9</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81"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left"/>
              <w:rPr>
                <w:rFonts w:ascii="宋体" w:hAnsi="宋体" w:cs="宋体" w:eastAsia="宋体" w:hint="default"/>
                <w:sz w:val="18"/>
                <w:szCs w:val="18"/>
              </w:rPr>
            </w:pPr>
            <w:r>
              <w:rPr>
                <w:rFonts w:ascii="宋体" w:hAnsi="宋体" w:cs="宋体" w:eastAsia="宋体" w:hint="default"/>
                <w:sz w:val="18"/>
                <w:szCs w:val="18"/>
              </w:rPr>
              <w:t>神州数码</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72,000,000.00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2017/6/20</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16"/>
              <w:jc w:val="left"/>
              <w:rPr>
                <w:rFonts w:ascii="宋体" w:hAnsi="宋体" w:cs="宋体" w:eastAsia="宋体" w:hint="default"/>
                <w:sz w:val="18"/>
                <w:szCs w:val="18"/>
              </w:rPr>
            </w:pPr>
            <w:r>
              <w:rPr>
                <w:rFonts w:ascii="宋体" w:hAnsi="宋体" w:cs="宋体" w:eastAsia="宋体" w:hint="default"/>
                <w:spacing w:val="17"/>
                <w:sz w:val="18"/>
                <w:szCs w:val="18"/>
              </w:rPr>
              <w:t>神州数码澳门离岸商业</w:t>
            </w:r>
            <w:r>
              <w:rPr>
                <w:rFonts w:ascii="宋体" w:hAnsi="宋体" w:cs="宋体" w:eastAsia="宋体" w:hint="default"/>
                <w:spacing w:val="-71"/>
                <w:sz w:val="18"/>
                <w:szCs w:val="18"/>
              </w:rPr>
              <w:t> </w:t>
            </w:r>
            <w:r>
              <w:rPr>
                <w:rFonts w:ascii="宋体" w:hAnsi="宋体" w:cs="宋体" w:eastAsia="宋体" w:hint="default"/>
                <w:sz w:val="18"/>
                <w:szCs w:val="18"/>
              </w:rPr>
              <w:t>服务有限公司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68,361,540.00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2016/9/30</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2018/10/20</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82"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3"/>
              <w:jc w:val="left"/>
              <w:rPr>
                <w:rFonts w:ascii="宋体" w:hAnsi="宋体" w:cs="宋体" w:eastAsia="宋体" w:hint="default"/>
                <w:sz w:val="18"/>
                <w:szCs w:val="18"/>
              </w:rPr>
            </w:pPr>
            <w:r>
              <w:rPr>
                <w:rFonts w:ascii="宋体" w:hAnsi="宋体" w:cs="宋体" w:eastAsia="宋体" w:hint="default"/>
                <w:sz w:val="18"/>
                <w:szCs w:val="18"/>
              </w:rPr>
              <w:t>神州数码（中国）有限公 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55,000,000.00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2018/11/27</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10" w:right="81" w:hanging="631"/>
              <w:jc w:val="left"/>
              <w:rPr>
                <w:rFonts w:ascii="宋体" w:hAnsi="宋体" w:cs="宋体" w:eastAsia="宋体" w:hint="default"/>
                <w:sz w:val="18"/>
                <w:szCs w:val="18"/>
              </w:rPr>
            </w:pPr>
            <w:r>
              <w:rPr>
                <w:rFonts w:ascii="宋体" w:hAnsi="宋体" w:cs="宋体" w:eastAsia="宋体" w:hint="default"/>
                <w:sz w:val="18"/>
                <w:szCs w:val="18"/>
              </w:rPr>
              <w:t>债务履行期限届满之日 起两年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816" w:hRule="exact"/>
        </w:trPr>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both"/>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公司、北京神州数码有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限公司</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上海神州数码有限公司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50,000,000.00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2018/7/6</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0" w:right="81"/>
              <w:jc w:val="center"/>
              <w:rPr>
                <w:rFonts w:ascii="宋体" w:hAnsi="宋体" w:cs="宋体" w:eastAsia="宋体" w:hint="default"/>
                <w:sz w:val="18"/>
                <w:szCs w:val="18"/>
              </w:rPr>
            </w:pPr>
            <w:r>
              <w:rPr>
                <w:rFonts w:ascii="宋体" w:hAnsi="宋体" w:cs="宋体" w:eastAsia="宋体" w:hint="default"/>
                <w:sz w:val="18"/>
                <w:szCs w:val="18"/>
              </w:rPr>
              <w:t>主合同项下被担保债务 的履行期届满之后两年 止。</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6"/>
        <w:rPr>
          <w:rFonts w:ascii="Times New Roman" w:hAnsi="Times New Roman" w:cs="Times New Roman" w:eastAsia="Times New Roman" w:hint="default"/>
          <w:sz w:val="18"/>
          <w:szCs w:val="18"/>
        </w:rPr>
      </w:pPr>
    </w:p>
    <w:p>
      <w:pPr>
        <w:pStyle w:val="BodyText"/>
        <w:spacing w:line="264" w:lineRule="auto" w:before="44"/>
        <w:ind w:left="514" w:right="0" w:hanging="360"/>
        <w:jc w:val="left"/>
      </w:pPr>
      <w:r>
        <w:rPr>
          <w:rFonts w:ascii="Times New Roman" w:hAnsi="Times New Roman" w:cs="Times New Roman" w:eastAsia="Times New Roman" w:hint="default"/>
        </w:rPr>
        <w:t>3</w:t>
      </w:r>
      <w:r>
        <w:rPr/>
        <w:t>、关联方商标授权使用 </w:t>
      </w:r>
      <w:r>
        <w:rPr>
          <w:spacing w:val="-2"/>
        </w:rPr>
        <w:t>根据神码中国与神州控股订立的若干商标许可使用协议，神码中国授权神州控股使用若干商标。自授权神州控股使用该</w:t>
      </w:r>
    </w:p>
    <w:p>
      <w:pPr>
        <w:pStyle w:val="BodyText"/>
        <w:spacing w:line="216" w:lineRule="exact"/>
        <w:ind w:right="0"/>
        <w:jc w:val="left"/>
      </w:pPr>
      <w:r>
        <w:rPr/>
        <w:t>等商标以来，相关许可使用费用获神码中国豁免。</w:t>
      </w:r>
    </w:p>
    <w:p>
      <w:pPr>
        <w:spacing w:after="0" w:line="216" w:lineRule="exact"/>
        <w:jc w:val="left"/>
        <w:sectPr>
          <w:pgSz w:w="11910" w:h="16840"/>
          <w:pgMar w:header="877" w:footer="979" w:top="1100" w:bottom="1160" w:left="980" w:right="0"/>
        </w:sectPr>
      </w:pPr>
    </w:p>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6、关联方应收应付款项" w:id="367"/>
      <w:bookmarkEnd w:id="367"/>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bookmarkStart w:name="（1）应收项目" w:id="368"/>
      <w:bookmarkEnd w:id="368"/>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323"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57"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20"/>
              <w:jc w:val="left"/>
              <w:rPr>
                <w:rFonts w:ascii="宋体" w:hAnsi="宋体" w:cs="宋体" w:eastAsia="宋体" w:hint="default"/>
                <w:sz w:val="18"/>
                <w:szCs w:val="18"/>
              </w:rPr>
            </w:pPr>
            <w:r>
              <w:rPr>
                <w:rFonts w:ascii="宋体" w:hAnsi="宋体" w:cs="宋体" w:eastAsia="宋体" w:hint="default"/>
                <w:sz w:val="18"/>
                <w:szCs w:val="18"/>
              </w:rPr>
              <w:t>深圳科捷电商供应 链有限公司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22,108,472.24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2,230,662.72</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20"/>
              <w:jc w:val="left"/>
              <w:rPr>
                <w:rFonts w:ascii="宋体" w:hAnsi="宋体" w:cs="宋体" w:eastAsia="宋体" w:hint="default"/>
                <w:sz w:val="18"/>
                <w:szCs w:val="18"/>
              </w:rPr>
            </w:pPr>
            <w:r>
              <w:rPr>
                <w:rFonts w:ascii="宋体" w:hAnsi="宋体" w:cs="宋体" w:eastAsia="宋体" w:hint="default"/>
                <w:sz w:val="18"/>
                <w:szCs w:val="18"/>
              </w:rPr>
              <w:t>神州数码系统集成 服务有限公司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5,858,814.84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5,431,686.06</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20"/>
              <w:jc w:val="left"/>
              <w:rPr>
                <w:rFonts w:ascii="宋体" w:hAnsi="宋体" w:cs="宋体" w:eastAsia="宋体" w:hint="default"/>
                <w:sz w:val="18"/>
                <w:szCs w:val="18"/>
              </w:rPr>
            </w:pPr>
            <w:r>
              <w:rPr>
                <w:rFonts w:ascii="宋体" w:hAnsi="宋体" w:cs="宋体" w:eastAsia="宋体" w:hint="default"/>
                <w:sz w:val="18"/>
                <w:szCs w:val="18"/>
              </w:rPr>
              <w:t>神州数码融信软件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6,667.36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3,184,132.13</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20"/>
              <w:jc w:val="left"/>
              <w:rPr>
                <w:rFonts w:ascii="宋体" w:hAnsi="宋体" w:cs="宋体" w:eastAsia="宋体" w:hint="default"/>
                <w:sz w:val="18"/>
                <w:szCs w:val="18"/>
              </w:rPr>
            </w:pPr>
            <w:r>
              <w:rPr>
                <w:rFonts w:ascii="宋体" w:hAnsi="宋体" w:cs="宋体" w:eastAsia="宋体" w:hint="default"/>
                <w:sz w:val="18"/>
                <w:szCs w:val="18"/>
              </w:rPr>
              <w:t>北京科捷物流有限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183.73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355.03</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20"/>
              <w:jc w:val="left"/>
              <w:rPr>
                <w:rFonts w:ascii="宋体" w:hAnsi="宋体" w:cs="宋体" w:eastAsia="宋体" w:hint="default"/>
                <w:sz w:val="18"/>
                <w:szCs w:val="18"/>
              </w:rPr>
            </w:pPr>
            <w:r>
              <w:rPr>
                <w:rFonts w:ascii="宋体" w:hAnsi="宋体" w:cs="宋体" w:eastAsia="宋体" w:hint="default"/>
                <w:sz w:val="18"/>
                <w:szCs w:val="18"/>
              </w:rPr>
              <w:t>神州数码信息系统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4,034,708.28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1,197,198.60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20"/>
              <w:jc w:val="left"/>
              <w:rPr>
                <w:rFonts w:ascii="宋体" w:hAnsi="宋体" w:cs="宋体" w:eastAsia="宋体" w:hint="default"/>
                <w:sz w:val="18"/>
                <w:szCs w:val="18"/>
              </w:rPr>
            </w:pPr>
            <w:r>
              <w:rPr>
                <w:rFonts w:ascii="宋体" w:hAnsi="宋体" w:cs="宋体" w:eastAsia="宋体" w:hint="default"/>
                <w:sz w:val="18"/>
                <w:szCs w:val="18"/>
              </w:rPr>
              <w:t>神州数码融信云技 术服务有限公司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406,515.90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2"/>
              <w:jc w:val="left"/>
              <w:rPr>
                <w:rFonts w:ascii="宋体" w:hAnsi="宋体" w:cs="宋体" w:eastAsia="宋体" w:hint="default"/>
                <w:sz w:val="18"/>
                <w:szCs w:val="18"/>
              </w:rPr>
            </w:pPr>
            <w:r>
              <w:rPr>
                <w:rFonts w:ascii="宋体" w:hAnsi="宋体" w:cs="宋体" w:eastAsia="宋体" w:hint="default"/>
                <w:spacing w:val="-10"/>
                <w:sz w:val="18"/>
                <w:szCs w:val="18"/>
              </w:rPr>
              <w:t>智慧神州（北京）科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技有限公司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589,890.00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633,295.58</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20"/>
              <w:jc w:val="left"/>
              <w:rPr>
                <w:rFonts w:ascii="宋体" w:hAnsi="宋体" w:cs="宋体" w:eastAsia="宋体" w:hint="default"/>
                <w:sz w:val="18"/>
                <w:szCs w:val="18"/>
              </w:rPr>
            </w:pPr>
            <w:r>
              <w:rPr>
                <w:rFonts w:ascii="宋体" w:hAnsi="宋体" w:cs="宋体" w:eastAsia="宋体" w:hint="default"/>
                <w:sz w:val="18"/>
                <w:szCs w:val="18"/>
              </w:rPr>
              <w:t>神州数码信息服务 股份有限公司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2,404.56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13,144,022.96</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3"/>
              <w:ind w:left="22" w:right="120"/>
              <w:jc w:val="left"/>
              <w:rPr>
                <w:rFonts w:ascii="宋体" w:hAnsi="宋体" w:cs="宋体" w:eastAsia="宋体" w:hint="default"/>
                <w:sz w:val="18"/>
                <w:szCs w:val="18"/>
              </w:rPr>
            </w:pPr>
            <w:r>
              <w:rPr>
                <w:rFonts w:ascii="宋体" w:hAnsi="宋体" w:cs="宋体" w:eastAsia="宋体" w:hint="default"/>
                <w:sz w:val="18"/>
                <w:szCs w:val="18"/>
              </w:rPr>
              <w:t>北京神州数码科捷 技术服务有限公司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19,420.00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23,025.84</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120"/>
              <w:jc w:val="left"/>
              <w:rPr>
                <w:rFonts w:ascii="宋体" w:hAnsi="宋体" w:cs="宋体" w:eastAsia="宋体" w:hint="default"/>
                <w:sz w:val="18"/>
                <w:szCs w:val="18"/>
              </w:rPr>
            </w:pPr>
            <w:r>
              <w:rPr>
                <w:rFonts w:ascii="宋体" w:hAnsi="宋体" w:cs="宋体" w:eastAsia="宋体" w:hint="default"/>
                <w:sz w:val="18"/>
                <w:szCs w:val="18"/>
              </w:rPr>
              <w:t>北京中农信达信息 技术有限公司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605,774.00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619,909.84</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120"/>
              <w:jc w:val="both"/>
              <w:rPr>
                <w:rFonts w:ascii="宋体" w:hAnsi="宋体" w:cs="宋体" w:eastAsia="宋体" w:hint="default"/>
                <w:sz w:val="18"/>
                <w:szCs w:val="18"/>
              </w:rPr>
            </w:pPr>
            <w:r>
              <w:rPr>
                <w:rFonts w:ascii="宋体" w:hAnsi="宋体" w:cs="宋体" w:eastAsia="宋体" w:hint="default"/>
                <w:sz w:val="18"/>
                <w:szCs w:val="18"/>
              </w:rPr>
              <w:t>北京神州数码锐行 快捷信息技术服务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216,555.50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128,738.30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20"/>
              <w:jc w:val="left"/>
              <w:rPr>
                <w:rFonts w:ascii="宋体" w:hAnsi="宋体" w:cs="宋体" w:eastAsia="宋体" w:hint="default"/>
                <w:sz w:val="18"/>
                <w:szCs w:val="18"/>
              </w:rPr>
            </w:pPr>
            <w:r>
              <w:rPr>
                <w:rFonts w:ascii="宋体" w:hAnsi="宋体" w:cs="宋体" w:eastAsia="宋体" w:hint="default"/>
                <w:sz w:val="18"/>
                <w:szCs w:val="18"/>
              </w:rPr>
              <w:t>广州智慧神州科技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93.27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20"/>
              <w:jc w:val="left"/>
              <w:rPr>
                <w:rFonts w:ascii="宋体" w:hAnsi="宋体" w:cs="宋体" w:eastAsia="宋体" w:hint="default"/>
                <w:sz w:val="18"/>
                <w:szCs w:val="18"/>
              </w:rPr>
            </w:pPr>
            <w:r>
              <w:rPr>
                <w:rFonts w:ascii="宋体" w:hAnsi="宋体" w:cs="宋体" w:eastAsia="宋体" w:hint="default"/>
                <w:sz w:val="18"/>
                <w:szCs w:val="18"/>
              </w:rPr>
              <w:t>上海科捷物流有限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228.75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2,029.44</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20"/>
              <w:jc w:val="left"/>
              <w:rPr>
                <w:rFonts w:ascii="宋体" w:hAnsi="宋体" w:cs="宋体" w:eastAsia="宋体" w:hint="default"/>
                <w:sz w:val="18"/>
                <w:szCs w:val="18"/>
              </w:rPr>
            </w:pPr>
            <w:r>
              <w:rPr>
                <w:rFonts w:ascii="宋体" w:hAnsi="宋体" w:cs="宋体" w:eastAsia="宋体" w:hint="default"/>
                <w:sz w:val="18"/>
                <w:szCs w:val="18"/>
              </w:rPr>
              <w:t>神州数码软件有限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20,270.60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19,742.63</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2"/>
              <w:jc w:val="left"/>
              <w:rPr>
                <w:rFonts w:ascii="宋体" w:hAnsi="宋体" w:cs="宋体" w:eastAsia="宋体" w:hint="default"/>
                <w:sz w:val="18"/>
                <w:szCs w:val="18"/>
              </w:rPr>
            </w:pPr>
            <w:r>
              <w:rPr>
                <w:rFonts w:ascii="宋体" w:hAnsi="宋体" w:cs="宋体" w:eastAsia="宋体" w:hint="default"/>
                <w:spacing w:val="-10"/>
                <w:sz w:val="18"/>
                <w:szCs w:val="18"/>
              </w:rPr>
              <w:t>神州企橙（北京）科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技有限公司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587.23</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神州投资有限公司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270,704.02</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20"/>
              <w:jc w:val="left"/>
              <w:rPr>
                <w:rFonts w:ascii="宋体" w:hAnsi="宋体" w:cs="宋体" w:eastAsia="宋体" w:hint="default"/>
                <w:sz w:val="18"/>
                <w:szCs w:val="18"/>
              </w:rPr>
            </w:pPr>
            <w:r>
              <w:rPr>
                <w:rFonts w:ascii="宋体" w:hAnsi="宋体" w:cs="宋体" w:eastAsia="宋体" w:hint="default"/>
                <w:sz w:val="18"/>
                <w:szCs w:val="18"/>
              </w:rPr>
              <w:t>神州数码商业保理 有限责任公司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144,160.18</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186"/>
              <w:jc w:val="left"/>
              <w:rPr>
                <w:rFonts w:ascii="Times New Roman" w:hAnsi="Times New Roman" w:cs="Times New Roman" w:eastAsia="Times New Roman" w:hint="default"/>
                <w:sz w:val="18"/>
                <w:szCs w:val="18"/>
              </w:rPr>
            </w:pPr>
            <w:r>
              <w:rPr>
                <w:rFonts w:ascii="Times New Roman"/>
                <w:sz w:val="18"/>
              </w:rPr>
              <w:t>Digital</w:t>
            </w:r>
            <w:r>
              <w:rPr>
                <w:rFonts w:ascii="Times New Roman"/>
                <w:spacing w:val="-1"/>
                <w:sz w:val="18"/>
              </w:rPr>
              <w:t> </w:t>
            </w:r>
            <w:r>
              <w:rPr>
                <w:rFonts w:ascii="Times New Roman"/>
                <w:sz w:val="18"/>
              </w:rPr>
              <w:t>China</w:t>
            </w:r>
            <w:r>
              <w:rPr>
                <w:rFonts w:ascii="Times New Roman"/>
                <w:w w:val="99"/>
                <w:sz w:val="18"/>
              </w:rPr>
              <w:t> </w:t>
            </w:r>
            <w:r>
              <w:rPr>
                <w:rFonts w:ascii="Times New Roman"/>
                <w:sz w:val="18"/>
              </w:rPr>
              <w:t>Advanced</w:t>
            </w:r>
            <w:r>
              <w:rPr>
                <w:rFonts w:ascii="Times New Roman"/>
                <w:spacing w:val="-3"/>
                <w:sz w:val="18"/>
              </w:rPr>
              <w:t> </w:t>
            </w:r>
            <w:r>
              <w:rPr>
                <w:rFonts w:ascii="Times New Roman"/>
                <w:sz w:val="18"/>
              </w:rPr>
              <w:t>Systems</w:t>
            </w:r>
            <w:r>
              <w:rPr>
                <w:rFonts w:ascii="Times New Roman"/>
                <w:w w:val="99"/>
                <w:sz w:val="18"/>
              </w:rPr>
              <w:t> </w:t>
            </w:r>
            <w:r>
              <w:rPr>
                <w:rFonts w:ascii="Times New Roman"/>
                <w:sz w:val="18"/>
              </w:rPr>
              <w:t>Limited</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133,107.40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3"/>
              <w:ind w:left="22" w:right="120"/>
              <w:jc w:val="left"/>
              <w:rPr>
                <w:rFonts w:ascii="宋体" w:hAnsi="宋体" w:cs="宋体" w:eastAsia="宋体" w:hint="default"/>
                <w:sz w:val="18"/>
                <w:szCs w:val="18"/>
              </w:rPr>
            </w:pPr>
            <w:r>
              <w:rPr>
                <w:rFonts w:ascii="宋体" w:hAnsi="宋体" w:cs="宋体" w:eastAsia="宋体" w:hint="default"/>
                <w:sz w:val="18"/>
                <w:szCs w:val="18"/>
              </w:rPr>
              <w:t>西安神州数码网络 小额贷款有限公司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2" w:right="130"/>
              <w:jc w:val="left"/>
              <w:rPr>
                <w:rFonts w:ascii="Times New Roman" w:hAnsi="Times New Roman" w:cs="Times New Roman" w:eastAsia="Times New Roman" w:hint="default"/>
                <w:sz w:val="18"/>
                <w:szCs w:val="18"/>
              </w:rPr>
            </w:pPr>
            <w:r>
              <w:rPr>
                <w:rFonts w:ascii="Times New Roman"/>
                <w:sz w:val="18"/>
              </w:rPr>
              <w:t>Instant</w:t>
            </w:r>
            <w:r>
              <w:rPr>
                <w:rFonts w:ascii="Times New Roman"/>
                <w:spacing w:val="-11"/>
                <w:sz w:val="18"/>
              </w:rPr>
              <w:t> </w:t>
            </w:r>
            <w:r>
              <w:rPr>
                <w:rFonts w:ascii="Times New Roman"/>
                <w:sz w:val="18"/>
              </w:rPr>
              <w:t>Technology</w:t>
            </w:r>
            <w:r>
              <w:rPr>
                <w:rFonts w:ascii="Times New Roman"/>
                <w:w w:val="99"/>
                <w:sz w:val="18"/>
              </w:rPr>
              <w:t> </w:t>
            </w:r>
            <w:r>
              <w:rPr>
                <w:rFonts w:ascii="Times New Roman"/>
                <w:sz w:val="18"/>
              </w:rPr>
              <w:t>Supply Chain</w:t>
            </w:r>
            <w:r>
              <w:rPr>
                <w:rFonts w:ascii="Times New Roman"/>
                <w:spacing w:val="-3"/>
                <w:sz w:val="18"/>
              </w:rPr>
              <w:t> </w:t>
            </w:r>
            <w:r>
              <w:rPr>
                <w:rFonts w:ascii="Times New Roman"/>
                <w:sz w:val="18"/>
              </w:rPr>
              <w:t>Hong</w:t>
            </w:r>
            <w:r>
              <w:rPr>
                <w:rFonts w:ascii="Times New Roman"/>
                <w:w w:val="99"/>
                <w:sz w:val="18"/>
              </w:rPr>
              <w:t> </w:t>
            </w:r>
            <w:r>
              <w:rPr>
                <w:rFonts w:ascii="Times New Roman"/>
                <w:sz w:val="18"/>
              </w:rPr>
              <w:t>Kong</w:t>
            </w:r>
            <w:r>
              <w:rPr>
                <w:rFonts w:ascii="Times New Roman"/>
                <w:spacing w:val="-1"/>
                <w:sz w:val="18"/>
              </w:rPr>
              <w:t> </w:t>
            </w:r>
            <w:r>
              <w:rPr>
                <w:rFonts w:ascii="Times New Roman"/>
                <w:sz w:val="18"/>
              </w:rPr>
              <w:t>Limited</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15,007.62</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北京胜多商贸有限</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9,950.00</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324"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83"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3"/>
              <w:ind w:left="22" w:right="22"/>
              <w:jc w:val="left"/>
              <w:rPr>
                <w:rFonts w:ascii="宋体" w:hAnsi="宋体" w:cs="宋体" w:eastAsia="宋体" w:hint="default"/>
                <w:sz w:val="18"/>
                <w:szCs w:val="18"/>
              </w:rPr>
            </w:pPr>
            <w:r>
              <w:rPr>
                <w:rFonts w:ascii="宋体" w:hAnsi="宋体" w:cs="宋体" w:eastAsia="宋体" w:hint="default"/>
                <w:spacing w:val="-10"/>
                <w:sz w:val="18"/>
                <w:szCs w:val="18"/>
              </w:rPr>
              <w:t>神州数码（南京）信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息科技有限公司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1,840.00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2" w:right="305"/>
              <w:jc w:val="left"/>
              <w:rPr>
                <w:rFonts w:ascii="Times New Roman" w:hAnsi="Times New Roman" w:cs="Times New Roman" w:eastAsia="Times New Roman" w:hint="default"/>
                <w:sz w:val="18"/>
                <w:szCs w:val="18"/>
              </w:rPr>
            </w:pPr>
            <w:r>
              <w:rPr>
                <w:rFonts w:ascii="Times New Roman"/>
                <w:sz w:val="18"/>
              </w:rPr>
              <w:t>Digital</w:t>
            </w:r>
            <w:r>
              <w:rPr>
                <w:rFonts w:ascii="Times New Roman"/>
                <w:spacing w:val="-1"/>
                <w:sz w:val="18"/>
              </w:rPr>
              <w:t> </w:t>
            </w:r>
            <w:r>
              <w:rPr>
                <w:rFonts w:ascii="Times New Roman"/>
                <w:sz w:val="18"/>
              </w:rPr>
              <w:t>China</w:t>
            </w:r>
            <w:r>
              <w:rPr>
                <w:rFonts w:ascii="Times New Roman"/>
                <w:w w:val="99"/>
                <w:sz w:val="18"/>
              </w:rPr>
              <w:t> </w:t>
            </w:r>
            <w:r>
              <w:rPr>
                <w:rFonts w:ascii="Times New Roman"/>
                <w:sz w:val="18"/>
              </w:rPr>
              <w:t>Financial</w:t>
            </w:r>
            <w:r>
              <w:rPr>
                <w:rFonts w:ascii="Times New Roman"/>
                <w:spacing w:val="-2"/>
                <w:sz w:val="18"/>
              </w:rPr>
              <w:t> </w:t>
            </w:r>
            <w:r>
              <w:rPr>
                <w:rFonts w:ascii="Times New Roman"/>
                <w:sz w:val="18"/>
              </w:rPr>
              <w:t>Service</w:t>
            </w:r>
            <w:r>
              <w:rPr>
                <w:rFonts w:ascii="Times New Roman"/>
                <w:w w:val="99"/>
                <w:sz w:val="18"/>
              </w:rPr>
              <w:t> </w:t>
            </w:r>
            <w:r>
              <w:rPr>
                <w:rFonts w:ascii="Times New Roman"/>
                <w:sz w:val="18"/>
              </w:rPr>
              <w:t>Holding</w:t>
            </w:r>
            <w:r>
              <w:rPr>
                <w:rFonts w:ascii="Times New Roman"/>
                <w:spacing w:val="-2"/>
                <w:sz w:val="18"/>
              </w:rPr>
              <w:t> </w:t>
            </w:r>
            <w:r>
              <w:rPr>
                <w:rFonts w:ascii="Times New Roman"/>
                <w:sz w:val="18"/>
              </w:rPr>
              <w:t>Limited</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301.79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413.39</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20"/>
              <w:jc w:val="left"/>
              <w:rPr>
                <w:rFonts w:ascii="宋体" w:hAnsi="宋体" w:cs="宋体" w:eastAsia="宋体" w:hint="default"/>
                <w:sz w:val="18"/>
                <w:szCs w:val="18"/>
              </w:rPr>
            </w:pPr>
            <w:r>
              <w:rPr>
                <w:rFonts w:ascii="宋体" w:hAnsi="宋体" w:cs="宋体" w:eastAsia="宋体" w:hint="default"/>
                <w:sz w:val="18"/>
                <w:szCs w:val="18"/>
              </w:rPr>
              <w:t>天津神州数码融资 租赁有限公司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284.93</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20"/>
              <w:jc w:val="left"/>
              <w:rPr>
                <w:rFonts w:ascii="宋体" w:hAnsi="宋体" w:cs="宋体" w:eastAsia="宋体" w:hint="default"/>
                <w:sz w:val="18"/>
                <w:szCs w:val="18"/>
              </w:rPr>
            </w:pPr>
            <w:r>
              <w:rPr>
                <w:rFonts w:ascii="宋体" w:hAnsi="宋体" w:cs="宋体" w:eastAsia="宋体" w:hint="default"/>
                <w:sz w:val="18"/>
                <w:szCs w:val="18"/>
              </w:rPr>
              <w:t>神州数码系统集成 服务有限公司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18,883,304.40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40,831,458.91</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20"/>
              <w:jc w:val="left"/>
              <w:rPr>
                <w:rFonts w:ascii="宋体" w:hAnsi="宋体" w:cs="宋体" w:eastAsia="宋体" w:hint="default"/>
                <w:sz w:val="18"/>
                <w:szCs w:val="18"/>
              </w:rPr>
            </w:pPr>
            <w:r>
              <w:rPr>
                <w:rFonts w:ascii="宋体" w:hAnsi="宋体" w:cs="宋体" w:eastAsia="宋体" w:hint="default"/>
                <w:sz w:val="18"/>
                <w:szCs w:val="18"/>
              </w:rPr>
              <w:t>北京神州数码置业 发展有限公司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131,714,643.42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146,500,000.00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20"/>
              <w:jc w:val="left"/>
              <w:rPr>
                <w:rFonts w:ascii="宋体" w:hAnsi="宋体" w:cs="宋体" w:eastAsia="宋体" w:hint="default"/>
                <w:sz w:val="18"/>
                <w:szCs w:val="18"/>
              </w:rPr>
            </w:pPr>
            <w:r>
              <w:rPr>
                <w:rFonts w:ascii="宋体" w:hAnsi="宋体" w:cs="宋体" w:eastAsia="宋体" w:hint="default"/>
                <w:sz w:val="18"/>
                <w:szCs w:val="18"/>
              </w:rPr>
              <w:t>北京神州数码索贝 科技有限公司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2"/>
              <w:jc w:val="left"/>
              <w:rPr>
                <w:rFonts w:ascii="宋体" w:hAnsi="宋体" w:cs="宋体" w:eastAsia="宋体" w:hint="default"/>
                <w:sz w:val="18"/>
                <w:szCs w:val="18"/>
              </w:rPr>
            </w:pPr>
            <w:r>
              <w:rPr>
                <w:rFonts w:ascii="宋体" w:hAnsi="宋体" w:cs="宋体" w:eastAsia="宋体" w:hint="default"/>
                <w:spacing w:val="-10"/>
                <w:sz w:val="18"/>
                <w:szCs w:val="18"/>
              </w:rPr>
              <w:t>神州数码（武汉）科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技园有限公司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168,125.00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168,125.00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20"/>
              <w:jc w:val="left"/>
              <w:rPr>
                <w:rFonts w:ascii="宋体" w:hAnsi="宋体" w:cs="宋体" w:eastAsia="宋体" w:hint="default"/>
                <w:sz w:val="18"/>
                <w:szCs w:val="18"/>
              </w:rPr>
            </w:pPr>
            <w:r>
              <w:rPr>
                <w:rFonts w:ascii="宋体" w:hAnsi="宋体" w:cs="宋体" w:eastAsia="宋体" w:hint="default"/>
                <w:sz w:val="18"/>
                <w:szCs w:val="18"/>
              </w:rPr>
              <w:t>神州数码系统集成 服务有限公司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20"/>
              <w:jc w:val="left"/>
              <w:rPr>
                <w:rFonts w:ascii="宋体" w:hAnsi="宋体" w:cs="宋体" w:eastAsia="宋体" w:hint="default"/>
                <w:sz w:val="18"/>
                <w:szCs w:val="18"/>
              </w:rPr>
            </w:pPr>
            <w:r>
              <w:rPr>
                <w:rFonts w:ascii="宋体" w:hAnsi="宋体" w:cs="宋体" w:eastAsia="宋体" w:hint="default"/>
                <w:sz w:val="18"/>
                <w:szCs w:val="18"/>
              </w:rPr>
              <w:t>深圳科捷物流有限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25,585.12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120"/>
              <w:jc w:val="left"/>
              <w:rPr>
                <w:rFonts w:ascii="宋体" w:hAnsi="宋体" w:cs="宋体" w:eastAsia="宋体" w:hint="default"/>
                <w:sz w:val="18"/>
                <w:szCs w:val="18"/>
              </w:rPr>
            </w:pPr>
            <w:r>
              <w:rPr>
                <w:rFonts w:ascii="宋体" w:hAnsi="宋体" w:cs="宋体" w:eastAsia="宋体" w:hint="default"/>
                <w:sz w:val="18"/>
                <w:szCs w:val="18"/>
              </w:rPr>
              <w:t>北京神州数码置业 发展有限公司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21,884,774.39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15,370,933.11</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3"/>
              <w:ind w:left="22" w:right="120"/>
              <w:jc w:val="left"/>
              <w:rPr>
                <w:rFonts w:ascii="宋体" w:hAnsi="宋体" w:cs="宋体" w:eastAsia="宋体" w:hint="default"/>
                <w:sz w:val="18"/>
                <w:szCs w:val="18"/>
              </w:rPr>
            </w:pPr>
            <w:r>
              <w:rPr>
                <w:rFonts w:ascii="宋体" w:hAnsi="宋体" w:cs="宋体" w:eastAsia="宋体" w:hint="default"/>
                <w:sz w:val="18"/>
                <w:szCs w:val="18"/>
              </w:rPr>
              <w:t>辽宁智慧山水城科 技发展有限公司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521,104.60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4,848,148.35</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120"/>
              <w:jc w:val="left"/>
              <w:rPr>
                <w:rFonts w:ascii="宋体" w:hAnsi="宋体" w:cs="宋体" w:eastAsia="宋体" w:hint="default"/>
                <w:sz w:val="18"/>
                <w:szCs w:val="18"/>
              </w:rPr>
            </w:pPr>
            <w:r>
              <w:rPr>
                <w:rFonts w:ascii="宋体" w:hAnsi="宋体" w:cs="宋体" w:eastAsia="宋体" w:hint="default"/>
                <w:sz w:val="18"/>
                <w:szCs w:val="18"/>
              </w:rPr>
              <w:t>深圳科捷物流有限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1,162,644.00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120"/>
              <w:jc w:val="both"/>
              <w:rPr>
                <w:rFonts w:ascii="宋体" w:hAnsi="宋体" w:cs="宋体" w:eastAsia="宋体" w:hint="default"/>
                <w:sz w:val="18"/>
                <w:szCs w:val="18"/>
              </w:rPr>
            </w:pPr>
            <w:r>
              <w:rPr>
                <w:rFonts w:ascii="宋体" w:hAnsi="宋体" w:cs="宋体" w:eastAsia="宋体" w:hint="default"/>
                <w:sz w:val="18"/>
                <w:szCs w:val="18"/>
              </w:rPr>
              <w:t>北京神州数码科捷 技术服务有限公司 龙岗分公司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14,863.30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20"/>
              <w:jc w:val="left"/>
              <w:rPr>
                <w:rFonts w:ascii="宋体" w:hAnsi="宋体" w:cs="宋体" w:eastAsia="宋体" w:hint="default"/>
                <w:sz w:val="18"/>
                <w:szCs w:val="18"/>
              </w:rPr>
            </w:pPr>
            <w:r>
              <w:rPr>
                <w:rFonts w:ascii="宋体" w:hAnsi="宋体" w:cs="宋体" w:eastAsia="宋体" w:hint="default"/>
                <w:sz w:val="18"/>
                <w:szCs w:val="18"/>
              </w:rPr>
              <w:t>北京科捷物流有限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342.02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20"/>
              <w:jc w:val="left"/>
              <w:rPr>
                <w:rFonts w:ascii="宋体" w:hAnsi="宋体" w:cs="宋体" w:eastAsia="宋体" w:hint="default"/>
                <w:sz w:val="18"/>
                <w:szCs w:val="18"/>
              </w:rPr>
            </w:pPr>
            <w:r>
              <w:rPr>
                <w:rFonts w:ascii="宋体" w:hAnsi="宋体" w:cs="宋体" w:eastAsia="宋体" w:hint="default"/>
                <w:sz w:val="18"/>
                <w:szCs w:val="18"/>
              </w:rPr>
              <w:t>神州顶联科技有限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3,574,146.34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2）应付项目" w:id="369"/>
      <w:bookmarkEnd w:id="369"/>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32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557"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98"/>
              <w:jc w:val="left"/>
              <w:rPr>
                <w:rFonts w:ascii="宋体" w:hAnsi="宋体" w:cs="宋体" w:eastAsia="宋体" w:hint="default"/>
                <w:sz w:val="18"/>
                <w:szCs w:val="18"/>
              </w:rPr>
            </w:pPr>
            <w:r>
              <w:rPr>
                <w:rFonts w:ascii="宋体" w:hAnsi="宋体" w:cs="宋体" w:eastAsia="宋体" w:hint="default"/>
                <w:sz w:val="18"/>
                <w:szCs w:val="18"/>
              </w:rPr>
              <w:t>北京神州数码科捷技术服务 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542,026.48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38,585.20</w:t>
            </w:r>
          </w:p>
        </w:tc>
      </w:tr>
      <w:tr>
        <w:trPr>
          <w:trHeight w:val="557"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98"/>
              <w:jc w:val="left"/>
              <w:rPr>
                <w:rFonts w:ascii="宋体" w:hAnsi="宋体" w:cs="宋体" w:eastAsia="宋体" w:hint="default"/>
                <w:sz w:val="18"/>
                <w:szCs w:val="18"/>
              </w:rPr>
            </w:pPr>
            <w:r>
              <w:rPr>
                <w:rFonts w:ascii="宋体" w:hAnsi="宋体" w:cs="宋体" w:eastAsia="宋体" w:hint="default"/>
                <w:sz w:val="18"/>
                <w:szCs w:val="18"/>
              </w:rPr>
              <w:t>北京今易通达通讯设备维修 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2,954.00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98"/>
              <w:jc w:val="left"/>
              <w:rPr>
                <w:rFonts w:ascii="宋体" w:hAnsi="宋体" w:cs="宋体" w:eastAsia="宋体" w:hint="default"/>
                <w:sz w:val="18"/>
                <w:szCs w:val="18"/>
              </w:rPr>
            </w:pPr>
            <w:r>
              <w:rPr>
                <w:rFonts w:ascii="宋体" w:hAnsi="宋体" w:cs="宋体" w:eastAsia="宋体" w:hint="default"/>
                <w:sz w:val="18"/>
                <w:szCs w:val="18"/>
              </w:rPr>
              <w:t>神州数码系统集成服务有限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2,729,426.00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18,800,913.91</w:t>
            </w:r>
          </w:p>
        </w:tc>
      </w:tr>
      <w:tr>
        <w:trPr>
          <w:trHeight w:val="32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北京科捷物流有限公司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9,725.52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9,725.52</w:t>
            </w:r>
          </w:p>
        </w:tc>
      </w:tr>
      <w:tr>
        <w:trPr>
          <w:trHeight w:val="55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198"/>
              <w:jc w:val="left"/>
              <w:rPr>
                <w:rFonts w:ascii="宋体" w:hAnsi="宋体" w:cs="宋体" w:eastAsia="宋体" w:hint="default"/>
                <w:sz w:val="18"/>
                <w:szCs w:val="18"/>
              </w:rPr>
            </w:pPr>
            <w:r>
              <w:rPr>
                <w:rFonts w:ascii="宋体" w:hAnsi="宋体" w:cs="宋体" w:eastAsia="宋体" w:hint="default"/>
                <w:sz w:val="18"/>
                <w:szCs w:val="18"/>
              </w:rPr>
              <w:t>神州数码信息服务股份有限 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486,743.00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32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2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神州投资有限公司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270,704.02</w:t>
            </w:r>
          </w:p>
        </w:tc>
      </w:tr>
      <w:tr>
        <w:trPr>
          <w:trHeight w:val="557"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98"/>
              <w:jc w:val="left"/>
              <w:rPr>
                <w:rFonts w:ascii="宋体" w:hAnsi="宋体" w:cs="宋体" w:eastAsia="宋体" w:hint="default"/>
                <w:sz w:val="18"/>
                <w:szCs w:val="18"/>
              </w:rPr>
            </w:pPr>
            <w:r>
              <w:rPr>
                <w:rFonts w:ascii="宋体" w:hAnsi="宋体" w:cs="宋体" w:eastAsia="宋体" w:hint="default"/>
                <w:sz w:val="18"/>
                <w:szCs w:val="18"/>
              </w:rPr>
              <w:t>神州数码商业保理有限责任 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152,049.18</w:t>
            </w:r>
          </w:p>
        </w:tc>
      </w:tr>
      <w:tr>
        <w:trPr>
          <w:trHeight w:val="32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上海科捷物流有限公司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11,616.00</w:t>
            </w:r>
          </w:p>
        </w:tc>
      </w:tr>
      <w:tr>
        <w:trPr>
          <w:trHeight w:val="557"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98"/>
              <w:jc w:val="left"/>
              <w:rPr>
                <w:rFonts w:ascii="宋体" w:hAnsi="宋体" w:cs="宋体" w:eastAsia="宋体" w:hint="default"/>
                <w:sz w:val="18"/>
                <w:szCs w:val="18"/>
              </w:rPr>
            </w:pPr>
            <w:r>
              <w:rPr>
                <w:rFonts w:ascii="宋体" w:hAnsi="宋体" w:cs="宋体" w:eastAsia="宋体" w:hint="default"/>
                <w:sz w:val="18"/>
                <w:szCs w:val="18"/>
              </w:rPr>
              <w:t>北京神州数码锐行快捷信息 技术服务有限公司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600.00</w:t>
            </w:r>
          </w:p>
        </w:tc>
      </w:tr>
      <w:tr>
        <w:trPr>
          <w:trHeight w:val="557"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98"/>
              <w:jc w:val="left"/>
              <w:rPr>
                <w:rFonts w:ascii="宋体" w:hAnsi="宋体" w:cs="宋体" w:eastAsia="宋体" w:hint="default"/>
                <w:sz w:val="18"/>
                <w:szCs w:val="18"/>
              </w:rPr>
            </w:pPr>
            <w:r>
              <w:rPr>
                <w:rFonts w:ascii="宋体" w:hAnsi="宋体" w:cs="宋体" w:eastAsia="宋体" w:hint="default"/>
                <w:sz w:val="18"/>
                <w:szCs w:val="18"/>
              </w:rPr>
              <w:t>北京神州数码科捷技术服务 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19,420.00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118.62</w:t>
            </w:r>
          </w:p>
        </w:tc>
      </w:tr>
      <w:tr>
        <w:trPr>
          <w:trHeight w:val="32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北京科捷物流有限公司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13,355,393.65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13,393,485.59</w:t>
            </w:r>
          </w:p>
        </w:tc>
      </w:tr>
      <w:tr>
        <w:trPr>
          <w:trHeight w:val="32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深圳科捷物流有限公司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6,472,358.27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13,929,353.34</w:t>
            </w:r>
          </w:p>
        </w:tc>
      </w:tr>
      <w:tr>
        <w:trPr>
          <w:trHeight w:val="32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神州数码信息系统有限公司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7,210,000.00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7,210,000.00</w:t>
            </w:r>
          </w:p>
        </w:tc>
      </w:tr>
      <w:tr>
        <w:trPr>
          <w:trHeight w:val="32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神州数码软件有限公司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304,139.30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1"/>
              <w:jc w:val="left"/>
              <w:rPr>
                <w:rFonts w:ascii="宋体" w:hAnsi="宋体" w:cs="宋体" w:eastAsia="宋体" w:hint="default"/>
                <w:sz w:val="18"/>
                <w:szCs w:val="18"/>
              </w:rPr>
            </w:pPr>
            <w:r>
              <w:rPr>
                <w:rFonts w:ascii="宋体" w:hAnsi="宋体" w:cs="宋体" w:eastAsia="宋体" w:hint="default"/>
                <w:sz w:val="18"/>
                <w:szCs w:val="18"/>
              </w:rPr>
              <w:t>智慧神州（北京）科技有限公 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1,607,000.00</w:t>
            </w:r>
          </w:p>
        </w:tc>
      </w:tr>
      <w:tr>
        <w:trPr>
          <w:trHeight w:val="557"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1"/>
              <w:jc w:val="left"/>
              <w:rPr>
                <w:rFonts w:ascii="宋体" w:hAnsi="宋体" w:cs="宋体" w:eastAsia="宋体" w:hint="default"/>
                <w:sz w:val="18"/>
                <w:szCs w:val="18"/>
              </w:rPr>
            </w:pPr>
            <w:r>
              <w:rPr>
                <w:rFonts w:ascii="宋体" w:hAnsi="宋体" w:cs="宋体" w:eastAsia="宋体" w:hint="default"/>
                <w:sz w:val="18"/>
                <w:szCs w:val="18"/>
              </w:rPr>
              <w:t>神州数码（武汉）科技园有限 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92,704.99</w:t>
            </w:r>
          </w:p>
        </w:tc>
      </w:tr>
      <w:tr>
        <w:trPr>
          <w:trHeight w:val="32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神州数码控股有限公司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298,970.47</w:t>
            </w:r>
          </w:p>
        </w:tc>
      </w:tr>
      <w:tr>
        <w:trPr>
          <w:trHeight w:val="50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424"/>
              <w:jc w:val="left"/>
              <w:rPr>
                <w:rFonts w:ascii="Times New Roman" w:hAnsi="Times New Roman" w:cs="Times New Roman" w:eastAsia="Times New Roman" w:hint="default"/>
                <w:sz w:val="18"/>
                <w:szCs w:val="18"/>
              </w:rPr>
            </w:pPr>
            <w:r>
              <w:rPr>
                <w:rFonts w:ascii="Times New Roman"/>
                <w:sz w:val="18"/>
              </w:rPr>
              <w:t>Instant Technology</w:t>
            </w:r>
            <w:r>
              <w:rPr>
                <w:rFonts w:ascii="Times New Roman"/>
                <w:spacing w:val="-19"/>
                <w:sz w:val="18"/>
              </w:rPr>
              <w:t> </w:t>
            </w:r>
            <w:r>
              <w:rPr>
                <w:rFonts w:ascii="Times New Roman"/>
                <w:sz w:val="18"/>
              </w:rPr>
              <w:t>Supply</w:t>
            </w:r>
            <w:r>
              <w:rPr>
                <w:rFonts w:ascii="Times New Roman"/>
                <w:w w:val="99"/>
                <w:sz w:val="18"/>
              </w:rPr>
              <w:t> </w:t>
            </w:r>
            <w:r>
              <w:rPr>
                <w:rFonts w:ascii="Times New Roman"/>
                <w:sz w:val="18"/>
              </w:rPr>
              <w:t>Chain Hong Kong</w:t>
            </w:r>
            <w:r>
              <w:rPr>
                <w:rFonts w:ascii="Times New Roman"/>
                <w:spacing w:val="-4"/>
                <w:sz w:val="18"/>
              </w:rPr>
              <w:t> </w:t>
            </w:r>
            <w:r>
              <w:rPr>
                <w:rFonts w:ascii="Times New Roman"/>
                <w:sz w:val="18"/>
              </w:rPr>
              <w:t>Limited</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0"/>
              <w:jc w:val="right"/>
              <w:rPr>
                <w:rFonts w:ascii="Times New Roman" w:hAnsi="Times New Roman" w:cs="Times New Roman" w:eastAsia="Times New Roman" w:hint="default"/>
                <w:sz w:val="18"/>
                <w:szCs w:val="18"/>
              </w:rPr>
            </w:pPr>
            <w:r>
              <w:rPr>
                <w:rFonts w:ascii="Times New Roman"/>
                <w:sz w:val="18"/>
              </w:rPr>
              <w:t>585,555.67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0"/>
              <w:jc w:val="right"/>
              <w:rPr>
                <w:rFonts w:ascii="Times New Roman" w:hAnsi="Times New Roman" w:cs="Times New Roman" w:eastAsia="Times New Roman" w:hint="default"/>
                <w:sz w:val="18"/>
                <w:szCs w:val="18"/>
              </w:rPr>
            </w:pPr>
            <w:r>
              <w:rPr>
                <w:rFonts w:ascii="Times New Roman"/>
                <w:sz w:val="18"/>
              </w:rPr>
              <w:t>322,978.88</w:t>
            </w:r>
          </w:p>
        </w:tc>
      </w:tr>
      <w:tr>
        <w:trPr>
          <w:trHeight w:val="557"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98"/>
              <w:jc w:val="left"/>
              <w:rPr>
                <w:rFonts w:ascii="宋体" w:hAnsi="宋体" w:cs="宋体" w:eastAsia="宋体" w:hint="default"/>
                <w:sz w:val="18"/>
                <w:szCs w:val="18"/>
              </w:rPr>
            </w:pPr>
            <w:r>
              <w:rPr>
                <w:rFonts w:ascii="宋体" w:hAnsi="宋体" w:cs="宋体" w:eastAsia="宋体" w:hint="default"/>
                <w:sz w:val="18"/>
                <w:szCs w:val="18"/>
              </w:rPr>
              <w:t>北京神州数码科捷技术服务 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102,566.00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107,180.19</w:t>
            </w:r>
          </w:p>
        </w:tc>
      </w:tr>
      <w:tr>
        <w:trPr>
          <w:trHeight w:val="50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81"/>
              <w:jc w:val="left"/>
              <w:rPr>
                <w:rFonts w:ascii="Times New Roman" w:hAnsi="Times New Roman" w:cs="Times New Roman" w:eastAsia="Times New Roman" w:hint="default"/>
                <w:sz w:val="18"/>
                <w:szCs w:val="18"/>
              </w:rPr>
            </w:pPr>
            <w:r>
              <w:rPr>
                <w:rFonts w:ascii="Times New Roman"/>
                <w:spacing w:val="-3"/>
                <w:sz w:val="18"/>
              </w:rPr>
              <w:t>DIGITAL </w:t>
            </w:r>
            <w:r>
              <w:rPr>
                <w:rFonts w:ascii="Times New Roman"/>
                <w:sz w:val="18"/>
              </w:rPr>
              <w:t>CHINA</w:t>
            </w:r>
            <w:r>
              <w:rPr>
                <w:rFonts w:ascii="Times New Roman"/>
                <w:spacing w:val="-11"/>
                <w:sz w:val="18"/>
              </w:rPr>
              <w:t> </w:t>
            </w:r>
            <w:r>
              <w:rPr>
                <w:rFonts w:ascii="Times New Roman"/>
                <w:sz w:val="18"/>
              </w:rPr>
              <w:t>HOLDINGS</w:t>
            </w:r>
            <w:r>
              <w:rPr>
                <w:rFonts w:ascii="Times New Roman"/>
                <w:w w:val="99"/>
                <w:sz w:val="18"/>
              </w:rPr>
              <w:t> </w:t>
            </w:r>
            <w:r>
              <w:rPr>
                <w:rFonts w:ascii="Times New Roman"/>
                <w:spacing w:val="-6"/>
                <w:sz w:val="18"/>
              </w:rPr>
              <w:t>LTD</w:t>
            </w:r>
            <w:r>
              <w:rPr>
                <w:rFonts w:ascii="Times New Roman"/>
                <w:spacing w:val="-1"/>
                <w:sz w:val="18"/>
              </w:rPr>
              <w:t> </w:t>
            </w:r>
            <w:r>
              <w:rPr>
                <w:rFonts w:ascii="Times New Roman"/>
                <w:sz w:val="18"/>
              </w:rPr>
              <w:t>BERMUDA</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0"/>
              <w:jc w:val="right"/>
              <w:rPr>
                <w:rFonts w:ascii="Times New Roman" w:hAnsi="Times New Roman" w:cs="Times New Roman" w:eastAsia="Times New Roman" w:hint="default"/>
                <w:sz w:val="18"/>
                <w:szCs w:val="18"/>
              </w:rPr>
            </w:pPr>
            <w:r>
              <w:rPr>
                <w:rFonts w:ascii="Times New Roman"/>
                <w:sz w:val="18"/>
              </w:rPr>
              <w:t>305,604.42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上海科捷物流有限公司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424,864.60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98"/>
              <w:jc w:val="left"/>
              <w:rPr>
                <w:rFonts w:ascii="宋体" w:hAnsi="宋体" w:cs="宋体" w:eastAsia="宋体" w:hint="default"/>
                <w:sz w:val="18"/>
                <w:szCs w:val="18"/>
              </w:rPr>
            </w:pPr>
            <w:r>
              <w:rPr>
                <w:rFonts w:ascii="宋体" w:hAnsi="宋体" w:cs="宋体" w:eastAsia="宋体" w:hint="default"/>
                <w:sz w:val="18"/>
                <w:szCs w:val="18"/>
              </w:rPr>
              <w:t>深圳科捷电商供应链有限公 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239,898.36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西安科捷物流有限公司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3,383.36</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7、关联方承诺" w:id="370"/>
      <w:bookmarkEnd w:id="370"/>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12"/>
        <w:rPr>
          <w:rFonts w:ascii="宋体" w:hAnsi="宋体" w:cs="宋体" w:eastAsia="宋体" w:hint="default"/>
          <w:b/>
          <w:bCs/>
          <w:sz w:val="23"/>
          <w:szCs w:val="23"/>
        </w:rPr>
      </w:pPr>
    </w:p>
    <w:p>
      <w:pPr>
        <w:pStyle w:val="BodyText"/>
        <w:spacing w:line="232" w:lineRule="exact"/>
        <w:ind w:right="0" w:firstLine="360"/>
        <w:jc w:val="left"/>
      </w:pPr>
      <w:r>
        <w:rPr>
          <w:spacing w:val="-6"/>
        </w:rPr>
        <w:t>根据与出租人西安神州数码实业有限公司、神州数码（武汉）科技园有限公司、神州顶联科技有限公司签订的租赁合同，</w:t>
      </w:r>
      <w:r>
        <w:rPr/>
        <w:t> 不可撤销租赁的最低租赁付款额如下：</w:t>
      </w:r>
    </w:p>
    <w:p>
      <w:pPr>
        <w:spacing w:line="240" w:lineRule="auto" w:before="5"/>
        <w:rPr>
          <w:rFonts w:ascii="宋体" w:hAnsi="宋体" w:cs="宋体" w:eastAsia="宋体" w:hint="default"/>
          <w:sz w:val="16"/>
          <w:szCs w:val="16"/>
        </w:rPr>
      </w:pPr>
    </w:p>
    <w:tbl>
      <w:tblPr>
        <w:tblW w:w="0" w:type="auto"/>
        <w:jc w:val="left"/>
        <w:tblInd w:w="149" w:type="dxa"/>
        <w:tblLayout w:type="fixed"/>
        <w:tblCellMar>
          <w:top w:w="0" w:type="dxa"/>
          <w:left w:w="0" w:type="dxa"/>
          <w:bottom w:w="0" w:type="dxa"/>
          <w:right w:w="0" w:type="dxa"/>
        </w:tblCellMar>
        <w:tblLook w:val="01E0"/>
      </w:tblPr>
      <w:tblGrid>
        <w:gridCol w:w="3220"/>
        <w:gridCol w:w="2980"/>
        <w:gridCol w:w="2882"/>
      </w:tblGrid>
      <w:tr>
        <w:trPr>
          <w:trHeight w:val="264" w:hRule="exact"/>
        </w:trPr>
        <w:tc>
          <w:tcPr>
            <w:tcW w:w="322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期间</w:t>
            </w:r>
          </w:p>
        </w:tc>
        <w:tc>
          <w:tcPr>
            <w:tcW w:w="298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30" w:lineRule="exact"/>
              <w:ind w:left="8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88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30" w:lineRule="exact"/>
              <w:ind w:left="8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264" w:hRule="exact"/>
        </w:trPr>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2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
              <w:jc w:val="right"/>
              <w:rPr>
                <w:rFonts w:ascii="Times New Roman" w:hAnsi="Times New Roman" w:cs="Times New Roman" w:eastAsia="Times New Roman" w:hint="default"/>
                <w:sz w:val="18"/>
                <w:szCs w:val="18"/>
              </w:rPr>
            </w:pPr>
            <w:r>
              <w:rPr>
                <w:rFonts w:ascii="Times New Roman"/>
                <w:spacing w:val="-1"/>
                <w:sz w:val="18"/>
              </w:rPr>
              <w:t>2,844,140.21</w:t>
            </w:r>
          </w:p>
        </w:tc>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3"/>
              <w:jc w:val="right"/>
              <w:rPr>
                <w:rFonts w:ascii="Times New Roman" w:hAnsi="Times New Roman" w:cs="Times New Roman" w:eastAsia="Times New Roman" w:hint="default"/>
                <w:sz w:val="18"/>
                <w:szCs w:val="18"/>
              </w:rPr>
            </w:pPr>
            <w:r>
              <w:rPr>
                <w:rFonts w:ascii="Times New Roman"/>
                <w:spacing w:val="-1"/>
                <w:sz w:val="18"/>
              </w:rPr>
              <w:t>1,567,801.37</w:t>
            </w:r>
          </w:p>
        </w:tc>
      </w:tr>
      <w:tr>
        <w:trPr>
          <w:trHeight w:val="263" w:hRule="exact"/>
        </w:trPr>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年至</w:t>
            </w:r>
            <w:r>
              <w:rPr>
                <w:rFonts w:ascii="Times New Roman" w:hAnsi="Times New Roman" w:cs="Times New Roman" w:eastAsia="Times New Roman" w:hint="default"/>
                <w:sz w:val="18"/>
                <w:szCs w:val="18"/>
              </w:rPr>
              <w:t>2</w:t>
            </w:r>
            <w:r>
              <w:rPr>
                <w:rFonts w:ascii="宋体" w:hAnsi="宋体" w:cs="宋体" w:eastAsia="宋体" w:hint="default"/>
                <w:sz w:val="18"/>
                <w:szCs w:val="18"/>
              </w:rPr>
              <w:t>年（含</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right"/>
              <w:rPr>
                <w:rFonts w:ascii="Times New Roman" w:hAnsi="Times New Roman" w:cs="Times New Roman" w:eastAsia="Times New Roman" w:hint="default"/>
                <w:sz w:val="18"/>
                <w:szCs w:val="18"/>
              </w:rPr>
            </w:pPr>
            <w:r>
              <w:rPr>
                <w:rFonts w:ascii="Times New Roman"/>
                <w:spacing w:val="-1"/>
                <w:sz w:val="18"/>
              </w:rPr>
              <w:t>2,585,840.21</w:t>
            </w:r>
          </w:p>
        </w:tc>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3"/>
              <w:jc w:val="right"/>
              <w:rPr>
                <w:rFonts w:ascii="Times New Roman" w:hAnsi="Times New Roman" w:cs="Times New Roman" w:eastAsia="Times New Roman" w:hint="default"/>
                <w:sz w:val="18"/>
                <w:szCs w:val="18"/>
              </w:rPr>
            </w:pPr>
            <w:r>
              <w:rPr>
                <w:rFonts w:ascii="Times New Roman"/>
                <w:spacing w:val="-1"/>
                <w:sz w:val="18"/>
              </w:rPr>
              <w:t>1,567,801.37</w:t>
            </w:r>
          </w:p>
        </w:tc>
      </w:tr>
      <w:tr>
        <w:trPr>
          <w:trHeight w:val="264" w:hRule="exact"/>
        </w:trPr>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年至</w:t>
            </w:r>
            <w:r>
              <w:rPr>
                <w:rFonts w:ascii="Times New Roman" w:hAnsi="Times New Roman" w:cs="Times New Roman" w:eastAsia="Times New Roman" w:hint="default"/>
                <w:sz w:val="18"/>
                <w:szCs w:val="18"/>
              </w:rPr>
              <w:t>3</w:t>
            </w:r>
            <w:r>
              <w:rPr>
                <w:rFonts w:ascii="宋体" w:hAnsi="宋体" w:cs="宋体" w:eastAsia="宋体" w:hint="default"/>
                <w:sz w:val="18"/>
                <w:szCs w:val="18"/>
              </w:rPr>
              <w:t>年（含</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2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
              <w:jc w:val="right"/>
              <w:rPr>
                <w:rFonts w:ascii="Times New Roman" w:hAnsi="Times New Roman" w:cs="Times New Roman" w:eastAsia="Times New Roman" w:hint="default"/>
                <w:sz w:val="18"/>
                <w:szCs w:val="18"/>
              </w:rPr>
            </w:pPr>
            <w:r>
              <w:rPr>
                <w:rFonts w:ascii="Times New Roman"/>
                <w:spacing w:val="-1"/>
                <w:sz w:val="18"/>
              </w:rPr>
              <w:t>2,585,109.75</w:t>
            </w:r>
          </w:p>
        </w:tc>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3"/>
              <w:jc w:val="right"/>
              <w:rPr>
                <w:rFonts w:ascii="Times New Roman" w:hAnsi="Times New Roman" w:cs="Times New Roman" w:eastAsia="Times New Roman" w:hint="default"/>
                <w:sz w:val="18"/>
                <w:szCs w:val="18"/>
              </w:rPr>
            </w:pPr>
            <w:r>
              <w:rPr>
                <w:rFonts w:ascii="Times New Roman"/>
                <w:spacing w:val="-1"/>
                <w:sz w:val="18"/>
              </w:rPr>
              <w:t>1,567,801.37</w:t>
            </w:r>
          </w:p>
        </w:tc>
      </w:tr>
      <w:tr>
        <w:trPr>
          <w:trHeight w:val="263" w:hRule="exact"/>
        </w:trPr>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2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right"/>
              <w:rPr>
                <w:rFonts w:ascii="Times New Roman" w:hAnsi="Times New Roman" w:cs="Times New Roman" w:eastAsia="Times New Roman" w:hint="default"/>
                <w:sz w:val="18"/>
                <w:szCs w:val="18"/>
              </w:rPr>
            </w:pPr>
            <w:r>
              <w:rPr>
                <w:rFonts w:ascii="Times New Roman"/>
                <w:spacing w:val="-1"/>
                <w:sz w:val="18"/>
              </w:rPr>
              <w:t>1,691,316.48</w:t>
            </w:r>
          </w:p>
        </w:tc>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3"/>
              <w:jc w:val="right"/>
              <w:rPr>
                <w:rFonts w:ascii="Times New Roman" w:hAnsi="Times New Roman" w:cs="Times New Roman" w:eastAsia="Times New Roman" w:hint="default"/>
                <w:sz w:val="18"/>
                <w:szCs w:val="18"/>
              </w:rPr>
            </w:pPr>
            <w:r>
              <w:rPr>
                <w:rFonts w:ascii="Times New Roman"/>
                <w:spacing w:val="-1"/>
                <w:sz w:val="18"/>
              </w:rPr>
              <w:t>2,138,565.03</w:t>
            </w:r>
          </w:p>
        </w:tc>
      </w:tr>
      <w:tr>
        <w:trPr>
          <w:trHeight w:val="264" w:hRule="exact"/>
        </w:trPr>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
              <w:jc w:val="right"/>
              <w:rPr>
                <w:rFonts w:ascii="Times New Roman" w:hAnsi="Times New Roman" w:cs="Times New Roman" w:eastAsia="Times New Roman" w:hint="default"/>
                <w:sz w:val="18"/>
                <w:szCs w:val="18"/>
              </w:rPr>
            </w:pPr>
            <w:r>
              <w:rPr>
                <w:rFonts w:ascii="Times New Roman"/>
                <w:spacing w:val="-1"/>
                <w:sz w:val="18"/>
              </w:rPr>
              <w:t>9,706,406.65</w:t>
            </w:r>
          </w:p>
        </w:tc>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3"/>
              <w:jc w:val="right"/>
              <w:rPr>
                <w:rFonts w:ascii="Times New Roman" w:hAnsi="Times New Roman" w:cs="Times New Roman" w:eastAsia="Times New Roman" w:hint="default"/>
                <w:sz w:val="18"/>
                <w:szCs w:val="18"/>
              </w:rPr>
            </w:pPr>
            <w:r>
              <w:rPr>
                <w:rFonts w:ascii="Times New Roman"/>
                <w:spacing w:val="-1"/>
                <w:sz w:val="18"/>
              </w:rPr>
              <w:t>6,841,969.14</w:t>
            </w:r>
          </w:p>
        </w:tc>
      </w:tr>
    </w:tbl>
    <w:p>
      <w:pPr>
        <w:spacing w:line="240" w:lineRule="auto" w:before="12"/>
        <w:rPr>
          <w:rFonts w:ascii="宋体" w:hAnsi="宋体" w:cs="宋体" w:eastAsia="宋体" w:hint="default"/>
          <w:sz w:val="17"/>
          <w:szCs w:val="17"/>
        </w:rPr>
      </w:pPr>
    </w:p>
    <w:p>
      <w:pPr>
        <w:pStyle w:val="Heading2"/>
        <w:spacing w:line="240" w:lineRule="auto" w:before="26"/>
        <w:ind w:right="0"/>
        <w:jc w:val="left"/>
        <w:rPr>
          <w:b w:val="0"/>
          <w:bCs w:val="0"/>
        </w:rPr>
      </w:pPr>
      <w:bookmarkStart w:name="十三、股份支付" w:id="371"/>
      <w:bookmarkEnd w:id="371"/>
      <w:r>
        <w:rPr>
          <w:b w:val="0"/>
          <w:bCs w:val="0"/>
        </w:rPr>
      </w:r>
      <w:r>
        <w:rPr/>
        <w:t>十三、股份支付</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right="0"/>
        <w:jc w:val="left"/>
        <w:rPr>
          <w:b w:val="0"/>
          <w:bCs w:val="0"/>
        </w:rPr>
      </w:pPr>
      <w:bookmarkStart w:name="1、股份支付总体情况" w:id="372"/>
      <w:bookmarkEnd w:id="372"/>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2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363"/>
        <w:gridCol w:w="5206"/>
      </w:tblGrid>
      <w:tr>
        <w:trPr>
          <w:trHeight w:val="324" w:hRule="exact"/>
        </w:trPr>
        <w:tc>
          <w:tcPr>
            <w:tcW w:w="4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5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363"/>
        <w:gridCol w:w="5206"/>
      </w:tblGrid>
      <w:tr>
        <w:trPr>
          <w:trHeight w:val="324" w:hRule="exact"/>
        </w:trPr>
        <w:tc>
          <w:tcPr>
            <w:tcW w:w="4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5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0.00</w:t>
            </w:r>
          </w:p>
        </w:tc>
      </w:tr>
      <w:tr>
        <w:trPr>
          <w:trHeight w:val="323" w:hRule="exact"/>
        </w:trPr>
        <w:tc>
          <w:tcPr>
            <w:tcW w:w="4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5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228,370.33</w:t>
            </w:r>
          </w:p>
        </w:tc>
      </w:tr>
      <w:tr>
        <w:trPr>
          <w:trHeight w:val="557" w:hRule="exact"/>
        </w:trPr>
        <w:tc>
          <w:tcPr>
            <w:tcW w:w="4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188"/>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 剩余期限</w:t>
            </w:r>
          </w:p>
        </w:tc>
        <w:tc>
          <w:tcPr>
            <w:tcW w:w="520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年购股</w:t>
            </w:r>
            <w:r>
              <w:rPr>
                <w:rFonts w:ascii="宋体" w:hAnsi="宋体" w:cs="宋体" w:eastAsia="宋体" w:hint="default"/>
                <w:spacing w:val="1"/>
                <w:sz w:val="18"/>
                <w:szCs w:val="18"/>
              </w:rPr>
              <w:t>权</w:t>
            </w:r>
            <w:r>
              <w:rPr>
                <w:rFonts w:ascii="宋体" w:hAnsi="宋体" w:cs="宋体" w:eastAsia="宋体" w:hint="default"/>
                <w:sz w:val="18"/>
                <w:szCs w:val="18"/>
              </w:rPr>
              <w:t>计划</w:t>
            </w:r>
            <w:r>
              <w:rPr>
                <w:rFonts w:ascii="Times New Roman" w:hAnsi="Times New Roman" w:cs="Times New Roman" w:eastAsia="Times New Roman" w:hint="default"/>
                <w:w w:val="100"/>
                <w:sz w:val="18"/>
                <w:szCs w:val="18"/>
              </w:rPr>
              <w:t>”</w:t>
            </w:r>
            <w:r>
              <w:rPr>
                <w:rFonts w:ascii="宋体" w:hAnsi="宋体" w:cs="宋体" w:eastAsia="宋体" w:hint="default"/>
                <w:spacing w:val="-88"/>
                <w:sz w:val="18"/>
                <w:szCs w:val="18"/>
              </w:rPr>
              <w:t>：</w:t>
            </w:r>
            <w:r>
              <w:rPr>
                <w:rFonts w:ascii="宋体" w:hAnsi="宋体" w:cs="宋体" w:eastAsia="宋体" w:hint="default"/>
                <w:sz w:val="18"/>
                <w:szCs w:val="18"/>
              </w:rPr>
              <w:t>行权</w:t>
            </w:r>
            <w:r>
              <w:rPr>
                <w:rFonts w:ascii="宋体" w:hAnsi="宋体" w:cs="宋体" w:eastAsia="宋体" w:hint="default"/>
                <w:spacing w:val="-2"/>
                <w:sz w:val="18"/>
                <w:szCs w:val="18"/>
              </w:rPr>
              <w:t>价</w:t>
            </w:r>
            <w:r>
              <w:rPr>
                <w:rFonts w:ascii="宋体" w:hAnsi="宋体" w:cs="宋体" w:eastAsia="宋体" w:hint="default"/>
                <w:sz w:val="18"/>
                <w:szCs w:val="18"/>
              </w:rPr>
              <w:t>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5.28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宋体" w:hAnsi="宋体" w:cs="宋体" w:eastAsia="宋体" w:hint="default"/>
                <w:spacing w:val="-88"/>
                <w:sz w:val="18"/>
                <w:szCs w:val="18"/>
              </w:rPr>
              <w:t>，</w:t>
            </w:r>
            <w:r>
              <w:rPr>
                <w:rFonts w:ascii="宋体" w:hAnsi="宋体" w:cs="宋体" w:eastAsia="宋体" w:hint="default"/>
                <w:sz w:val="18"/>
                <w:szCs w:val="18"/>
              </w:rPr>
              <w:t>合同已执行完毕</w:t>
            </w:r>
            <w:r>
              <w:rPr>
                <w:rFonts w:ascii="宋体" w:hAnsi="宋体" w:cs="宋体" w:eastAsia="宋体" w:hint="default"/>
                <w:spacing w:val="-88"/>
                <w:sz w:val="18"/>
                <w:szCs w:val="18"/>
              </w:rPr>
              <w:t>；</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年购股权计划</w:t>
            </w:r>
            <w:r>
              <w:rPr>
                <w:rFonts w:ascii="Times New Roman" w:hAnsi="Times New Roman" w:cs="Times New Roman" w:eastAsia="Times New Roman" w:hint="default"/>
                <w:sz w:val="18"/>
                <w:szCs w:val="18"/>
              </w:rPr>
              <w:t>”</w:t>
            </w:r>
            <w:r>
              <w:rPr>
                <w:rFonts w:ascii="宋体" w:hAnsi="宋体" w:cs="宋体" w:eastAsia="宋体" w:hint="default"/>
                <w:sz w:val="18"/>
                <w:szCs w:val="18"/>
              </w:rPr>
              <w:t>：行权价格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股，合同剩余期限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78" w:lineRule="auto" w:before="11"/>
        <w:ind w:right="10032"/>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2、以权益结算的股份支付情况" w:id="373"/>
      <w:bookmarkEnd w:id="373"/>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2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32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详见本附注其他说明</w:t>
            </w:r>
          </w:p>
        </w:tc>
      </w:tr>
      <w:tr>
        <w:trPr>
          <w:trHeight w:val="32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详见本附注其他说明</w:t>
            </w:r>
          </w:p>
        </w:tc>
      </w:tr>
      <w:tr>
        <w:trPr>
          <w:trHeight w:val="32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2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90,542,349.25</w:t>
            </w:r>
          </w:p>
        </w:tc>
      </w:tr>
      <w:tr>
        <w:trPr>
          <w:trHeight w:val="324"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10"/>
        <w:ind w:right="0"/>
        <w:jc w:val="left"/>
      </w:pPr>
      <w:r>
        <w:rPr/>
        <w:t>其他说明</w:t>
      </w:r>
    </w:p>
    <w:p>
      <w:pPr>
        <w:pStyle w:val="BodyText"/>
        <w:spacing w:line="225" w:lineRule="auto" w:before="49"/>
        <w:ind w:right="1130" w:firstLine="360"/>
        <w:jc w:val="both"/>
      </w:pPr>
      <w:r>
        <w:rPr>
          <w:spacing w:val="-5"/>
        </w:rPr>
        <w:t>本公司之子公司神码中国、神码上海、神码广州信息参与了神州控股实施的两个购股权计划，其中一个购股权计划于</w:t>
      </w:r>
      <w:r>
        <w:rPr>
          <w:rFonts w:ascii="Times New Roman" w:hAnsi="Times New Roman" w:cs="Times New Roman" w:eastAsia="Times New Roman" w:hint="default"/>
          <w:spacing w:val="-5"/>
        </w:rPr>
        <w:t>2002</w:t>
      </w:r>
      <w:r>
        <w:rPr>
          <w:rFonts w:ascii="Times New Roman" w:hAnsi="Times New Roman" w:cs="Times New Roman" w:eastAsia="Times New Roman" w:hint="default"/>
        </w:rPr>
        <w:t> </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18</w:t>
      </w:r>
      <w:r>
        <w:rPr>
          <w:spacing w:val="-1"/>
        </w:rPr>
        <w:t>日（</w:t>
      </w:r>
      <w:r>
        <w:rPr>
          <w:rFonts w:ascii="Times New Roman" w:hAnsi="Times New Roman" w:cs="Times New Roman" w:eastAsia="Times New Roman" w:hint="default"/>
          <w:spacing w:val="-1"/>
        </w:rPr>
        <w:t>“2002</w:t>
      </w:r>
      <w:r>
        <w:rPr>
          <w:spacing w:val="-1"/>
        </w:rPr>
        <w:t>年购股权计划</w:t>
      </w:r>
      <w:r>
        <w:rPr>
          <w:rFonts w:ascii="Times New Roman" w:hAnsi="Times New Roman" w:cs="Times New Roman" w:eastAsia="Times New Roman" w:hint="default"/>
          <w:spacing w:val="-1"/>
        </w:rPr>
        <w:t>”</w:t>
      </w:r>
      <w:r>
        <w:rPr>
          <w:spacing w:val="-1"/>
        </w:rPr>
        <w:t>）采纳，而另一个购股权计划于</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15</w:t>
      </w:r>
      <w:r>
        <w:rPr>
          <w:spacing w:val="-1"/>
        </w:rPr>
        <w:t>日（</w:t>
      </w:r>
      <w:r>
        <w:rPr>
          <w:rFonts w:ascii="Times New Roman" w:hAnsi="Times New Roman" w:cs="Times New Roman" w:eastAsia="Times New Roman" w:hint="default"/>
          <w:spacing w:val="-1"/>
        </w:rPr>
        <w:t>“2011</w:t>
      </w:r>
      <w:r>
        <w:rPr>
          <w:spacing w:val="-1"/>
        </w:rPr>
        <w:t>年购股权计划</w:t>
      </w:r>
      <w:r>
        <w:rPr>
          <w:rFonts w:ascii="Times New Roman" w:hAnsi="Times New Roman" w:cs="Times New Roman" w:eastAsia="Times New Roman" w:hint="default"/>
          <w:spacing w:val="-1"/>
        </w:rPr>
        <w:t>”</w:t>
      </w:r>
      <w:r>
        <w:rPr>
          <w:spacing w:val="-1"/>
        </w:rPr>
        <w:t>）采纳（</w:t>
      </w:r>
      <w:r>
        <w:rPr>
          <w:rFonts w:ascii="Times New Roman" w:hAnsi="Times New Roman" w:cs="Times New Roman" w:eastAsia="Times New Roman" w:hint="default"/>
          <w:spacing w:val="-1"/>
        </w:rPr>
        <w:t>2002</w:t>
      </w:r>
      <w:r>
        <w:rPr>
          <w:spacing w:val="-1"/>
        </w:rPr>
        <w:t>年购股</w:t>
      </w:r>
      <w:r>
        <w:rPr>
          <w:spacing w:val="-71"/>
        </w:rPr>
        <w:t> </w:t>
      </w:r>
      <w:r>
        <w:rPr>
          <w:spacing w:val="-2"/>
        </w:rPr>
        <w:t>权计划及</w:t>
      </w:r>
      <w:r>
        <w:rPr>
          <w:rFonts w:ascii="Times New Roman" w:hAnsi="Times New Roman" w:cs="Times New Roman" w:eastAsia="Times New Roman" w:hint="default"/>
          <w:spacing w:val="-2"/>
        </w:rPr>
        <w:t>2011</w:t>
      </w:r>
      <w:r>
        <w:rPr>
          <w:spacing w:val="-2"/>
        </w:rPr>
        <w:t>年购股权计划以下统称为</w:t>
      </w:r>
      <w:r>
        <w:rPr>
          <w:rFonts w:ascii="Times New Roman" w:hAnsi="Times New Roman" w:cs="Times New Roman" w:eastAsia="Times New Roman" w:hint="default"/>
          <w:spacing w:val="-2"/>
        </w:rPr>
        <w:t>“</w:t>
      </w:r>
      <w:r>
        <w:rPr>
          <w:spacing w:val="-2"/>
        </w:rPr>
        <w:t>购股权计划</w:t>
      </w:r>
      <w:r>
        <w:rPr>
          <w:rFonts w:ascii="Times New Roman" w:hAnsi="Times New Roman" w:cs="Times New Roman" w:eastAsia="Times New Roman" w:hint="default"/>
          <w:spacing w:val="-2"/>
        </w:rPr>
        <w:t>”</w:t>
      </w:r>
      <w:r>
        <w:rPr>
          <w:spacing w:val="-2"/>
        </w:rPr>
        <w:t>）。该等购股权计划均由神州控股授予本公司员工并以神州控股发行自</w:t>
      </w:r>
      <w:r>
        <w:rPr>
          <w:spacing w:val="-40"/>
        </w:rPr>
        <w:t> </w:t>
      </w:r>
      <w:r>
        <w:rPr>
          <w:spacing w:val="-40"/>
        </w:rPr>
      </w:r>
      <w:r>
        <w:rPr/>
        <w:t>身的股份进行结算。</w:t>
      </w:r>
    </w:p>
    <w:p>
      <w:pPr>
        <w:spacing w:line="240" w:lineRule="auto" w:before="10"/>
        <w:rPr>
          <w:rFonts w:ascii="宋体" w:hAnsi="宋体" w:cs="宋体" w:eastAsia="宋体" w:hint="default"/>
          <w:sz w:val="17"/>
          <w:szCs w:val="17"/>
        </w:rPr>
      </w:pPr>
    </w:p>
    <w:p>
      <w:pPr>
        <w:pStyle w:val="BodyText"/>
        <w:spacing w:line="234" w:lineRule="exact"/>
        <w:ind w:right="0"/>
        <w:jc w:val="left"/>
      </w:pPr>
      <w:r>
        <w:rPr/>
        <w:t>购股权计划的主要条款如下：</w:t>
      </w:r>
    </w:p>
    <w:p>
      <w:pPr>
        <w:pStyle w:val="BodyText"/>
        <w:spacing w:line="240" w:lineRule="exact"/>
        <w:ind w:right="0"/>
        <w:jc w:val="left"/>
      </w:pPr>
      <w:r>
        <w:rPr/>
        <w:t>（</w:t>
      </w:r>
      <w:r>
        <w:rPr>
          <w:rFonts w:ascii="Times New Roman" w:hAnsi="Times New Roman" w:cs="Times New Roman" w:eastAsia="Times New Roman" w:hint="default"/>
        </w:rPr>
        <w:t>1</w:t>
      </w:r>
      <w:r>
        <w:rPr/>
        <w:t>）目的</w:t>
      </w:r>
    </w:p>
    <w:p>
      <w:pPr>
        <w:pStyle w:val="BodyText"/>
        <w:spacing w:line="237" w:lineRule="auto"/>
        <w:ind w:right="1132" w:firstLine="360"/>
        <w:jc w:val="both"/>
      </w:pPr>
      <w:r>
        <w:rPr>
          <w:spacing w:val="-2"/>
        </w:rPr>
        <w:t>购股权计划旨在确认及答谢合资格人士（定义见下文）对本公司所作出或将作出之贡献或可能之贡献，藉以激励合资格</w:t>
      </w:r>
      <w:r>
        <w:rPr/>
        <w:t> </w:t>
      </w:r>
      <w:r>
        <w:rPr>
          <w:spacing w:val="-2"/>
        </w:rPr>
        <w:t>人士为本公司之利益精益求精及提高彼等之效率，并维持或招徕与合资格人士的业务关系，合资格人士的贡献着实或会有助</w:t>
      </w:r>
      <w:r>
        <w:rPr>
          <w:spacing w:val="-64"/>
        </w:rPr>
        <w:t> </w:t>
      </w:r>
      <w:r>
        <w:rPr>
          <w:spacing w:val="-64"/>
        </w:rPr>
      </w:r>
      <w:r>
        <w:rPr/>
        <w:t>于本公司的发展。</w:t>
      </w:r>
    </w:p>
    <w:p>
      <w:pPr>
        <w:pStyle w:val="BodyText"/>
        <w:spacing w:line="234" w:lineRule="exact" w:before="20"/>
        <w:ind w:left="514" w:right="1117" w:hanging="360"/>
        <w:jc w:val="left"/>
      </w:pPr>
      <w:r>
        <w:rPr/>
        <w:t>（</w:t>
      </w:r>
      <w:r>
        <w:rPr>
          <w:rFonts w:ascii="Times New Roman" w:hAnsi="Times New Roman" w:cs="Times New Roman" w:eastAsia="Times New Roman" w:hint="default"/>
        </w:rPr>
        <w:t>2</w:t>
      </w:r>
      <w:r>
        <w:rPr/>
        <w:t>）合资格人士 </w:t>
      </w:r>
      <w:r>
        <w:rPr>
          <w:spacing w:val="-5"/>
        </w:rPr>
        <w:t>本公司任何成员公司或任何联营公司之任何全职或兼职雇员或高级人员或董事（包括执行、非执行或独立非执行董事），</w:t>
      </w:r>
    </w:p>
    <w:p>
      <w:pPr>
        <w:pStyle w:val="BodyText"/>
        <w:spacing w:line="211" w:lineRule="exact"/>
        <w:ind w:right="0"/>
        <w:jc w:val="left"/>
      </w:pPr>
      <w:r>
        <w:rPr/>
        <w:t>或本公司的任何成员公司之任何供货商、代理、客户、合营伙伴、策略性联盟伙伴、分销商、专业咨询人或顾问或承包商，</w:t>
      </w:r>
    </w:p>
    <w:p>
      <w:pPr>
        <w:pStyle w:val="BodyText"/>
        <w:spacing w:line="233" w:lineRule="exact"/>
        <w:ind w:right="0"/>
        <w:jc w:val="left"/>
      </w:pPr>
      <w:r>
        <w:rPr/>
        <w:t>或神州控股董事会预先批准而受益人包括上述任何人士之任何信托（或倘为全权信托，则为全权托管的对象）之受托人。</w:t>
      </w:r>
    </w:p>
    <w:p>
      <w:pPr>
        <w:pStyle w:val="BodyText"/>
        <w:spacing w:line="234" w:lineRule="exact" w:before="21"/>
        <w:ind w:left="514" w:right="2562" w:hanging="360"/>
        <w:jc w:val="left"/>
      </w:pPr>
      <w:r>
        <w:rPr/>
        <w:t>（</w:t>
      </w:r>
      <w:r>
        <w:rPr>
          <w:rFonts w:ascii="Times New Roman" w:hAnsi="Times New Roman" w:cs="Times New Roman" w:eastAsia="Times New Roman" w:hint="default"/>
        </w:rPr>
        <w:t>3</w:t>
      </w:r>
      <w:r>
        <w:rPr/>
        <w:t>）最高股份数目 在</w:t>
      </w:r>
      <w:r>
        <w:rPr>
          <w:rFonts w:ascii="Times New Roman" w:hAnsi="Times New Roman" w:cs="Times New Roman" w:eastAsia="Times New Roman" w:hint="default"/>
        </w:rPr>
        <w:t>2002</w:t>
      </w:r>
      <w:r>
        <w:rPr/>
        <w:t>年购股权计划及</w:t>
      </w:r>
      <w:r>
        <w:rPr>
          <w:rFonts w:ascii="Times New Roman" w:hAnsi="Times New Roman" w:cs="Times New Roman" w:eastAsia="Times New Roman" w:hint="default"/>
        </w:rPr>
        <w:t>2011</w:t>
      </w:r>
      <w:r>
        <w:rPr/>
        <w:t>年购股权计划下与本公司的相关的可供发行之股份数目为</w:t>
      </w:r>
      <w:r>
        <w:rPr>
          <w:rFonts w:ascii="Times New Roman" w:hAnsi="Times New Roman" w:cs="Times New Roman" w:eastAsia="Times New Roman" w:hint="default"/>
        </w:rPr>
        <w:t>11,796,000</w:t>
      </w:r>
      <w:r>
        <w:rPr/>
        <w:t>股。</w:t>
      </w:r>
    </w:p>
    <w:p>
      <w:pPr>
        <w:pStyle w:val="BodyText"/>
        <w:spacing w:line="232" w:lineRule="exact" w:before="1"/>
        <w:ind w:left="514" w:right="0" w:hanging="360"/>
        <w:jc w:val="left"/>
      </w:pPr>
      <w:r>
        <w:rPr/>
        <w:t>（</w:t>
      </w:r>
      <w:r>
        <w:rPr>
          <w:rFonts w:ascii="Times New Roman" w:hAnsi="Times New Roman" w:cs="Times New Roman" w:eastAsia="Times New Roman" w:hint="default"/>
        </w:rPr>
        <w:t>4</w:t>
      </w:r>
      <w:r>
        <w:rPr/>
        <w:t>）每名合资格人士可获授之最高数目 </w:t>
      </w:r>
      <w:r>
        <w:rPr>
          <w:spacing w:val="-2"/>
        </w:rPr>
        <w:t>每名合资格人士在任何十二个月期间根据购股权计划及本公司参与的任何其他购股权计划可获授之购股权（包括已行使</w:t>
      </w:r>
    </w:p>
    <w:p>
      <w:pPr>
        <w:pStyle w:val="BodyText"/>
        <w:spacing w:line="232" w:lineRule="exact" w:before="2"/>
        <w:ind w:right="1152"/>
        <w:jc w:val="left"/>
      </w:pPr>
      <w:r>
        <w:rPr/>
        <w:t>及尚未行使），在行使后予以发行及将予发行之最高股份数目不得超过神州控股当时已发行股份之</w:t>
      </w:r>
      <w:r>
        <w:rPr>
          <w:rFonts w:ascii="Times New Roman" w:hAnsi="Times New Roman" w:cs="Times New Roman" w:eastAsia="Times New Roman" w:hint="default"/>
        </w:rPr>
        <w:t>1%</w:t>
      </w:r>
      <w:r>
        <w:rPr/>
        <w:t>。任何进一步授出超 过此上限之购股权，均须待股东于神州控股股东大会上批准后，方可作实。</w:t>
      </w:r>
    </w:p>
    <w:p>
      <w:pPr>
        <w:pStyle w:val="BodyText"/>
        <w:spacing w:line="232" w:lineRule="exact" w:before="2"/>
        <w:ind w:right="1133" w:firstLine="360"/>
        <w:jc w:val="both"/>
      </w:pPr>
      <w:r>
        <w:rPr>
          <w:spacing w:val="-2"/>
        </w:rPr>
        <w:t>任何向本公司董事、行政总裁或主要股东或彼等各自之联系人授出购股权，必须获神州控股之独立非执行董事（不包括</w:t>
      </w:r>
      <w:r>
        <w:rPr/>
        <w:t> 身为该等购股权承授人之独立非执行董事）批准。</w:t>
      </w:r>
    </w:p>
    <w:p>
      <w:pPr>
        <w:pStyle w:val="BodyText"/>
        <w:spacing w:line="232" w:lineRule="exact" w:before="2"/>
        <w:ind w:right="1131" w:firstLine="360"/>
        <w:jc w:val="both"/>
      </w:pPr>
      <w:r>
        <w:rPr>
          <w:spacing w:val="-2"/>
        </w:rPr>
        <w:t>任何向本公司之主要股东或独立非执行董事或彼等各自之联系人授出购股权时，倘建议授出之购股权加上在直至该次授</w:t>
      </w:r>
      <w:r>
        <w:rPr/>
        <w:t> </w:t>
      </w:r>
      <w:r>
        <w:rPr>
          <w:spacing w:val="-2"/>
        </w:rPr>
        <w:t>出购股权当日止（包括该日在内）十二个月期间内已授予该主要股东或独立非执行董事之所有购股权（不论是已行使、注销</w:t>
      </w:r>
    </w:p>
    <w:p>
      <w:pPr>
        <w:pStyle w:val="BodyText"/>
        <w:spacing w:line="225" w:lineRule="auto"/>
        <w:ind w:right="1132"/>
        <w:jc w:val="both"/>
      </w:pPr>
      <w:r>
        <w:rPr/>
        <w:t>或尚未行使）将会：</w:t>
      </w:r>
      <w:r>
        <w:rPr>
          <w:rFonts w:ascii="Times New Roman" w:hAnsi="Times New Roman" w:cs="Times New Roman" w:eastAsia="Times New Roman" w:hint="default"/>
        </w:rPr>
        <w:t>(i)</w:t>
      </w:r>
      <w:r>
        <w:rPr/>
        <w:t>使该有关人士有权收取的股数超过神州控股当时已发行股本总数的</w:t>
      </w:r>
      <w:r>
        <w:rPr>
          <w:rFonts w:ascii="Times New Roman" w:hAnsi="Times New Roman" w:cs="Times New Roman" w:eastAsia="Times New Roman" w:hint="default"/>
        </w:rPr>
        <w:t>0.1%</w:t>
      </w:r>
      <w:r>
        <w:rPr/>
        <w:t>；及</w:t>
      </w:r>
      <w:r>
        <w:rPr>
          <w:rFonts w:ascii="Times New Roman" w:hAnsi="Times New Roman" w:cs="Times New Roman" w:eastAsia="Times New Roman" w:hint="default"/>
        </w:rPr>
        <w:t>(ii)</w:t>
      </w:r>
      <w:r>
        <w:rPr/>
        <w:t>按神州控股股份于该 </w:t>
      </w:r>
      <w:r>
        <w:rPr>
          <w:spacing w:val="-2"/>
        </w:rPr>
        <w:t>授出日期在联交所之收市价计算，其总值超过港币</w:t>
      </w:r>
      <w:r>
        <w:rPr>
          <w:rFonts w:ascii="Times New Roman" w:hAnsi="Times New Roman" w:cs="Times New Roman" w:eastAsia="Times New Roman" w:hint="default"/>
          <w:spacing w:val="-2"/>
        </w:rPr>
        <w:t>5,000,000</w:t>
      </w:r>
      <w:r>
        <w:rPr>
          <w:spacing w:val="-2"/>
        </w:rPr>
        <w:t>元，则除了须取得神州控股独立非执行董事之批准外，亦必须在</w:t>
      </w:r>
      <w:r>
        <w:rPr>
          <w:spacing w:val="-57"/>
        </w:rPr>
        <w:t> </w:t>
      </w:r>
      <w:r>
        <w:rPr>
          <w:spacing w:val="-57"/>
        </w:rPr>
      </w:r>
      <w:r>
        <w:rPr/>
        <w:t>股东大会上经由神州控股股东批准。</w:t>
      </w:r>
    </w:p>
    <w:p>
      <w:pPr>
        <w:pStyle w:val="BodyText"/>
        <w:spacing w:line="234" w:lineRule="exact" w:before="22"/>
        <w:ind w:left="514" w:right="0" w:hanging="360"/>
        <w:jc w:val="left"/>
      </w:pPr>
      <w:r>
        <w:rPr/>
        <w:t>（</w:t>
      </w:r>
      <w:r>
        <w:rPr>
          <w:rFonts w:ascii="Times New Roman" w:hAnsi="Times New Roman" w:cs="Times New Roman" w:eastAsia="Times New Roman" w:hint="default"/>
        </w:rPr>
        <w:t>5</w:t>
      </w:r>
      <w:r>
        <w:rPr/>
        <w:t>）行使购股权之期限 </w:t>
      </w:r>
      <w:r>
        <w:rPr>
          <w:spacing w:val="-2"/>
        </w:rPr>
        <w:t>根据购股权计划之条款，购股权可供行使之期限为有关购股权要约函件所载之期限，惟该期限须于要约日期之第十周年</w:t>
      </w:r>
    </w:p>
    <w:p>
      <w:pPr>
        <w:pStyle w:val="BodyText"/>
        <w:spacing w:line="211" w:lineRule="exact"/>
        <w:ind w:right="0"/>
        <w:jc w:val="left"/>
      </w:pPr>
      <w:r>
        <w:rPr/>
        <w:t>当日届满。</w:t>
      </w:r>
    </w:p>
    <w:p>
      <w:pPr>
        <w:pStyle w:val="BodyText"/>
        <w:spacing w:line="240" w:lineRule="exact"/>
        <w:ind w:right="0"/>
        <w:jc w:val="left"/>
      </w:pPr>
      <w:r>
        <w:rPr/>
        <w:t>（</w:t>
      </w:r>
      <w:r>
        <w:rPr>
          <w:rFonts w:ascii="Times New Roman" w:hAnsi="Times New Roman" w:cs="Times New Roman" w:eastAsia="Times New Roman" w:hint="default"/>
        </w:rPr>
        <w:t>6</w:t>
      </w:r>
      <w:r>
        <w:rPr/>
        <w:t>）接纳要约</w:t>
      </w:r>
    </w:p>
    <w:p>
      <w:pPr>
        <w:pStyle w:val="BodyText"/>
        <w:spacing w:line="234" w:lineRule="exact" w:before="15"/>
        <w:ind w:right="1131" w:firstLine="360"/>
        <w:jc w:val="both"/>
      </w:pPr>
      <w:r>
        <w:rPr>
          <w:spacing w:val="-2"/>
        </w:rPr>
        <w:t>购股权之要约须于有关要约函件所载就接纳该要约之最后限期或之前获承授人接纳，而该限期不得超过有关要约日期起</w:t>
      </w:r>
      <w:r>
        <w:rPr/>
        <w:t> 计之</w:t>
      </w:r>
      <w:r>
        <w:rPr>
          <w:rFonts w:ascii="Times New Roman" w:hAnsi="Times New Roman" w:cs="Times New Roman" w:eastAsia="Times New Roman" w:hint="default"/>
        </w:rPr>
        <w:t>28</w:t>
      </w:r>
      <w:r>
        <w:rPr/>
        <w:t>个营业日。每项要约获接纳时神州控股须收取代价港币</w:t>
      </w:r>
      <w:r>
        <w:rPr>
          <w:rFonts w:ascii="Times New Roman" w:hAnsi="Times New Roman" w:cs="Times New Roman" w:eastAsia="Times New Roman" w:hint="default"/>
        </w:rPr>
        <w:t>1.00</w:t>
      </w:r>
      <w:r>
        <w:rPr/>
        <w:t>元。</w:t>
      </w:r>
    </w:p>
    <w:p>
      <w:pPr>
        <w:pStyle w:val="BodyText"/>
        <w:spacing w:line="232" w:lineRule="exact" w:before="1"/>
        <w:ind w:left="514" w:right="0" w:hanging="360"/>
        <w:jc w:val="left"/>
      </w:pPr>
      <w:r>
        <w:rPr/>
        <w:t>（</w:t>
      </w:r>
      <w:r>
        <w:rPr>
          <w:rFonts w:ascii="Times New Roman" w:hAnsi="Times New Roman" w:cs="Times New Roman" w:eastAsia="Times New Roman" w:hint="default"/>
        </w:rPr>
        <w:t>7</w:t>
      </w:r>
      <w:r>
        <w:rPr/>
        <w:t>）认购价之厘定基准 </w:t>
      </w:r>
      <w:r>
        <w:rPr>
          <w:spacing w:val="-2"/>
        </w:rPr>
        <w:t>认购价将为下列中之最高者：股份于要约日期之收市价；股份于紧接要约日期前的五个营业日之平均收市价；或股份之</w:t>
      </w:r>
    </w:p>
    <w:p>
      <w:pPr>
        <w:pStyle w:val="BodyText"/>
        <w:spacing w:line="212" w:lineRule="exact"/>
        <w:ind w:right="0"/>
        <w:jc w:val="left"/>
      </w:pPr>
      <w:r>
        <w:rPr/>
        <w:t>面值。</w:t>
      </w:r>
    </w:p>
    <w:p>
      <w:pPr>
        <w:pStyle w:val="BodyText"/>
        <w:spacing w:line="248" w:lineRule="exact"/>
        <w:ind w:right="0"/>
        <w:jc w:val="left"/>
      </w:pPr>
      <w:r>
        <w:rPr/>
        <w:t>（</w:t>
      </w:r>
      <w:r>
        <w:rPr>
          <w:rFonts w:ascii="Times New Roman" w:hAnsi="Times New Roman" w:cs="Times New Roman" w:eastAsia="Times New Roman" w:hint="default"/>
        </w:rPr>
        <w:t>8</w:t>
      </w:r>
      <w:r>
        <w:rPr/>
        <w:t>）购股权计划之有效期</w:t>
      </w:r>
    </w:p>
    <w:p>
      <w:pPr>
        <w:spacing w:after="0" w:line="248" w:lineRule="exact"/>
        <w:jc w:val="left"/>
        <w:sectPr>
          <w:pgSz w:w="11910" w:h="16840"/>
          <w:pgMar w:header="877" w:footer="979" w:top="1100" w:bottom="1160" w:left="980" w:right="0"/>
        </w:sectPr>
      </w:pPr>
    </w:p>
    <w:p>
      <w:pPr>
        <w:spacing w:line="240" w:lineRule="auto" w:before="10"/>
        <w:rPr>
          <w:rFonts w:ascii="宋体" w:hAnsi="宋体" w:cs="宋体" w:eastAsia="宋体" w:hint="default"/>
          <w:sz w:val="18"/>
          <w:szCs w:val="18"/>
        </w:rPr>
      </w:pPr>
    </w:p>
    <w:p>
      <w:pPr>
        <w:pStyle w:val="BodyText"/>
        <w:spacing w:line="234" w:lineRule="exact" w:before="67"/>
        <w:ind w:right="0" w:firstLine="360"/>
        <w:jc w:val="left"/>
      </w:pPr>
      <w:r>
        <w:rPr>
          <w:rFonts w:ascii="Times New Roman" w:hAnsi="Times New Roman" w:cs="Times New Roman" w:eastAsia="Times New Roman" w:hint="default"/>
          <w:spacing w:val="-2"/>
        </w:rPr>
        <w:t>2002</w:t>
      </w:r>
      <w:r>
        <w:rPr>
          <w:spacing w:val="-2"/>
        </w:rPr>
        <w:t>年购股权计划及</w:t>
      </w:r>
      <w:r>
        <w:rPr>
          <w:rFonts w:ascii="Times New Roman" w:hAnsi="Times New Roman" w:cs="Times New Roman" w:eastAsia="Times New Roman" w:hint="default"/>
          <w:spacing w:val="-2"/>
        </w:rPr>
        <w:t>2011</w:t>
      </w:r>
      <w:r>
        <w:rPr>
          <w:spacing w:val="-2"/>
        </w:rPr>
        <w:t>年购股权计划分别于</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18</w:t>
      </w:r>
      <w:r>
        <w:rPr>
          <w:spacing w:val="-2"/>
        </w:rPr>
        <w:t>日及</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15</w:t>
      </w:r>
      <w:r>
        <w:rPr>
          <w:spacing w:val="-2"/>
        </w:rPr>
        <w:t>日（即该计划根据其条款被视为已生效之日）</w:t>
      </w:r>
      <w:r>
        <w:rPr/>
        <w:t> 起至多十年期间内维持有效及有作用。</w:t>
      </w:r>
    </w:p>
    <w:p>
      <w:pPr>
        <w:pStyle w:val="BodyText"/>
        <w:spacing w:line="217" w:lineRule="exact"/>
        <w:ind w:right="0"/>
        <w:jc w:val="left"/>
      </w:pPr>
      <w:r>
        <w:rPr/>
        <w:t>（</w:t>
      </w:r>
      <w:r>
        <w:rPr>
          <w:rFonts w:ascii="Times New Roman" w:hAnsi="Times New Roman" w:cs="Times New Roman" w:eastAsia="Times New Roman" w:hint="default"/>
        </w:rPr>
        <w:t>9</w:t>
      </w:r>
      <w:r>
        <w:rPr/>
        <w:t>）购股权并无赋予持有人享有股利或于股东大会上投票的权利。</w:t>
      </w:r>
    </w:p>
    <w:p>
      <w:pPr>
        <w:pStyle w:val="BodyText"/>
        <w:spacing w:line="232" w:lineRule="exact" w:before="17"/>
        <w:ind w:right="0"/>
        <w:jc w:val="left"/>
      </w:pPr>
      <w:r>
        <w:rPr>
          <w:spacing w:val="-1"/>
        </w:rPr>
        <w:t>（</w:t>
      </w:r>
      <w:r>
        <w:rPr>
          <w:rFonts w:ascii="Times New Roman" w:hAnsi="Times New Roman" w:cs="Times New Roman" w:eastAsia="Times New Roman" w:hint="default"/>
          <w:spacing w:val="-1"/>
        </w:rPr>
        <w:t>10</w:t>
      </w:r>
      <w:r>
        <w:rPr>
          <w:spacing w:val="-1"/>
        </w:rPr>
        <w:t>）所有授出之购股权均受制于为期四年的等待期，其中</w:t>
      </w:r>
      <w:r>
        <w:rPr>
          <w:rFonts w:ascii="Times New Roman" w:hAnsi="Times New Roman" w:cs="Times New Roman" w:eastAsia="Times New Roman" w:hint="default"/>
          <w:spacing w:val="-1"/>
        </w:rPr>
        <w:t>25%</w:t>
      </w:r>
      <w:r>
        <w:rPr>
          <w:spacing w:val="-1"/>
        </w:rPr>
        <w:t>于各授出日期起计满一周年之日开始可行权，</w:t>
      </w:r>
      <w:r>
        <w:rPr>
          <w:rFonts w:ascii="Times New Roman" w:hAnsi="Times New Roman" w:cs="Times New Roman" w:eastAsia="Times New Roman" w:hint="default"/>
          <w:spacing w:val="-1"/>
        </w:rPr>
        <w:t>25%</w:t>
      </w:r>
      <w:r>
        <w:rPr>
          <w:spacing w:val="-1"/>
        </w:rPr>
        <w:t>于满两周</w:t>
      </w:r>
      <w:r>
        <w:rPr>
          <w:spacing w:val="-56"/>
        </w:rPr>
        <w:t> </w:t>
      </w:r>
      <w:r>
        <w:rPr/>
        <w:t>年之日开始可行权，</w:t>
      </w:r>
      <w:r>
        <w:rPr>
          <w:rFonts w:ascii="Times New Roman" w:hAnsi="Times New Roman" w:cs="Times New Roman" w:eastAsia="Times New Roman" w:hint="default"/>
        </w:rPr>
        <w:t>25%</w:t>
      </w:r>
      <w:r>
        <w:rPr/>
        <w:t>于满三周年之日开始可行权，及</w:t>
      </w:r>
      <w:r>
        <w:rPr>
          <w:rFonts w:ascii="Times New Roman" w:hAnsi="Times New Roman" w:cs="Times New Roman" w:eastAsia="Times New Roman" w:hint="default"/>
        </w:rPr>
        <w:t>25%</w:t>
      </w:r>
      <w:r>
        <w:rPr/>
        <w:t>于满四周年之日开始可行权。</w:t>
      </w:r>
    </w:p>
    <w:p>
      <w:pPr>
        <w:pStyle w:val="BodyText"/>
        <w:spacing w:line="225" w:lineRule="auto"/>
        <w:ind w:right="0" w:firstLine="360"/>
        <w:jc w:val="left"/>
      </w:pPr>
      <w:r>
        <w:rPr/>
        <w:t>根据</w:t>
      </w:r>
      <w:r>
        <w:rPr>
          <w:rFonts w:ascii="Times New Roman" w:hAnsi="Times New Roman" w:cs="Times New Roman" w:eastAsia="Times New Roman" w:hint="default"/>
        </w:rPr>
        <w:t>2002</w:t>
      </w:r>
      <w:r>
        <w:rPr/>
        <w:t>年购股权计划，神州控股于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日授予本公司的股份期权为</w:t>
      </w:r>
      <w:r>
        <w:rPr>
          <w:rFonts w:ascii="Times New Roman" w:hAnsi="Times New Roman" w:cs="Times New Roman" w:eastAsia="Times New Roman" w:hint="default"/>
        </w:rPr>
        <w:t>8,300,000</w:t>
      </w:r>
      <w:r>
        <w:rPr/>
        <w:t>股，其公允价值为人民币 </w:t>
      </w:r>
      <w:r>
        <w:rPr>
          <w:rFonts w:ascii="Times New Roman" w:hAnsi="Times New Roman" w:cs="Times New Roman" w:eastAsia="Times New Roman" w:hint="default"/>
          <w:spacing w:val="-1"/>
        </w:rPr>
        <w:t>15,927,185</w:t>
      </w:r>
      <w:r>
        <w:rPr>
          <w:spacing w:val="-1"/>
        </w:rPr>
        <w:t>元</w:t>
      </w:r>
      <w:r>
        <w:rPr>
          <w:rFonts w:ascii="Times New Roman" w:hAnsi="Times New Roman" w:cs="Times New Roman" w:eastAsia="Times New Roman" w:hint="default"/>
          <w:spacing w:val="-1"/>
        </w:rPr>
        <w:t>(</w:t>
      </w:r>
      <w:r>
        <w:rPr>
          <w:spacing w:val="-1"/>
        </w:rPr>
        <w:t>人民币</w:t>
      </w:r>
      <w:r>
        <w:rPr>
          <w:rFonts w:ascii="Times New Roman" w:hAnsi="Times New Roman" w:cs="Times New Roman" w:eastAsia="Times New Roman" w:hint="default"/>
          <w:spacing w:val="-1"/>
        </w:rPr>
        <w:t>1.92</w:t>
      </w:r>
      <w:r>
        <w:rPr>
          <w:spacing w:val="-1"/>
        </w:rPr>
        <w:t>元</w:t>
      </w:r>
      <w:r>
        <w:rPr>
          <w:rFonts w:ascii="Times New Roman" w:hAnsi="Times New Roman" w:cs="Times New Roman" w:eastAsia="Times New Roman" w:hint="default"/>
          <w:spacing w:val="-1"/>
        </w:rPr>
        <w:t>/</w:t>
      </w:r>
      <w:r>
        <w:rPr>
          <w:spacing w:val="-1"/>
        </w:rPr>
        <w:t>股</w:t>
      </w:r>
      <w:r>
        <w:rPr>
          <w:rFonts w:ascii="Times New Roman" w:hAnsi="Times New Roman" w:cs="Times New Roman" w:eastAsia="Times New Roman" w:hint="default"/>
          <w:spacing w:val="-1"/>
        </w:rPr>
        <w:t>)</w:t>
      </w:r>
      <w:r>
        <w:rPr>
          <w:spacing w:val="-1"/>
        </w:rPr>
        <w:t>，此外，神州控股于</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11</w:t>
      </w:r>
      <w:r>
        <w:rPr>
          <w:spacing w:val="-1"/>
        </w:rPr>
        <w:t>日授予本公司的股份期权为</w:t>
      </w:r>
      <w:r>
        <w:rPr>
          <w:rFonts w:ascii="Times New Roman" w:hAnsi="Times New Roman" w:cs="Times New Roman" w:eastAsia="Times New Roman" w:hint="default"/>
          <w:spacing w:val="-1"/>
        </w:rPr>
        <w:t>3,496,000</w:t>
      </w:r>
      <w:r>
        <w:rPr>
          <w:spacing w:val="-1"/>
        </w:rPr>
        <w:t>股，其公允价值为人民</w:t>
      </w:r>
      <w:r>
        <w:rPr>
          <w:spacing w:val="-54"/>
        </w:rPr>
        <w:t> </w:t>
      </w:r>
      <w:r>
        <w:rPr>
          <w:spacing w:val="-54"/>
        </w:rPr>
      </w:r>
      <w:r>
        <w:rPr/>
        <w:t>币</w:t>
      </w:r>
      <w:r>
        <w:rPr>
          <w:rFonts w:ascii="Times New Roman" w:hAnsi="Times New Roman" w:cs="Times New Roman" w:eastAsia="Times New Roman" w:hint="default"/>
        </w:rPr>
        <w:t>16,916,368</w:t>
      </w:r>
      <w:r>
        <w:rPr/>
        <w:t>元</w:t>
      </w:r>
      <w:r>
        <w:rPr>
          <w:rFonts w:ascii="Times New Roman" w:hAnsi="Times New Roman" w:cs="Times New Roman" w:eastAsia="Times New Roman" w:hint="default"/>
        </w:rPr>
        <w:t>(</w:t>
      </w:r>
      <w:r>
        <w:rPr/>
        <w:t>人民币</w:t>
      </w:r>
      <w:r>
        <w:rPr>
          <w:rFonts w:ascii="Times New Roman" w:hAnsi="Times New Roman" w:cs="Times New Roman" w:eastAsia="Times New Roman" w:hint="default"/>
        </w:rPr>
        <w:t>4.84</w:t>
      </w:r>
      <w:r>
        <w:rPr/>
        <w:t>元</w:t>
      </w:r>
      <w:r>
        <w:rPr>
          <w:rFonts w:ascii="Times New Roman" w:hAnsi="Times New Roman" w:cs="Times New Roman" w:eastAsia="Times New Roman" w:hint="default"/>
        </w:rPr>
        <w:t>/</w:t>
      </w:r>
      <w:r>
        <w:rPr/>
        <w:t>股</w:t>
      </w:r>
      <w:r>
        <w:rPr>
          <w:rFonts w:ascii="Times New Roman" w:hAnsi="Times New Roman" w:cs="Times New Roman" w:eastAsia="Times New Roman" w:hint="default"/>
        </w:rPr>
        <w:t>)</w:t>
      </w: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日，本公司无在合并利润表中确认的股份期权费用。</w:t>
      </w:r>
    </w:p>
    <w:p>
      <w:pPr>
        <w:pStyle w:val="BodyText"/>
        <w:spacing w:line="234" w:lineRule="exact" w:before="9"/>
        <w:ind w:right="0" w:firstLine="360"/>
        <w:jc w:val="left"/>
      </w:pPr>
      <w:r>
        <w:rPr>
          <w:spacing w:val="-2"/>
        </w:rPr>
        <w:t>在</w:t>
      </w:r>
      <w:r>
        <w:rPr>
          <w:rFonts w:ascii="Times New Roman" w:hAnsi="Times New Roman" w:cs="Times New Roman" w:eastAsia="Times New Roman" w:hint="default"/>
          <w:spacing w:val="-2"/>
        </w:rPr>
        <w:t>2002</w:t>
      </w:r>
      <w:r>
        <w:rPr>
          <w:spacing w:val="-2"/>
        </w:rPr>
        <w:t>年购股权计划下，神州控股授予本公司的以权益结算的股份期权于授予日的公允价值，采用二项式模型，结合授</w:t>
      </w:r>
      <w:r>
        <w:rPr/>
        <w:t> 予股份期权的条款和条件，作出估计。下表列示了所用模型的输入变量：</w:t>
      </w:r>
    </w:p>
    <w:tbl>
      <w:tblPr>
        <w:tblW w:w="0" w:type="auto"/>
        <w:jc w:val="left"/>
        <w:tblInd w:w="139" w:type="dxa"/>
        <w:tblLayout w:type="fixed"/>
        <w:tblCellMar>
          <w:top w:w="0" w:type="dxa"/>
          <w:left w:w="0" w:type="dxa"/>
          <w:bottom w:w="0" w:type="dxa"/>
          <w:right w:w="0" w:type="dxa"/>
        </w:tblCellMar>
        <w:tblLook w:val="01E0"/>
      </w:tblPr>
      <w:tblGrid>
        <w:gridCol w:w="3260"/>
        <w:gridCol w:w="3262"/>
        <w:gridCol w:w="3137"/>
      </w:tblGrid>
      <w:tr>
        <w:trPr>
          <w:trHeight w:val="264" w:hRule="exact"/>
        </w:trPr>
        <w:tc>
          <w:tcPr>
            <w:tcW w:w="326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6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30" w:lineRule="exact"/>
              <w:ind w:left="10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313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30" w:lineRule="exact"/>
              <w:ind w:left="9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r>
      <w:tr>
        <w:trPr>
          <w:trHeight w:val="26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 w:right="0"/>
              <w:jc w:val="left"/>
              <w:rPr>
                <w:rFonts w:ascii="宋体" w:hAnsi="宋体" w:cs="宋体" w:eastAsia="宋体" w:hint="default"/>
                <w:sz w:val="18"/>
                <w:szCs w:val="18"/>
              </w:rPr>
            </w:pPr>
            <w:r>
              <w:rPr>
                <w:rFonts w:ascii="宋体" w:hAnsi="宋体" w:cs="宋体" w:eastAsia="宋体" w:hint="default"/>
                <w:sz w:val="18"/>
                <w:szCs w:val="18"/>
              </w:rPr>
              <w:t>股利率（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Times New Roman" w:hAnsi="Times New Roman" w:cs="Times New Roman" w:eastAsia="Times New Roman" w:hint="default"/>
                <w:sz w:val="18"/>
                <w:szCs w:val="18"/>
              </w:rPr>
            </w:pPr>
            <w:r>
              <w:rPr>
                <w:rFonts w:ascii="宋体" w:hAnsi="宋体" w:cs="宋体" w:eastAsia="宋体" w:hint="default"/>
                <w:sz w:val="18"/>
                <w:szCs w:val="18"/>
              </w:rPr>
              <w:t>每年</w:t>
            </w:r>
            <w:r>
              <w:rPr>
                <w:rFonts w:ascii="Times New Roman" w:hAnsi="Times New Roman" w:cs="Times New Roman" w:eastAsia="Times New Roman" w:hint="default"/>
                <w:sz w:val="18"/>
                <w:szCs w:val="18"/>
              </w:rPr>
              <w:t>3.5</w:t>
            </w:r>
          </w:p>
        </w:tc>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Times New Roman" w:hAnsi="Times New Roman" w:cs="Times New Roman" w:eastAsia="Times New Roman" w:hint="default"/>
                <w:sz w:val="18"/>
                <w:szCs w:val="18"/>
              </w:rPr>
            </w:pPr>
            <w:r>
              <w:rPr>
                <w:rFonts w:ascii="宋体" w:hAnsi="宋体" w:cs="宋体" w:eastAsia="宋体" w:hint="default"/>
                <w:sz w:val="18"/>
                <w:szCs w:val="18"/>
              </w:rPr>
              <w:t>每年</w:t>
            </w:r>
            <w:r>
              <w:rPr>
                <w:rFonts w:ascii="Times New Roman" w:hAnsi="Times New Roman" w:cs="Times New Roman" w:eastAsia="Times New Roman" w:hint="default"/>
                <w:sz w:val="18"/>
                <w:szCs w:val="18"/>
              </w:rPr>
              <w:t>3.5</w:t>
            </w:r>
          </w:p>
        </w:tc>
      </w:tr>
      <w:tr>
        <w:trPr>
          <w:trHeight w:val="264"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 w:right="0"/>
              <w:jc w:val="left"/>
              <w:rPr>
                <w:rFonts w:ascii="宋体" w:hAnsi="宋体" w:cs="宋体" w:eastAsia="宋体" w:hint="default"/>
                <w:sz w:val="18"/>
                <w:szCs w:val="18"/>
              </w:rPr>
            </w:pPr>
            <w:r>
              <w:rPr>
                <w:rFonts w:ascii="宋体" w:hAnsi="宋体" w:cs="宋体" w:eastAsia="宋体" w:hint="default"/>
                <w:sz w:val="18"/>
                <w:szCs w:val="18"/>
              </w:rPr>
              <w:t>预计波动率（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
              <w:jc w:val="right"/>
              <w:rPr>
                <w:rFonts w:ascii="Times New Roman" w:hAnsi="Times New Roman" w:cs="Times New Roman" w:eastAsia="Times New Roman" w:hint="default"/>
                <w:sz w:val="18"/>
                <w:szCs w:val="18"/>
              </w:rPr>
            </w:pPr>
            <w:r>
              <w:rPr>
                <w:rFonts w:ascii="宋体" w:hAnsi="宋体" w:cs="宋体" w:eastAsia="宋体" w:hint="default"/>
                <w:sz w:val="18"/>
                <w:szCs w:val="18"/>
              </w:rPr>
              <w:t>每年</w:t>
            </w:r>
            <w:r>
              <w:rPr>
                <w:rFonts w:ascii="Times New Roman" w:hAnsi="Times New Roman" w:cs="Times New Roman" w:eastAsia="Times New Roman" w:hint="default"/>
                <w:sz w:val="18"/>
                <w:szCs w:val="18"/>
              </w:rPr>
              <w:t>48</w:t>
            </w:r>
          </w:p>
        </w:tc>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
              <w:jc w:val="right"/>
              <w:rPr>
                <w:rFonts w:ascii="Times New Roman" w:hAnsi="Times New Roman" w:cs="Times New Roman" w:eastAsia="Times New Roman" w:hint="default"/>
                <w:sz w:val="18"/>
                <w:szCs w:val="18"/>
              </w:rPr>
            </w:pPr>
            <w:r>
              <w:rPr>
                <w:rFonts w:ascii="宋体" w:hAnsi="宋体" w:cs="宋体" w:eastAsia="宋体" w:hint="default"/>
                <w:sz w:val="18"/>
                <w:szCs w:val="18"/>
              </w:rPr>
              <w:t>每年</w:t>
            </w:r>
            <w:r>
              <w:rPr>
                <w:rFonts w:ascii="Times New Roman" w:hAnsi="Times New Roman" w:cs="Times New Roman" w:eastAsia="Times New Roman" w:hint="default"/>
                <w:sz w:val="18"/>
                <w:szCs w:val="18"/>
              </w:rPr>
              <w:t>45</w:t>
            </w:r>
          </w:p>
        </w:tc>
      </w:tr>
      <w:tr>
        <w:trPr>
          <w:trHeight w:val="26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 w:right="0"/>
              <w:jc w:val="left"/>
              <w:rPr>
                <w:rFonts w:ascii="宋体" w:hAnsi="宋体" w:cs="宋体" w:eastAsia="宋体" w:hint="default"/>
                <w:sz w:val="18"/>
                <w:szCs w:val="18"/>
              </w:rPr>
            </w:pPr>
            <w:r>
              <w:rPr>
                <w:rFonts w:ascii="宋体" w:hAnsi="宋体" w:cs="宋体" w:eastAsia="宋体" w:hint="default"/>
                <w:sz w:val="18"/>
                <w:szCs w:val="18"/>
              </w:rPr>
              <w:t>历史波动率（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
              <w:jc w:val="right"/>
              <w:rPr>
                <w:rFonts w:ascii="Times New Roman" w:hAnsi="Times New Roman" w:cs="Times New Roman" w:eastAsia="Times New Roman" w:hint="default"/>
                <w:sz w:val="18"/>
                <w:szCs w:val="18"/>
              </w:rPr>
            </w:pPr>
            <w:r>
              <w:rPr>
                <w:rFonts w:ascii="宋体" w:hAnsi="宋体" w:cs="宋体" w:eastAsia="宋体" w:hint="default"/>
                <w:sz w:val="18"/>
                <w:szCs w:val="18"/>
              </w:rPr>
              <w:t>每年</w:t>
            </w:r>
            <w:r>
              <w:rPr>
                <w:rFonts w:ascii="Times New Roman" w:hAnsi="Times New Roman" w:cs="Times New Roman" w:eastAsia="Times New Roman" w:hint="default"/>
                <w:sz w:val="18"/>
                <w:szCs w:val="18"/>
              </w:rPr>
              <w:t>48</w:t>
            </w:r>
          </w:p>
        </w:tc>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
              <w:jc w:val="right"/>
              <w:rPr>
                <w:rFonts w:ascii="Times New Roman" w:hAnsi="Times New Roman" w:cs="Times New Roman" w:eastAsia="Times New Roman" w:hint="default"/>
                <w:sz w:val="18"/>
                <w:szCs w:val="18"/>
              </w:rPr>
            </w:pPr>
            <w:r>
              <w:rPr>
                <w:rFonts w:ascii="宋体" w:hAnsi="宋体" w:cs="宋体" w:eastAsia="宋体" w:hint="default"/>
                <w:sz w:val="18"/>
                <w:szCs w:val="18"/>
              </w:rPr>
              <w:t>每年</w:t>
            </w:r>
            <w:r>
              <w:rPr>
                <w:rFonts w:ascii="Times New Roman" w:hAnsi="Times New Roman" w:cs="Times New Roman" w:eastAsia="Times New Roman" w:hint="default"/>
                <w:sz w:val="18"/>
                <w:szCs w:val="18"/>
              </w:rPr>
              <w:t>45</w:t>
            </w:r>
          </w:p>
        </w:tc>
      </w:tr>
      <w:tr>
        <w:trPr>
          <w:trHeight w:val="264"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 w:right="0"/>
              <w:jc w:val="left"/>
              <w:rPr>
                <w:rFonts w:ascii="宋体" w:hAnsi="宋体" w:cs="宋体" w:eastAsia="宋体" w:hint="default"/>
                <w:sz w:val="18"/>
                <w:szCs w:val="18"/>
              </w:rPr>
            </w:pPr>
            <w:r>
              <w:rPr>
                <w:rFonts w:ascii="宋体" w:hAnsi="宋体" w:cs="宋体" w:eastAsia="宋体" w:hint="default"/>
                <w:sz w:val="18"/>
                <w:szCs w:val="18"/>
              </w:rPr>
              <w:t>无风险利率（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Times New Roman" w:hAnsi="Times New Roman" w:cs="Times New Roman" w:eastAsia="Times New Roman" w:hint="default"/>
                <w:sz w:val="18"/>
                <w:szCs w:val="18"/>
              </w:rPr>
            </w:pPr>
            <w:r>
              <w:rPr>
                <w:rFonts w:ascii="宋体" w:hAnsi="宋体" w:cs="宋体" w:eastAsia="宋体" w:hint="default"/>
                <w:sz w:val="18"/>
                <w:szCs w:val="18"/>
              </w:rPr>
              <w:t>每年</w:t>
            </w:r>
            <w:r>
              <w:rPr>
                <w:rFonts w:ascii="Times New Roman" w:hAnsi="Times New Roman" w:cs="Times New Roman" w:eastAsia="Times New Roman" w:hint="default"/>
                <w:sz w:val="18"/>
                <w:szCs w:val="18"/>
              </w:rPr>
              <w:t>2.1</w:t>
            </w:r>
          </w:p>
        </w:tc>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Times New Roman" w:hAnsi="Times New Roman" w:cs="Times New Roman" w:eastAsia="Times New Roman" w:hint="default"/>
                <w:sz w:val="18"/>
                <w:szCs w:val="18"/>
              </w:rPr>
            </w:pPr>
            <w:r>
              <w:rPr>
                <w:rFonts w:ascii="宋体" w:hAnsi="宋体" w:cs="宋体" w:eastAsia="宋体" w:hint="default"/>
                <w:sz w:val="18"/>
                <w:szCs w:val="18"/>
              </w:rPr>
              <w:t>每年</w:t>
            </w:r>
            <w:r>
              <w:rPr>
                <w:rFonts w:ascii="Times New Roman" w:hAnsi="Times New Roman" w:cs="Times New Roman" w:eastAsia="Times New Roman" w:hint="default"/>
                <w:sz w:val="18"/>
                <w:szCs w:val="18"/>
              </w:rPr>
              <w:t>2.6</w:t>
            </w:r>
          </w:p>
        </w:tc>
      </w:tr>
      <w:tr>
        <w:trPr>
          <w:trHeight w:val="264"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4" w:right="0"/>
              <w:jc w:val="left"/>
              <w:rPr>
                <w:rFonts w:ascii="宋体" w:hAnsi="宋体" w:cs="宋体" w:eastAsia="宋体" w:hint="default"/>
                <w:sz w:val="18"/>
                <w:szCs w:val="18"/>
              </w:rPr>
            </w:pPr>
            <w:r>
              <w:rPr>
                <w:rFonts w:ascii="宋体" w:hAnsi="宋体" w:cs="宋体" w:eastAsia="宋体" w:hint="default"/>
                <w:sz w:val="18"/>
                <w:szCs w:val="18"/>
              </w:rPr>
              <w:t>股份期权预计期限（年）</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
              <w:jc w:val="right"/>
              <w:rPr>
                <w:rFonts w:ascii="Times New Roman" w:hAnsi="Times New Roman" w:cs="Times New Roman" w:eastAsia="Times New Roman" w:hint="default"/>
                <w:sz w:val="18"/>
                <w:szCs w:val="18"/>
              </w:rPr>
            </w:pPr>
            <w:r>
              <w:rPr>
                <w:rFonts w:ascii="Times New Roman"/>
                <w:sz w:val="18"/>
              </w:rPr>
              <w:t>8</w:t>
            </w:r>
          </w:p>
        </w:tc>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
              <w:jc w:val="right"/>
              <w:rPr>
                <w:rFonts w:ascii="Times New Roman" w:hAnsi="Times New Roman" w:cs="Times New Roman" w:eastAsia="Times New Roman" w:hint="default"/>
                <w:sz w:val="18"/>
                <w:szCs w:val="18"/>
              </w:rPr>
            </w:pPr>
            <w:r>
              <w:rPr>
                <w:rFonts w:ascii="Times New Roman"/>
                <w:sz w:val="18"/>
              </w:rPr>
              <w:t>8</w:t>
            </w:r>
          </w:p>
        </w:tc>
      </w:tr>
      <w:tr>
        <w:trPr>
          <w:trHeight w:val="26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加权平均股价（每股港元）</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right"/>
              <w:rPr>
                <w:rFonts w:ascii="Times New Roman" w:hAnsi="Times New Roman" w:cs="Times New Roman" w:eastAsia="Times New Roman" w:hint="default"/>
                <w:sz w:val="18"/>
                <w:szCs w:val="18"/>
              </w:rPr>
            </w:pPr>
            <w:r>
              <w:rPr>
                <w:rFonts w:ascii="Times New Roman"/>
                <w:sz w:val="18"/>
              </w:rPr>
              <w:t>14.98</w:t>
            </w:r>
          </w:p>
        </w:tc>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right"/>
              <w:rPr>
                <w:rFonts w:ascii="Times New Roman" w:hAnsi="Times New Roman" w:cs="Times New Roman" w:eastAsia="Times New Roman" w:hint="default"/>
                <w:sz w:val="18"/>
                <w:szCs w:val="18"/>
              </w:rPr>
            </w:pPr>
            <w:r>
              <w:rPr>
                <w:rFonts w:ascii="Times New Roman"/>
                <w:sz w:val="18"/>
              </w:rPr>
              <w:t>5.89</w:t>
            </w:r>
          </w:p>
        </w:tc>
      </w:tr>
    </w:tbl>
    <w:p>
      <w:pPr>
        <w:spacing w:line="240" w:lineRule="auto" w:before="8"/>
        <w:rPr>
          <w:rFonts w:ascii="宋体" w:hAnsi="宋体" w:cs="宋体" w:eastAsia="宋体" w:hint="default"/>
          <w:sz w:val="10"/>
          <w:szCs w:val="10"/>
        </w:rPr>
      </w:pPr>
    </w:p>
    <w:p>
      <w:pPr>
        <w:pStyle w:val="BodyText"/>
        <w:spacing w:line="232" w:lineRule="exact" w:before="69"/>
        <w:ind w:right="1122" w:firstLine="360"/>
        <w:jc w:val="left"/>
      </w:pPr>
      <w:r>
        <w:rPr/>
        <w:t>股份期权的预计期限是根据过去</w:t>
      </w:r>
      <w:r>
        <w:rPr>
          <w:rFonts w:ascii="Times New Roman" w:hAnsi="Times New Roman" w:cs="Times New Roman" w:eastAsia="Times New Roman" w:hint="default"/>
        </w:rPr>
        <w:t>3</w:t>
      </w:r>
      <w:r>
        <w:rPr/>
        <w:t>年的历史数据为基础确定的，未必反映未来可能出现的行权模式。预计波动率是基于 历史波动率对未来趋势的假设，未必与实际的结果相符。</w:t>
      </w:r>
    </w:p>
    <w:p>
      <w:pPr>
        <w:pStyle w:val="BodyText"/>
        <w:spacing w:line="232" w:lineRule="exact" w:before="2"/>
        <w:ind w:left="514" w:right="4992"/>
        <w:jc w:val="left"/>
      </w:pPr>
      <w:r>
        <w:rPr/>
        <w:t>计量所授出购股权的公允价值时并未考虑所授出购股权的其他特质。 按照本计划，归属于本公司的神州控股发行在外的股份期权如下：</w:t>
      </w:r>
    </w:p>
    <w:p>
      <w:pPr>
        <w:spacing w:line="240" w:lineRule="auto" w:before="10"/>
        <w:rPr>
          <w:rFonts w:ascii="宋体" w:hAnsi="宋体" w:cs="宋体" w:eastAsia="宋体" w:hint="default"/>
          <w:sz w:val="16"/>
          <w:szCs w:val="16"/>
        </w:rPr>
      </w:pPr>
    </w:p>
    <w:tbl>
      <w:tblPr>
        <w:tblW w:w="0" w:type="auto"/>
        <w:jc w:val="left"/>
        <w:tblInd w:w="139" w:type="dxa"/>
        <w:tblLayout w:type="fixed"/>
        <w:tblCellMar>
          <w:top w:w="0" w:type="dxa"/>
          <w:left w:w="0" w:type="dxa"/>
          <w:bottom w:w="0" w:type="dxa"/>
          <w:right w:w="0" w:type="dxa"/>
        </w:tblCellMar>
        <w:tblLook w:val="01E0"/>
      </w:tblPr>
      <w:tblGrid>
        <w:gridCol w:w="2620"/>
        <w:gridCol w:w="3603"/>
        <w:gridCol w:w="3436"/>
      </w:tblGrid>
      <w:tr>
        <w:trPr>
          <w:trHeight w:val="342" w:hRule="exact"/>
        </w:trPr>
        <w:tc>
          <w:tcPr>
            <w:tcW w:w="2620" w:type="dxa"/>
            <w:vMerge w:val="restart"/>
            <w:tcBorders>
              <w:top w:val="single" w:sz="4" w:space="0" w:color="000000"/>
              <w:left w:val="single" w:sz="4" w:space="0" w:color="000000"/>
              <w:right w:val="single" w:sz="4" w:space="0" w:color="000000"/>
            </w:tcBorders>
            <w:shd w:val="clear" w:color="auto" w:fill="D0CECE"/>
          </w:tcPr>
          <w:p>
            <w:pPr>
              <w:pStyle w:val="TableParagraph"/>
              <w:spacing w:line="211" w:lineRule="exact"/>
              <w:ind w:left="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039" w:type="dxa"/>
            <w:gridSpan w:val="2"/>
            <w:tcBorders>
              <w:top w:val="single" w:sz="4" w:space="0" w:color="000000"/>
              <w:left w:val="single" w:sz="4" w:space="0" w:color="000000"/>
              <w:bottom w:val="single" w:sz="8" w:space="0" w:color="FFFFFF"/>
              <w:right w:val="single" w:sz="4" w:space="0" w:color="000000"/>
            </w:tcBorders>
            <w:shd w:val="clear" w:color="auto" w:fill="D0CECE"/>
          </w:tcPr>
          <w:p>
            <w:pPr>
              <w:pStyle w:val="TableParagraph"/>
              <w:spacing w:line="224"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492" w:hRule="exact"/>
        </w:trPr>
        <w:tc>
          <w:tcPr>
            <w:tcW w:w="2620" w:type="dxa"/>
            <w:vMerge/>
            <w:tcBorders>
              <w:left w:val="single" w:sz="4" w:space="0" w:color="000000"/>
              <w:bottom w:val="single" w:sz="4" w:space="0" w:color="000000"/>
              <w:right w:val="single" w:sz="4" w:space="0" w:color="000000"/>
            </w:tcBorders>
            <w:shd w:val="clear" w:color="auto" w:fill="D0CECE"/>
          </w:tcPr>
          <w:p>
            <w:pPr/>
          </w:p>
        </w:tc>
        <w:tc>
          <w:tcPr>
            <w:tcW w:w="3603" w:type="dxa"/>
            <w:tcBorders>
              <w:top w:val="single" w:sz="8" w:space="0" w:color="FFFFFF"/>
              <w:left w:val="single" w:sz="4" w:space="0" w:color="000000"/>
              <w:bottom w:val="single" w:sz="4" w:space="0" w:color="000000"/>
              <w:right w:val="single" w:sz="4" w:space="0" w:color="000000"/>
            </w:tcBorders>
            <w:shd w:val="clear" w:color="auto" w:fill="D0CECE"/>
          </w:tcPr>
          <w:p>
            <w:pPr>
              <w:pStyle w:val="TableParagraph"/>
              <w:spacing w:line="205" w:lineRule="exact"/>
              <w:ind w:left="1075" w:right="0"/>
              <w:jc w:val="left"/>
              <w:rPr>
                <w:rFonts w:ascii="宋体" w:hAnsi="宋体" w:cs="宋体" w:eastAsia="宋体" w:hint="default"/>
                <w:sz w:val="18"/>
                <w:szCs w:val="18"/>
              </w:rPr>
            </w:pPr>
            <w:r>
              <w:rPr>
                <w:rFonts w:ascii="宋体" w:hAnsi="宋体" w:cs="宋体" w:eastAsia="宋体" w:hint="default"/>
                <w:sz w:val="18"/>
                <w:szCs w:val="18"/>
              </w:rPr>
              <w:t>加权平均行权价格</w:t>
            </w:r>
          </w:p>
          <w:p>
            <w:pPr>
              <w:pStyle w:val="TableParagraph"/>
              <w:spacing w:line="248" w:lineRule="exact"/>
              <w:ind w:left="1140" w:right="0"/>
              <w:jc w:val="left"/>
              <w:rPr>
                <w:rFonts w:ascii="宋体" w:hAnsi="宋体" w:cs="宋体" w:eastAsia="宋体" w:hint="default"/>
                <w:sz w:val="18"/>
                <w:szCs w:val="18"/>
              </w:rPr>
            </w:pPr>
            <w:r>
              <w:rPr>
                <w:rFonts w:ascii="宋体" w:hAnsi="宋体" w:cs="宋体" w:eastAsia="宋体" w:hint="default"/>
                <w:sz w:val="18"/>
                <w:szCs w:val="18"/>
              </w:rPr>
              <w:t>（人民币元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3436" w:type="dxa"/>
            <w:tcBorders>
              <w:top w:val="single" w:sz="8" w:space="0" w:color="FFFFFF"/>
              <w:left w:val="single" w:sz="4" w:space="0" w:color="000000"/>
              <w:bottom w:val="single" w:sz="4" w:space="0" w:color="000000"/>
              <w:right w:val="single" w:sz="4" w:space="0" w:color="000000"/>
            </w:tcBorders>
            <w:shd w:val="clear" w:color="auto" w:fill="D0CECE"/>
          </w:tcPr>
          <w:p>
            <w:pPr>
              <w:pStyle w:val="TableParagraph"/>
              <w:spacing w:line="205" w:lineRule="exact"/>
              <w:ind w:left="902" w:right="0"/>
              <w:jc w:val="left"/>
              <w:rPr>
                <w:rFonts w:ascii="宋体" w:hAnsi="宋体" w:cs="宋体" w:eastAsia="宋体" w:hint="default"/>
                <w:sz w:val="18"/>
                <w:szCs w:val="18"/>
              </w:rPr>
            </w:pPr>
            <w:r>
              <w:rPr>
                <w:rFonts w:ascii="宋体" w:hAnsi="宋体" w:cs="宋体" w:eastAsia="宋体" w:hint="default"/>
                <w:sz w:val="18"/>
                <w:szCs w:val="18"/>
              </w:rPr>
              <w:t>股份期权数量（份）</w:t>
            </w:r>
          </w:p>
        </w:tc>
      </w:tr>
      <w:tr>
        <w:trPr>
          <w:trHeight w:val="343" w:hRule="exact"/>
        </w:trPr>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4" w:right="0"/>
              <w:jc w:val="left"/>
              <w:rPr>
                <w:rFonts w:ascii="宋体" w:hAnsi="宋体" w:cs="宋体" w:eastAsia="宋体" w:hint="default"/>
                <w:sz w:val="18"/>
                <w:szCs w:val="18"/>
              </w:rPr>
            </w:pPr>
            <w:r>
              <w:rPr>
                <w:rFonts w:ascii="宋体" w:hAnsi="宋体" w:cs="宋体" w:eastAsia="宋体" w:hint="default"/>
                <w:sz w:val="18"/>
                <w:szCs w:val="18"/>
              </w:rPr>
              <w:t>年初</w:t>
            </w:r>
          </w:p>
        </w:tc>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
              <w:jc w:val="right"/>
              <w:rPr>
                <w:rFonts w:ascii="Times New Roman" w:hAnsi="Times New Roman" w:cs="Times New Roman" w:eastAsia="Times New Roman" w:hint="default"/>
                <w:sz w:val="18"/>
                <w:szCs w:val="18"/>
              </w:rPr>
            </w:pPr>
            <w:r>
              <w:rPr>
                <w:rFonts w:ascii="Times New Roman"/>
                <w:sz w:val="18"/>
              </w:rPr>
              <w:t>12.83</w:t>
            </w:r>
          </w:p>
        </w:tc>
        <w:tc>
          <w:tcPr>
            <w:tcW w:w="3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
              <w:jc w:val="right"/>
              <w:rPr>
                <w:rFonts w:ascii="Times New Roman" w:hAnsi="Times New Roman" w:cs="Times New Roman" w:eastAsia="Times New Roman" w:hint="default"/>
                <w:sz w:val="18"/>
                <w:szCs w:val="18"/>
              </w:rPr>
            </w:pPr>
            <w:r>
              <w:rPr>
                <w:rFonts w:ascii="Times New Roman"/>
                <w:spacing w:val="-1"/>
                <w:sz w:val="18"/>
              </w:rPr>
              <w:t>1,968,000.00</w:t>
            </w:r>
          </w:p>
        </w:tc>
      </w:tr>
      <w:tr>
        <w:trPr>
          <w:trHeight w:val="342" w:hRule="exact"/>
        </w:trPr>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失效</w:t>
            </w:r>
          </w:p>
        </w:tc>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3"/>
              <w:jc w:val="right"/>
              <w:rPr>
                <w:rFonts w:ascii="Times New Roman" w:hAnsi="Times New Roman" w:cs="Times New Roman" w:eastAsia="Times New Roman" w:hint="default"/>
                <w:sz w:val="18"/>
                <w:szCs w:val="18"/>
              </w:rPr>
            </w:pPr>
            <w:r>
              <w:rPr>
                <w:rFonts w:ascii="Times New Roman"/>
                <w:sz w:val="18"/>
              </w:rPr>
              <w:t>12.83</w:t>
            </w:r>
          </w:p>
        </w:tc>
        <w:tc>
          <w:tcPr>
            <w:tcW w:w="3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right"/>
              <w:rPr>
                <w:rFonts w:ascii="Times New Roman" w:hAnsi="Times New Roman" w:cs="Times New Roman" w:eastAsia="Times New Roman" w:hint="default"/>
                <w:sz w:val="18"/>
                <w:szCs w:val="18"/>
              </w:rPr>
            </w:pPr>
            <w:r>
              <w:rPr>
                <w:rFonts w:ascii="Times New Roman"/>
                <w:w w:val="95"/>
                <w:sz w:val="18"/>
              </w:rPr>
              <w:t>-47,218.00</w:t>
            </w:r>
            <w:r>
              <w:rPr>
                <w:rFonts w:ascii="Times New Roman"/>
                <w:sz w:val="18"/>
              </w:rPr>
            </w:r>
          </w:p>
        </w:tc>
      </w:tr>
      <w:tr>
        <w:trPr>
          <w:trHeight w:val="342" w:hRule="exact"/>
        </w:trPr>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行权</w:t>
            </w:r>
          </w:p>
        </w:tc>
        <w:tc>
          <w:tcPr>
            <w:tcW w:w="3603" w:type="dxa"/>
            <w:tcBorders>
              <w:top w:val="single" w:sz="4" w:space="0" w:color="000000"/>
              <w:left w:val="single" w:sz="4" w:space="0" w:color="000000"/>
              <w:bottom w:val="single" w:sz="4" w:space="0" w:color="000000"/>
              <w:right w:val="single" w:sz="4" w:space="0" w:color="000000"/>
            </w:tcBorders>
          </w:tcPr>
          <w:p>
            <w:pPr/>
          </w:p>
        </w:tc>
        <w:tc>
          <w:tcPr>
            <w:tcW w:w="343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年末</w:t>
            </w:r>
          </w:p>
        </w:tc>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3"/>
              <w:jc w:val="right"/>
              <w:rPr>
                <w:rFonts w:ascii="Times New Roman" w:hAnsi="Times New Roman" w:cs="Times New Roman" w:eastAsia="Times New Roman" w:hint="default"/>
                <w:sz w:val="18"/>
                <w:szCs w:val="18"/>
              </w:rPr>
            </w:pPr>
            <w:r>
              <w:rPr>
                <w:rFonts w:ascii="Times New Roman"/>
                <w:sz w:val="18"/>
              </w:rPr>
              <w:t>12.83</w:t>
            </w:r>
          </w:p>
        </w:tc>
        <w:tc>
          <w:tcPr>
            <w:tcW w:w="3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right"/>
              <w:rPr>
                <w:rFonts w:ascii="Times New Roman" w:hAnsi="Times New Roman" w:cs="Times New Roman" w:eastAsia="Times New Roman" w:hint="default"/>
                <w:sz w:val="18"/>
                <w:szCs w:val="18"/>
              </w:rPr>
            </w:pPr>
            <w:r>
              <w:rPr>
                <w:rFonts w:ascii="Times New Roman"/>
                <w:spacing w:val="-1"/>
                <w:sz w:val="18"/>
              </w:rPr>
              <w:t>1,920,782.00</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3、以现金结算的股份支付情况" w:id="374"/>
      <w:bookmarkEnd w:id="374"/>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0"/>
        <w:rPr>
          <w:rFonts w:ascii="宋体" w:hAnsi="宋体" w:cs="宋体" w:eastAsia="宋体" w:hint="default"/>
          <w:b/>
          <w:bCs/>
          <w:sz w:val="22"/>
          <w:szCs w:val="22"/>
        </w:rPr>
      </w:pPr>
    </w:p>
    <w:p>
      <w:pPr>
        <w:spacing w:line="491" w:lineRule="auto" w:before="0"/>
        <w:ind w:left="154" w:right="790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4、股份支付的修改、终止情况" w:id="375"/>
      <w:bookmarkEnd w:id="375"/>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3"/>
        <w:spacing w:line="240" w:lineRule="auto" w:before="104"/>
        <w:ind w:right="0"/>
        <w:jc w:val="left"/>
        <w:rPr>
          <w:b w:val="0"/>
          <w:bCs w:val="0"/>
        </w:rPr>
      </w:pPr>
      <w:bookmarkStart w:name="5、其他" w:id="376"/>
      <w:bookmarkEnd w:id="376"/>
      <w:r>
        <w:rPr>
          <w:b w:val="0"/>
          <w:bCs w:val="0"/>
        </w:rPr>
      </w:r>
      <w:r>
        <w:rPr>
          <w:rFonts w:ascii="Times New Roman" w:hAnsi="Times New Roman" w:cs="Times New Roman" w:eastAsia="Times New Roman" w:hint="default"/>
        </w:rPr>
        <w:t>5</w:t>
      </w:r>
      <w:r>
        <w:rPr/>
        <w:t>、其他</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right="0"/>
        <w:jc w:val="left"/>
      </w:pPr>
      <w:r>
        <w:rPr/>
        <w:t>无</w:t>
      </w:r>
    </w:p>
    <w:p>
      <w:pPr>
        <w:spacing w:line="240" w:lineRule="auto" w:before="0"/>
        <w:rPr>
          <w:rFonts w:ascii="宋体" w:hAnsi="宋体" w:cs="宋体" w:eastAsia="宋体" w:hint="default"/>
          <w:sz w:val="22"/>
          <w:szCs w:val="22"/>
        </w:rPr>
      </w:pPr>
    </w:p>
    <w:p>
      <w:pPr>
        <w:pStyle w:val="Heading2"/>
        <w:spacing w:line="240" w:lineRule="auto"/>
        <w:ind w:right="0"/>
        <w:jc w:val="left"/>
        <w:rPr>
          <w:b w:val="0"/>
          <w:bCs w:val="0"/>
        </w:rPr>
      </w:pPr>
      <w:bookmarkStart w:name="十四、承诺及或有事项" w:id="377"/>
      <w:bookmarkEnd w:id="377"/>
      <w:r>
        <w:rPr>
          <w:b w:val="0"/>
          <w:bCs w:val="0"/>
        </w:rPr>
      </w:r>
      <w:r>
        <w:rPr/>
        <w:t>十四、承诺及或有事项</w:t>
      </w:r>
      <w:r>
        <w:rPr>
          <w:b w:val="0"/>
          <w:bCs w:val="0"/>
        </w:rPr>
      </w:r>
    </w:p>
    <w:p>
      <w:pPr>
        <w:spacing w:line="240" w:lineRule="auto" w:before="2"/>
        <w:rPr>
          <w:rFonts w:ascii="宋体" w:hAnsi="宋体" w:cs="宋体" w:eastAsia="宋体" w:hint="default"/>
          <w:b/>
          <w:bCs/>
          <w:sz w:val="23"/>
          <w:szCs w:val="23"/>
        </w:rPr>
      </w:pPr>
    </w:p>
    <w:p>
      <w:pPr>
        <w:pStyle w:val="Heading3"/>
        <w:spacing w:line="240" w:lineRule="auto"/>
        <w:ind w:right="0"/>
        <w:jc w:val="left"/>
        <w:rPr>
          <w:b w:val="0"/>
          <w:bCs w:val="0"/>
        </w:rPr>
      </w:pPr>
      <w:bookmarkStart w:name="1、承诺事项" w:id="378"/>
      <w:bookmarkEnd w:id="378"/>
      <w:r>
        <w:rPr>
          <w:b w:val="0"/>
          <w:bCs w:val="0"/>
        </w:rPr>
      </w:r>
      <w:r>
        <w:rPr>
          <w:rFonts w:ascii="Times New Roman" w:hAnsi="Times New Roman" w:cs="Times New Roman" w:eastAsia="Times New Roman" w:hint="default"/>
        </w:rPr>
        <w:t>1</w:t>
      </w:r>
      <w:r>
        <w:rPr/>
        <w:t>、承诺事项</w:t>
      </w:r>
      <w:r>
        <w:rPr>
          <w:b w:val="0"/>
          <w:bCs w:val="0"/>
        </w:rPr>
      </w:r>
    </w:p>
    <w:p>
      <w:pPr>
        <w:spacing w:line="240" w:lineRule="auto" w:before="12"/>
        <w:rPr>
          <w:rFonts w:ascii="宋体" w:hAnsi="宋体" w:cs="宋体" w:eastAsia="宋体" w:hint="default"/>
          <w:b/>
          <w:bCs/>
          <w:sz w:val="23"/>
          <w:szCs w:val="23"/>
        </w:rPr>
      </w:pPr>
    </w:p>
    <w:p>
      <w:pPr>
        <w:pStyle w:val="BodyText"/>
        <w:spacing w:line="232" w:lineRule="exact"/>
        <w:ind w:right="4092"/>
        <w:jc w:val="left"/>
      </w:pPr>
      <w:r>
        <w:rPr/>
        <w:t>资产负债表日存在的重要承诺 经营租赁承诺：根据与出租人签订的租赁合同，不可撤销租赁的最低租赁付款如下：</w:t>
      </w:r>
    </w:p>
    <w:tbl>
      <w:tblPr>
        <w:tblW w:w="0" w:type="auto"/>
        <w:jc w:val="left"/>
        <w:tblInd w:w="137" w:type="dxa"/>
        <w:tblLayout w:type="fixed"/>
        <w:tblCellMar>
          <w:top w:w="0" w:type="dxa"/>
          <w:left w:w="0" w:type="dxa"/>
          <w:bottom w:w="0" w:type="dxa"/>
          <w:right w:w="0" w:type="dxa"/>
        </w:tblCellMar>
        <w:tblLook w:val="01E0"/>
      </w:tblPr>
      <w:tblGrid>
        <w:gridCol w:w="4989"/>
        <w:gridCol w:w="4670"/>
      </w:tblGrid>
      <w:tr>
        <w:trPr>
          <w:trHeight w:val="270" w:hRule="exact"/>
        </w:trPr>
        <w:tc>
          <w:tcPr>
            <w:tcW w:w="4989" w:type="dxa"/>
            <w:tcBorders>
              <w:top w:val="single" w:sz="6" w:space="0" w:color="000000"/>
              <w:left w:val="single" w:sz="6" w:space="0" w:color="000000"/>
              <w:bottom w:val="single" w:sz="8" w:space="0" w:color="000000"/>
              <w:right w:val="single" w:sz="6" w:space="0" w:color="000000"/>
            </w:tcBorders>
            <w:shd w:val="clear" w:color="auto" w:fill="D0CECE"/>
          </w:tcPr>
          <w:p>
            <w:pPr>
              <w:pStyle w:val="TableParagraph"/>
              <w:spacing w:line="215" w:lineRule="exact"/>
              <w:ind w:left="2" w:right="0"/>
              <w:jc w:val="left"/>
              <w:rPr>
                <w:rFonts w:ascii="宋体" w:hAnsi="宋体" w:cs="宋体" w:eastAsia="宋体" w:hint="default"/>
                <w:sz w:val="18"/>
                <w:szCs w:val="18"/>
              </w:rPr>
            </w:pPr>
            <w:r>
              <w:rPr>
                <w:rFonts w:ascii="宋体" w:hAnsi="宋体" w:cs="宋体" w:eastAsia="宋体" w:hint="default"/>
                <w:sz w:val="18"/>
                <w:szCs w:val="18"/>
              </w:rPr>
              <w:t>期限</w:t>
            </w:r>
          </w:p>
        </w:tc>
        <w:tc>
          <w:tcPr>
            <w:tcW w:w="4670" w:type="dxa"/>
            <w:tcBorders>
              <w:top w:val="single" w:sz="6" w:space="0" w:color="000000"/>
              <w:left w:val="single" w:sz="6" w:space="0" w:color="000000"/>
              <w:bottom w:val="single" w:sz="8" w:space="0" w:color="000000"/>
              <w:right w:val="single" w:sz="6" w:space="0" w:color="000000"/>
            </w:tcBorders>
            <w:shd w:val="clear" w:color="auto" w:fill="D0CECE"/>
          </w:tcPr>
          <w:p>
            <w:pPr>
              <w:pStyle w:val="TableParagraph"/>
              <w:spacing w:line="22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274" w:hRule="exact"/>
        </w:trPr>
        <w:tc>
          <w:tcPr>
            <w:tcW w:w="4989" w:type="dxa"/>
            <w:tcBorders>
              <w:top w:val="single" w:sz="8" w:space="0" w:color="000000"/>
              <w:left w:val="single" w:sz="6" w:space="0" w:color="000000"/>
              <w:bottom w:val="single" w:sz="8" w:space="0" w:color="000000"/>
              <w:right w:val="single" w:sz="6" w:space="0" w:color="000000"/>
            </w:tcBorders>
          </w:tcPr>
          <w:p>
            <w:pPr>
              <w:pStyle w:val="TableParagraph"/>
              <w:spacing w:line="230" w:lineRule="exact"/>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467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
              <w:ind w:right="2"/>
              <w:jc w:val="right"/>
              <w:rPr>
                <w:rFonts w:ascii="Times New Roman" w:hAnsi="Times New Roman" w:cs="Times New Roman" w:eastAsia="Times New Roman" w:hint="default"/>
                <w:sz w:val="18"/>
                <w:szCs w:val="18"/>
              </w:rPr>
            </w:pPr>
            <w:r>
              <w:rPr>
                <w:rFonts w:ascii="Times New Roman"/>
                <w:spacing w:val="-1"/>
                <w:sz w:val="18"/>
              </w:rPr>
              <w:t>24,285,130.92</w:t>
            </w:r>
          </w:p>
        </w:tc>
      </w:tr>
      <w:tr>
        <w:trPr>
          <w:trHeight w:val="275" w:hRule="exact"/>
        </w:trPr>
        <w:tc>
          <w:tcPr>
            <w:tcW w:w="4989" w:type="dxa"/>
            <w:tcBorders>
              <w:top w:val="single" w:sz="8" w:space="0" w:color="000000"/>
              <w:left w:val="single" w:sz="6" w:space="0" w:color="000000"/>
              <w:bottom w:val="single" w:sz="8" w:space="0" w:color="000000"/>
              <w:right w:val="single" w:sz="6" w:space="0" w:color="000000"/>
            </w:tcBorders>
          </w:tcPr>
          <w:p>
            <w:pPr>
              <w:pStyle w:val="TableParagraph"/>
              <w:spacing w:line="230" w:lineRule="exact"/>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467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8"/>
                <w:szCs w:val="18"/>
              </w:rPr>
            </w:pPr>
            <w:r>
              <w:rPr>
                <w:rFonts w:ascii="Times New Roman"/>
                <w:spacing w:val="-1"/>
                <w:sz w:val="18"/>
              </w:rPr>
              <w:t>9,468,375.44</w:t>
            </w:r>
          </w:p>
        </w:tc>
      </w:tr>
    </w:tbl>
    <w:p>
      <w:pPr>
        <w:spacing w:after="0" w:line="240" w:lineRule="auto"/>
        <w:jc w:val="right"/>
        <w:rPr>
          <w:rFonts w:ascii="Times New Roman" w:hAnsi="Times New Roman" w:cs="Times New Roman" w:eastAsia="Times New Roman" w:hint="default"/>
          <w:sz w:val="18"/>
          <w:szCs w:val="18"/>
        </w:rPr>
        <w:sectPr>
          <w:footerReference w:type="default" r:id="rId42"/>
          <w:pgSz w:w="11910" w:h="16840"/>
          <w:pgMar w:footer="979" w:header="877" w:top="1100" w:bottom="1160" w:left="980" w:right="0"/>
        </w:sectPr>
      </w:pPr>
    </w:p>
    <w:p>
      <w:pPr>
        <w:spacing w:line="240" w:lineRule="auto" w:before="6"/>
        <w:rPr>
          <w:rFonts w:ascii="宋体" w:hAnsi="宋体" w:cs="宋体" w:eastAsia="宋体" w:hint="default"/>
          <w:sz w:val="24"/>
          <w:szCs w:val="24"/>
        </w:rPr>
      </w:pPr>
    </w:p>
    <w:tbl>
      <w:tblPr>
        <w:tblW w:w="0" w:type="auto"/>
        <w:jc w:val="left"/>
        <w:tblInd w:w="197" w:type="dxa"/>
        <w:tblLayout w:type="fixed"/>
        <w:tblCellMar>
          <w:top w:w="0" w:type="dxa"/>
          <w:left w:w="0" w:type="dxa"/>
          <w:bottom w:w="0" w:type="dxa"/>
          <w:right w:w="0" w:type="dxa"/>
        </w:tblCellMar>
        <w:tblLook w:val="01E0"/>
      </w:tblPr>
      <w:tblGrid>
        <w:gridCol w:w="4989"/>
        <w:gridCol w:w="4670"/>
      </w:tblGrid>
      <w:tr>
        <w:trPr>
          <w:trHeight w:val="271" w:hRule="exact"/>
        </w:trPr>
        <w:tc>
          <w:tcPr>
            <w:tcW w:w="4989" w:type="dxa"/>
            <w:tcBorders>
              <w:top w:val="single" w:sz="6" w:space="0" w:color="000000"/>
              <w:left w:val="single" w:sz="6" w:space="0" w:color="000000"/>
              <w:bottom w:val="single" w:sz="8" w:space="0" w:color="000000"/>
              <w:right w:val="single" w:sz="6" w:space="0" w:color="000000"/>
            </w:tcBorders>
          </w:tcPr>
          <w:p>
            <w:pPr>
              <w:pStyle w:val="TableParagraph"/>
              <w:spacing w:line="230" w:lineRule="exact"/>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4670"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6"/>
              <w:ind w:right="2"/>
              <w:jc w:val="right"/>
              <w:rPr>
                <w:rFonts w:ascii="Times New Roman" w:hAnsi="Times New Roman" w:cs="Times New Roman" w:eastAsia="Times New Roman" w:hint="default"/>
                <w:sz w:val="18"/>
                <w:szCs w:val="18"/>
              </w:rPr>
            </w:pPr>
            <w:r>
              <w:rPr>
                <w:rFonts w:ascii="Times New Roman"/>
                <w:spacing w:val="-1"/>
                <w:sz w:val="18"/>
              </w:rPr>
              <w:t>5,268,314.84</w:t>
            </w:r>
          </w:p>
        </w:tc>
      </w:tr>
      <w:tr>
        <w:trPr>
          <w:trHeight w:val="274" w:hRule="exact"/>
        </w:trPr>
        <w:tc>
          <w:tcPr>
            <w:tcW w:w="4989" w:type="dxa"/>
            <w:tcBorders>
              <w:top w:val="single" w:sz="8" w:space="0" w:color="000000"/>
              <w:left w:val="single" w:sz="6" w:space="0" w:color="000000"/>
              <w:bottom w:val="single" w:sz="8" w:space="0" w:color="000000"/>
              <w:right w:val="single" w:sz="6" w:space="0" w:color="000000"/>
            </w:tcBorders>
          </w:tcPr>
          <w:p>
            <w:pPr>
              <w:pStyle w:val="TableParagraph"/>
              <w:spacing w:line="230" w:lineRule="exact"/>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467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
              <w:ind w:right="2"/>
              <w:jc w:val="right"/>
              <w:rPr>
                <w:rFonts w:ascii="Times New Roman" w:hAnsi="Times New Roman" w:cs="Times New Roman" w:eastAsia="Times New Roman" w:hint="default"/>
                <w:sz w:val="18"/>
                <w:szCs w:val="18"/>
              </w:rPr>
            </w:pPr>
            <w:r>
              <w:rPr>
                <w:rFonts w:ascii="Times New Roman"/>
                <w:spacing w:val="-1"/>
                <w:sz w:val="18"/>
              </w:rPr>
              <w:t>2,945,830.08</w:t>
            </w:r>
          </w:p>
        </w:tc>
      </w:tr>
      <w:tr>
        <w:trPr>
          <w:trHeight w:val="274" w:hRule="exact"/>
        </w:trPr>
        <w:tc>
          <w:tcPr>
            <w:tcW w:w="4989" w:type="dxa"/>
            <w:tcBorders>
              <w:top w:val="single" w:sz="8" w:space="0" w:color="000000"/>
              <w:left w:val="single" w:sz="6" w:space="0" w:color="000000"/>
              <w:bottom w:val="single" w:sz="8" w:space="0" w:color="000000"/>
              <w:right w:val="single" w:sz="6"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67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8"/>
                <w:szCs w:val="18"/>
              </w:rPr>
            </w:pPr>
            <w:r>
              <w:rPr>
                <w:rFonts w:ascii="Times New Roman"/>
                <w:spacing w:val="-1"/>
                <w:sz w:val="18"/>
              </w:rPr>
              <w:t>41,967,651.28</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Heading3"/>
        <w:spacing w:line="240" w:lineRule="auto" w:before="35"/>
        <w:ind w:left="214" w:right="1360"/>
        <w:jc w:val="left"/>
        <w:rPr>
          <w:b w:val="0"/>
          <w:bCs w:val="0"/>
        </w:rPr>
      </w:pPr>
      <w:bookmarkStart w:name="2、或有事项" w:id="379"/>
      <w:bookmarkEnd w:id="379"/>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left="214" w:right="1360"/>
        <w:jc w:val="left"/>
        <w:rPr>
          <w:b w:val="0"/>
          <w:bCs w:val="0"/>
        </w:rPr>
      </w:pPr>
      <w:bookmarkStart w:name="（1）资产负债表日存在的重要或有事项" w:id="380"/>
      <w:bookmarkEnd w:id="380"/>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13"/>
        <w:rPr>
          <w:rFonts w:ascii="宋体" w:hAnsi="宋体" w:cs="宋体" w:eastAsia="宋体" w:hint="default"/>
          <w:b/>
          <w:bCs/>
          <w:sz w:val="22"/>
          <w:szCs w:val="22"/>
        </w:rPr>
      </w:pPr>
    </w:p>
    <w:p>
      <w:pPr>
        <w:pStyle w:val="BodyText"/>
        <w:spacing w:line="225" w:lineRule="auto"/>
        <w:ind w:left="214" w:right="1132" w:firstLine="360"/>
        <w:jc w:val="both"/>
      </w:pP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10</w:t>
      </w:r>
      <w:r>
        <w:rPr>
          <w:spacing w:val="-2"/>
        </w:rPr>
        <w:t>月，山西省物产集团进出口有限公司（以下简称</w:t>
      </w:r>
      <w:r>
        <w:rPr>
          <w:rFonts w:ascii="Times New Roman" w:hAnsi="Times New Roman" w:cs="Times New Roman" w:eastAsia="Times New Roman" w:hint="default"/>
          <w:spacing w:val="-2"/>
        </w:rPr>
        <w:t>“</w:t>
      </w:r>
      <w:r>
        <w:rPr>
          <w:spacing w:val="-2"/>
        </w:rPr>
        <w:t>山西物产</w:t>
      </w:r>
      <w:r>
        <w:rPr>
          <w:rFonts w:ascii="Times New Roman" w:hAnsi="Times New Roman" w:cs="Times New Roman" w:eastAsia="Times New Roman" w:hint="default"/>
          <w:spacing w:val="-2"/>
        </w:rPr>
        <w:t>”</w:t>
      </w:r>
      <w:r>
        <w:rPr>
          <w:spacing w:val="-2"/>
        </w:rPr>
        <w:t>）起诉神码中国未按销售合同规定提供货物，请求</w:t>
      </w:r>
      <w:r>
        <w:rPr/>
        <w:t> 法院判令：</w:t>
      </w:r>
      <w:r>
        <w:rPr>
          <w:rFonts w:ascii="Times New Roman" w:hAnsi="Times New Roman" w:cs="Times New Roman" w:eastAsia="Times New Roman" w:hint="default"/>
        </w:rPr>
        <w:t>1</w:t>
      </w:r>
      <w:r>
        <w:rPr/>
        <w:t>、双方解除合同；</w:t>
      </w:r>
      <w:r>
        <w:rPr>
          <w:rFonts w:ascii="Times New Roman" w:hAnsi="Times New Roman" w:cs="Times New Roman" w:eastAsia="Times New Roman" w:hint="default"/>
        </w:rPr>
        <w:t>2</w:t>
      </w:r>
      <w:r>
        <w:rPr/>
        <w:t>、神码中国退还合同金额</w:t>
      </w:r>
      <w:r>
        <w:rPr>
          <w:rFonts w:ascii="Times New Roman" w:hAnsi="Times New Roman" w:cs="Times New Roman" w:eastAsia="Times New Roman" w:hint="default"/>
        </w:rPr>
        <w:t>33,992,678</w:t>
      </w:r>
      <w:r>
        <w:rPr/>
        <w:t>元，并自神码中国收到该合同款之日起赔偿山西物产银 行同期贷款利息（自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8</w:t>
      </w:r>
      <w:r>
        <w:rPr/>
        <w:t>日至实际给付之日止）；</w:t>
      </w:r>
      <w:r>
        <w:rPr>
          <w:rFonts w:ascii="Times New Roman" w:hAnsi="Times New Roman" w:cs="Times New Roman" w:eastAsia="Times New Roman" w:hint="default"/>
        </w:rPr>
        <w:t>3</w:t>
      </w:r>
      <w:r>
        <w:rPr/>
        <w:t>、诉讼费由神码中国承担。神码中国认为已按合同规定发货并取 得山西物产收货确认单。北京市海淀区人民法院（</w:t>
      </w:r>
      <w:r>
        <w:rPr>
          <w:rFonts w:ascii="Times New Roman" w:hAnsi="Times New Roman" w:cs="Times New Roman" w:eastAsia="Times New Roman" w:hint="default"/>
        </w:rPr>
        <w:t>2013</w:t>
      </w:r>
      <w:r>
        <w:rPr/>
        <w:t>）海民初字第</w:t>
      </w:r>
      <w:r>
        <w:rPr>
          <w:rFonts w:ascii="Times New Roman" w:hAnsi="Times New Roman" w:cs="Times New Roman" w:eastAsia="Times New Roman" w:hint="default"/>
        </w:rPr>
        <w:t>24898</w:t>
      </w:r>
      <w:r>
        <w:rPr/>
        <w:t>号，作出一审判决认定神码中国与山西物产签订 的《销售合同》有效，神码中国应向山西物产返还货款及相应利息，并承担诉讼费用。</w:t>
      </w:r>
    </w:p>
    <w:p>
      <w:pPr>
        <w:pStyle w:val="BodyText"/>
        <w:spacing w:line="225" w:lineRule="auto" w:before="11"/>
        <w:ind w:left="214" w:right="1131" w:firstLine="360"/>
        <w:jc w:val="both"/>
      </w:pPr>
      <w:r>
        <w:rPr>
          <w:spacing w:val="-2"/>
        </w:rPr>
        <w:t>神码中国不服一审判决，向北京市第一中级人民法院提起上诉，</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6</w:t>
      </w:r>
      <w:r>
        <w:rPr>
          <w:spacing w:val="-2"/>
        </w:rPr>
        <w:t>日北京市第一中级人民法院受理，并于</w:t>
      </w:r>
      <w:r>
        <w:rPr>
          <w:rFonts w:ascii="Times New Roman" w:hAnsi="Times New Roman" w:cs="Times New Roman" w:eastAsia="Times New Roman" w:hint="default"/>
          <w:spacing w:val="-2"/>
        </w:rPr>
        <w:t>2015</w:t>
      </w:r>
      <w:r>
        <w:rPr>
          <w:rFonts w:ascii="Times New Roman" w:hAnsi="Times New Roman" w:cs="Times New Roman" w:eastAsia="Times New Roman" w:hint="default"/>
        </w:rPr>
        <w:t> </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6</w:t>
      </w:r>
      <w:r>
        <w:rPr>
          <w:spacing w:val="-3"/>
        </w:rPr>
        <w:t>日公开开庭进行了审理。</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27</w:t>
      </w:r>
      <w:r>
        <w:rPr>
          <w:spacing w:val="-3"/>
        </w:rPr>
        <w:t>日北京市第一中级人民法院（</w:t>
      </w:r>
      <w:r>
        <w:rPr>
          <w:rFonts w:ascii="Times New Roman" w:hAnsi="Times New Roman" w:cs="Times New Roman" w:eastAsia="Times New Roman" w:hint="default"/>
          <w:spacing w:val="-3"/>
        </w:rPr>
        <w:t>2015</w:t>
      </w:r>
      <w:r>
        <w:rPr>
          <w:spacing w:val="-3"/>
        </w:rPr>
        <w:t>）一中民（商）终字第</w:t>
      </w:r>
      <w:r>
        <w:rPr>
          <w:rFonts w:ascii="Times New Roman" w:hAnsi="Times New Roman" w:cs="Times New Roman" w:eastAsia="Times New Roman" w:hint="default"/>
          <w:spacing w:val="-3"/>
        </w:rPr>
        <w:t>4547</w:t>
      </w:r>
      <w:r>
        <w:rPr>
          <w:spacing w:val="-3"/>
        </w:rPr>
        <w:t>号作出终审判决：</w:t>
      </w:r>
      <w:r>
        <w:rPr>
          <w:spacing w:val="-75"/>
        </w:rPr>
        <w:t> </w:t>
      </w:r>
      <w:r>
        <w:rPr>
          <w:rFonts w:ascii="Times New Roman" w:hAnsi="Times New Roman" w:cs="Times New Roman" w:eastAsia="Times New Roman" w:hint="default"/>
          <w:spacing w:val="-3"/>
        </w:rPr>
        <w:t>1</w:t>
      </w:r>
      <w:r>
        <w:rPr>
          <w:spacing w:val="-3"/>
        </w:rPr>
        <w:t>、撤销北京市海淀区人民法院（</w:t>
      </w:r>
      <w:r>
        <w:rPr>
          <w:rFonts w:ascii="Times New Roman" w:hAnsi="Times New Roman" w:cs="Times New Roman" w:eastAsia="Times New Roman" w:hint="default"/>
          <w:spacing w:val="-3"/>
        </w:rPr>
        <w:t>2013</w:t>
      </w:r>
      <w:r>
        <w:rPr>
          <w:spacing w:val="-3"/>
        </w:rPr>
        <w:t>）海民初字第</w:t>
      </w:r>
      <w:r>
        <w:rPr>
          <w:rFonts w:ascii="Times New Roman" w:hAnsi="Times New Roman" w:cs="Times New Roman" w:eastAsia="Times New Roman" w:hint="default"/>
          <w:spacing w:val="-3"/>
        </w:rPr>
        <w:t>24898</w:t>
      </w:r>
      <w:r>
        <w:rPr>
          <w:spacing w:val="-3"/>
        </w:rPr>
        <w:t>号判决；</w:t>
      </w:r>
      <w:r>
        <w:rPr>
          <w:rFonts w:ascii="Times New Roman" w:hAnsi="Times New Roman" w:cs="Times New Roman" w:eastAsia="Times New Roman" w:hint="default"/>
          <w:spacing w:val="-3"/>
        </w:rPr>
        <w:t>2</w:t>
      </w:r>
      <w:r>
        <w:rPr>
          <w:spacing w:val="-3"/>
        </w:rPr>
        <w:t>、驳回山西省物产集团进出口有限公司的全部诉讼请求。</w:t>
      </w:r>
    </w:p>
    <w:p>
      <w:pPr>
        <w:pStyle w:val="BodyText"/>
        <w:spacing w:line="232" w:lineRule="exact" w:before="12"/>
        <w:ind w:left="214" w:right="1132" w:firstLine="36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月，神码中国收到北京市高级人民法院《民事裁定书》</w:t>
      </w:r>
      <w:r>
        <w:rPr>
          <w:spacing w:val="-25"/>
        </w:rPr>
        <w:t> </w:t>
      </w:r>
      <w:r>
        <w:rPr>
          <w:rFonts w:ascii="Times New Roman" w:hAnsi="Times New Roman" w:cs="Times New Roman" w:eastAsia="Times New Roman" w:hint="default"/>
        </w:rPr>
        <w:t>(2016)</w:t>
      </w:r>
      <w:r>
        <w:rPr/>
        <w:t>京民审</w:t>
      </w:r>
      <w:r>
        <w:rPr>
          <w:rFonts w:ascii="Times New Roman" w:hAnsi="Times New Roman" w:cs="Times New Roman" w:eastAsia="Times New Roman" w:hint="default"/>
        </w:rPr>
        <w:t>1560</w:t>
      </w:r>
      <w:r>
        <w:rPr/>
        <w:t>号，北京市高级人民法院受理山西物 产的再审申请，再审期间，中止原判决的执行。</w:t>
      </w:r>
    </w:p>
    <w:p>
      <w:pPr>
        <w:pStyle w:val="BodyText"/>
        <w:spacing w:line="225" w:lineRule="auto"/>
        <w:ind w:left="214" w:right="1139"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月，北京市高级人民法院做出《民事裁定书》</w:t>
      </w:r>
      <w:r>
        <w:rPr>
          <w:rFonts w:ascii="Times New Roman" w:hAnsi="Times New Roman" w:cs="Times New Roman" w:eastAsia="Times New Roman" w:hint="default"/>
        </w:rPr>
        <w:t>(2016)</w:t>
      </w:r>
      <w:r>
        <w:rPr/>
        <w:t>京民再</w:t>
      </w:r>
      <w:r>
        <w:rPr>
          <w:rFonts w:ascii="Times New Roman" w:hAnsi="Times New Roman" w:cs="Times New Roman" w:eastAsia="Times New Roman" w:hint="default"/>
        </w:rPr>
        <w:t>101</w:t>
      </w:r>
      <w:r>
        <w:rPr/>
        <w:t>号，撤销北京市第一中级人民法院（</w:t>
      </w:r>
      <w:r>
        <w:rPr>
          <w:rFonts w:ascii="Times New Roman" w:hAnsi="Times New Roman" w:cs="Times New Roman" w:eastAsia="Times New Roman" w:hint="default"/>
        </w:rPr>
        <w:t>2015</w:t>
      </w:r>
      <w:r>
        <w:rPr/>
        <w:t>）一 中民（商）终字第</w:t>
      </w:r>
      <w:r>
        <w:rPr>
          <w:rFonts w:ascii="Times New Roman" w:hAnsi="Times New Roman" w:cs="Times New Roman" w:eastAsia="Times New Roman" w:hint="default"/>
        </w:rPr>
        <w:t>4547</w:t>
      </w:r>
      <w:r>
        <w:rPr/>
        <w:t>号民事判决及北京市海淀区人民法院（</w:t>
      </w:r>
      <w:r>
        <w:rPr>
          <w:rFonts w:ascii="Times New Roman" w:hAnsi="Times New Roman" w:cs="Times New Roman" w:eastAsia="Times New Roman" w:hint="default"/>
        </w:rPr>
        <w:t>2013</w:t>
      </w:r>
      <w:r>
        <w:rPr/>
        <w:t>）海民初字第</w:t>
      </w:r>
      <w:r>
        <w:rPr>
          <w:rFonts w:ascii="Times New Roman" w:hAnsi="Times New Roman" w:cs="Times New Roman" w:eastAsia="Times New Roman" w:hint="default"/>
        </w:rPr>
        <w:t>24898</w:t>
      </w:r>
      <w:r>
        <w:rPr/>
        <w:t>号民事判决，本案发回北京市海淀区 人民法院重审。</w:t>
      </w:r>
    </w:p>
    <w:p>
      <w:pPr>
        <w:pStyle w:val="BodyText"/>
        <w:spacing w:line="240" w:lineRule="auto"/>
        <w:ind w:left="574" w:right="1360"/>
        <w:jc w:val="left"/>
      </w:pPr>
      <w:r>
        <w:rPr/>
        <w:t>除上述事项外，本公司无须作披露的其他或有事项。</w:t>
      </w:r>
    </w:p>
    <w:p>
      <w:pPr>
        <w:spacing w:line="240" w:lineRule="auto" w:before="0"/>
        <w:rPr>
          <w:rFonts w:ascii="宋体" w:hAnsi="宋体" w:cs="宋体" w:eastAsia="宋体" w:hint="default"/>
          <w:sz w:val="22"/>
          <w:szCs w:val="22"/>
        </w:rPr>
      </w:pPr>
    </w:p>
    <w:p>
      <w:pPr>
        <w:pStyle w:val="Heading2"/>
        <w:spacing w:line="240" w:lineRule="auto"/>
        <w:ind w:left="214" w:right="1360"/>
        <w:jc w:val="left"/>
        <w:rPr>
          <w:b w:val="0"/>
          <w:bCs w:val="0"/>
        </w:rPr>
      </w:pPr>
      <w:bookmarkStart w:name="十五、资产负债表日后事项" w:id="381"/>
      <w:bookmarkEnd w:id="381"/>
      <w:r>
        <w:rPr>
          <w:b w:val="0"/>
          <w:bCs w:val="0"/>
        </w:rPr>
      </w:r>
      <w:r>
        <w:rPr/>
        <w:t>十五、资产负债表日后事项</w:t>
      </w:r>
      <w:r>
        <w:rPr>
          <w:b w:val="0"/>
          <w:bCs w:val="0"/>
        </w:rPr>
      </w:r>
    </w:p>
    <w:p>
      <w:pPr>
        <w:spacing w:line="240" w:lineRule="auto" w:before="2"/>
        <w:rPr>
          <w:rFonts w:ascii="宋体" w:hAnsi="宋体" w:cs="宋体" w:eastAsia="宋体" w:hint="default"/>
          <w:b/>
          <w:bCs/>
          <w:sz w:val="23"/>
          <w:szCs w:val="23"/>
        </w:rPr>
      </w:pPr>
    </w:p>
    <w:p>
      <w:pPr>
        <w:pStyle w:val="Heading3"/>
        <w:spacing w:line="240" w:lineRule="auto"/>
        <w:ind w:left="214" w:right="1360"/>
        <w:jc w:val="left"/>
        <w:rPr>
          <w:b w:val="0"/>
          <w:bCs w:val="0"/>
        </w:rPr>
      </w:pPr>
      <w:bookmarkStart w:name="1、利润分配情况" w:id="382"/>
      <w:bookmarkEnd w:id="382"/>
      <w:r>
        <w:rPr>
          <w:b w:val="0"/>
          <w:bCs w:val="0"/>
        </w:rPr>
      </w:r>
      <w:r>
        <w:rPr>
          <w:rFonts w:ascii="Times New Roman" w:hAnsi="Times New Roman" w:cs="Times New Roman" w:eastAsia="Times New Roman" w:hint="default"/>
        </w:rPr>
        <w:t>1</w:t>
      </w:r>
      <w:r>
        <w:rPr/>
        <w:t>、利润分配情况</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left="0" w:right="1139"/>
        <w:jc w:val="right"/>
      </w:pPr>
      <w:bookmarkStart w:name="单位： 元" w:id="383"/>
      <w:bookmarkEnd w:id="383"/>
      <w:r>
        <w:rPr/>
      </w:r>
      <w:r>
        <w:rPr/>
        <w:t>单位： 元</w:t>
      </w:r>
    </w:p>
    <w:p>
      <w:pPr>
        <w:spacing w:line="240" w:lineRule="auto" w:before="3"/>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369"/>
        <w:gridCol w:w="6486"/>
      </w:tblGrid>
      <w:tr>
        <w:trPr>
          <w:trHeight w:val="324" w:hRule="exact"/>
        </w:trPr>
        <w:tc>
          <w:tcPr>
            <w:tcW w:w="336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拟分配的利润和股利</w:t>
            </w:r>
          </w:p>
        </w:tc>
        <w:tc>
          <w:tcPr>
            <w:tcW w:w="6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164,336,744.30</w:t>
            </w:r>
          </w:p>
        </w:tc>
      </w:tr>
      <w:tr>
        <w:trPr>
          <w:trHeight w:val="323" w:hRule="exact"/>
        </w:trPr>
        <w:tc>
          <w:tcPr>
            <w:tcW w:w="336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经审议批准宣告发放的利润和股利</w:t>
            </w:r>
          </w:p>
        </w:tc>
        <w:tc>
          <w:tcPr>
            <w:tcW w:w="6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164,336,744.30</w:t>
            </w:r>
          </w:p>
        </w:tc>
      </w:tr>
    </w:tbl>
    <w:p>
      <w:pPr>
        <w:spacing w:line="240" w:lineRule="auto" w:before="7"/>
        <w:rPr>
          <w:rFonts w:ascii="宋体" w:hAnsi="宋体" w:cs="宋体" w:eastAsia="宋体" w:hint="default"/>
          <w:sz w:val="17"/>
          <w:szCs w:val="17"/>
        </w:rPr>
      </w:pPr>
    </w:p>
    <w:p>
      <w:pPr>
        <w:pStyle w:val="Heading3"/>
        <w:spacing w:line="240" w:lineRule="auto" w:before="35"/>
        <w:ind w:left="214" w:right="1360"/>
        <w:jc w:val="left"/>
        <w:rPr>
          <w:b w:val="0"/>
          <w:bCs w:val="0"/>
        </w:rPr>
      </w:pPr>
      <w:bookmarkStart w:name="2、其他资产负债表日后事项说明" w:id="384"/>
      <w:bookmarkEnd w:id="384"/>
      <w:r>
        <w:rPr>
          <w:b w:val="0"/>
          <w:bCs w:val="0"/>
        </w:rPr>
      </w:r>
      <w:r>
        <w:rPr>
          <w:rFonts w:ascii="Times New Roman" w:hAnsi="Times New Roman" w:cs="Times New Roman" w:eastAsia="Times New Roman" w:hint="default"/>
        </w:rPr>
        <w:t>2</w:t>
      </w:r>
      <w:r>
        <w:rPr/>
        <w:t>、其他资产负债表日后事项说明</w:t>
      </w:r>
      <w:r>
        <w:rPr>
          <w:b w:val="0"/>
          <w:bCs w:val="0"/>
        </w:rPr>
      </w:r>
    </w:p>
    <w:p>
      <w:pPr>
        <w:spacing w:line="240" w:lineRule="auto" w:before="13"/>
        <w:rPr>
          <w:rFonts w:ascii="宋体" w:hAnsi="宋体" w:cs="宋体" w:eastAsia="宋体" w:hint="default"/>
          <w:b/>
          <w:bCs/>
          <w:sz w:val="22"/>
          <w:szCs w:val="22"/>
        </w:rPr>
      </w:pPr>
    </w:p>
    <w:p>
      <w:pPr>
        <w:pStyle w:val="BodyText"/>
        <w:spacing w:line="225" w:lineRule="auto"/>
        <w:ind w:left="214" w:right="1129" w:firstLine="36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10</w:t>
      </w:r>
      <w:r>
        <w:rPr/>
        <w:t>日，本公司召开第九届董事会第十次会议、</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28</w:t>
      </w:r>
      <w:r>
        <w:rPr/>
        <w:t>日召开的</w:t>
      </w:r>
      <w:r>
        <w:rPr>
          <w:rFonts w:ascii="Times New Roman" w:hAnsi="Times New Roman" w:cs="Times New Roman" w:eastAsia="Times New Roman" w:hint="default"/>
        </w:rPr>
        <w:t>2019</w:t>
      </w:r>
      <w:r>
        <w:rPr/>
        <w:t>年第一次临时股东大会审议通过 </w:t>
      </w:r>
      <w:r>
        <w:rPr>
          <w:spacing w:val="-2"/>
        </w:rPr>
        <w:t>了《关于预计</w:t>
      </w:r>
      <w:r>
        <w:rPr>
          <w:rFonts w:ascii="Times New Roman" w:hAnsi="Times New Roman" w:cs="Times New Roman" w:eastAsia="Times New Roman" w:hint="default"/>
          <w:spacing w:val="-2"/>
        </w:rPr>
        <w:t>2019</w:t>
      </w:r>
      <w:r>
        <w:rPr>
          <w:spacing w:val="-2"/>
        </w:rPr>
        <w:t>年度日常关联交易的议案》，会议审议通过了本集团拟分别与神州控股、神州信息签订《日常经营关联交</w:t>
      </w:r>
      <w:r>
        <w:rPr>
          <w:spacing w:val="-62"/>
        </w:rPr>
        <w:t> </w:t>
      </w:r>
      <w:r>
        <w:rPr>
          <w:spacing w:val="-62"/>
        </w:rPr>
      </w:r>
      <w:r>
        <w:rPr>
          <w:spacing w:val="-1"/>
        </w:rPr>
        <w:t>易协议》，预计</w:t>
      </w:r>
      <w:r>
        <w:rPr>
          <w:rFonts w:ascii="Times New Roman" w:hAnsi="Times New Roman" w:cs="Times New Roman" w:eastAsia="Times New Roman" w:hint="default"/>
          <w:spacing w:val="-1"/>
        </w:rPr>
        <w:t>2019</w:t>
      </w:r>
      <w:r>
        <w:rPr>
          <w:spacing w:val="-1"/>
        </w:rPr>
        <w:t>年度与神州控股全年关联交易总额不高于人民币</w:t>
      </w:r>
      <w:r>
        <w:rPr>
          <w:rFonts w:ascii="Times New Roman" w:hAnsi="Times New Roman" w:cs="Times New Roman" w:eastAsia="Times New Roman" w:hint="default"/>
          <w:spacing w:val="-1"/>
        </w:rPr>
        <w:t>63,400</w:t>
      </w:r>
      <w:r>
        <w:rPr>
          <w:spacing w:val="-1"/>
        </w:rPr>
        <w:t>万元，与神州信息全年关联交易总额不高于人民</w:t>
      </w:r>
      <w:r>
        <w:rPr>
          <w:spacing w:val="-74"/>
        </w:rPr>
        <w:t> </w:t>
      </w:r>
      <w:r>
        <w:rPr>
          <w:spacing w:val="-74"/>
        </w:rPr>
      </w:r>
      <w:r>
        <w:rPr/>
        <w:t>币</w:t>
      </w:r>
      <w:r>
        <w:rPr>
          <w:rFonts w:ascii="Times New Roman" w:hAnsi="Times New Roman" w:cs="Times New Roman" w:eastAsia="Times New Roman" w:hint="default"/>
        </w:rPr>
        <w:t>39,700</w:t>
      </w:r>
      <w:r>
        <w:rPr/>
        <w:t>万元。</w:t>
      </w:r>
    </w:p>
    <w:p>
      <w:pPr>
        <w:pStyle w:val="BodyText"/>
        <w:spacing w:line="232" w:lineRule="auto"/>
        <w:ind w:left="214" w:right="1129" w:firstLine="36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日，本公司召开第八届董事会第三十一次会议、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25 </w:t>
      </w:r>
      <w:r>
        <w:rPr/>
        <w:t>日召开的</w:t>
      </w:r>
      <w:r>
        <w:rPr>
          <w:spacing w:val="-6"/>
        </w:rPr>
        <w:t> </w:t>
      </w:r>
      <w:r>
        <w:rPr>
          <w:rFonts w:ascii="Times New Roman" w:hAnsi="Times New Roman" w:cs="Times New Roman" w:eastAsia="Times New Roman" w:hint="default"/>
        </w:rPr>
        <w:t>2017</w:t>
      </w:r>
      <w:r>
        <w:rPr/>
        <w:t>年年度股东大会审议通 </w:t>
      </w:r>
      <w:r>
        <w:rPr>
          <w:spacing w:val="-2"/>
        </w:rPr>
        <w:t>过了《关于预计担保额度的议案》，会议审议通过了本公司或控股子公司向业务相关方（包括但不限于银行、金融机构及供</w:t>
      </w:r>
      <w:r>
        <w:rPr>
          <w:spacing w:val="-66"/>
        </w:rPr>
        <w:t> </w:t>
      </w:r>
      <w:r>
        <w:rPr>
          <w:spacing w:val="-66"/>
        </w:rPr>
      </w:r>
      <w:r>
        <w:rPr>
          <w:spacing w:val="-2"/>
        </w:rPr>
        <w:t>应商等）申请授信或签署其他履约义务（含已经授信或履约、新增授信或履约及现有授信或履约的展期、变更等），并为子</w:t>
      </w:r>
      <w:r>
        <w:rPr>
          <w:spacing w:val="-66"/>
        </w:rPr>
        <w:t> </w:t>
      </w:r>
      <w:r>
        <w:rPr>
          <w:spacing w:val="-66"/>
        </w:rPr>
      </w:r>
      <w:r>
        <w:rPr/>
        <w:t>公司提供担保或子公司之间互相提供担保，担保总额不超过等额 </w:t>
      </w:r>
      <w:r>
        <w:rPr>
          <w:rFonts w:ascii="Times New Roman" w:hAnsi="Times New Roman" w:cs="Times New Roman" w:eastAsia="Times New Roman" w:hint="default"/>
        </w:rPr>
        <w:t>500</w:t>
      </w:r>
      <w:r>
        <w:rPr>
          <w:rFonts w:ascii="Times New Roman" w:hAnsi="Times New Roman" w:cs="Times New Roman" w:eastAsia="Times New Roman" w:hint="default"/>
          <w:spacing w:val="9"/>
        </w:rPr>
        <w:t> </w:t>
      </w:r>
      <w:r>
        <w:rPr/>
        <w:t>亿元人民币。</w:t>
      </w:r>
    </w:p>
    <w:p>
      <w:pPr>
        <w:pStyle w:val="BodyText"/>
        <w:spacing w:line="232" w:lineRule="exact" w:before="10"/>
        <w:ind w:left="214" w:right="1132" w:firstLine="360"/>
        <w:jc w:val="both"/>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22</w:t>
      </w:r>
      <w:r>
        <w:rPr>
          <w:spacing w:val="-2"/>
        </w:rPr>
        <w:t>日，本公司为神码中国与平安银行股份有限公司上海分行的融资贷款事项签署了《最高额保证担保合</w:t>
      </w:r>
      <w:r>
        <w:rPr/>
        <w:t> 同》，担保金额为</w:t>
      </w:r>
      <w:r>
        <w:rPr>
          <w:spacing w:val="-19"/>
        </w:rPr>
        <w:t> </w:t>
      </w:r>
      <w:r>
        <w:rPr>
          <w:rFonts w:ascii="Times New Roman" w:hAnsi="Times New Roman" w:cs="Times New Roman" w:eastAsia="Times New Roman" w:hint="default"/>
        </w:rPr>
        <w:t>4</w:t>
      </w:r>
      <w:r>
        <w:rPr/>
        <w:t>亿元人民币，担保期间为债务履行债务期限届满之日起两年，提供连带责任保证担保；</w:t>
      </w:r>
    </w:p>
    <w:p>
      <w:pPr>
        <w:pStyle w:val="BodyText"/>
        <w:spacing w:line="232" w:lineRule="exact" w:before="2"/>
        <w:ind w:left="214" w:right="1132" w:firstLine="360"/>
        <w:jc w:val="both"/>
      </w:pPr>
      <w:r>
        <w:rPr>
          <w:spacing w:val="-2"/>
        </w:rPr>
        <w:t>本公司为神码中国与广发银行股份有限公司北京分行的融资贷款事项签署了《最高额保证合同》，担保金额为</w:t>
      </w:r>
      <w:r>
        <w:rPr>
          <w:spacing w:val="12"/>
        </w:rPr>
        <w:t> </w:t>
      </w:r>
      <w:r>
        <w:rPr>
          <w:rFonts w:ascii="Times New Roman" w:hAnsi="Times New Roman" w:cs="Times New Roman" w:eastAsia="Times New Roman" w:hint="default"/>
          <w:spacing w:val="-1"/>
        </w:rPr>
        <w:t>3</w:t>
      </w:r>
      <w:r>
        <w:rPr>
          <w:spacing w:val="-1"/>
        </w:rPr>
        <w:t>亿元人</w:t>
      </w:r>
      <w:r>
        <w:rPr/>
        <w:t> 民币，担保期间为债务履行债务期限届满之日起两年，提供连带责任保证担保；</w:t>
      </w:r>
    </w:p>
    <w:p>
      <w:pPr>
        <w:pStyle w:val="BodyText"/>
        <w:spacing w:line="232" w:lineRule="exact" w:before="2"/>
        <w:ind w:left="214" w:right="1131" w:firstLine="360"/>
        <w:jc w:val="both"/>
      </w:pPr>
      <w:r>
        <w:rPr>
          <w:spacing w:val="-2"/>
        </w:rPr>
        <w:t>本公司、神码中国为神码北京与广发银行股份有限公司北京分行的融资贷款事项签署了《最高额保证合同》，担保金额</w:t>
      </w:r>
      <w:r>
        <w:rPr/>
        <w:t> 为</w:t>
      </w:r>
      <w:r>
        <w:rPr>
          <w:spacing w:val="-19"/>
        </w:rPr>
        <w:t> </w:t>
      </w:r>
      <w:r>
        <w:rPr>
          <w:rFonts w:ascii="Times New Roman" w:hAnsi="Times New Roman" w:cs="Times New Roman" w:eastAsia="Times New Roman" w:hint="default"/>
        </w:rPr>
        <w:t>3</w:t>
      </w:r>
      <w:r>
        <w:rPr/>
        <w:t>亿元人民币，担保期间为债务履行期限届满之日起两年，提供连带责任保证担保；</w:t>
      </w:r>
    </w:p>
    <w:p>
      <w:pPr>
        <w:pStyle w:val="BodyText"/>
        <w:spacing w:line="234" w:lineRule="exact"/>
        <w:ind w:left="214" w:right="1133" w:firstLine="360"/>
        <w:jc w:val="both"/>
      </w:pPr>
      <w:r>
        <w:rPr>
          <w:spacing w:val="-2"/>
        </w:rPr>
        <w:t>神码北京为神码中国与中国工商银行股份有限公司北京中关村支行的融资贷款事项签署了《最高额保证合同》，担保金</w:t>
      </w:r>
      <w:r>
        <w:rPr/>
        <w:t> 额为</w:t>
      </w:r>
      <w:r>
        <w:rPr>
          <w:spacing w:val="-19"/>
        </w:rPr>
        <w:t> </w:t>
      </w:r>
      <w:r>
        <w:rPr>
          <w:rFonts w:ascii="Times New Roman" w:hAnsi="Times New Roman" w:cs="Times New Roman" w:eastAsia="Times New Roman" w:hint="default"/>
        </w:rPr>
        <w:t>9</w:t>
      </w:r>
      <w:r>
        <w:rPr/>
        <w:t>亿元人民币，担保期间为债务履行期限届满之次日起两年，提供连带责任保证担保；</w:t>
      </w:r>
    </w:p>
    <w:p>
      <w:pPr>
        <w:pStyle w:val="BodyText"/>
        <w:spacing w:line="232" w:lineRule="exact" w:before="1"/>
        <w:ind w:left="214" w:right="1132" w:firstLine="360"/>
        <w:jc w:val="both"/>
      </w:pPr>
      <w:r>
        <w:rPr>
          <w:spacing w:val="-5"/>
        </w:rPr>
        <w:t>（</w:t>
      </w:r>
      <w:r>
        <w:rPr>
          <w:rFonts w:ascii="Times New Roman" w:hAnsi="Times New Roman" w:cs="Times New Roman" w:eastAsia="Times New Roman" w:hint="default"/>
          <w:spacing w:val="-5"/>
        </w:rPr>
        <w:t>2</w:t>
      </w:r>
      <w:r>
        <w:rPr>
          <w:spacing w:val="-5"/>
        </w:rPr>
        <w:t>）</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1</w:t>
      </w:r>
      <w:r>
        <w:rPr>
          <w:spacing w:val="-5"/>
        </w:rPr>
        <w:t>月</w:t>
      </w:r>
      <w:r>
        <w:rPr>
          <w:rFonts w:ascii="Times New Roman" w:hAnsi="Times New Roman" w:cs="Times New Roman" w:eastAsia="Times New Roman" w:hint="default"/>
          <w:spacing w:val="-5"/>
        </w:rPr>
        <w:t>26</w:t>
      </w:r>
      <w:r>
        <w:rPr>
          <w:spacing w:val="-5"/>
        </w:rPr>
        <w:t>日，本公司为神码上海与华夏银行股份有限公司上海分行的融资贷款事项签署了《最高额保证合同》，</w:t>
      </w:r>
      <w:r>
        <w:rPr/>
        <w:t> 担保金额为</w:t>
      </w:r>
      <w:r>
        <w:rPr>
          <w:rFonts w:ascii="Times New Roman" w:hAnsi="Times New Roman" w:cs="Times New Roman" w:eastAsia="Times New Roman" w:hint="default"/>
        </w:rPr>
        <w:t>1</w:t>
      </w:r>
      <w:r>
        <w:rPr/>
        <w:t>亿元人民币，担保期间为债务履行期限届满之日起两年，提供连带责任保证担保；</w:t>
      </w:r>
    </w:p>
    <w:p>
      <w:pPr>
        <w:pStyle w:val="BodyText"/>
        <w:spacing w:line="232" w:lineRule="exact" w:before="2"/>
        <w:ind w:left="214" w:right="1131" w:firstLine="360"/>
        <w:jc w:val="both"/>
      </w:pPr>
      <w:r>
        <w:rPr>
          <w:spacing w:val="-2"/>
        </w:rPr>
        <w:t>神码中国、神码北京为神码上海与中国银行股份有限公司上海市徐汇支行的融资贷款事项签署了《保证合同》，担保金</w:t>
      </w:r>
      <w:r>
        <w:rPr/>
        <w:t> 额为</w:t>
      </w:r>
      <w:r>
        <w:rPr>
          <w:rFonts w:ascii="Times New Roman" w:hAnsi="Times New Roman" w:cs="Times New Roman" w:eastAsia="Times New Roman" w:hint="default"/>
        </w:rPr>
        <w:t>5,000</w:t>
      </w:r>
      <w:r>
        <w:rPr/>
        <w:t>万元人民币，担保期间为债务履行期限届满之日起两年，提供连带责任保证担保；</w:t>
      </w:r>
    </w:p>
    <w:p>
      <w:pPr>
        <w:pStyle w:val="BodyText"/>
        <w:spacing w:line="227" w:lineRule="exact"/>
        <w:ind w:left="574" w:right="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30</w:t>
      </w:r>
      <w:r>
        <w:rPr/>
        <w:t>日，神码中国为神码北京与武汉海康存储技术有限公司的贸易事项签署了《担保合同》，担保金额最</w:t>
      </w:r>
    </w:p>
    <w:p>
      <w:pPr>
        <w:spacing w:after="0" w:line="227" w:lineRule="exact"/>
        <w:jc w:val="left"/>
        <w:sectPr>
          <w:footerReference w:type="default" r:id="rId43"/>
          <w:pgSz w:w="11910" w:h="16840"/>
          <w:pgMar w:footer="979" w:header="877" w:top="1100" w:bottom="1160" w:left="920" w:right="0"/>
        </w:sectPr>
      </w:pPr>
    </w:p>
    <w:p>
      <w:pPr>
        <w:spacing w:line="240" w:lineRule="auto" w:before="10"/>
        <w:rPr>
          <w:rFonts w:ascii="宋体" w:hAnsi="宋体" w:cs="宋体" w:eastAsia="宋体" w:hint="default"/>
          <w:sz w:val="18"/>
          <w:szCs w:val="18"/>
        </w:rPr>
      </w:pPr>
    </w:p>
    <w:p>
      <w:pPr>
        <w:pStyle w:val="BodyText"/>
        <w:spacing w:line="242" w:lineRule="exact" w:before="44"/>
        <w:ind w:right="0"/>
        <w:jc w:val="left"/>
      </w:pPr>
      <w:r>
        <w:rPr/>
        <w:t>高额为</w:t>
      </w:r>
      <w:r>
        <w:rPr>
          <w:rFonts w:ascii="Times New Roman" w:hAnsi="Times New Roman" w:cs="Times New Roman" w:eastAsia="Times New Roman" w:hint="default"/>
        </w:rPr>
        <w:t>2,000</w:t>
      </w:r>
      <w:r>
        <w:rPr/>
        <w:t>万元人民币，担保期间为主债务履行期限届满之日起</w:t>
      </w:r>
      <w:r>
        <w:rPr>
          <w:rFonts w:ascii="Times New Roman" w:hAnsi="Times New Roman" w:cs="Times New Roman" w:eastAsia="Times New Roman" w:hint="default"/>
        </w:rPr>
        <w:t>6</w:t>
      </w:r>
      <w:r>
        <w:rPr/>
        <w:t>个月，提供连带责任保证担保。</w:t>
      </w:r>
    </w:p>
    <w:p>
      <w:pPr>
        <w:pStyle w:val="BodyText"/>
        <w:spacing w:line="232" w:lineRule="exact" w:before="17"/>
        <w:ind w:right="1131" w:firstLine="360"/>
        <w:jc w:val="both"/>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5</w:t>
      </w:r>
      <w:r>
        <w:rPr/>
        <w:t>日，本公司为神码中国与联想凌拓科技有限公司的贸易事项签署了《第三方公司保证书》，担保金额 最高额为</w:t>
      </w:r>
      <w:r>
        <w:rPr>
          <w:rFonts w:ascii="Times New Roman" w:hAnsi="Times New Roman" w:cs="Times New Roman" w:eastAsia="Times New Roman" w:hint="default"/>
        </w:rPr>
        <w:t>1.1</w:t>
      </w:r>
      <w:r>
        <w:rPr/>
        <w:t>亿元人民币，保证期间为主债务履行期届满之日起</w:t>
      </w:r>
      <w:r>
        <w:rPr>
          <w:rFonts w:ascii="Times New Roman" w:hAnsi="Times New Roman" w:cs="Times New Roman" w:eastAsia="Times New Roman" w:hint="default"/>
        </w:rPr>
        <w:t>2</w:t>
      </w:r>
      <w:r>
        <w:rPr/>
        <w:t>年，提供连带责任保证担保；</w:t>
      </w:r>
    </w:p>
    <w:p>
      <w:pPr>
        <w:pStyle w:val="BodyText"/>
        <w:spacing w:line="232" w:lineRule="exact" w:before="2"/>
        <w:ind w:right="1132" w:firstLine="360"/>
        <w:jc w:val="both"/>
      </w:pPr>
      <w:r>
        <w:rPr>
          <w:spacing w:val="-2"/>
        </w:rPr>
        <w:t>（</w:t>
      </w: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13</w:t>
      </w:r>
      <w:r>
        <w:rPr>
          <w:spacing w:val="-2"/>
        </w:rPr>
        <w:t>日，本公司为神码深圳与交通银行股份有限公司深圳分行的融资贷款事项签署了《保证合同》，担保</w:t>
      </w:r>
      <w:r>
        <w:rPr/>
        <w:t> 金额为</w:t>
      </w:r>
      <w:r>
        <w:rPr>
          <w:rFonts w:ascii="Times New Roman" w:hAnsi="Times New Roman" w:cs="Times New Roman" w:eastAsia="Times New Roman" w:hint="default"/>
        </w:rPr>
        <w:t>4</w:t>
      </w:r>
      <w:r>
        <w:rPr/>
        <w:t>亿元人民币，担保期间为债务履行期限届满之日起两年，提供连带责任保证担保；</w:t>
      </w:r>
    </w:p>
    <w:p>
      <w:pPr>
        <w:pStyle w:val="BodyText"/>
        <w:spacing w:line="234" w:lineRule="exact"/>
        <w:ind w:right="1132" w:firstLine="360"/>
        <w:jc w:val="both"/>
      </w:pPr>
      <w:r>
        <w:rPr>
          <w:spacing w:val="-2"/>
        </w:rPr>
        <w:t>（</w:t>
      </w:r>
      <w:r>
        <w:rPr>
          <w:rFonts w:ascii="Times New Roman" w:hAnsi="Times New Roman" w:cs="Times New Roman" w:eastAsia="Times New Roman" w:hint="default"/>
          <w:spacing w:val="-2"/>
        </w:rPr>
        <w:t>6</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22</w:t>
      </w:r>
      <w:r>
        <w:rPr>
          <w:spacing w:val="-2"/>
        </w:rPr>
        <w:t>日，神码中国为神码香港与香港华为国际有限公司的贸易事项签署了《担保合同》，担保金额最高额</w:t>
      </w:r>
      <w:r>
        <w:rPr/>
        <w:t> 为</w:t>
      </w:r>
      <w:r>
        <w:rPr>
          <w:rFonts w:ascii="Times New Roman" w:hAnsi="Times New Roman" w:cs="Times New Roman" w:eastAsia="Times New Roman" w:hint="default"/>
        </w:rPr>
        <w:t>400</w:t>
      </w:r>
      <w:r>
        <w:rPr/>
        <w:t>万美元，担保期间为自担保合同生效之日起至主合同项下主债务到期日另加两年，提供连带责任保证担保；</w:t>
      </w:r>
    </w:p>
    <w:p>
      <w:pPr>
        <w:pStyle w:val="BodyText"/>
        <w:spacing w:line="232" w:lineRule="exact" w:before="1"/>
        <w:ind w:right="1132" w:firstLine="360"/>
        <w:jc w:val="both"/>
      </w:pPr>
      <w:r>
        <w:rPr/>
        <w:t>神码科技发展为神码澳门与</w:t>
      </w:r>
      <w:r>
        <w:rPr>
          <w:rFonts w:ascii="Times New Roman" w:hAnsi="Times New Roman" w:cs="Times New Roman" w:eastAsia="Times New Roman" w:hint="default"/>
        </w:rPr>
        <w:t>SPLUNK</w:t>
      </w:r>
      <w:r>
        <w:rPr>
          <w:rFonts w:ascii="Times New Roman" w:hAnsi="Times New Roman" w:cs="Times New Roman" w:eastAsia="Times New Roman" w:hint="default"/>
          <w:spacing w:val="-15"/>
        </w:rPr>
        <w:t> </w:t>
      </w:r>
      <w:r>
        <w:rPr>
          <w:rFonts w:ascii="Times New Roman" w:hAnsi="Times New Roman" w:cs="Times New Roman" w:eastAsia="Times New Roman" w:hint="default"/>
        </w:rPr>
        <w:t>INC.</w:t>
      </w:r>
      <w:r>
        <w:rPr/>
        <w:t>的贸易事项签署了《担保合同》，担保金额最高额为</w:t>
      </w:r>
      <w:r>
        <w:rPr>
          <w:rFonts w:ascii="Times New Roman" w:hAnsi="Times New Roman" w:cs="Times New Roman" w:eastAsia="Times New Roman" w:hint="default"/>
        </w:rPr>
        <w:t>500</w:t>
      </w:r>
      <w:r>
        <w:rPr/>
        <w:t>万美元，担保期间为 主债务履行期届满之日起</w:t>
      </w:r>
      <w:r>
        <w:rPr>
          <w:rFonts w:ascii="Times New Roman" w:hAnsi="Times New Roman" w:cs="Times New Roman" w:eastAsia="Times New Roman" w:hint="default"/>
        </w:rPr>
        <w:t>6</w:t>
      </w:r>
      <w:r>
        <w:rPr/>
        <w:t>个月，提供连带责任保证担保；</w:t>
      </w:r>
    </w:p>
    <w:p>
      <w:pPr>
        <w:pStyle w:val="BodyText"/>
        <w:spacing w:line="232" w:lineRule="exact" w:before="2"/>
        <w:ind w:right="1128" w:firstLine="360"/>
        <w:jc w:val="both"/>
      </w:pPr>
      <w:r>
        <w:rPr>
          <w:spacing w:val="-2"/>
        </w:rPr>
        <w:t>（</w:t>
      </w:r>
      <w:r>
        <w:rPr>
          <w:rFonts w:ascii="Times New Roman" w:hAnsi="Times New Roman" w:cs="Times New Roman" w:eastAsia="Times New Roman" w:hint="default"/>
          <w:spacing w:val="-2"/>
        </w:rPr>
        <w:t>7</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26</w:t>
      </w:r>
      <w:r>
        <w:rPr>
          <w:spacing w:val="-2"/>
        </w:rPr>
        <w:t>日，本公司为神码中国、北京神州与交通银行北京海淀支行的融资贷款事项签署了《保证合同》，担</w:t>
      </w:r>
      <w:r>
        <w:rPr/>
        <w:t> 保金额为</w:t>
      </w:r>
      <w:r>
        <w:rPr>
          <w:rFonts w:ascii="Times New Roman" w:hAnsi="Times New Roman" w:cs="Times New Roman" w:eastAsia="Times New Roman" w:hint="default"/>
        </w:rPr>
        <w:t>4.5</w:t>
      </w:r>
      <w:r>
        <w:rPr/>
        <w:t>亿元人民币，担保期间为债务履行期限届满之日起两年，提供连带责任保证担保；</w:t>
      </w:r>
    </w:p>
    <w:p>
      <w:pPr>
        <w:pStyle w:val="BodyText"/>
        <w:spacing w:line="232" w:lineRule="exact" w:before="2"/>
        <w:ind w:right="1042" w:firstLine="36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14</w:t>
      </w:r>
      <w:r>
        <w:rPr/>
        <w:t>日，本公司召开第九届董事会第九次会议、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28 </w:t>
      </w:r>
      <w:r>
        <w:rPr/>
        <w:t>日召开的</w:t>
      </w:r>
      <w:r>
        <w:rPr>
          <w:spacing w:val="-18"/>
        </w:rPr>
        <w:t> </w:t>
      </w:r>
      <w:r>
        <w:rPr>
          <w:rFonts w:ascii="Times New Roman" w:hAnsi="Times New Roman" w:cs="Times New Roman" w:eastAsia="Times New Roman" w:hint="default"/>
        </w:rPr>
        <w:t>2018</w:t>
      </w:r>
      <w:r>
        <w:rPr/>
        <w:t>年第五次临时股东大会审 </w:t>
      </w:r>
      <w:r>
        <w:rPr>
          <w:spacing w:val="-2"/>
        </w:rPr>
        <w:t>议通过了《神州数码集团股份有限公司以集中竞价交易方式回购公司股份的预案》。本公司拟使用自有资金回购本公司公众</w:t>
      </w:r>
    </w:p>
    <w:p>
      <w:pPr>
        <w:pStyle w:val="BodyText"/>
        <w:spacing w:line="225" w:lineRule="auto"/>
        <w:ind w:right="0"/>
        <w:jc w:val="left"/>
      </w:pPr>
      <w:r>
        <w:rPr>
          <w:spacing w:val="-3"/>
        </w:rPr>
        <w:t>股份，回购总额不低于人民币</w:t>
      </w:r>
      <w:r>
        <w:rPr>
          <w:rFonts w:ascii="Times New Roman" w:hAnsi="Times New Roman" w:cs="Times New Roman" w:eastAsia="Times New Roman" w:hint="default"/>
          <w:spacing w:val="-3"/>
        </w:rPr>
        <w:t>0.5</w:t>
      </w:r>
      <w:r>
        <w:rPr>
          <w:spacing w:val="-3"/>
        </w:rPr>
        <w:t>亿元</w:t>
      </w:r>
      <w:r>
        <w:rPr>
          <w:rFonts w:ascii="Times New Roman" w:hAnsi="Times New Roman" w:cs="Times New Roman" w:eastAsia="Times New Roman" w:hint="default"/>
          <w:spacing w:val="-3"/>
        </w:rPr>
        <w:t>(</w:t>
      </w:r>
      <w:r>
        <w:rPr>
          <w:spacing w:val="-3"/>
        </w:rPr>
        <w:t>含</w:t>
      </w:r>
      <w:r>
        <w:rPr>
          <w:rFonts w:ascii="Times New Roman" w:hAnsi="Times New Roman" w:cs="Times New Roman" w:eastAsia="Times New Roman" w:hint="default"/>
          <w:spacing w:val="-3"/>
        </w:rPr>
        <w:t>0.5</w:t>
      </w:r>
      <w:r>
        <w:rPr>
          <w:spacing w:val="-3"/>
        </w:rPr>
        <w:t>亿元</w:t>
      </w:r>
      <w:r>
        <w:rPr>
          <w:rFonts w:ascii="Times New Roman" w:hAnsi="Times New Roman" w:cs="Times New Roman" w:eastAsia="Times New Roman" w:hint="default"/>
          <w:spacing w:val="-3"/>
        </w:rPr>
        <w:t>)</w:t>
      </w:r>
      <w:r>
        <w:rPr>
          <w:spacing w:val="-3"/>
        </w:rPr>
        <w:t>且不超过人民币</w:t>
      </w:r>
      <w:r>
        <w:rPr>
          <w:rFonts w:ascii="Times New Roman" w:hAnsi="Times New Roman" w:cs="Times New Roman" w:eastAsia="Times New Roman" w:hint="default"/>
          <w:spacing w:val="-3"/>
        </w:rPr>
        <w:t>1</w:t>
      </w:r>
      <w:r>
        <w:rPr>
          <w:spacing w:val="-3"/>
        </w:rPr>
        <w:t>亿元</w:t>
      </w:r>
      <w:r>
        <w:rPr>
          <w:rFonts w:ascii="Times New Roman" w:hAnsi="Times New Roman" w:cs="Times New Roman" w:eastAsia="Times New Roman" w:hint="default"/>
          <w:spacing w:val="-3"/>
        </w:rPr>
        <w:t>(</w:t>
      </w:r>
      <w:r>
        <w:rPr>
          <w:spacing w:val="-3"/>
        </w:rPr>
        <w:t>含</w:t>
      </w:r>
      <w:r>
        <w:rPr>
          <w:rFonts w:ascii="Times New Roman" w:hAnsi="Times New Roman" w:cs="Times New Roman" w:eastAsia="Times New Roman" w:hint="default"/>
          <w:spacing w:val="-3"/>
        </w:rPr>
        <w:t>1</w:t>
      </w:r>
      <w:r>
        <w:rPr>
          <w:spacing w:val="-3"/>
        </w:rPr>
        <w:t>亿元</w:t>
      </w:r>
      <w:r>
        <w:rPr>
          <w:rFonts w:ascii="Times New Roman" w:hAnsi="Times New Roman" w:cs="Times New Roman" w:eastAsia="Times New Roman" w:hint="default"/>
          <w:spacing w:val="-3"/>
        </w:rPr>
        <w:t>)</w:t>
      </w:r>
      <w:r>
        <w:rPr>
          <w:spacing w:val="-3"/>
        </w:rPr>
        <w:t>，以集中竞价交易方式回购部分本公司股份，</w:t>
      </w:r>
      <w:r>
        <w:rPr>
          <w:spacing w:val="-50"/>
        </w:rPr>
        <w:t> </w:t>
      </w:r>
      <w:r>
        <w:rPr>
          <w:spacing w:val="-50"/>
        </w:rPr>
      </w:r>
      <w:r>
        <w:rPr/>
        <w:t>回购价格不超过人民币</w:t>
      </w:r>
      <w:r>
        <w:rPr>
          <w:rFonts w:ascii="Times New Roman" w:hAnsi="Times New Roman" w:cs="Times New Roman" w:eastAsia="Times New Roman" w:hint="default"/>
        </w:rPr>
        <w:t>18</w:t>
      </w:r>
      <w:r>
        <w:rPr/>
        <w:t>元</w:t>
      </w:r>
      <w:r>
        <w:rPr>
          <w:rFonts w:ascii="Times New Roman" w:hAnsi="Times New Roman" w:cs="Times New Roman" w:eastAsia="Times New Roman" w:hint="default"/>
        </w:rPr>
        <w:t>/</w:t>
      </w:r>
      <w:r>
        <w:rPr/>
        <w:t>股</w:t>
      </w:r>
      <w:r>
        <w:rPr>
          <w:rFonts w:ascii="Times New Roman" w:hAnsi="Times New Roman" w:cs="Times New Roman" w:eastAsia="Times New Roman" w:hint="default"/>
        </w:rPr>
        <w:t>(</w:t>
      </w:r>
      <w:r>
        <w:rPr/>
        <w:t>含</w:t>
      </w:r>
      <w:r>
        <w:rPr>
          <w:rFonts w:ascii="Times New Roman" w:hAnsi="Times New Roman" w:cs="Times New Roman" w:eastAsia="Times New Roman" w:hint="default"/>
        </w:rPr>
        <w:t>18</w:t>
      </w:r>
      <w:r>
        <w:rPr/>
        <w:t>元</w:t>
      </w:r>
      <w:r>
        <w:rPr>
          <w:rFonts w:ascii="Times New Roman" w:hAnsi="Times New Roman" w:cs="Times New Roman" w:eastAsia="Times New Roman" w:hint="default"/>
        </w:rPr>
        <w:t>/</w:t>
      </w:r>
      <w:r>
        <w:rPr/>
        <w:t>股</w:t>
      </w:r>
      <w:r>
        <w:rPr>
          <w:rFonts w:ascii="Times New Roman" w:hAnsi="Times New Roman" w:cs="Times New Roman" w:eastAsia="Times New Roman" w:hint="default"/>
        </w:rPr>
        <w:t>)</w:t>
      </w:r>
      <w:r>
        <w:rPr/>
        <w:t>，拟回购的股份未来拟用于后续股权激励计划，实施期限自股东大会审议通过后</w:t>
      </w:r>
      <w:r>
        <w:rPr>
          <w:rFonts w:ascii="Times New Roman" w:hAnsi="Times New Roman" w:cs="Times New Roman" w:eastAsia="Times New Roman" w:hint="default"/>
        </w:rPr>
        <w:t>6 </w:t>
      </w:r>
      <w:r>
        <w:rPr/>
        <w:t>个月内。截至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13</w:t>
      </w:r>
      <w:r>
        <w:rPr/>
        <w:t>日，本次回购股份方案已实施完成，本公司以集中竞价交易方式累计回购股份数量</w:t>
      </w:r>
      <w:r>
        <w:rPr>
          <w:rFonts w:ascii="Times New Roman" w:hAnsi="Times New Roman" w:cs="Times New Roman" w:eastAsia="Times New Roman" w:hint="default"/>
        </w:rPr>
        <w:t>4,518,085 </w:t>
      </w:r>
      <w:r>
        <w:rPr/>
        <w:t>股，</w:t>
      </w:r>
      <w:r>
        <w:rPr>
          <w:spacing w:val="-87"/>
        </w:rPr>
        <w:t> </w:t>
      </w:r>
      <w:r>
        <w:rPr>
          <w:spacing w:val="-4"/>
        </w:rPr>
        <w:t>占公司总股本的</w:t>
      </w:r>
      <w:r>
        <w:rPr>
          <w:rFonts w:ascii="Times New Roman" w:hAnsi="Times New Roman" w:cs="Times New Roman" w:eastAsia="Times New Roman" w:hint="default"/>
          <w:spacing w:val="-4"/>
        </w:rPr>
        <w:t>0.69%</w:t>
      </w:r>
      <w:r>
        <w:rPr>
          <w:spacing w:val="-4"/>
        </w:rPr>
        <w:t>，购买股份的最高成交价为</w:t>
      </w:r>
      <w:r>
        <w:rPr/>
        <w:t> </w:t>
      </w:r>
      <w:r>
        <w:rPr>
          <w:rFonts w:ascii="Times New Roman" w:hAnsi="Times New Roman" w:cs="Times New Roman" w:eastAsia="Times New Roman" w:hint="default"/>
        </w:rPr>
        <w:t>14.00 </w:t>
      </w:r>
      <w:r>
        <w:rPr>
          <w:spacing w:val="-8"/>
        </w:rPr>
        <w:t>元</w:t>
      </w:r>
      <w:r>
        <w:rPr>
          <w:rFonts w:ascii="Times New Roman" w:hAnsi="Times New Roman" w:cs="Times New Roman" w:eastAsia="Times New Roman" w:hint="default"/>
          <w:spacing w:val="-8"/>
        </w:rPr>
        <w:t>/</w:t>
      </w:r>
      <w:r>
        <w:rPr>
          <w:spacing w:val="-8"/>
        </w:rPr>
        <w:t>股，最低成交价为</w:t>
      </w:r>
      <w:r>
        <w:rPr/>
        <w:t> </w:t>
      </w:r>
      <w:r>
        <w:rPr>
          <w:rFonts w:ascii="Times New Roman" w:hAnsi="Times New Roman" w:cs="Times New Roman" w:eastAsia="Times New Roman" w:hint="default"/>
        </w:rPr>
        <w:t>10.47 </w:t>
      </w:r>
      <w:r>
        <w:rPr>
          <w:spacing w:val="-7"/>
        </w:rPr>
        <w:t>元</w:t>
      </w:r>
      <w:r>
        <w:rPr>
          <w:rFonts w:ascii="Times New Roman" w:hAnsi="Times New Roman" w:cs="Times New Roman" w:eastAsia="Times New Roman" w:hint="default"/>
          <w:spacing w:val="-7"/>
        </w:rPr>
        <w:t>/</w:t>
      </w:r>
      <w:r>
        <w:rPr>
          <w:spacing w:val="-7"/>
        </w:rPr>
        <w:t>股，支付的总金额为</w:t>
      </w:r>
      <w:r>
        <w:rPr/>
        <w:t> </w:t>
      </w:r>
      <w:r>
        <w:rPr>
          <w:rFonts w:ascii="Times New Roman" w:hAnsi="Times New Roman" w:cs="Times New Roman" w:eastAsia="Times New Roman" w:hint="default"/>
          <w:spacing w:val="-1"/>
        </w:rPr>
        <w:t>50,009,066.93</w:t>
      </w:r>
      <w:r>
        <w:rPr>
          <w:rFonts w:ascii="Times New Roman" w:hAnsi="Times New Roman" w:cs="Times New Roman" w:eastAsia="Times New Roman" w:hint="default"/>
        </w:rPr>
        <w:t> </w:t>
      </w:r>
      <w:r>
        <w:rPr>
          <w:rFonts w:ascii="Times New Roman" w:hAnsi="Times New Roman" w:cs="Times New Roman" w:eastAsia="Times New Roman" w:hint="default"/>
          <w:spacing w:val="16"/>
        </w:rPr>
        <w:t> </w:t>
      </w:r>
      <w:r>
        <w:rPr/>
        <w:t>元</w:t>
      </w:r>
    </w:p>
    <w:p>
      <w:pPr>
        <w:pStyle w:val="BodyText"/>
        <w:spacing w:line="221" w:lineRule="exact"/>
        <w:ind w:right="0"/>
        <w:jc w:val="left"/>
      </w:pPr>
      <w:r>
        <w:rPr/>
        <w:t>（含交易费用）。</w:t>
      </w:r>
    </w:p>
    <w:p>
      <w:pPr>
        <w:pStyle w:val="BodyText"/>
        <w:spacing w:line="225" w:lineRule="auto" w:before="12"/>
        <w:ind w:right="1129" w:firstLine="360"/>
        <w:jc w:val="both"/>
      </w:pP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w:t>
      </w:r>
      <w:r>
        <w:rPr>
          <w:spacing w:val="-2"/>
        </w:rPr>
        <w:t>月，神码北京收到北京市海淀区人民法院（</w:t>
      </w:r>
      <w:r>
        <w:rPr>
          <w:rFonts w:ascii="Times New Roman" w:hAnsi="Times New Roman" w:cs="Times New Roman" w:eastAsia="Times New Roman" w:hint="default"/>
          <w:spacing w:val="-2"/>
        </w:rPr>
        <w:t>2019</w:t>
      </w:r>
      <w:r>
        <w:rPr>
          <w:spacing w:val="-2"/>
        </w:rPr>
        <w:t>）京</w:t>
      </w:r>
      <w:r>
        <w:rPr>
          <w:rFonts w:ascii="Times New Roman" w:hAnsi="Times New Roman" w:cs="Times New Roman" w:eastAsia="Times New Roman" w:hint="default"/>
          <w:spacing w:val="-2"/>
        </w:rPr>
        <w:t>0108</w:t>
      </w:r>
      <w:r>
        <w:rPr>
          <w:spacing w:val="-2"/>
        </w:rPr>
        <w:t>初</w:t>
      </w:r>
      <w:r>
        <w:rPr>
          <w:rFonts w:ascii="Times New Roman" w:hAnsi="Times New Roman" w:cs="Times New Roman" w:eastAsia="Times New Roman" w:hint="default"/>
          <w:spacing w:val="-2"/>
        </w:rPr>
        <w:t>9315</w:t>
      </w:r>
      <w:r>
        <w:rPr>
          <w:spacing w:val="-2"/>
        </w:rPr>
        <w:t>号的传票及民事起诉状。天津祥润昌商贸有</w:t>
      </w:r>
      <w:r>
        <w:rPr/>
        <w:t> </w:t>
      </w:r>
      <w:r>
        <w:rPr>
          <w:spacing w:val="-3"/>
        </w:rPr>
        <w:t>限公司</w:t>
      </w:r>
      <w:r>
        <w:rPr>
          <w:rFonts w:ascii="Times New Roman" w:hAnsi="Times New Roman" w:cs="Times New Roman" w:eastAsia="Times New Roman" w:hint="default"/>
          <w:spacing w:val="-3"/>
        </w:rPr>
        <w:t>(</w:t>
      </w:r>
      <w:r>
        <w:rPr>
          <w:spacing w:val="-3"/>
        </w:rPr>
        <w:t>以下简称</w:t>
      </w:r>
      <w:r>
        <w:rPr>
          <w:rFonts w:ascii="Times New Roman" w:hAnsi="Times New Roman" w:cs="Times New Roman" w:eastAsia="Times New Roman" w:hint="default"/>
          <w:spacing w:val="-3"/>
        </w:rPr>
        <w:t>“</w:t>
      </w:r>
      <w:r>
        <w:rPr>
          <w:spacing w:val="-3"/>
        </w:rPr>
        <w:t>祥润昌</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w:t>
      </w:r>
      <w:r>
        <w:rPr>
          <w:spacing w:val="-3"/>
        </w:rPr>
        <w:t>以买卖合同纠纷为由起诉神码北京，请求判令：</w:t>
      </w:r>
      <w:r>
        <w:rPr>
          <w:rFonts w:ascii="Times New Roman" w:hAnsi="Times New Roman" w:cs="Times New Roman" w:eastAsia="Times New Roman" w:hint="default"/>
          <w:spacing w:val="-3"/>
        </w:rPr>
        <w:t>1</w:t>
      </w:r>
      <w:r>
        <w:rPr>
          <w:spacing w:val="-3"/>
        </w:rPr>
        <w:t>、神码北京向祥润昌支付所欠货款</w:t>
      </w:r>
      <w:r>
        <w:rPr>
          <w:rFonts w:ascii="Times New Roman" w:hAnsi="Times New Roman" w:cs="Times New Roman" w:eastAsia="Times New Roman" w:hint="default"/>
          <w:spacing w:val="-3"/>
        </w:rPr>
        <w:t>51,518,242</w:t>
      </w:r>
      <w:r>
        <w:rPr>
          <w:spacing w:val="-3"/>
        </w:rPr>
        <w:t>元；</w:t>
      </w:r>
      <w:r>
        <w:rPr>
          <w:spacing w:val="-87"/>
        </w:rPr>
        <w:t> </w:t>
      </w:r>
      <w:r>
        <w:rPr>
          <w:rFonts w:ascii="Times New Roman" w:hAnsi="Times New Roman" w:cs="Times New Roman" w:eastAsia="Times New Roman" w:hint="default"/>
        </w:rPr>
        <w:t>2</w:t>
      </w:r>
      <w:r>
        <w:rPr/>
        <w:t>、神码北京向祥润昌支付逾期付款违约金至实际付款日为止</w:t>
      </w:r>
      <w:r>
        <w:rPr>
          <w:rFonts w:ascii="Times New Roman" w:hAnsi="Times New Roman" w:cs="Times New Roman" w:eastAsia="Times New Roman" w:hint="default"/>
        </w:rPr>
        <w:t>(</w:t>
      </w:r>
      <w:r>
        <w:rPr/>
        <w:t>暂算至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日为</w:t>
      </w:r>
      <w:r>
        <w:rPr>
          <w:rFonts w:ascii="Times New Roman" w:hAnsi="Times New Roman" w:cs="Times New Roman" w:eastAsia="Times New Roman" w:hint="default"/>
        </w:rPr>
        <w:t>60,562</w:t>
      </w:r>
      <w:r>
        <w:rPr/>
        <w:t>，</w:t>
      </w:r>
      <w:r>
        <w:rPr>
          <w:rFonts w:ascii="Times New Roman" w:hAnsi="Times New Roman" w:cs="Times New Roman" w:eastAsia="Times New Roman" w:hint="default"/>
        </w:rPr>
        <w:t>871.91</w:t>
      </w:r>
      <w:r>
        <w:rPr/>
        <w:t>元</w:t>
      </w:r>
      <w:r>
        <w:rPr>
          <w:rFonts w:ascii="Times New Roman" w:hAnsi="Times New Roman" w:cs="Times New Roman" w:eastAsia="Times New Roman" w:hint="default"/>
        </w:rPr>
        <w:t>)</w:t>
      </w:r>
      <w:r>
        <w:rPr/>
        <w:t>；</w:t>
      </w:r>
      <w:r>
        <w:rPr>
          <w:rFonts w:ascii="Times New Roman" w:hAnsi="Times New Roman" w:cs="Times New Roman" w:eastAsia="Times New Roman" w:hint="default"/>
        </w:rPr>
        <w:t>3</w:t>
      </w:r>
      <w:r>
        <w:rPr/>
        <w:t>、本案诉讼费</w:t>
      </w:r>
      <w:r>
        <w:rPr>
          <w:spacing w:val="-31"/>
        </w:rPr>
        <w:t> </w:t>
      </w:r>
      <w:r>
        <w:rPr>
          <w:spacing w:val="-31"/>
        </w:rPr>
      </w:r>
      <w:r>
        <w:rPr/>
        <w:t>由神码北京承担。</w:t>
      </w:r>
    </w:p>
    <w:p>
      <w:pPr>
        <w:pStyle w:val="BodyText"/>
        <w:spacing w:line="234" w:lineRule="exact"/>
        <w:ind w:left="514" w:right="0"/>
        <w:jc w:val="left"/>
      </w:pPr>
      <w:r>
        <w:rPr/>
        <w:t>截至本报告日，该案件尚未开庭审理。</w:t>
      </w:r>
    </w:p>
    <w:p>
      <w:pPr>
        <w:pStyle w:val="BodyText"/>
        <w:spacing w:line="225" w:lineRule="auto" w:before="11"/>
        <w:ind w:right="1112" w:firstLine="360"/>
        <w:jc w:val="both"/>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30</w:t>
      </w:r>
      <w:r>
        <w:rPr/>
        <w:t>日，江西银行股份有限公司南昌洪城支行</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江西银行</w:t>
      </w:r>
      <w:r>
        <w:rPr>
          <w:rFonts w:ascii="Times New Roman" w:hAnsi="Times New Roman" w:cs="Times New Roman" w:eastAsia="Times New Roman" w:hint="default"/>
        </w:rPr>
        <w:t>”</w:t>
      </w:r>
      <w:r>
        <w:rPr>
          <w:rFonts w:ascii="Times New Roman" w:hAnsi="Times New Roman" w:cs="Times New Roman" w:eastAsia="Times New Roman" w:hint="default"/>
        </w:rPr>
        <w:t>)</w:t>
      </w:r>
      <w:r>
        <w:rPr/>
        <w:t>以借款合同纠纷为由起诉南昌凯良科技</w:t>
      </w:r>
      <w:r>
        <w:rPr>
          <w:w w:val="99"/>
        </w:rPr>
        <w:t> </w:t>
      </w:r>
      <w:r>
        <w:rPr>
          <w:spacing w:val="-1"/>
        </w:rPr>
        <w:t>有限公司、神码上海、陈斐、肖珣、吉安市天际房地产开发有限公司，请求判令</w:t>
      </w:r>
      <w:r>
        <w:rPr>
          <w:rFonts w:ascii="Times New Roman" w:hAnsi="Times New Roman" w:cs="Times New Roman" w:eastAsia="Times New Roman" w:hint="default"/>
          <w:spacing w:val="-1"/>
        </w:rPr>
        <w:t>:1</w:t>
      </w:r>
      <w:r>
        <w:rPr>
          <w:spacing w:val="-1"/>
        </w:rPr>
        <w:t>、南昌凯良科技有限公司偿还银行承兑垫</w:t>
      </w:r>
      <w:r>
        <w:rPr>
          <w:spacing w:val="-84"/>
        </w:rPr>
        <w:t> </w:t>
      </w:r>
      <w:r>
        <w:rPr>
          <w:spacing w:val="-84"/>
        </w:rPr>
      </w:r>
      <w:r>
        <w:rPr/>
        <w:t>款</w:t>
      </w:r>
      <w:r>
        <w:rPr>
          <w:rFonts w:ascii="Times New Roman" w:hAnsi="Times New Roman" w:cs="Times New Roman" w:eastAsia="Times New Roman" w:hint="default"/>
        </w:rPr>
        <w:t>84,402,787.42</w:t>
      </w:r>
      <w:r>
        <w:rPr/>
        <w:t>元及利息、罚息</w:t>
      </w:r>
      <w:r>
        <w:rPr>
          <w:rFonts w:ascii="Times New Roman" w:hAnsi="Times New Roman" w:cs="Times New Roman" w:eastAsia="Times New Roman" w:hint="default"/>
        </w:rPr>
        <w:t>(</w:t>
      </w:r>
      <w:r>
        <w:rPr/>
        <w:t>利息、罚息暂算至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7</w:t>
      </w:r>
      <w:r>
        <w:rPr/>
        <w:t>日为</w:t>
      </w:r>
      <w:r>
        <w:rPr>
          <w:rFonts w:ascii="Times New Roman" w:hAnsi="Times New Roman" w:cs="Times New Roman" w:eastAsia="Times New Roman" w:hint="default"/>
        </w:rPr>
        <w:t>9,791,589.98</w:t>
      </w:r>
      <w:r>
        <w:rPr/>
        <w:t>元</w:t>
      </w:r>
      <w:r>
        <w:rPr>
          <w:rFonts w:ascii="Times New Roman" w:hAnsi="Times New Roman" w:cs="Times New Roman" w:eastAsia="Times New Roman" w:hint="default"/>
        </w:rPr>
        <w:t>)</w:t>
      </w:r>
      <w:r>
        <w:rPr/>
        <w:t>；</w:t>
      </w:r>
      <w:r>
        <w:rPr>
          <w:rFonts w:ascii="Times New Roman" w:hAnsi="Times New Roman" w:cs="Times New Roman" w:eastAsia="Times New Roman" w:hint="default"/>
        </w:rPr>
        <w:t>2</w:t>
      </w:r>
      <w:r>
        <w:rPr/>
        <w:t>、神码上海对前述第一被告南昌凯良</w:t>
      </w:r>
      <w:r>
        <w:rPr>
          <w:spacing w:val="-34"/>
        </w:rPr>
        <w:t> </w:t>
      </w:r>
      <w:r>
        <w:rPr>
          <w:spacing w:val="-34"/>
        </w:rPr>
      </w:r>
      <w:r>
        <w:rPr>
          <w:spacing w:val="16"/>
        </w:rPr>
        <w:t>科技有限公司应付银行承兑垫款</w:t>
      </w:r>
      <w:r>
        <w:rPr>
          <w:spacing w:val="-70"/>
        </w:rPr>
        <w:t> </w:t>
      </w:r>
      <w:r>
        <w:rPr>
          <w:rFonts w:ascii="Times New Roman" w:hAnsi="Times New Roman" w:cs="Times New Roman" w:eastAsia="Times New Roman" w:hint="default"/>
        </w:rPr>
        <w:t>84,402,787.42</w:t>
      </w:r>
      <w:r>
        <w:rPr>
          <w:rFonts w:ascii="Times New Roman" w:hAnsi="Times New Roman" w:cs="Times New Roman" w:eastAsia="Times New Roman" w:hint="default"/>
          <w:spacing w:val="-26"/>
        </w:rPr>
        <w:t> </w:t>
      </w:r>
      <w:r>
        <w:rPr>
          <w:spacing w:val="15"/>
        </w:rPr>
        <w:t>元承担差额退款责任，</w:t>
      </w:r>
      <w:r>
        <w:rPr>
          <w:spacing w:val="-71"/>
        </w:rPr>
        <w:t> </w:t>
      </w:r>
      <w:r>
        <w:rPr>
          <w:spacing w:val="15"/>
        </w:rPr>
        <w:t>并支付违约金</w:t>
      </w:r>
      <w:r>
        <w:rPr>
          <w:rFonts w:ascii="Times New Roman" w:hAnsi="Times New Roman" w:cs="Times New Roman" w:eastAsia="Times New Roman" w:hint="default"/>
          <w:spacing w:val="15"/>
        </w:rPr>
        <w:t>(</w:t>
      </w:r>
      <w:r>
        <w:rPr>
          <w:rFonts w:ascii="Times New Roman" w:hAnsi="Times New Roman" w:cs="Times New Roman" w:eastAsia="Times New Roman" w:hint="default"/>
          <w:spacing w:val="-27"/>
        </w:rPr>
        <w:t> </w:t>
      </w:r>
      <w:r>
        <w:rPr>
          <w:spacing w:val="14"/>
        </w:rPr>
        <w:t>违约金暂算至</w:t>
      </w:r>
      <w:r>
        <w:rPr>
          <w:spacing w:val="-7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7"/>
        </w:rPr>
        <w:t> </w:t>
      </w:r>
      <w:r>
        <w:rPr/>
        <w:t>年</w:t>
      </w:r>
      <w:r>
        <w:rPr>
          <w:spacing w:val="-72"/>
        </w:rPr>
        <w:t>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月</w:t>
      </w:r>
      <w:r>
        <w:rPr>
          <w:spacing w:val="-72"/>
        </w:rPr>
        <w:t> </w:t>
      </w:r>
      <w:r>
        <w:rPr>
          <w:rFonts w:ascii="Times New Roman" w:hAnsi="Times New Roman" w:cs="Times New Roman" w:eastAsia="Times New Roman" w:hint="default"/>
        </w:rPr>
        <w:t>7</w:t>
      </w:r>
      <w:r>
        <w:rPr>
          <w:rFonts w:ascii="Times New Roman" w:hAnsi="Times New Roman" w:cs="Times New Roman" w:eastAsia="Times New Roman" w:hint="default"/>
          <w:spacing w:val="-26"/>
        </w:rPr>
        <w:t> </w:t>
      </w:r>
      <w:r>
        <w:rPr>
          <w:spacing w:val="9"/>
        </w:rPr>
        <w:t>日为</w:t>
      </w:r>
      <w:r>
        <w:rPr>
          <w:spacing w:val="-88"/>
        </w:rPr>
        <w:t> </w:t>
      </w:r>
      <w:r>
        <w:rPr>
          <w:rFonts w:ascii="Times New Roman" w:hAnsi="Times New Roman" w:cs="Times New Roman" w:eastAsia="Times New Roman" w:hint="default"/>
        </w:rPr>
        <w:t>3,916,635.99</w:t>
      </w:r>
      <w:r>
        <w:rPr/>
        <w:t>元</w:t>
      </w:r>
      <w:r>
        <w:rPr>
          <w:rFonts w:ascii="Times New Roman" w:hAnsi="Times New Roman" w:cs="Times New Roman" w:eastAsia="Times New Roman" w:hint="default"/>
        </w:rPr>
        <w:t>)</w:t>
      </w:r>
      <w:r>
        <w:rPr/>
        <w:t>；</w:t>
      </w:r>
      <w:r>
        <w:rPr>
          <w:rFonts w:ascii="Times New Roman" w:hAnsi="Times New Roman" w:cs="Times New Roman" w:eastAsia="Times New Roman" w:hint="default"/>
        </w:rPr>
        <w:t>3</w:t>
      </w:r>
      <w:r>
        <w:rPr/>
        <w:t>、陈斐、肖珣、吉安市天际房地产开发有限公司对南昌凯良科技有限公司应付银行承兑垫款本息承担连</w:t>
      </w:r>
      <w:r>
        <w:rPr>
          <w:spacing w:val="-19"/>
        </w:rPr>
        <w:t> </w:t>
      </w:r>
      <w:r>
        <w:rPr>
          <w:spacing w:val="-19"/>
        </w:rPr>
      </w:r>
      <w:r>
        <w:rPr/>
        <w:t>带清偿责任；</w:t>
      </w:r>
      <w:r>
        <w:rPr>
          <w:rFonts w:ascii="Times New Roman" w:hAnsi="Times New Roman" w:cs="Times New Roman" w:eastAsia="Times New Roman" w:hint="default"/>
        </w:rPr>
        <w:t>4</w:t>
      </w:r>
      <w:r>
        <w:rPr/>
        <w:t>、南昌凯良科技有限公司、神码上海、陈斐、肖珣、吉安市天际房地产开发有限公司承担江西银行为实现本</w:t>
      </w:r>
      <w:r>
        <w:rPr>
          <w:spacing w:val="-83"/>
        </w:rPr>
        <w:t> </w:t>
      </w:r>
      <w:r>
        <w:rPr>
          <w:spacing w:val="-83"/>
        </w:rPr>
      </w:r>
      <w:r>
        <w:rPr/>
        <w:t>案债权发生的费用；</w:t>
      </w:r>
      <w:r>
        <w:rPr>
          <w:rFonts w:ascii="Times New Roman" w:hAnsi="Times New Roman" w:cs="Times New Roman" w:eastAsia="Times New Roman" w:hint="default"/>
        </w:rPr>
        <w:t>5</w:t>
      </w:r>
      <w:r>
        <w:rPr/>
        <w:t>、本案诉讼费、保全费由南昌凯良科技有限公司、神码上海、陈斐、肖珣、吉安市天际房地产开发有</w:t>
      </w:r>
      <w:r>
        <w:rPr>
          <w:spacing w:val="-83"/>
        </w:rPr>
        <w:t> </w:t>
      </w:r>
      <w:r>
        <w:rPr>
          <w:spacing w:val="-83"/>
        </w:rPr>
      </w:r>
      <w:r>
        <w:rPr/>
        <w:t>限公司承担。</w:t>
      </w:r>
    </w:p>
    <w:p>
      <w:pPr>
        <w:pStyle w:val="BodyText"/>
        <w:spacing w:line="234" w:lineRule="exact"/>
        <w:ind w:left="514" w:right="0"/>
        <w:jc w:val="left"/>
      </w:pPr>
      <w:r>
        <w:rPr/>
        <w:t>截至本报告日，该案件尚未开庭审理。</w:t>
      </w:r>
    </w:p>
    <w:p>
      <w:pPr>
        <w:pStyle w:val="BodyText"/>
        <w:spacing w:line="241" w:lineRule="exact"/>
        <w:ind w:left="514" w:right="0"/>
        <w:jc w:val="left"/>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日，本公司召开第九届董事会第十一次会议，会议审议通过了</w:t>
      </w:r>
    </w:p>
    <w:p>
      <w:pPr>
        <w:pStyle w:val="BodyText"/>
        <w:spacing w:line="225" w:lineRule="auto" w:before="5"/>
        <w:ind w:right="1131" w:firstLine="360"/>
        <w:jc w:val="both"/>
      </w:pPr>
      <w:r>
        <w:rPr/>
        <w:t>（</w:t>
      </w:r>
      <w:r>
        <w:rPr>
          <w:rFonts w:ascii="Times New Roman" w:hAnsi="Times New Roman" w:cs="Times New Roman" w:eastAsia="Times New Roman" w:hint="default"/>
        </w:rPr>
        <w:t>1</w:t>
      </w:r>
      <w:r>
        <w:rPr/>
        <w:t>）本集团</w:t>
      </w:r>
      <w:r>
        <w:rPr>
          <w:rFonts w:ascii="Times New Roman" w:hAnsi="Times New Roman" w:cs="Times New Roman" w:eastAsia="Times New Roman" w:hint="default"/>
        </w:rPr>
        <w:t>2018</w:t>
      </w:r>
      <w:r>
        <w:rPr/>
        <w:t>年度利润分配预案拟为</w:t>
      </w:r>
      <w:r>
        <w:rPr>
          <w:rFonts w:ascii="Times New Roman" w:hAnsi="Times New Roman" w:cs="Times New Roman" w:eastAsia="Times New Roman" w:hint="default"/>
        </w:rPr>
        <w:t>:</w:t>
      </w:r>
      <w:r>
        <w:rPr/>
        <w:t>以总股本</w:t>
      </w:r>
      <w:r>
        <w:rPr>
          <w:rFonts w:ascii="Times New Roman" w:hAnsi="Times New Roman" w:cs="Times New Roman" w:eastAsia="Times New Roman" w:hint="default"/>
        </w:rPr>
        <w:t>654,070,434</w:t>
      </w:r>
      <w:r>
        <w:rPr/>
        <w:t>股扣除回购专用账户已回购股份</w:t>
      </w:r>
      <w:r>
        <w:rPr>
          <w:rFonts w:ascii="Times New Roman" w:hAnsi="Times New Roman" w:cs="Times New Roman" w:eastAsia="Times New Roman" w:hint="default"/>
        </w:rPr>
        <w:t>4,518,085</w:t>
      </w:r>
      <w:r>
        <w:rPr/>
        <w:t>股后的股份数 </w:t>
      </w:r>
      <w:r>
        <w:rPr>
          <w:rFonts w:ascii="Times New Roman" w:hAnsi="Times New Roman" w:cs="Times New Roman" w:eastAsia="Times New Roman" w:hint="default"/>
        </w:rPr>
        <w:t>649,552,349</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2.53</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 </w:t>
      </w:r>
      <w:r>
        <w:rPr/>
        <w:t>，向全体股东派发现金红利</w:t>
      </w:r>
      <w:r>
        <w:rPr>
          <w:rFonts w:ascii="Times New Roman" w:hAnsi="Times New Roman" w:cs="Times New Roman" w:eastAsia="Times New Roman" w:hint="default"/>
        </w:rPr>
        <w:t>164,336,744.30</w:t>
      </w:r>
      <w:r>
        <w:rPr/>
        <w:t>元，不送红</w:t>
      </w:r>
      <w:r>
        <w:rPr>
          <w:spacing w:val="-80"/>
        </w:rPr>
        <w:t> </w:t>
      </w:r>
      <w:r>
        <w:rPr>
          <w:spacing w:val="-80"/>
        </w:rPr>
      </w:r>
      <w:r>
        <w:rPr/>
        <w:t>股，不以公积金转增股本。</w:t>
      </w:r>
    </w:p>
    <w:p>
      <w:pPr>
        <w:pStyle w:val="BodyText"/>
        <w:spacing w:line="225" w:lineRule="auto" w:before="11"/>
        <w:ind w:right="1131" w:firstLine="360"/>
        <w:jc w:val="both"/>
      </w:pPr>
      <w:r>
        <w:rPr/>
        <w:t>（</w:t>
      </w:r>
      <w:r>
        <w:rPr>
          <w:rFonts w:ascii="Times New Roman" w:hAnsi="Times New Roman" w:cs="Times New Roman" w:eastAsia="Times New Roman" w:hint="default"/>
        </w:rPr>
        <w:t>2</w:t>
      </w:r>
      <w:r>
        <w:rPr/>
        <w:t>）本集团拟开展名义本金不超过</w:t>
      </w:r>
      <w:r>
        <w:rPr>
          <w:rFonts w:ascii="Times New Roman" w:hAnsi="Times New Roman" w:cs="Times New Roman" w:eastAsia="Times New Roman" w:hint="default"/>
        </w:rPr>
        <w:t>20</w:t>
      </w:r>
      <w:r>
        <w:rPr/>
        <w:t>亿美元（或等值其他币种）额度的套期保值型衍生品投资，上述申请额度在授权 </w:t>
      </w:r>
      <w:r>
        <w:rPr>
          <w:spacing w:val="-2"/>
        </w:rPr>
        <w:t>有效期限内可循环使用，且在任一时间点，衍生品名义本金不超过</w:t>
      </w:r>
      <w:r>
        <w:rPr>
          <w:rFonts w:ascii="Times New Roman" w:hAnsi="Times New Roman" w:cs="Times New Roman" w:eastAsia="Times New Roman" w:hint="default"/>
          <w:spacing w:val="-2"/>
        </w:rPr>
        <w:t>20</w:t>
      </w:r>
      <w:r>
        <w:rPr>
          <w:spacing w:val="-2"/>
        </w:rPr>
        <w:t>亿美元（或等值其他币种）。衍生品投资额度使用期限</w:t>
      </w:r>
      <w:r>
        <w:rPr>
          <w:spacing w:val="-64"/>
        </w:rPr>
        <w:t> </w:t>
      </w:r>
      <w:r>
        <w:rPr>
          <w:spacing w:val="-64"/>
        </w:rPr>
      </w:r>
      <w:r>
        <w:rPr/>
        <w:t>为自获</w:t>
      </w:r>
      <w:r>
        <w:rPr>
          <w:rFonts w:ascii="Times New Roman" w:hAnsi="Times New Roman" w:cs="Times New Roman" w:eastAsia="Times New Roman" w:hint="default"/>
        </w:rPr>
        <w:t>2018</w:t>
      </w:r>
      <w:r>
        <w:rPr/>
        <w:t>年年度股东大会审议通过之日起至</w:t>
      </w:r>
      <w:r>
        <w:rPr>
          <w:rFonts w:ascii="Times New Roman" w:hAnsi="Times New Roman" w:cs="Times New Roman" w:eastAsia="Times New Roman" w:hint="default"/>
        </w:rPr>
        <w:t>2019</w:t>
      </w:r>
      <w:r>
        <w:rPr/>
        <w:t>年年度股东大会召开之日止。</w:t>
      </w:r>
    </w:p>
    <w:p>
      <w:pPr>
        <w:pStyle w:val="BodyText"/>
        <w:spacing w:line="228" w:lineRule="auto"/>
        <w:ind w:right="1130" w:firstLine="360"/>
        <w:jc w:val="both"/>
      </w:pPr>
      <w:r>
        <w:rPr/>
        <w:t>（</w:t>
      </w:r>
      <w:r>
        <w:rPr>
          <w:rFonts w:ascii="Times New Roman" w:hAnsi="Times New Roman" w:cs="Times New Roman" w:eastAsia="Times New Roman" w:hint="default"/>
        </w:rPr>
        <w:t>3</w:t>
      </w:r>
      <w:r>
        <w:rPr/>
        <w:t>）本集团拟同意向业务相关方（包括但不限于银行、金融机构及供应商等）申请授信或其他履约义务，本集团拟同 意就上述授信和其他事项授权董事长和相关业务负责人决定，担保总额不超过等额</w:t>
      </w:r>
      <w:r>
        <w:rPr>
          <w:rFonts w:ascii="Times New Roman" w:hAnsi="Times New Roman" w:cs="Times New Roman" w:eastAsia="Times New Roman" w:hint="default"/>
        </w:rPr>
        <w:t>500</w:t>
      </w:r>
      <w:r>
        <w:rPr/>
        <w:t>亿人民币，担保方式为保证担保、抵</w:t>
      </w:r>
      <w:r>
        <w:rPr>
          <w:spacing w:val="-82"/>
        </w:rPr>
        <w:t> </w:t>
      </w:r>
      <w:r>
        <w:rPr>
          <w:spacing w:val="-82"/>
        </w:rPr>
      </w:r>
      <w:r>
        <w:rPr>
          <w:spacing w:val="-5"/>
        </w:rPr>
        <w:t>押担保、质押担保等。额度使用期限为自获</w:t>
      </w:r>
      <w:r>
        <w:rPr>
          <w:rFonts w:ascii="Times New Roman" w:hAnsi="Times New Roman" w:cs="Times New Roman" w:eastAsia="Times New Roman" w:hint="default"/>
          <w:spacing w:val="-5"/>
        </w:rPr>
        <w:t>2018</w:t>
      </w:r>
      <w:r>
        <w:rPr>
          <w:spacing w:val="-5"/>
        </w:rPr>
        <w:t>年年度股东大会审议通过之日起</w:t>
      </w:r>
      <w:r>
        <w:rPr>
          <w:rFonts w:ascii="Times New Roman" w:hAnsi="Times New Roman" w:cs="Times New Roman" w:eastAsia="Times New Roman" w:hint="default"/>
          <w:spacing w:val="-5"/>
        </w:rPr>
        <w:t>12</w:t>
      </w:r>
      <w:r>
        <w:rPr>
          <w:spacing w:val="-5"/>
        </w:rPr>
        <w:t>个月，在上述额度内发生的具体担保事项，</w:t>
      </w:r>
      <w:r>
        <w:rPr>
          <w:spacing w:val="-64"/>
        </w:rPr>
        <w:t> </w:t>
      </w:r>
      <w:r>
        <w:rPr>
          <w:spacing w:val="-64"/>
        </w:rPr>
      </w:r>
      <w:r>
        <w:rPr>
          <w:spacing w:val="-2"/>
        </w:rPr>
        <w:t>授权公司董事长或相关业务负责人决定，不再另行召开董事会或股东大会。在符合上市规则及相关规定的前提下，各被担保</w:t>
      </w:r>
      <w:r>
        <w:rPr>
          <w:spacing w:val="-66"/>
        </w:rPr>
        <w:t> </w:t>
      </w:r>
      <w:r>
        <w:rPr>
          <w:spacing w:val="-66"/>
        </w:rPr>
      </w:r>
      <w:r>
        <w:rPr/>
        <w:t>方的额度可以进行调剂。其他担保情况，按照相关规定由董事会或股东大会另行审议作出决议后才能实施。</w:t>
      </w:r>
    </w:p>
    <w:p>
      <w:pPr>
        <w:pStyle w:val="BodyText"/>
        <w:spacing w:line="225" w:lineRule="auto" w:before="11"/>
        <w:ind w:right="1129" w:firstLine="360"/>
        <w:jc w:val="both"/>
      </w:pPr>
      <w:r>
        <w:rPr/>
        <w:t>（</w:t>
      </w:r>
      <w:r>
        <w:rPr>
          <w:rFonts w:ascii="Times New Roman" w:hAnsi="Times New Roman" w:cs="Times New Roman" w:eastAsia="Times New Roman" w:hint="default"/>
        </w:rPr>
        <w:t>4</w:t>
      </w:r>
      <w:r>
        <w:rPr/>
        <w:t>）本集团使用自有资金对证券投资，包括投资境内外股票、债券、证券回购、公募基金、证券交易所上市交易的资 </w:t>
      </w:r>
      <w:r>
        <w:rPr>
          <w:spacing w:val="-2"/>
        </w:rPr>
        <w:t>产支持证券等进行投资。最高额度不超过（含）人民币</w:t>
      </w:r>
      <w:r>
        <w:rPr>
          <w:rFonts w:ascii="Times New Roman" w:hAnsi="Times New Roman" w:cs="Times New Roman" w:eastAsia="Times New Roman" w:hint="default"/>
          <w:spacing w:val="-2"/>
        </w:rPr>
        <w:t>20</w:t>
      </w:r>
      <w:r>
        <w:rPr>
          <w:spacing w:val="-2"/>
        </w:rPr>
        <w:t>亿元，在上述额度内，资金可以滚动使用，即任一时点公司证券投</w:t>
      </w:r>
      <w:r>
        <w:rPr>
          <w:spacing w:val="-66"/>
        </w:rPr>
        <w:t> </w:t>
      </w:r>
      <w:r>
        <w:rPr>
          <w:spacing w:val="-66"/>
        </w:rPr>
      </w:r>
      <w:r>
        <w:rPr>
          <w:spacing w:val="-2"/>
        </w:rPr>
        <w:t>资的额度不超过（含）人民币</w:t>
      </w:r>
      <w:r>
        <w:rPr>
          <w:rFonts w:ascii="Times New Roman" w:hAnsi="Times New Roman" w:cs="Times New Roman" w:eastAsia="Times New Roman" w:hint="default"/>
          <w:spacing w:val="-2"/>
        </w:rPr>
        <w:t>20</w:t>
      </w:r>
      <w:r>
        <w:rPr>
          <w:spacing w:val="-2"/>
        </w:rPr>
        <w:t>亿元（不含委托理财投资）。投资期限为自</w:t>
      </w:r>
      <w:r>
        <w:rPr>
          <w:rFonts w:ascii="Times New Roman" w:hAnsi="Times New Roman" w:cs="Times New Roman" w:eastAsia="Times New Roman" w:hint="default"/>
          <w:spacing w:val="-2"/>
        </w:rPr>
        <w:t>2018</w:t>
      </w:r>
      <w:r>
        <w:rPr>
          <w:spacing w:val="-2"/>
        </w:rPr>
        <w:t>年年度股东大会审议通过之日起</w:t>
      </w:r>
      <w:r>
        <w:rPr>
          <w:rFonts w:ascii="Times New Roman" w:hAnsi="Times New Roman" w:cs="Times New Roman" w:eastAsia="Times New Roman" w:hint="default"/>
          <w:spacing w:val="-2"/>
        </w:rPr>
        <w:t>12</w:t>
      </w:r>
      <w:r>
        <w:rPr>
          <w:spacing w:val="-2"/>
        </w:rPr>
        <w:t>个月内有</w:t>
      </w:r>
      <w:r>
        <w:rPr>
          <w:spacing w:val="-57"/>
        </w:rPr>
        <w:t> </w:t>
      </w:r>
      <w:r>
        <w:rPr/>
        <w:t>效，在投资期限内，该额度可以循环使用。</w:t>
      </w:r>
    </w:p>
    <w:p>
      <w:pPr>
        <w:pStyle w:val="BodyText"/>
        <w:spacing w:line="234" w:lineRule="exact"/>
        <w:ind w:left="514" w:right="0"/>
        <w:jc w:val="left"/>
      </w:pPr>
      <w:r>
        <w:rPr/>
        <w:t>上述议案尚需提交股东大会批准。</w:t>
      </w:r>
    </w:p>
    <w:p>
      <w:pPr>
        <w:pStyle w:val="BodyText"/>
        <w:spacing w:line="248" w:lineRule="exact"/>
        <w:ind w:left="514" w:right="0"/>
        <w:jc w:val="left"/>
      </w:pPr>
      <w:r>
        <w:rPr>
          <w:rFonts w:ascii="Times New Roman" w:hAnsi="Times New Roman" w:cs="Times New Roman" w:eastAsia="Times New Roman" w:hint="default"/>
        </w:rPr>
        <w:t>7</w:t>
      </w:r>
      <w:r>
        <w:rPr/>
        <w:t>、截至报告日，除上述事项外，本公司无需披露的其他重大资产负债表日后事项。</w:t>
      </w:r>
    </w:p>
    <w:p>
      <w:pPr>
        <w:spacing w:line="240" w:lineRule="auto" w:before="1"/>
        <w:rPr>
          <w:rFonts w:ascii="宋体" w:hAnsi="宋体" w:cs="宋体" w:eastAsia="宋体" w:hint="default"/>
          <w:sz w:val="21"/>
          <w:szCs w:val="21"/>
        </w:rPr>
      </w:pPr>
    </w:p>
    <w:p>
      <w:pPr>
        <w:pStyle w:val="Heading2"/>
        <w:spacing w:line="240" w:lineRule="auto"/>
        <w:ind w:right="0"/>
        <w:jc w:val="left"/>
        <w:rPr>
          <w:b w:val="0"/>
          <w:bCs w:val="0"/>
        </w:rPr>
      </w:pPr>
      <w:bookmarkStart w:name="十六、其他重要事项" w:id="385"/>
      <w:bookmarkEnd w:id="385"/>
      <w:r>
        <w:rPr>
          <w:b w:val="0"/>
          <w:bCs w:val="0"/>
        </w:rPr>
      </w:r>
      <w:r>
        <w:rPr/>
        <w:t>十六、其他重要事项</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right="0"/>
        <w:jc w:val="left"/>
        <w:rPr>
          <w:b w:val="0"/>
          <w:bCs w:val="0"/>
        </w:rPr>
      </w:pPr>
      <w:bookmarkStart w:name="1、分部信息" w:id="386"/>
      <w:bookmarkEnd w:id="386"/>
      <w:r>
        <w:rPr>
          <w:b w:val="0"/>
          <w:bCs w:val="0"/>
        </w:rPr>
      </w:r>
      <w:r>
        <w:rPr>
          <w:rFonts w:ascii="Times New Roman" w:hAnsi="Times New Roman" w:cs="Times New Roman" w:eastAsia="Times New Roman" w:hint="default"/>
        </w:rPr>
        <w:t>1</w:t>
      </w:r>
      <w:r>
        <w:rPr/>
        <w:t>、分部信息</w:t>
      </w:r>
      <w:r>
        <w:rPr>
          <w:b w:val="0"/>
          <w:bCs w:val="0"/>
        </w:rPr>
      </w:r>
    </w:p>
    <w:p>
      <w:pPr>
        <w:spacing w:line="240" w:lineRule="auto" w:before="0"/>
        <w:rPr>
          <w:rFonts w:ascii="宋体" w:hAnsi="宋体" w:cs="宋体" w:eastAsia="宋体" w:hint="default"/>
          <w:b/>
          <w:bCs/>
          <w:sz w:val="22"/>
          <w:szCs w:val="22"/>
        </w:rPr>
      </w:pPr>
    </w:p>
    <w:p>
      <w:pPr>
        <w:pStyle w:val="BodyText"/>
        <w:spacing w:line="513" w:lineRule="auto"/>
        <w:ind w:left="514" w:right="1118" w:hanging="360"/>
        <w:jc w:val="left"/>
      </w:pPr>
      <w:bookmarkStart w:name="（1） 经营分部" w:id="387"/>
      <w:bookmarkEnd w:id="387"/>
      <w:r>
        <w:rPr/>
      </w: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经营分部</w:t>
      </w:r>
      <w:r>
        <w:rPr>
          <w:rFonts w:ascii="宋体" w:hAnsi="宋体" w:cs="宋体" w:eastAsia="宋体" w:hint="default"/>
          <w:b/>
          <w:bCs/>
          <w:w w:val="99"/>
        </w:rPr>
        <w:t> </w:t>
      </w:r>
      <w:r>
        <w:rPr>
          <w:spacing w:val="-5"/>
        </w:rPr>
        <w:t>本分部逾</w:t>
      </w:r>
      <w:r>
        <w:rPr>
          <w:rFonts w:ascii="Times New Roman" w:hAnsi="Times New Roman" w:cs="Times New Roman" w:eastAsia="Times New Roman" w:hint="default"/>
          <w:spacing w:val="-5"/>
        </w:rPr>
        <w:t>98.66%</w:t>
      </w:r>
      <w:r>
        <w:rPr>
          <w:spacing w:val="-5"/>
        </w:rPr>
        <w:t>的收入源自销售</w:t>
      </w:r>
      <w:r>
        <w:rPr>
          <w:rFonts w:ascii="Times New Roman" w:hAnsi="Times New Roman" w:cs="Times New Roman" w:eastAsia="Times New Roman" w:hint="default"/>
          <w:spacing w:val="-5"/>
        </w:rPr>
        <w:t>IT</w:t>
      </w:r>
      <w:r>
        <w:rPr>
          <w:spacing w:val="-5"/>
        </w:rPr>
        <w:t>产品，由管理层对其进行统一、集中管理；管理层定期评价本分部的整体的财务状况、</w:t>
      </w:r>
    </w:p>
    <w:p>
      <w:pPr>
        <w:spacing w:after="0" w:line="513" w:lineRule="auto"/>
        <w:jc w:val="left"/>
        <w:sectPr>
          <w:footerReference w:type="default" r:id="rId44"/>
          <w:pgSz w:w="11910" w:h="16840"/>
          <w:pgMar w:footer="979" w:header="877" w:top="1100" w:bottom="1160" w:left="980" w:right="0"/>
          <w:pgNumType w:start="202"/>
        </w:sectPr>
      </w:pPr>
    </w:p>
    <w:p>
      <w:pPr>
        <w:spacing w:line="240" w:lineRule="auto" w:before="10"/>
        <w:rPr>
          <w:rFonts w:ascii="宋体" w:hAnsi="宋体" w:cs="宋体" w:eastAsia="宋体" w:hint="default"/>
          <w:sz w:val="18"/>
          <w:szCs w:val="18"/>
        </w:rPr>
      </w:pPr>
    </w:p>
    <w:p>
      <w:pPr>
        <w:pStyle w:val="BodyText"/>
        <w:spacing w:line="240" w:lineRule="auto" w:before="44"/>
        <w:ind w:left="214" w:right="1360"/>
        <w:jc w:val="left"/>
      </w:pPr>
      <w:r>
        <w:rPr/>
        <w:t>经营成果和现金流量。故本集团只有一个分部。</w:t>
      </w:r>
    </w:p>
    <w:p>
      <w:pPr>
        <w:spacing w:line="240" w:lineRule="auto" w:before="9"/>
        <w:rPr>
          <w:rFonts w:ascii="宋体" w:hAnsi="宋体" w:cs="宋体" w:eastAsia="宋体" w:hint="default"/>
          <w:sz w:val="18"/>
          <w:szCs w:val="18"/>
        </w:rPr>
      </w:pPr>
    </w:p>
    <w:p>
      <w:pPr>
        <w:pStyle w:val="Heading5"/>
        <w:spacing w:line="240" w:lineRule="auto" w:before="0"/>
        <w:ind w:left="214" w:right="1360"/>
        <w:jc w:val="left"/>
        <w:rPr>
          <w:b w:val="0"/>
          <w:bCs w:val="0"/>
        </w:rPr>
      </w:pPr>
      <w:r>
        <w:rPr/>
        <w:t>（</w:t>
      </w:r>
      <w:r>
        <w:rPr>
          <w:rFonts w:ascii="Times New Roman" w:hAnsi="Times New Roman" w:cs="Times New Roman" w:eastAsia="Times New Roman" w:hint="default"/>
        </w:rPr>
        <w:t>2</w:t>
      </w:r>
      <w:r>
        <w:rPr/>
        <w:t>）对外交易收入</w:t>
      </w:r>
      <w:r>
        <w:rPr>
          <w:rFonts w:ascii="Times New Roman" w:hAnsi="Times New Roman" w:cs="Times New Roman" w:eastAsia="Times New Roman" w:hint="default"/>
        </w:rPr>
        <w:t>—</w:t>
      </w:r>
      <w:r>
        <w:rPr/>
        <w:t>产品和劳务信息</w:t>
      </w:r>
      <w:r>
        <w:rPr>
          <w:b w:val="0"/>
          <w:bCs w:val="0"/>
        </w:rPr>
      </w:r>
    </w:p>
    <w:p>
      <w:pPr>
        <w:spacing w:line="240" w:lineRule="auto" w:before="12"/>
        <w:rPr>
          <w:rFonts w:ascii="宋体" w:hAnsi="宋体" w:cs="宋体" w:eastAsia="宋体" w:hint="default"/>
          <w:b/>
          <w:bCs/>
          <w:sz w:val="18"/>
          <w:szCs w:val="18"/>
        </w:rPr>
      </w:pPr>
    </w:p>
    <w:tbl>
      <w:tblPr>
        <w:tblW w:w="0" w:type="auto"/>
        <w:jc w:val="left"/>
        <w:tblInd w:w="199" w:type="dxa"/>
        <w:tblLayout w:type="fixed"/>
        <w:tblCellMar>
          <w:top w:w="0" w:type="dxa"/>
          <w:left w:w="0" w:type="dxa"/>
          <w:bottom w:w="0" w:type="dxa"/>
          <w:right w:w="0" w:type="dxa"/>
        </w:tblCellMar>
        <w:tblLook w:val="01E0"/>
      </w:tblPr>
      <w:tblGrid>
        <w:gridCol w:w="4598"/>
        <w:gridCol w:w="5061"/>
      </w:tblGrid>
      <w:tr>
        <w:trPr>
          <w:trHeight w:val="264" w:hRule="exact"/>
        </w:trPr>
        <w:tc>
          <w:tcPr>
            <w:tcW w:w="4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w:t>
            </w:r>
          </w:p>
        </w:tc>
      </w:tr>
      <w:tr>
        <w:trPr>
          <w:trHeight w:val="263" w:hRule="exact"/>
        </w:trPr>
        <w:tc>
          <w:tcPr>
            <w:tcW w:w="459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 w:right="0"/>
              <w:jc w:val="left"/>
              <w:rPr>
                <w:rFonts w:ascii="宋体" w:hAnsi="宋体" w:cs="宋体" w:eastAsia="宋体" w:hint="default"/>
                <w:sz w:val="18"/>
                <w:szCs w:val="18"/>
              </w:rPr>
            </w:pPr>
            <w:r>
              <w:rPr>
                <w:rFonts w:ascii="宋体" w:hAnsi="宋体" w:cs="宋体" w:eastAsia="宋体" w:hint="default"/>
                <w:sz w:val="18"/>
                <w:szCs w:val="18"/>
              </w:rPr>
              <w:t>消费电子业务</w:t>
            </w:r>
          </w:p>
        </w:tc>
        <w:tc>
          <w:tcPr>
            <w:tcW w:w="5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3"/>
              <w:jc w:val="right"/>
              <w:rPr>
                <w:rFonts w:ascii="Times New Roman" w:hAnsi="Times New Roman" w:cs="Times New Roman" w:eastAsia="Times New Roman" w:hint="default"/>
                <w:sz w:val="18"/>
                <w:szCs w:val="18"/>
              </w:rPr>
            </w:pPr>
            <w:r>
              <w:rPr>
                <w:rFonts w:ascii="Times New Roman"/>
                <w:spacing w:val="-1"/>
                <w:sz w:val="18"/>
              </w:rPr>
              <w:t>54,460,383,362.52</w:t>
            </w:r>
          </w:p>
        </w:tc>
      </w:tr>
      <w:tr>
        <w:trPr>
          <w:trHeight w:val="264" w:hRule="exact"/>
        </w:trPr>
        <w:tc>
          <w:tcPr>
            <w:tcW w:w="4598"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4" w:right="0"/>
              <w:jc w:val="left"/>
              <w:rPr>
                <w:rFonts w:ascii="宋体" w:hAnsi="宋体" w:cs="宋体" w:eastAsia="宋体" w:hint="default"/>
                <w:sz w:val="18"/>
                <w:szCs w:val="18"/>
              </w:rPr>
            </w:pPr>
            <w:r>
              <w:rPr>
                <w:rFonts w:ascii="宋体" w:hAnsi="宋体" w:cs="宋体" w:eastAsia="宋体" w:hint="default"/>
                <w:sz w:val="18"/>
                <w:szCs w:val="18"/>
              </w:rPr>
              <w:t>企业增值业务</w:t>
            </w:r>
          </w:p>
        </w:tc>
        <w:tc>
          <w:tcPr>
            <w:tcW w:w="5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3"/>
              <w:jc w:val="right"/>
              <w:rPr>
                <w:rFonts w:ascii="Times New Roman" w:hAnsi="Times New Roman" w:cs="Times New Roman" w:eastAsia="Times New Roman" w:hint="default"/>
                <w:sz w:val="18"/>
                <w:szCs w:val="18"/>
              </w:rPr>
            </w:pPr>
            <w:r>
              <w:rPr>
                <w:rFonts w:ascii="Times New Roman"/>
                <w:spacing w:val="-1"/>
                <w:sz w:val="18"/>
              </w:rPr>
              <w:t>26,296,790,827.92</w:t>
            </w:r>
          </w:p>
        </w:tc>
      </w:tr>
      <w:tr>
        <w:trPr>
          <w:trHeight w:val="264" w:hRule="exact"/>
        </w:trPr>
        <w:tc>
          <w:tcPr>
            <w:tcW w:w="4598"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4" w:right="0"/>
              <w:jc w:val="left"/>
              <w:rPr>
                <w:rFonts w:ascii="宋体" w:hAnsi="宋体" w:cs="宋体" w:eastAsia="宋体" w:hint="default"/>
                <w:sz w:val="18"/>
                <w:szCs w:val="18"/>
              </w:rPr>
            </w:pPr>
            <w:r>
              <w:rPr>
                <w:rFonts w:ascii="宋体" w:hAnsi="宋体" w:cs="宋体" w:eastAsia="宋体" w:hint="default"/>
                <w:sz w:val="18"/>
                <w:szCs w:val="18"/>
              </w:rPr>
              <w:t>自主品牌</w:t>
            </w:r>
          </w:p>
        </w:tc>
        <w:tc>
          <w:tcPr>
            <w:tcW w:w="5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
              <w:jc w:val="right"/>
              <w:rPr>
                <w:rFonts w:ascii="Times New Roman" w:hAnsi="Times New Roman" w:cs="Times New Roman" w:eastAsia="Times New Roman" w:hint="default"/>
                <w:sz w:val="18"/>
                <w:szCs w:val="18"/>
              </w:rPr>
            </w:pPr>
            <w:r>
              <w:rPr>
                <w:rFonts w:ascii="Times New Roman"/>
                <w:spacing w:val="-1"/>
                <w:sz w:val="18"/>
              </w:rPr>
              <w:t>509,690,539.22</w:t>
            </w:r>
          </w:p>
        </w:tc>
      </w:tr>
      <w:tr>
        <w:trPr>
          <w:trHeight w:val="263" w:hRule="exact"/>
        </w:trPr>
        <w:tc>
          <w:tcPr>
            <w:tcW w:w="459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云服务</w:t>
            </w:r>
          </w:p>
        </w:tc>
        <w:tc>
          <w:tcPr>
            <w:tcW w:w="5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right"/>
              <w:rPr>
                <w:rFonts w:ascii="Times New Roman" w:hAnsi="Times New Roman" w:cs="Times New Roman" w:eastAsia="Times New Roman" w:hint="default"/>
                <w:sz w:val="18"/>
                <w:szCs w:val="18"/>
              </w:rPr>
            </w:pPr>
            <w:r>
              <w:rPr>
                <w:rFonts w:ascii="Times New Roman"/>
                <w:spacing w:val="-1"/>
                <w:sz w:val="18"/>
              </w:rPr>
              <w:t>581,044,426.22</w:t>
            </w:r>
          </w:p>
        </w:tc>
      </w:tr>
      <w:tr>
        <w:trPr>
          <w:trHeight w:val="264" w:hRule="exact"/>
        </w:trPr>
        <w:tc>
          <w:tcPr>
            <w:tcW w:w="4598"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
              <w:jc w:val="right"/>
              <w:rPr>
                <w:rFonts w:ascii="Times New Roman" w:hAnsi="Times New Roman" w:cs="Times New Roman" w:eastAsia="Times New Roman" w:hint="default"/>
                <w:sz w:val="18"/>
                <w:szCs w:val="18"/>
              </w:rPr>
            </w:pPr>
            <w:r>
              <w:rPr>
                <w:rFonts w:ascii="Times New Roman"/>
                <w:spacing w:val="-1"/>
                <w:sz w:val="18"/>
              </w:rPr>
              <w:t>10,145,337.35</w:t>
            </w:r>
          </w:p>
        </w:tc>
      </w:tr>
      <w:tr>
        <w:trPr>
          <w:trHeight w:val="263" w:hRule="exact"/>
        </w:trPr>
        <w:tc>
          <w:tcPr>
            <w:tcW w:w="459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3"/>
              <w:jc w:val="right"/>
              <w:rPr>
                <w:rFonts w:ascii="Times New Roman" w:hAnsi="Times New Roman" w:cs="Times New Roman" w:eastAsia="Times New Roman" w:hint="default"/>
                <w:sz w:val="18"/>
                <w:szCs w:val="18"/>
              </w:rPr>
            </w:pPr>
            <w:r>
              <w:rPr>
                <w:rFonts w:ascii="Times New Roman"/>
                <w:spacing w:val="-1"/>
                <w:sz w:val="18"/>
              </w:rPr>
              <w:t>81,858,054,493.23</w:t>
            </w:r>
          </w:p>
        </w:tc>
      </w:tr>
    </w:tbl>
    <w:p>
      <w:pPr>
        <w:spacing w:line="240" w:lineRule="auto" w:before="12"/>
        <w:rPr>
          <w:rFonts w:ascii="宋体" w:hAnsi="宋体" w:cs="宋体" w:eastAsia="宋体" w:hint="default"/>
          <w:b/>
          <w:bCs/>
          <w:sz w:val="17"/>
          <w:szCs w:val="17"/>
        </w:rPr>
      </w:pPr>
    </w:p>
    <w:p>
      <w:pPr>
        <w:pStyle w:val="Heading2"/>
        <w:spacing w:line="240" w:lineRule="auto" w:before="26"/>
        <w:ind w:left="214" w:right="1360"/>
        <w:jc w:val="left"/>
        <w:rPr>
          <w:b w:val="0"/>
          <w:bCs w:val="0"/>
        </w:rPr>
      </w:pPr>
      <w:bookmarkStart w:name="十七、母公司财务报表主要项目注释" w:id="388"/>
      <w:bookmarkEnd w:id="388"/>
      <w:r>
        <w:rPr>
          <w:b w:val="0"/>
          <w:bCs w:val="0"/>
        </w:rPr>
      </w:r>
      <w:r>
        <w:rPr/>
        <w:t>十七、母公司财务报表主要项目注释</w:t>
      </w:r>
      <w:r>
        <w:rPr>
          <w:b w:val="0"/>
          <w:bCs w:val="0"/>
        </w:rPr>
      </w:r>
    </w:p>
    <w:p>
      <w:pPr>
        <w:spacing w:line="240" w:lineRule="auto" w:before="2"/>
        <w:rPr>
          <w:rFonts w:ascii="宋体" w:hAnsi="宋体" w:cs="宋体" w:eastAsia="宋体" w:hint="default"/>
          <w:b/>
          <w:bCs/>
          <w:sz w:val="23"/>
          <w:szCs w:val="23"/>
        </w:rPr>
      </w:pPr>
    </w:p>
    <w:p>
      <w:pPr>
        <w:pStyle w:val="Heading3"/>
        <w:spacing w:line="240" w:lineRule="auto"/>
        <w:ind w:left="214" w:right="1360"/>
        <w:jc w:val="left"/>
        <w:rPr>
          <w:b w:val="0"/>
          <w:bCs w:val="0"/>
        </w:rPr>
      </w:pPr>
      <w:bookmarkStart w:name="1、其他应收款" w:id="389"/>
      <w:bookmarkEnd w:id="389"/>
      <w:r>
        <w:rPr>
          <w:b w:val="0"/>
          <w:bCs w:val="0"/>
        </w:rPr>
      </w:r>
      <w:r>
        <w:rPr>
          <w:rFonts w:ascii="Times New Roman" w:hAnsi="Times New Roman" w:cs="Times New Roman" w:eastAsia="Times New Roman" w:hint="default"/>
        </w:rPr>
        <w:t>1</w:t>
      </w:r>
      <w:r>
        <w:rPr/>
        <w:t>、其他应收款</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220" w:type="dxa"/>
        <w:tblLayout w:type="fixed"/>
        <w:tblCellMar>
          <w:top w:w="0" w:type="dxa"/>
          <w:left w:w="0" w:type="dxa"/>
          <w:bottom w:w="0" w:type="dxa"/>
          <w:right w:w="0" w:type="dxa"/>
        </w:tblCellMar>
        <w:tblLook w:val="01E0"/>
      </w:tblPr>
      <w:tblGrid>
        <w:gridCol w:w="3167"/>
        <w:gridCol w:w="3202"/>
        <w:gridCol w:w="3190"/>
      </w:tblGrid>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0.00</w:t>
            </w:r>
          </w:p>
        </w:tc>
      </w:tr>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0.00</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57,652.48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6,208,395.45</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57,652.48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6,208,395.45</w:t>
            </w:r>
          </w:p>
        </w:tc>
      </w:tr>
    </w:tbl>
    <w:p>
      <w:pPr>
        <w:spacing w:line="240" w:lineRule="auto" w:before="7"/>
        <w:rPr>
          <w:rFonts w:ascii="宋体" w:hAnsi="宋体" w:cs="宋体" w:eastAsia="宋体" w:hint="default"/>
          <w:sz w:val="17"/>
          <w:szCs w:val="17"/>
        </w:rPr>
      </w:pPr>
    </w:p>
    <w:p>
      <w:pPr>
        <w:pStyle w:val="Heading3"/>
        <w:spacing w:line="240" w:lineRule="auto" w:before="35"/>
        <w:ind w:left="214" w:right="1360"/>
        <w:jc w:val="left"/>
        <w:rPr>
          <w:b w:val="0"/>
          <w:bCs w:val="0"/>
        </w:rPr>
      </w:pPr>
      <w:bookmarkStart w:name="（1）其他应收款" w:id="390"/>
      <w:bookmarkEnd w:id="390"/>
      <w:r>
        <w:rPr>
          <w:b w:val="0"/>
          <w:bCs w:val="0"/>
        </w:rPr>
      </w:r>
      <w:r>
        <w:rPr/>
        <w:t>（</w:t>
      </w:r>
      <w:r>
        <w:rPr>
          <w:rFonts w:ascii="Times New Roman" w:hAnsi="Times New Roman" w:cs="Times New Roman" w:eastAsia="Times New Roman" w:hint="default"/>
        </w:rPr>
        <w:t>1</w:t>
      </w:r>
      <w:r>
        <w:rPr/>
        <w:t>）其他应收款</w:t>
      </w:r>
      <w:r>
        <w:rPr>
          <w:b w:val="0"/>
          <w:bCs w:val="0"/>
        </w:rPr>
      </w:r>
    </w:p>
    <w:p>
      <w:pPr>
        <w:spacing w:line="240" w:lineRule="auto" w:before="8"/>
        <w:rPr>
          <w:rFonts w:ascii="宋体" w:hAnsi="宋体" w:cs="宋体" w:eastAsia="宋体" w:hint="default"/>
          <w:b/>
          <w:bCs/>
          <w:sz w:val="18"/>
          <w:szCs w:val="18"/>
        </w:rPr>
      </w:pPr>
    </w:p>
    <w:p>
      <w:pPr>
        <w:pStyle w:val="Heading5"/>
        <w:spacing w:line="240" w:lineRule="auto"/>
        <w:ind w:left="214" w:right="1360"/>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43"/>
        </w:rPr>
        <w:t> </w:t>
      </w:r>
      <w:r>
        <w:rPr/>
        <w:t>其他应收款分类披露</w:t>
      </w:r>
      <w:r>
        <w:rPr>
          <w:b w:val="0"/>
          <w:bCs w:val="0"/>
        </w:rPr>
      </w:r>
    </w:p>
    <w:p>
      <w:pPr>
        <w:pStyle w:val="BodyText"/>
        <w:spacing w:line="240" w:lineRule="auto" w:before="23"/>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92" w:type="dxa"/>
        <w:tblLayout w:type="fixed"/>
        <w:tblCellMar>
          <w:top w:w="0" w:type="dxa"/>
          <w:left w:w="0" w:type="dxa"/>
          <w:bottom w:w="0" w:type="dxa"/>
          <w:right w:w="0" w:type="dxa"/>
        </w:tblCellMar>
        <w:tblLook w:val="01E0"/>
      </w:tblPr>
      <w:tblGrid>
        <w:gridCol w:w="1583"/>
        <w:gridCol w:w="788"/>
        <w:gridCol w:w="721"/>
        <w:gridCol w:w="723"/>
        <w:gridCol w:w="724"/>
        <w:gridCol w:w="776"/>
        <w:gridCol w:w="1001"/>
        <w:gridCol w:w="701"/>
        <w:gridCol w:w="770"/>
        <w:gridCol w:w="895"/>
        <w:gridCol w:w="1001"/>
      </w:tblGrid>
      <w:tr>
        <w:trPr>
          <w:trHeight w:val="319" w:hRule="exact"/>
        </w:trPr>
        <w:tc>
          <w:tcPr>
            <w:tcW w:w="1583" w:type="dxa"/>
            <w:vMerge w:val="restart"/>
            <w:tcBorders>
              <w:top w:val="single" w:sz="4" w:space="0" w:color="000000"/>
              <w:left w:val="single" w:sz="4" w:space="0" w:color="000000"/>
              <w:right w:val="single" w:sz="4" w:space="0" w:color="000000"/>
            </w:tcBorders>
            <w:shd w:val="clear" w:color="auto" w:fill="D2D2D2"/>
          </w:tcPr>
          <w:p>
            <w:pPr/>
          </w:p>
        </w:tc>
        <w:tc>
          <w:tcPr>
            <w:tcW w:w="373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36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26" w:hRule="exact"/>
        </w:trPr>
        <w:tc>
          <w:tcPr>
            <w:tcW w:w="1583" w:type="dxa"/>
            <w:vMerge/>
            <w:tcBorders>
              <w:left w:val="single" w:sz="4" w:space="0" w:color="000000"/>
              <w:bottom w:val="nil" w:sz="6" w:space="0" w:color="auto"/>
              <w:right w:val="single" w:sz="4" w:space="0" w:color="000000"/>
            </w:tcBorders>
            <w:shd w:val="clear" w:color="auto" w:fill="D2D2D2"/>
          </w:tcPr>
          <w:p>
            <w:pPr/>
          </w:p>
        </w:tc>
        <w:tc>
          <w:tcPr>
            <w:tcW w:w="150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39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4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35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76" w:type="dxa"/>
            <w:vMerge w:val="restart"/>
            <w:tcBorders>
              <w:top w:val="single" w:sz="4" w:space="0" w:color="000000"/>
              <w:left w:val="single" w:sz="4" w:space="0" w:color="000000"/>
              <w:right w:val="single" w:sz="4" w:space="0" w:color="000000"/>
            </w:tcBorders>
            <w:shd w:val="clear" w:color="auto" w:fill="D2D2D2"/>
          </w:tcPr>
          <w:p>
            <w:pPr/>
          </w:p>
        </w:tc>
        <w:tc>
          <w:tcPr>
            <w:tcW w:w="170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4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46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01" w:type="dxa"/>
            <w:vMerge w:val="restart"/>
            <w:tcBorders>
              <w:top w:val="single" w:sz="4" w:space="0" w:color="000000"/>
              <w:left w:val="single" w:sz="4" w:space="0" w:color="000000"/>
              <w:right w:val="single" w:sz="4" w:space="0" w:color="000000"/>
            </w:tcBorders>
            <w:shd w:val="clear" w:color="auto" w:fill="D2D2D2"/>
          </w:tcPr>
          <w:p>
            <w:pPr/>
          </w:p>
        </w:tc>
      </w:tr>
      <w:tr>
        <w:trPr>
          <w:trHeight w:val="260" w:hRule="exact"/>
        </w:trPr>
        <w:tc>
          <w:tcPr>
            <w:tcW w:w="15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09" w:type="dxa"/>
            <w:gridSpan w:val="2"/>
            <w:vMerge/>
            <w:tcBorders>
              <w:left w:val="single" w:sz="4" w:space="0" w:color="000000"/>
              <w:bottom w:val="single" w:sz="4" w:space="0" w:color="000000"/>
              <w:right w:val="single" w:sz="4" w:space="0" w:color="000000"/>
            </w:tcBorders>
            <w:shd w:val="clear" w:color="auto" w:fill="D2D2D2"/>
          </w:tcPr>
          <w:p>
            <w:pPr/>
          </w:p>
        </w:tc>
        <w:tc>
          <w:tcPr>
            <w:tcW w:w="1446" w:type="dxa"/>
            <w:gridSpan w:val="2"/>
            <w:vMerge/>
            <w:tcBorders>
              <w:left w:val="single" w:sz="4" w:space="0" w:color="000000"/>
              <w:bottom w:val="single" w:sz="4" w:space="0" w:color="000000"/>
              <w:right w:val="single" w:sz="4" w:space="0" w:color="000000"/>
            </w:tcBorders>
            <w:shd w:val="clear" w:color="auto" w:fill="D2D2D2"/>
          </w:tcPr>
          <w:p>
            <w:pPr/>
          </w:p>
        </w:tc>
        <w:tc>
          <w:tcPr>
            <w:tcW w:w="776" w:type="dxa"/>
            <w:vMerge/>
            <w:tcBorders>
              <w:left w:val="single" w:sz="4" w:space="0" w:color="000000"/>
              <w:bottom w:val="nil" w:sz="6" w:space="0" w:color="auto"/>
              <w:right w:val="single" w:sz="4" w:space="0" w:color="000000"/>
            </w:tcBorders>
            <w:shd w:val="clear" w:color="auto" w:fill="D2D2D2"/>
          </w:tcPr>
          <w:p>
            <w:pPr/>
          </w:p>
        </w:tc>
        <w:tc>
          <w:tcPr>
            <w:tcW w:w="1702" w:type="dxa"/>
            <w:gridSpan w:val="2"/>
            <w:vMerge/>
            <w:tcBorders>
              <w:left w:val="single" w:sz="4" w:space="0" w:color="000000"/>
              <w:bottom w:val="single" w:sz="4" w:space="0" w:color="000000"/>
              <w:right w:val="single" w:sz="4" w:space="0" w:color="000000"/>
            </w:tcBorders>
            <w:shd w:val="clear" w:color="auto" w:fill="D2D2D2"/>
          </w:tcPr>
          <w:p>
            <w:pPr/>
          </w:p>
        </w:tc>
        <w:tc>
          <w:tcPr>
            <w:tcW w:w="1666" w:type="dxa"/>
            <w:gridSpan w:val="2"/>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nil" w:sz="6" w:space="0" w:color="auto"/>
              <w:right w:val="single" w:sz="4" w:space="0" w:color="000000"/>
            </w:tcBorders>
            <w:shd w:val="clear" w:color="auto" w:fill="D2D2D2"/>
          </w:tcPr>
          <w:p>
            <w:pPr/>
          </w:p>
        </w:tc>
      </w:tr>
      <w:tr>
        <w:trPr>
          <w:trHeight w:val="215" w:hRule="exact"/>
        </w:trPr>
        <w:tc>
          <w:tcPr>
            <w:tcW w:w="1583" w:type="dxa"/>
            <w:vMerge w:val="restart"/>
            <w:tcBorders>
              <w:top w:val="nil" w:sz="6" w:space="0" w:color="auto"/>
              <w:left w:val="single" w:sz="4" w:space="0" w:color="000000"/>
              <w:right w:val="single" w:sz="4" w:space="0" w:color="000000"/>
            </w:tcBorders>
            <w:shd w:val="clear" w:color="auto" w:fill="D2D2D2"/>
          </w:tcPr>
          <w:p>
            <w:pP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9"/>
              <w:ind w:left="21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9"/>
              <w:ind w:left="17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9"/>
              <w:ind w:left="17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24" w:type="dxa"/>
            <w:vMerge w:val="restart"/>
            <w:tcBorders>
              <w:top w:val="single" w:sz="4" w:space="0" w:color="000000"/>
              <w:left w:val="single" w:sz="4" w:space="0" w:color="000000"/>
              <w:right w:val="single" w:sz="4" w:space="0" w:color="000000"/>
            </w:tcBorders>
            <w:shd w:val="clear" w:color="auto" w:fill="D2D2D2"/>
          </w:tcPr>
          <w:p>
            <w:pPr>
              <w:pStyle w:val="TableParagraph"/>
              <w:spacing w:line="187" w:lineRule="exact"/>
              <w:ind w:right="1"/>
              <w:jc w:val="center"/>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例</w:t>
            </w:r>
          </w:p>
        </w:tc>
        <w:tc>
          <w:tcPr>
            <w:tcW w:w="776" w:type="dxa"/>
            <w:tcBorders>
              <w:top w:val="nil" w:sz="6" w:space="0" w:color="auto"/>
              <w:left w:val="single" w:sz="9" w:space="0" w:color="D2D2D2"/>
              <w:bottom w:val="nil" w:sz="6" w:space="0" w:color="auto"/>
              <w:right w:val="single" w:sz="22" w:space="0" w:color="D2D2D2"/>
            </w:tcBorders>
          </w:tcPr>
          <w:p>
            <w:pPr>
              <w:pStyle w:val="TableParagraph"/>
              <w:spacing w:line="148" w:lineRule="exact"/>
              <w:ind w:left="17"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账面价值</w:t>
            </w:r>
            <w:r>
              <w:rPr>
                <w:rFonts w:ascii="宋体" w:hAnsi="宋体" w:cs="宋体" w:eastAsia="宋体" w:hint="default"/>
                <w:sz w:val="18"/>
                <w:szCs w:val="18"/>
              </w:rPr>
            </w:r>
          </w:p>
        </w:tc>
        <w:tc>
          <w:tcPr>
            <w:tcW w:w="1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9"/>
              <w:ind w:left="31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9"/>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9"/>
              <w:ind w:left="20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9"/>
              <w:ind w:left="8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0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8" w:lineRule="exact"/>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283" w:hRule="exact"/>
        </w:trPr>
        <w:tc>
          <w:tcPr>
            <w:tcW w:w="158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721" w:type="dxa"/>
            <w:vMerge/>
            <w:tcBorders>
              <w:left w:val="single" w:sz="4" w:space="0" w:color="000000"/>
              <w:bottom w:val="single" w:sz="4" w:space="0" w:color="000000"/>
              <w:right w:val="single" w:sz="4" w:space="0" w:color="000000"/>
            </w:tcBorders>
            <w:shd w:val="clear" w:color="auto" w:fill="D2D2D2"/>
          </w:tcPr>
          <w:p>
            <w:pPr/>
          </w:p>
        </w:tc>
        <w:tc>
          <w:tcPr>
            <w:tcW w:w="723" w:type="dxa"/>
            <w:vMerge/>
            <w:tcBorders>
              <w:left w:val="single" w:sz="4" w:space="0" w:color="000000"/>
              <w:bottom w:val="single" w:sz="4" w:space="0" w:color="000000"/>
              <w:right w:val="single" w:sz="4" w:space="0" w:color="000000"/>
            </w:tcBorders>
            <w:shd w:val="clear" w:color="auto" w:fill="D2D2D2"/>
          </w:tcPr>
          <w:p>
            <w:pPr/>
          </w:p>
        </w:tc>
        <w:tc>
          <w:tcPr>
            <w:tcW w:w="724" w:type="dxa"/>
            <w:vMerge/>
            <w:tcBorders>
              <w:left w:val="single" w:sz="4" w:space="0" w:color="000000"/>
              <w:bottom w:val="single" w:sz="4" w:space="0" w:color="000000"/>
              <w:right w:val="single" w:sz="4" w:space="0" w:color="000000"/>
            </w:tcBorders>
            <w:shd w:val="clear" w:color="auto" w:fill="D2D2D2"/>
          </w:tcPr>
          <w:p>
            <w:pPr/>
          </w:p>
        </w:tc>
        <w:tc>
          <w:tcPr>
            <w:tcW w:w="7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c>
          <w:tcPr>
            <w:tcW w:w="701" w:type="dxa"/>
            <w:vMerge/>
            <w:tcBorders>
              <w:left w:val="single" w:sz="4" w:space="0" w:color="000000"/>
              <w:bottom w:val="single" w:sz="4" w:space="0" w:color="000000"/>
              <w:right w:val="single" w:sz="4" w:space="0" w:color="000000"/>
            </w:tcBorders>
            <w:shd w:val="clear" w:color="auto" w:fill="D2D2D2"/>
          </w:tcPr>
          <w:p>
            <w:pPr/>
          </w:p>
        </w:tc>
        <w:tc>
          <w:tcPr>
            <w:tcW w:w="770" w:type="dxa"/>
            <w:vMerge/>
            <w:tcBorders>
              <w:left w:val="single" w:sz="4" w:space="0" w:color="000000"/>
              <w:bottom w:val="single" w:sz="4" w:space="0" w:color="000000"/>
              <w:right w:val="single" w:sz="4" w:space="0" w:color="000000"/>
            </w:tcBorders>
            <w:shd w:val="clear" w:color="auto" w:fill="D2D2D2"/>
          </w:tcPr>
          <w:p>
            <w:pPr/>
          </w:p>
        </w:tc>
        <w:tc>
          <w:tcPr>
            <w:tcW w:w="895" w:type="dxa"/>
            <w:vMerge/>
            <w:tcBorders>
              <w:left w:val="single" w:sz="4" w:space="0" w:color="000000"/>
              <w:bottom w:val="single" w:sz="4" w:space="0" w:color="000000"/>
              <w:right w:val="single" w:sz="4" w:space="0" w:color="000000"/>
            </w:tcBorders>
            <w:shd w:val="clear" w:color="auto" w:fill="D2D2D2"/>
          </w:tcPr>
          <w:p>
            <w:pPr/>
          </w:p>
        </w:tc>
        <w:tc>
          <w:tcPr>
            <w:tcW w:w="100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91"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11" w:right="12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88" w:type="dxa"/>
            <w:tcBorders>
              <w:top w:val="single" w:sz="50" w:space="0" w:color="D2D2D2"/>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57,652.48</w:t>
            </w:r>
          </w:p>
        </w:tc>
        <w:tc>
          <w:tcPr>
            <w:tcW w:w="721" w:type="dxa"/>
            <w:tcBorders>
              <w:top w:val="single" w:sz="50" w:space="0" w:color="D2D2D2"/>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w:t>
            </w:r>
          </w:p>
        </w:tc>
        <w:tc>
          <w:tcPr>
            <w:tcW w:w="723" w:type="dxa"/>
            <w:tcBorders>
              <w:top w:val="single" w:sz="50" w:space="0" w:color="D2D2D2"/>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57,652.48</w:t>
            </w:r>
          </w:p>
        </w:tc>
        <w:tc>
          <w:tcPr>
            <w:tcW w:w="1001" w:type="dxa"/>
            <w:tcBorders>
              <w:top w:val="single" w:sz="50" w:space="0" w:color="D2D2D2"/>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6,208,395.45</w:t>
            </w:r>
          </w:p>
        </w:tc>
        <w:tc>
          <w:tcPr>
            <w:tcW w:w="701" w:type="dxa"/>
            <w:tcBorders>
              <w:top w:val="single" w:sz="50" w:space="0" w:color="D2D2D2"/>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100.00%</w:t>
            </w:r>
          </w:p>
        </w:tc>
        <w:tc>
          <w:tcPr>
            <w:tcW w:w="770" w:type="dxa"/>
            <w:tcBorders>
              <w:top w:val="single" w:sz="50" w:space="0" w:color="D2D2D2"/>
              <w:left w:val="single" w:sz="4" w:space="0" w:color="000000"/>
              <w:bottom w:val="single" w:sz="4" w:space="0" w:color="000000"/>
              <w:right w:val="single" w:sz="4" w:space="0" w:color="000000"/>
            </w:tcBorders>
          </w:tcPr>
          <w:p>
            <w:pPr/>
          </w:p>
        </w:tc>
        <w:tc>
          <w:tcPr>
            <w:tcW w:w="895" w:type="dxa"/>
            <w:tcBorders>
              <w:top w:val="single" w:sz="50" w:space="0" w:color="D2D2D2"/>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6,208,395.45</w:t>
            </w:r>
          </w:p>
        </w:tc>
      </w:tr>
      <w:tr>
        <w:trPr>
          <w:trHeight w:val="32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57,652.48</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4" w:right="0"/>
              <w:jc w:val="left"/>
              <w:rPr>
                <w:rFonts w:ascii="Times New Roman" w:hAnsi="Times New Roman" w:cs="Times New Roman" w:eastAsia="Times New Roman" w:hint="default"/>
                <w:sz w:val="18"/>
                <w:szCs w:val="18"/>
              </w:rPr>
            </w:pPr>
            <w:r>
              <w:rPr>
                <w:rFonts w:ascii="Times New Roman"/>
                <w:sz w:val="18"/>
              </w:rPr>
              <w:t>100.00%</w:t>
            </w:r>
          </w:p>
        </w:tc>
        <w:tc>
          <w:tcPr>
            <w:tcW w:w="723"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sz w:val="18"/>
              </w:rPr>
              <w:t>57,652.48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6,208,395.45</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sz w:val="18"/>
              </w:rPr>
              <w:t>100.00%</w:t>
            </w:r>
          </w:p>
        </w:tc>
        <w:tc>
          <w:tcPr>
            <w:tcW w:w="770"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sz w:val="18"/>
              </w:rPr>
              <w:t>6,208,395.45</w:t>
            </w:r>
          </w:p>
        </w:tc>
      </w:tr>
    </w:tbl>
    <w:p>
      <w:pPr>
        <w:pStyle w:val="BodyText"/>
        <w:spacing w:line="240" w:lineRule="auto" w:before="10"/>
        <w:ind w:left="214" w:right="1360"/>
        <w:jc w:val="left"/>
      </w:pPr>
      <w:r>
        <w:rPr/>
        <w:t>期末单项金额重大并单项计提坏账准备的其他应收款：</w:t>
      </w:r>
    </w:p>
    <w:p>
      <w:pPr>
        <w:pStyle w:val="BodyText"/>
        <w:spacing w:line="264" w:lineRule="auto" w:before="37"/>
        <w:ind w:left="214"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64" w:lineRule="auto" w:before="20"/>
        <w:ind w:left="214" w:right="62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组合中，采用余额百分比法计提坏账准备的其他应收款：</w:t>
      </w:r>
    </w:p>
    <w:p>
      <w:pPr>
        <w:pStyle w:val="BodyText"/>
        <w:spacing w:line="261" w:lineRule="auto" w:before="20"/>
        <w:ind w:left="214"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64" w:lineRule="auto" w:before="22"/>
        <w:ind w:left="214" w:right="69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1"/>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3291"/>
        <w:gridCol w:w="2292"/>
        <w:gridCol w:w="2128"/>
        <w:gridCol w:w="2144"/>
      </w:tblGrid>
      <w:tr>
        <w:trPr>
          <w:trHeight w:val="450" w:hRule="exact"/>
        </w:trPr>
        <w:tc>
          <w:tcPr>
            <w:tcW w:w="3291" w:type="dxa"/>
            <w:vMerge w:val="restart"/>
            <w:tcBorders>
              <w:top w:val="single" w:sz="4" w:space="0" w:color="000000"/>
              <w:left w:val="single" w:sz="4" w:space="0" w:color="000000"/>
              <w:right w:val="single" w:sz="4" w:space="0" w:color="000000"/>
            </w:tcBorders>
            <w:shd w:val="clear" w:color="auto" w:fill="D0CECE"/>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6565" w:type="dxa"/>
            <w:gridSpan w:val="3"/>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450" w:hRule="exact"/>
        </w:trPr>
        <w:tc>
          <w:tcPr>
            <w:tcW w:w="3291" w:type="dxa"/>
            <w:vMerge/>
            <w:tcBorders>
              <w:left w:val="single" w:sz="4" w:space="0" w:color="000000"/>
              <w:bottom w:val="single" w:sz="4" w:space="0" w:color="000000"/>
              <w:right w:val="single" w:sz="4" w:space="0" w:color="000000"/>
            </w:tcBorders>
            <w:shd w:val="clear" w:color="auto" w:fill="D0CECE"/>
          </w:tcPr>
          <w:p>
            <w:pPr/>
          </w:p>
        </w:tc>
        <w:tc>
          <w:tcPr>
            <w:tcW w:w="229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7"/>
              <w:ind w:left="69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2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7"/>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4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7"/>
              <w:ind w:left="482"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4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18"/>
                <w:szCs w:val="18"/>
              </w:rPr>
            </w:pPr>
            <w:r>
              <w:rPr>
                <w:rFonts w:ascii="宋体" w:hAnsi="宋体" w:cs="宋体" w:eastAsia="宋体" w:hint="default"/>
                <w:sz w:val="18"/>
                <w:szCs w:val="18"/>
              </w:rPr>
              <w:t>款项性质组合</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459" w:right="0"/>
              <w:jc w:val="left"/>
              <w:rPr>
                <w:rFonts w:ascii="Times New Roman" w:hAnsi="Times New Roman" w:cs="Times New Roman" w:eastAsia="Times New Roman" w:hint="default"/>
                <w:sz w:val="18"/>
                <w:szCs w:val="18"/>
              </w:rPr>
            </w:pPr>
            <w:r>
              <w:rPr>
                <w:rFonts w:ascii="Times New Roman"/>
                <w:sz w:val="18"/>
              </w:rPr>
              <w:t>57,652.48</w:t>
            </w:r>
          </w:p>
        </w:tc>
        <w:tc>
          <w:tcPr>
            <w:tcW w:w="2128" w:type="dxa"/>
            <w:tcBorders>
              <w:top w:val="single" w:sz="4" w:space="0" w:color="000000"/>
              <w:left w:val="single" w:sz="4" w:space="0" w:color="000000"/>
              <w:bottom w:val="single" w:sz="4" w:space="0" w:color="000000"/>
              <w:right w:val="single" w:sz="4" w:space="0" w:color="000000"/>
            </w:tcBorders>
          </w:tcPr>
          <w:p>
            <w:pPr/>
          </w:p>
        </w:tc>
        <w:tc>
          <w:tcPr>
            <w:tcW w:w="214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20" w:right="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3291"/>
        <w:gridCol w:w="2292"/>
        <w:gridCol w:w="2128"/>
        <w:gridCol w:w="2144"/>
      </w:tblGrid>
      <w:tr>
        <w:trPr>
          <w:trHeight w:val="450" w:hRule="exact"/>
        </w:trPr>
        <w:tc>
          <w:tcPr>
            <w:tcW w:w="3291" w:type="dxa"/>
            <w:vMerge w:val="restart"/>
            <w:tcBorders>
              <w:top w:val="single" w:sz="4" w:space="0" w:color="000000"/>
              <w:left w:val="single" w:sz="4" w:space="0" w:color="000000"/>
              <w:right w:val="single" w:sz="4" w:space="0" w:color="000000"/>
            </w:tcBorders>
            <w:shd w:val="clear" w:color="auto" w:fill="D0CECE"/>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6565" w:type="dxa"/>
            <w:gridSpan w:val="3"/>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450" w:hRule="exact"/>
        </w:trPr>
        <w:tc>
          <w:tcPr>
            <w:tcW w:w="3291" w:type="dxa"/>
            <w:vMerge/>
            <w:tcBorders>
              <w:left w:val="single" w:sz="4" w:space="0" w:color="000000"/>
              <w:bottom w:val="single" w:sz="4" w:space="0" w:color="000000"/>
              <w:right w:val="single" w:sz="4" w:space="0" w:color="000000"/>
            </w:tcBorders>
            <w:shd w:val="clear" w:color="auto" w:fill="D0CECE"/>
          </w:tcPr>
          <w:p>
            <w:pPr/>
          </w:p>
        </w:tc>
        <w:tc>
          <w:tcPr>
            <w:tcW w:w="229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7"/>
              <w:ind w:left="69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2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7"/>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4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45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459" w:right="0"/>
              <w:jc w:val="left"/>
              <w:rPr>
                <w:rFonts w:ascii="Times New Roman" w:hAnsi="Times New Roman" w:cs="Times New Roman" w:eastAsia="Times New Roman" w:hint="default"/>
                <w:sz w:val="18"/>
                <w:szCs w:val="18"/>
              </w:rPr>
            </w:pPr>
            <w:r>
              <w:rPr>
                <w:rFonts w:ascii="Times New Roman"/>
                <w:sz w:val="18"/>
              </w:rPr>
              <w:t>57,652.48</w:t>
            </w:r>
          </w:p>
        </w:tc>
        <w:tc>
          <w:tcPr>
            <w:tcW w:w="2128" w:type="dxa"/>
            <w:tcBorders>
              <w:top w:val="single" w:sz="4" w:space="0" w:color="000000"/>
              <w:left w:val="single" w:sz="4" w:space="0" w:color="000000"/>
              <w:bottom w:val="single" w:sz="4" w:space="0" w:color="000000"/>
              <w:right w:val="single" w:sz="4" w:space="0" w:color="000000"/>
            </w:tcBorders>
          </w:tcPr>
          <w:p>
            <w:pP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77" w:footer="979" w:top="1100" w:bottom="1160" w:left="920" w:right="0"/>
        </w:sectPr>
      </w:pPr>
    </w:p>
    <w:p>
      <w:pPr>
        <w:pStyle w:val="Heading5"/>
        <w:spacing w:line="240" w:lineRule="auto"/>
        <w:ind w:left="214" w:right="-17"/>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42"/>
        </w:rPr>
        <w:t> </w:t>
      </w:r>
      <w:r>
        <w:rPr/>
        <w:t>本期计提、收回或转回的坏账准备情况</w:t>
      </w:r>
      <w:r>
        <w:rPr>
          <w:b w:val="0"/>
          <w:bCs w:val="0"/>
        </w:rPr>
      </w:r>
    </w:p>
    <w:p>
      <w:pPr>
        <w:pStyle w:val="BodyText"/>
        <w:spacing w:line="240" w:lineRule="auto" w:before="24"/>
        <w:ind w:left="214" w:right="-17"/>
        <w:jc w:val="left"/>
      </w:pPr>
      <w:r>
        <w:rPr/>
        <w:t>本期计提坏账准备金额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Heading5"/>
        <w:spacing w:line="240" w:lineRule="auto" w:before="24"/>
        <w:ind w:left="214" w:right="-17"/>
        <w:jc w:val="left"/>
        <w:rPr>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43"/>
        </w:rPr>
        <w:t> </w:t>
      </w:r>
      <w:r>
        <w:rPr/>
        <w:t>其他应收款按款项性质分类情况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pStyle w:val="BodyText"/>
        <w:spacing w:line="240" w:lineRule="auto" w:before="158"/>
        <w:ind w:left="213" w:right="0"/>
        <w:jc w:val="left"/>
      </w:pPr>
      <w:r>
        <w:rPr/>
        <w:t>单位： 元</w:t>
      </w:r>
    </w:p>
    <w:p>
      <w:pPr>
        <w:spacing w:after="0" w:line="240" w:lineRule="auto"/>
        <w:jc w:val="left"/>
        <w:sectPr>
          <w:type w:val="continuous"/>
          <w:pgSz w:w="11910" w:h="16840"/>
          <w:pgMar w:top="1580" w:bottom="700" w:left="920" w:right="0"/>
          <w:cols w:num="2" w:equalWidth="0">
            <w:col w:w="5884" w:space="2945"/>
            <w:col w:w="2161"/>
          </w:cols>
        </w:sectPr>
      </w:pPr>
    </w:p>
    <w:p>
      <w:pPr>
        <w:spacing w:line="240" w:lineRule="auto" w:before="3"/>
        <w:rPr>
          <w:rFonts w:ascii="宋体" w:hAnsi="宋体" w:cs="宋体" w:eastAsia="宋体" w:hint="default"/>
          <w:sz w:val="5"/>
          <w:szCs w:val="5"/>
        </w:rPr>
      </w:pPr>
    </w:p>
    <w:tbl>
      <w:tblPr>
        <w:tblW w:w="0" w:type="auto"/>
        <w:jc w:val="left"/>
        <w:tblInd w:w="209" w:type="dxa"/>
        <w:tblLayout w:type="fixed"/>
        <w:tblCellMar>
          <w:top w:w="0" w:type="dxa"/>
          <w:left w:w="0" w:type="dxa"/>
          <w:bottom w:w="0" w:type="dxa"/>
          <w:right w:w="0" w:type="dxa"/>
        </w:tblCellMar>
        <w:tblLook w:val="01E0"/>
      </w:tblPr>
      <w:tblGrid>
        <w:gridCol w:w="3369"/>
        <w:gridCol w:w="3100"/>
        <w:gridCol w:w="3100"/>
      </w:tblGrid>
      <w:tr>
        <w:trPr>
          <w:trHeight w:val="32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24"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56,480.00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6,480.00</w:t>
            </w:r>
          </w:p>
        </w:tc>
      </w:tr>
      <w:tr>
        <w:trPr>
          <w:trHeight w:val="324"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应收企业奖励款</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323"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1,172.48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201,915.45</w:t>
            </w:r>
          </w:p>
        </w:tc>
      </w:tr>
      <w:tr>
        <w:trPr>
          <w:trHeight w:val="324"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57,652.48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6,208,395.45</w:t>
            </w:r>
          </w:p>
        </w:tc>
      </w:tr>
    </w:tbl>
    <w:p>
      <w:pPr>
        <w:spacing w:line="240" w:lineRule="auto" w:before="7"/>
        <w:rPr>
          <w:rFonts w:ascii="宋体" w:hAnsi="宋体" w:cs="宋体" w:eastAsia="宋体" w:hint="default"/>
          <w:sz w:val="17"/>
          <w:szCs w:val="17"/>
        </w:rPr>
      </w:pPr>
    </w:p>
    <w:p>
      <w:pPr>
        <w:pStyle w:val="Heading3"/>
        <w:spacing w:line="240" w:lineRule="auto" w:before="35"/>
        <w:ind w:left="214" w:right="1360"/>
        <w:jc w:val="left"/>
        <w:rPr>
          <w:b w:val="0"/>
          <w:bCs w:val="0"/>
        </w:rPr>
      </w:pPr>
      <w:bookmarkStart w:name="2、长期股权投资" w:id="391"/>
      <w:bookmarkEnd w:id="391"/>
      <w:r>
        <w:rPr>
          <w:b w:val="0"/>
          <w:bCs w:val="0"/>
        </w:rPr>
      </w:r>
      <w:r>
        <w:rPr>
          <w:rFonts w:ascii="Times New Roman" w:hAnsi="Times New Roman" w:cs="Times New Roman" w:eastAsia="Times New Roman" w:hint="default"/>
        </w:rPr>
        <w:t>2</w:t>
      </w:r>
      <w:r>
        <w:rPr/>
        <w:t>、长期股权投资</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20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167"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7"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57"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67"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5,587,166,127.04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5,587,166,127.04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1" w:right="0"/>
              <w:jc w:val="center"/>
              <w:rPr>
                <w:rFonts w:ascii="Times New Roman" w:hAnsi="Times New Roman" w:cs="Times New Roman" w:eastAsia="Times New Roman" w:hint="default"/>
                <w:sz w:val="18"/>
                <w:szCs w:val="18"/>
              </w:rPr>
            </w:pPr>
            <w:r>
              <w:rPr>
                <w:rFonts w:ascii="Times New Roman"/>
                <w:sz w:val="18"/>
              </w:rPr>
              <w:t>4,375,471,500.00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 w:right="0"/>
              <w:jc w:val="center"/>
              <w:rPr>
                <w:rFonts w:ascii="Times New Roman" w:hAnsi="Times New Roman" w:cs="Times New Roman" w:eastAsia="Times New Roman" w:hint="default"/>
                <w:sz w:val="18"/>
                <w:szCs w:val="18"/>
              </w:rPr>
            </w:pPr>
            <w:r>
              <w:rPr>
                <w:rFonts w:ascii="Times New Roman"/>
                <w:sz w:val="18"/>
              </w:rPr>
              <w:t>4,375,471,500.00</w:t>
            </w:r>
          </w:p>
        </w:tc>
      </w:tr>
      <w:tr>
        <w:trPr>
          <w:trHeight w:val="557"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2"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104,104,256.40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104,104,256.40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5,691,270,383.44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5,691,270,383.44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1" w:right="0"/>
              <w:jc w:val="center"/>
              <w:rPr>
                <w:rFonts w:ascii="Times New Roman" w:hAnsi="Times New Roman" w:cs="Times New Roman" w:eastAsia="Times New Roman" w:hint="default"/>
                <w:sz w:val="18"/>
                <w:szCs w:val="18"/>
              </w:rPr>
            </w:pPr>
            <w:r>
              <w:rPr>
                <w:rFonts w:ascii="Times New Roman"/>
                <w:sz w:val="18"/>
              </w:rPr>
              <w:t>4,375,471,500.00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0" w:right="0"/>
              <w:jc w:val="center"/>
              <w:rPr>
                <w:rFonts w:ascii="Times New Roman" w:hAnsi="Times New Roman" w:cs="Times New Roman" w:eastAsia="Times New Roman" w:hint="default"/>
                <w:sz w:val="18"/>
                <w:szCs w:val="18"/>
              </w:rPr>
            </w:pPr>
            <w:r>
              <w:rPr>
                <w:rFonts w:ascii="Times New Roman"/>
                <w:sz w:val="18"/>
              </w:rPr>
              <w:t>4,375,471,500.00</w:t>
            </w:r>
          </w:p>
        </w:tc>
      </w:tr>
    </w:tbl>
    <w:p>
      <w:pPr>
        <w:spacing w:line="240" w:lineRule="auto" w:before="7"/>
        <w:rPr>
          <w:rFonts w:ascii="宋体" w:hAnsi="宋体" w:cs="宋体" w:eastAsia="宋体" w:hint="default"/>
          <w:sz w:val="17"/>
          <w:szCs w:val="17"/>
        </w:rPr>
      </w:pPr>
    </w:p>
    <w:p>
      <w:pPr>
        <w:pStyle w:val="Heading3"/>
        <w:spacing w:line="240" w:lineRule="auto" w:before="35"/>
        <w:ind w:left="214" w:right="1360"/>
        <w:jc w:val="left"/>
        <w:rPr>
          <w:b w:val="0"/>
          <w:bCs w:val="0"/>
        </w:rPr>
      </w:pPr>
      <w:bookmarkStart w:name="（1）对子公司投资" w:id="392"/>
      <w:bookmarkEnd w:id="392"/>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20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557"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9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22"/>
              <w:jc w:val="left"/>
              <w:rPr>
                <w:rFonts w:ascii="宋体" w:hAnsi="宋体" w:cs="宋体" w:eastAsia="宋体" w:hint="default"/>
                <w:sz w:val="18"/>
                <w:szCs w:val="18"/>
              </w:rPr>
            </w:pPr>
            <w:r>
              <w:rPr>
                <w:rFonts w:ascii="宋体" w:hAnsi="宋体" w:cs="宋体" w:eastAsia="宋体" w:hint="default"/>
                <w:sz w:val="18"/>
                <w:szCs w:val="18"/>
              </w:rPr>
              <w:t>神州控股下属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 </w:t>
            </w:r>
            <w:r>
              <w:rPr>
                <w:rFonts w:ascii="宋体" w:hAnsi="宋体" w:cs="宋体" w:eastAsia="宋体" w:hint="default"/>
                <w:spacing w:val="-7"/>
                <w:sz w:val="18"/>
                <w:szCs w:val="18"/>
              </w:rPr>
              <w:t>分销业务公司（注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4,010,000,000.00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1,205,000,000.00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5,215,000,000.00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22"/>
              <w:jc w:val="left"/>
              <w:rPr>
                <w:rFonts w:ascii="宋体" w:hAnsi="宋体" w:cs="宋体" w:eastAsia="宋体" w:hint="default"/>
                <w:sz w:val="18"/>
                <w:szCs w:val="18"/>
              </w:rPr>
            </w:pPr>
            <w:r>
              <w:rPr>
                <w:rFonts w:ascii="宋体" w:hAnsi="宋体" w:cs="宋体" w:eastAsia="宋体" w:hint="default"/>
                <w:sz w:val="18"/>
                <w:szCs w:val="18"/>
              </w:rPr>
              <w:t>北京神州数码云 </w:t>
            </w:r>
            <w:r>
              <w:rPr>
                <w:rFonts w:ascii="宋体" w:hAnsi="宋体" w:cs="宋体" w:eastAsia="宋体" w:hint="default"/>
                <w:spacing w:val="-7"/>
                <w:sz w:val="18"/>
                <w:szCs w:val="18"/>
              </w:rPr>
              <w:t>计算有限公司（注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5,471,500.00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6,694,627.04</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12,166,127.04</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153"/>
              <w:jc w:val="left"/>
              <w:rPr>
                <w:rFonts w:ascii="宋体" w:hAnsi="宋体" w:cs="宋体" w:eastAsia="宋体" w:hint="default"/>
                <w:sz w:val="18"/>
                <w:szCs w:val="18"/>
              </w:rPr>
            </w:pPr>
            <w:r>
              <w:rPr>
                <w:rFonts w:ascii="宋体" w:hAnsi="宋体" w:cs="宋体" w:eastAsia="宋体" w:hint="default"/>
                <w:sz w:val="18"/>
                <w:szCs w:val="18"/>
              </w:rPr>
              <w:t>上海云角信息技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4,375,471,500.00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1,211,694,627.04</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5,587,166,127.04</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6"/>
          <w:szCs w:val="16"/>
        </w:rPr>
      </w:pPr>
    </w:p>
    <w:p>
      <w:pPr>
        <w:pStyle w:val="BodyText"/>
        <w:spacing w:line="225" w:lineRule="auto" w:before="57"/>
        <w:ind w:left="214" w:right="0"/>
        <w:jc w:val="left"/>
      </w:pPr>
      <w:r>
        <w:rPr/>
        <w:t>注</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月，经股东会决议通过，本公司向神码中国增资</w:t>
      </w:r>
      <w:r>
        <w:rPr>
          <w:rFonts w:ascii="Times New Roman" w:hAnsi="Times New Roman" w:cs="Times New Roman" w:eastAsia="Times New Roman" w:hint="default"/>
        </w:rPr>
        <w:t>12.05</w:t>
      </w:r>
      <w:r>
        <w:rPr/>
        <w:t>亿元。 </w:t>
      </w:r>
      <w:r>
        <w:rPr>
          <w:spacing w:val="-1"/>
        </w:rPr>
        <w:t>注</w:t>
      </w: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月，本公司以人民币</w:t>
      </w:r>
      <w:r>
        <w:rPr>
          <w:rFonts w:ascii="Times New Roman" w:hAnsi="Times New Roman" w:cs="Times New Roman" w:eastAsia="Times New Roman" w:hint="default"/>
          <w:spacing w:val="-1"/>
        </w:rPr>
        <w:t>6,694,627.04</w:t>
      </w:r>
      <w:r>
        <w:rPr>
          <w:spacing w:val="-1"/>
        </w:rPr>
        <w:t>元受让郭为先生持有的北京神州数码云计算有限公司</w:t>
      </w:r>
      <w:r>
        <w:rPr>
          <w:rFonts w:ascii="Times New Roman" w:hAnsi="Times New Roman" w:cs="Times New Roman" w:eastAsia="Times New Roman" w:hint="default"/>
          <w:spacing w:val="-1"/>
        </w:rPr>
        <w:t>49%</w:t>
      </w:r>
      <w:r>
        <w:rPr>
          <w:spacing w:val="-1"/>
        </w:rPr>
        <w:t>的股权，本次受让</w:t>
      </w:r>
      <w:r>
        <w:rPr>
          <w:spacing w:val="-39"/>
        </w:rPr>
        <w:t> </w:t>
      </w:r>
      <w:r>
        <w:rPr>
          <w:spacing w:val="-39"/>
        </w:rPr>
      </w:r>
      <w:r>
        <w:rPr/>
        <w:t>完成后，本公司持有北京神州数码云计算有限公司</w:t>
      </w:r>
      <w:r>
        <w:rPr>
          <w:rFonts w:ascii="Times New Roman" w:hAnsi="Times New Roman" w:cs="Times New Roman" w:eastAsia="Times New Roman" w:hint="default"/>
        </w:rPr>
        <w:t>100%</w:t>
      </w:r>
      <w:r>
        <w:rPr/>
        <w:t>股权。</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2"/>
          <w:szCs w:val="22"/>
        </w:rPr>
      </w:pPr>
    </w:p>
    <w:p>
      <w:pPr>
        <w:pStyle w:val="Heading3"/>
        <w:spacing w:line="240" w:lineRule="auto"/>
        <w:ind w:left="214" w:right="1360"/>
        <w:jc w:val="left"/>
        <w:rPr>
          <w:b w:val="0"/>
          <w:bCs w:val="0"/>
        </w:rPr>
      </w:pPr>
      <w:bookmarkStart w:name="（2）对联营、合营企业投资" w:id="393"/>
      <w:bookmarkEnd w:id="393"/>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0" w:right="1130"/>
        <w:jc w:val="right"/>
      </w:pPr>
      <w:r>
        <w:rPr/>
        <w:t>单位： 元</w:t>
      </w:r>
    </w:p>
    <w:p>
      <w:pPr>
        <w:spacing w:after="0" w:line="240" w:lineRule="auto"/>
        <w:jc w:val="right"/>
        <w:sectPr>
          <w:type w:val="continuous"/>
          <w:pgSz w:w="11910" w:h="16840"/>
          <w:pgMar w:top="1580" w:bottom="700" w:left="920" w:right="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702"/>
        <w:gridCol w:w="702"/>
        <w:gridCol w:w="1181"/>
        <w:gridCol w:w="704"/>
        <w:gridCol w:w="1001"/>
        <w:gridCol w:w="703"/>
        <w:gridCol w:w="704"/>
        <w:gridCol w:w="704"/>
        <w:gridCol w:w="704"/>
        <w:gridCol w:w="704"/>
        <w:gridCol w:w="1181"/>
        <w:gridCol w:w="703"/>
      </w:tblGrid>
      <w:tr>
        <w:trPr>
          <w:trHeight w:val="324" w:hRule="exact"/>
        </w:trPr>
        <w:tc>
          <w:tcPr>
            <w:tcW w:w="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32" w:lineRule="exact"/>
              <w:ind w:left="255" w:right="75" w:hanging="180"/>
              <w:jc w:val="left"/>
              <w:rPr>
                <w:rFonts w:ascii="宋体" w:hAnsi="宋体" w:cs="宋体" w:eastAsia="宋体" w:hint="default"/>
                <w:sz w:val="18"/>
                <w:szCs w:val="18"/>
              </w:rPr>
            </w:pPr>
            <w:r>
              <w:rPr>
                <w:rFonts w:ascii="宋体" w:hAnsi="宋体" w:cs="宋体" w:eastAsia="宋体" w:hint="default"/>
                <w:sz w:val="18"/>
                <w:szCs w:val="18"/>
              </w:rPr>
              <w:t>投资单 位</w:t>
            </w:r>
          </w:p>
        </w:tc>
        <w:tc>
          <w:tcPr>
            <w:tcW w:w="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32" w:lineRule="exact"/>
              <w:ind w:left="255" w:right="74"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640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75" w:right="77"/>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024" w:hRule="exact"/>
        </w:trPr>
        <w:tc>
          <w:tcPr>
            <w:tcW w:w="702" w:type="dxa"/>
            <w:vMerge/>
            <w:tcBorders>
              <w:left w:val="single" w:sz="4" w:space="0" w:color="000000"/>
              <w:bottom w:val="single" w:sz="4" w:space="0" w:color="000000"/>
              <w:right w:val="single" w:sz="4" w:space="0" w:color="000000"/>
            </w:tcBorders>
            <w:shd w:val="clear" w:color="auto" w:fill="D2D2D2"/>
          </w:tcPr>
          <w:p>
            <w:pPr/>
          </w:p>
        </w:tc>
        <w:tc>
          <w:tcPr>
            <w:tcW w:w="702"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56" w:right="77"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45" w:right="45"/>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76" w:right="74"/>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78" w:right="74"/>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
              <w:ind w:left="76" w:right="77"/>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76" w:right="75"/>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vMerge/>
            <w:tcBorders>
              <w:left w:val="single" w:sz="4" w:space="0" w:color="000000"/>
              <w:bottom w:val="single" w:sz="4" w:space="0" w:color="000000"/>
              <w:right w:val="single" w:sz="4" w:space="0" w:color="000000"/>
            </w:tcBorders>
            <w:shd w:val="clear" w:color="auto" w:fill="D2D2D2"/>
          </w:tcPr>
          <w:p>
            <w:pPr/>
          </w:p>
        </w:tc>
        <w:tc>
          <w:tcPr>
            <w:tcW w:w="703"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969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323" w:hRule="exact"/>
        </w:trPr>
        <w:tc>
          <w:tcPr>
            <w:tcW w:w="969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4" w:hRule="exact"/>
        </w:trPr>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29"/>
              <w:jc w:val="both"/>
              <w:rPr>
                <w:rFonts w:ascii="宋体" w:hAnsi="宋体" w:cs="宋体" w:eastAsia="宋体" w:hint="default"/>
                <w:sz w:val="18"/>
                <w:szCs w:val="18"/>
              </w:rPr>
            </w:pPr>
            <w:r>
              <w:rPr>
                <w:rFonts w:ascii="宋体" w:hAnsi="宋体" w:cs="宋体" w:eastAsia="宋体" w:hint="default"/>
                <w:sz w:val="18"/>
                <w:szCs w:val="18"/>
              </w:rPr>
              <w:t>神州顶 联科技 有限公 司</w:t>
            </w:r>
          </w:p>
        </w:tc>
        <w:tc>
          <w:tcPr>
            <w:tcW w:w="70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100,000,000.00</w:t>
            </w:r>
          </w:p>
        </w:tc>
        <w:tc>
          <w:tcPr>
            <w:tcW w:w="70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4,104,256.40</w:t>
            </w:r>
          </w:p>
        </w:tc>
        <w:tc>
          <w:tcPr>
            <w:tcW w:w="703"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104,104,256.40</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0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sz w:val="18"/>
              </w:rPr>
              <w:t>100,000,000.00</w:t>
            </w:r>
          </w:p>
        </w:tc>
        <w:tc>
          <w:tcPr>
            <w:tcW w:w="70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sz w:val="18"/>
              </w:rPr>
              <w:t>4,104,256.40</w:t>
            </w:r>
          </w:p>
        </w:tc>
        <w:tc>
          <w:tcPr>
            <w:tcW w:w="703"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104,104,256.40</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100,000,000.00</w:t>
            </w:r>
          </w:p>
        </w:tc>
        <w:tc>
          <w:tcPr>
            <w:tcW w:w="70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4,104,256.40</w:t>
            </w:r>
          </w:p>
        </w:tc>
        <w:tc>
          <w:tcPr>
            <w:tcW w:w="703"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104,104,256.40</w:t>
            </w:r>
          </w:p>
        </w:tc>
        <w:tc>
          <w:tcPr>
            <w:tcW w:w="7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3"/>
        <w:spacing w:line="240" w:lineRule="auto"/>
        <w:ind w:right="0"/>
        <w:jc w:val="left"/>
        <w:rPr>
          <w:b w:val="0"/>
          <w:bCs w:val="0"/>
        </w:rPr>
      </w:pPr>
      <w:bookmarkStart w:name="3、投资收益" w:id="394"/>
      <w:bookmarkEnd w:id="394"/>
      <w:r>
        <w:rPr>
          <w:b w:val="0"/>
          <w:bCs w:val="0"/>
        </w:rPr>
      </w:r>
      <w:r>
        <w:rPr>
          <w:rFonts w:ascii="Times New Roman" w:hAnsi="Times New Roman" w:cs="Times New Roman" w:eastAsia="Times New Roman" w:hint="default"/>
        </w:rPr>
        <w:t>3</w:t>
      </w:r>
      <w:r>
        <w:rPr/>
        <w:t>、投资收益</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32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4,104,256.40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59"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3,803,013.70</w:t>
            </w:r>
          </w:p>
        </w:tc>
      </w:tr>
      <w:tr>
        <w:trPr>
          <w:trHeight w:val="324"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子公司分红款</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1,230,000,000.00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32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1,234,104,256.40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203,803,013.70</w:t>
            </w:r>
          </w:p>
        </w:tc>
      </w:tr>
    </w:tbl>
    <w:p>
      <w:pPr>
        <w:spacing w:line="240" w:lineRule="auto" w:before="13"/>
        <w:rPr>
          <w:rFonts w:ascii="宋体" w:hAnsi="宋体" w:cs="宋体" w:eastAsia="宋体" w:hint="default"/>
          <w:sz w:val="17"/>
          <w:szCs w:val="17"/>
        </w:rPr>
      </w:pPr>
    </w:p>
    <w:p>
      <w:pPr>
        <w:pStyle w:val="Heading2"/>
        <w:spacing w:line="240" w:lineRule="auto" w:before="26"/>
        <w:ind w:right="0"/>
        <w:jc w:val="left"/>
        <w:rPr>
          <w:b w:val="0"/>
          <w:bCs w:val="0"/>
        </w:rPr>
      </w:pPr>
      <w:bookmarkStart w:name="十八、补充资料" w:id="395"/>
      <w:bookmarkEnd w:id="395"/>
      <w:r>
        <w:rPr>
          <w:b w:val="0"/>
          <w:bCs w:val="0"/>
        </w:rPr>
      </w:r>
      <w:r>
        <w:rPr/>
        <w:t>十八、补充资料</w:t>
      </w:r>
      <w:r>
        <w:rPr>
          <w:b w:val="0"/>
          <w:bCs w:val="0"/>
        </w:rPr>
      </w:r>
    </w:p>
    <w:p>
      <w:pPr>
        <w:spacing w:line="240" w:lineRule="auto" w:before="2"/>
        <w:rPr>
          <w:rFonts w:ascii="宋体" w:hAnsi="宋体" w:cs="宋体" w:eastAsia="宋体" w:hint="default"/>
          <w:b/>
          <w:bCs/>
          <w:sz w:val="23"/>
          <w:szCs w:val="23"/>
        </w:rPr>
      </w:pPr>
    </w:p>
    <w:p>
      <w:pPr>
        <w:pStyle w:val="Heading3"/>
        <w:spacing w:line="240" w:lineRule="auto"/>
        <w:ind w:right="0"/>
        <w:jc w:val="left"/>
        <w:rPr>
          <w:b w:val="0"/>
          <w:bCs w:val="0"/>
        </w:rPr>
      </w:pPr>
      <w:bookmarkStart w:name="1、当期非经常性损益明细表" w:id="396"/>
      <w:bookmarkEnd w:id="396"/>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2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32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2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-1,467,524.25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45,541,319.26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1" w:right="38"/>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10,532,903.51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1" w:right="38"/>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 费用等</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-3,031,792.93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11"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467,403.34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-253,609.94</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30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11,719,457.90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-185,011.53</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3327"/>
        <w:gridCol w:w="3059"/>
        <w:gridCol w:w="3175"/>
      </w:tblGrid>
      <w:tr>
        <w:trPr>
          <w:trHeight w:val="32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91" w:right="0"/>
              <w:jc w:val="left"/>
              <w:rPr>
                <w:rFonts w:ascii="Times New Roman" w:hAnsi="Times New Roman" w:cs="Times New Roman" w:eastAsia="Times New Roman" w:hint="default"/>
                <w:sz w:val="18"/>
                <w:szCs w:val="18"/>
              </w:rPr>
            </w:pPr>
            <w:r>
              <w:rPr>
                <w:rFonts w:ascii="Times New Roman"/>
                <w:sz w:val="18"/>
              </w:rPr>
              <w:t>40,254,254.62</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2" w:lineRule="exact" w:before="9"/>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232" w:lineRule="exact" w:before="17"/>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2、净资产收益率及每股收益" w:id="397"/>
      <w:bookmarkEnd w:id="397"/>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4"/>
        <w:rPr>
          <w:rFonts w:ascii="宋体" w:hAnsi="宋体" w:cs="宋体" w:eastAsia="宋体" w:hint="default"/>
          <w:b/>
          <w:bCs/>
          <w:sz w:val="24"/>
          <w:szCs w:val="24"/>
        </w:rPr>
      </w:pPr>
    </w:p>
    <w:tbl>
      <w:tblPr>
        <w:tblW w:w="0" w:type="auto"/>
        <w:jc w:val="left"/>
        <w:tblInd w:w="160" w:type="dxa"/>
        <w:tblLayout w:type="fixed"/>
        <w:tblCellMar>
          <w:top w:w="0" w:type="dxa"/>
          <w:left w:w="0" w:type="dxa"/>
          <w:bottom w:w="0" w:type="dxa"/>
          <w:right w:w="0" w:type="dxa"/>
        </w:tblCellMar>
        <w:tblLook w:val="01E0"/>
      </w:tblPr>
      <w:tblGrid>
        <w:gridCol w:w="3217"/>
        <w:gridCol w:w="2514"/>
        <w:gridCol w:w="1913"/>
        <w:gridCol w:w="1913"/>
      </w:tblGrid>
      <w:tr>
        <w:trPr>
          <w:trHeight w:val="167" w:hRule="exact"/>
        </w:trPr>
        <w:tc>
          <w:tcPr>
            <w:tcW w:w="3217" w:type="dxa"/>
            <w:tcBorders>
              <w:top w:val="single" w:sz="4" w:space="0" w:color="000000"/>
              <w:left w:val="single" w:sz="4" w:space="0" w:color="000000"/>
              <w:bottom w:val="nil" w:sz="6" w:space="0" w:color="auto"/>
              <w:right w:val="single" w:sz="4" w:space="0" w:color="000000"/>
            </w:tcBorders>
            <w:shd w:val="clear" w:color="auto" w:fill="D2D2D2"/>
          </w:tcPr>
          <w:p>
            <w:pPr/>
          </w:p>
        </w:tc>
        <w:tc>
          <w:tcPr>
            <w:tcW w:w="2514"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51" w:hRule="exact"/>
        </w:trPr>
        <w:tc>
          <w:tcPr>
            <w:tcW w:w="32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1"/>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5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5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3217" w:type="dxa"/>
            <w:vMerge/>
            <w:tcBorders>
              <w:left w:val="single" w:sz="4" w:space="0" w:color="000000"/>
              <w:bottom w:val="nil" w:sz="6" w:space="0" w:color="auto"/>
              <w:right w:val="single" w:sz="4" w:space="0" w:color="000000"/>
            </w:tcBorders>
            <w:shd w:val="clear" w:color="auto" w:fill="D2D2D2"/>
          </w:tcPr>
          <w:p>
            <w:pPr/>
          </w:p>
        </w:tc>
        <w:tc>
          <w:tcPr>
            <w:tcW w:w="2514"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167" w:hRule="exact"/>
        </w:trPr>
        <w:tc>
          <w:tcPr>
            <w:tcW w:w="3217" w:type="dxa"/>
            <w:tcBorders>
              <w:top w:val="nil" w:sz="6" w:space="0" w:color="auto"/>
              <w:left w:val="single" w:sz="4" w:space="0" w:color="000000"/>
              <w:bottom w:val="single" w:sz="4" w:space="0" w:color="000000"/>
              <w:right w:val="single" w:sz="4" w:space="0" w:color="000000"/>
            </w:tcBorders>
            <w:shd w:val="clear" w:color="auto" w:fill="D2D2D2"/>
          </w:tcPr>
          <w:p>
            <w:pPr/>
          </w:p>
        </w:tc>
        <w:tc>
          <w:tcPr>
            <w:tcW w:w="25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3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5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14.27%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0.7834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0.7834</w:t>
            </w:r>
          </w:p>
        </w:tc>
      </w:tr>
      <w:tr>
        <w:trPr>
          <w:trHeight w:val="558" w:hRule="exact"/>
        </w:trPr>
        <w:tc>
          <w:tcPr>
            <w:tcW w:w="3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135"/>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 股东的净利润</w:t>
            </w:r>
          </w:p>
        </w:tc>
        <w:tc>
          <w:tcPr>
            <w:tcW w:w="25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0.7219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0.7219</w:t>
            </w:r>
          </w:p>
        </w:tc>
      </w:tr>
    </w:tbl>
    <w:p>
      <w:pPr>
        <w:spacing w:line="240" w:lineRule="auto" w:before="7"/>
        <w:rPr>
          <w:rFonts w:ascii="宋体" w:hAnsi="宋体" w:cs="宋体" w:eastAsia="宋体" w:hint="default"/>
          <w:b/>
          <w:bCs/>
          <w:sz w:val="17"/>
          <w:szCs w:val="17"/>
        </w:rPr>
      </w:pPr>
    </w:p>
    <w:p>
      <w:pPr>
        <w:pStyle w:val="Heading3"/>
        <w:spacing w:line="240" w:lineRule="auto" w:before="35"/>
        <w:ind w:right="0"/>
        <w:jc w:val="left"/>
        <w:rPr>
          <w:b w:val="0"/>
          <w:bCs w:val="0"/>
        </w:rPr>
      </w:pPr>
      <w:bookmarkStart w:name="3、境内外会计准则下会计数据差异" w:id="398"/>
      <w:bookmarkEnd w:id="398"/>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0"/>
        <w:jc w:val="left"/>
        <w:rPr>
          <w:b w:val="0"/>
          <w:bCs w:val="0"/>
        </w:rPr>
      </w:pPr>
      <w:bookmarkStart w:name="（1）同时按照国际会计准则与按中国会计准则披露的财务报告中净利润和净资产差异情况" w:id="399"/>
      <w:bookmarkEnd w:id="399"/>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2）同时按照境外会计准则与按中国会计准则披露的财务报告中净利润和净资产差异情况" w:id="400"/>
      <w:bookmarkEnd w:id="400"/>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7"/>
        <w:rPr>
          <w:rFonts w:ascii="宋体" w:hAnsi="宋体" w:cs="宋体" w:eastAsia="宋体" w:hint="default"/>
          <w:sz w:val="23"/>
          <w:szCs w:val="23"/>
        </w:rPr>
      </w:pPr>
    </w:p>
    <w:p>
      <w:pPr>
        <w:pStyle w:val="Heading3"/>
        <w:spacing w:line="272" w:lineRule="exact"/>
        <w:ind w:right="0"/>
        <w:jc w:val="left"/>
        <w:rPr>
          <w:b w:val="0"/>
          <w:bCs w:val="0"/>
        </w:rPr>
      </w:pPr>
      <w:bookmarkStart w:name="（3）境内外会计准则下会计数据差异原因说明，对已经境外审计机构审计的数据进行差异" w:id="401"/>
      <w:bookmarkEnd w:id="401"/>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4"/>
        <w:rPr>
          <w:rFonts w:ascii="宋体" w:hAnsi="宋体" w:cs="宋体" w:eastAsia="宋体" w:hint="default"/>
          <w:b/>
          <w:bCs/>
          <w:sz w:val="21"/>
          <w:szCs w:val="21"/>
        </w:rPr>
      </w:pPr>
    </w:p>
    <w:p>
      <w:pPr>
        <w:pStyle w:val="BodyText"/>
        <w:spacing w:line="240" w:lineRule="auto"/>
        <w:ind w:right="0"/>
        <w:jc w:val="left"/>
      </w:pPr>
      <w:r>
        <w:rPr/>
        <w:t>无</w:t>
      </w:r>
    </w:p>
    <w:p>
      <w:pPr>
        <w:spacing w:after="0" w:line="240" w:lineRule="auto"/>
        <w:jc w:val="left"/>
        <w:sectPr>
          <w:pgSz w:w="11910" w:h="16840"/>
          <w:pgMar w:header="877" w:footer="979" w:top="1100" w:bottom="1160" w:left="980" w:right="0"/>
        </w:sectPr>
      </w:pPr>
    </w:p>
    <w:p>
      <w:pPr>
        <w:spacing w:line="240" w:lineRule="auto" w:before="4"/>
        <w:rPr>
          <w:rFonts w:ascii="宋体" w:hAnsi="宋体" w:cs="宋体" w:eastAsia="宋体" w:hint="default"/>
          <w:sz w:val="20"/>
          <w:szCs w:val="20"/>
        </w:rPr>
      </w:pPr>
    </w:p>
    <w:p>
      <w:pPr>
        <w:pStyle w:val="Heading1"/>
        <w:spacing w:line="240" w:lineRule="auto"/>
        <w:ind w:left="3286" w:right="0"/>
        <w:jc w:val="left"/>
        <w:rPr>
          <w:b w:val="0"/>
          <w:bCs w:val="0"/>
        </w:rPr>
      </w:pPr>
      <w:bookmarkStart w:name="第十二节 备查文件目录" w:id="402"/>
      <w:bookmarkEnd w:id="402"/>
      <w:r>
        <w:rPr>
          <w:b w:val="0"/>
          <w:bCs w:val="0"/>
        </w:rPr>
      </w:r>
      <w:r>
        <w:rPr/>
        <w:t>第十二节</w:t>
      </w:r>
      <w:r>
        <w:rPr>
          <w:spacing w:val="-8"/>
        </w:rPr>
        <w:t> </w:t>
      </w:r>
      <w:r>
        <w:rPr/>
        <w:t>备查文件目录</w:t>
      </w:r>
      <w:r>
        <w:rPr>
          <w:b w:val="0"/>
          <w:bCs w:val="0"/>
        </w:rPr>
      </w:r>
    </w:p>
    <w:p>
      <w:pPr>
        <w:spacing w:line="240" w:lineRule="auto" w:before="10"/>
        <w:rPr>
          <w:rFonts w:ascii="宋体" w:hAnsi="宋体" w:cs="宋体" w:eastAsia="宋体" w:hint="default"/>
          <w:b/>
          <w:bCs/>
          <w:sz w:val="42"/>
          <w:szCs w:val="42"/>
        </w:rPr>
      </w:pPr>
    </w:p>
    <w:p>
      <w:pPr>
        <w:pStyle w:val="BodyText"/>
        <w:spacing w:line="237" w:lineRule="auto"/>
        <w:ind w:right="2939"/>
        <w:jc w:val="left"/>
      </w:pPr>
      <w:r>
        <w:rPr/>
        <w:t>一、载有公司负责人、主管会计工作负责人、会计机构负责人签名并盖章的财务报表</w:t>
      </w:r>
      <w:r>
        <w:rPr>
          <w:spacing w:val="-16"/>
        </w:rPr>
        <w:t> </w:t>
      </w:r>
      <w:r>
        <w:rPr/>
        <w:t>；</w:t>
      </w:r>
      <w:r>
        <w:rPr/>
        <w:t> 二、载有信永中和会计师事务所（特殊普通合伙）盖章、注册会计师签字并盖章的审计报告原件</w:t>
      </w:r>
      <w:r>
        <w:rPr>
          <w:spacing w:val="-17"/>
        </w:rPr>
        <w:t> </w:t>
      </w:r>
      <w:r>
        <w:rPr/>
        <w:t>；</w:t>
      </w:r>
      <w:r>
        <w:rPr/>
        <w:t> 三、报告期内在中国证监会指定报纸上公开披露过的所有公司文件的正本及公告的原稿；</w:t>
      </w:r>
    </w:p>
    <w:p>
      <w:pPr>
        <w:pStyle w:val="BodyText"/>
        <w:spacing w:line="240" w:lineRule="auto" w:before="38"/>
        <w:ind w:right="0"/>
        <w:jc w:val="left"/>
      </w:pPr>
      <w:r>
        <w:rPr/>
        <w:t>四、载有董事长签名的年度报告文本。</w:t>
      </w:r>
    </w:p>
    <w:sectPr>
      <w:pgSz w:w="11910" w:h="16840"/>
      <w:pgMar w:header="877" w:footer="979" w:top="110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66464" type="#_x0000_t75" stroked="false">
          <v:imagedata r:id="rId1" o:titl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65912" type="#_x0000_t75" stroked="false">
          <v:imagedata r:id="rId1" o:title=""/>
        </v:shape>
      </w:pict>
    </w:r>
    <w:r>
      <w:rPr/>
      <w:pict>
        <v:shape style="position:absolute;margin-left:524.179993pt;margin-top:781.957947pt;width:15.5pt;height:11pt;mso-position-horizontal-relative:page;mso-position-vertical-relative:page;z-index:-146588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65864" type="#_x0000_t75" stroked="false">
          <v:imagedata r:id="rId1" o:title=""/>
        </v:shape>
      </w:pict>
    </w:r>
    <w:r>
      <w:rPr/>
      <w:pict>
        <v:shape style="position:absolute;margin-left:523.179993pt;margin-top:781.957947pt;width:17.5pt;height:11pt;mso-position-horizontal-relative:page;mso-position-vertical-relative:page;z-index:-14658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465792" type="#_x0000_t75" stroked="false">
          <v:imagedata r:id="rId1" o:title=""/>
        </v:shape>
      </w:pict>
    </w:r>
    <w:r>
      <w:rPr/>
      <w:pict>
        <v:shape style="position:absolute;margin-left:754.47998pt;margin-top:535.357971pt;width:17.5pt;height:11pt;mso-position-horizontal-relative:page;mso-position-vertical-relative:page;z-index:-14657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109</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65696" type="#_x0000_t75" stroked="false">
          <v:imagedata r:id="rId1" o:title=""/>
        </v:shape>
      </w:pict>
    </w:r>
    <w:r>
      <w:rPr/>
      <w:pict>
        <v:shape style="position:absolute;margin-left:523.179993pt;margin-top:781.957947pt;width:17.5pt;height:11pt;mso-position-horizontal-relative:page;mso-position-vertical-relative:page;z-index:-14656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65648" type="#_x0000_t75" stroked="false">
          <v:imagedata r:id="rId1" o:title=""/>
        </v:shape>
      </w:pict>
    </w:r>
    <w:r>
      <w:rPr/>
      <w:pict>
        <v:shape style="position:absolute;margin-left:523.179993pt;margin-top:781.957947pt;width:17.5pt;height:11pt;mso-position-horizontal-relative:page;mso-position-vertical-relative:page;z-index:-14656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132</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465576" type="#_x0000_t75" stroked="false">
          <v:imagedata r:id="rId1" o:title=""/>
        </v:shape>
      </w:pict>
    </w:r>
    <w:r>
      <w:rPr/>
      <w:pict>
        <v:shape style="position:absolute;margin-left:754.47998pt;margin-top:535.357971pt;width:17.5pt;height:11pt;mso-position-horizontal-relative:page;mso-position-vertical-relative:page;z-index:-14655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65480" type="#_x0000_t75" stroked="false">
          <v:imagedata r:id="rId1" o:title=""/>
        </v:shape>
      </w:pict>
    </w:r>
    <w:r>
      <w:rPr/>
      <w:pict>
        <v:shape style="position:absolute;margin-left:523.179993pt;margin-top:781.957947pt;width:17.5pt;height:11pt;mso-position-horizontal-relative:page;mso-position-vertical-relative:page;z-index:-14654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143</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65432" type="#_x0000_t75" stroked="false">
          <v:imagedata r:id="rId1" o:title=""/>
        </v:shape>
      </w:pict>
    </w:r>
    <w:r>
      <w:rPr/>
      <w:pict>
        <v:shape style="position:absolute;margin-left:523.179993pt;margin-top:781.957947pt;width:17.5pt;height:11pt;mso-position-horizontal-relative:page;mso-position-vertical-relative:page;z-index:-14654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163</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65384" type="#_x0000_t75" stroked="false">
          <v:imagedata r:id="rId1" o:title=""/>
        </v:shape>
      </w:pict>
    </w:r>
    <w:r>
      <w:rPr/>
      <w:pict>
        <v:shape style="position:absolute;margin-left:524.179993pt;margin-top:781.957947pt;width:15.5pt;height:11pt;mso-position-horizontal-relative:page;mso-position-vertical-relative:page;z-index:-146536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66392" type="#_x0000_t75" stroked="false">
          <v:imagedata r:id="rId1" o:title=""/>
        </v:shape>
      </w:pict>
    </w:r>
    <w:r>
      <w:rPr/>
      <w:pict>
        <v:shape style="position:absolute;margin-left:532.179993pt;margin-top:781.957947pt;width:8.5pt;height:11pt;mso-position-horizontal-relative:page;mso-position-vertical-relative:page;z-index:-14663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65336" type="#_x0000_t75" stroked="false">
          <v:imagedata r:id="rId1" o:title=""/>
        </v:shape>
      </w:pict>
    </w:r>
    <w:r>
      <w:rPr/>
      <w:pict>
        <v:shape style="position:absolute;margin-left:524.179993pt;margin-top:781.957947pt;width:15.5pt;height:11pt;mso-position-horizontal-relative:page;mso-position-vertical-relative:page;z-index:-146531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201</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65288" type="#_x0000_t75" stroked="false">
          <v:imagedata r:id="rId1" o:title=""/>
        </v:shape>
      </w:pict>
    </w:r>
    <w:r>
      <w:rPr/>
      <w:pict>
        <v:shape style="position:absolute;margin-left:523.179993pt;margin-top:781.957947pt;width:17.5pt;height:11pt;mso-position-horizontal-relative:page;mso-position-vertical-relative:page;z-index:-14652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66344" type="#_x0000_t75" stroked="false">
          <v:imagedata r:id="rId1" o:title=""/>
        </v:shape>
      </w:pict>
    </w:r>
    <w:r>
      <w:rPr/>
      <w:pict>
        <v:shape style="position:absolute;margin-left:527.679993pt;margin-top:781.957947pt;width:13pt;height:11pt;mso-position-horizontal-relative:page;mso-position-vertical-relative:page;z-index:-14663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66296" type="#_x0000_t75" stroked="false">
          <v:imagedata r:id="rId1" o:title=""/>
        </v:shape>
      </w:pict>
    </w:r>
    <w:r>
      <w:rPr/>
      <w:pict>
        <v:shape style="position:absolute;margin-left:527.679993pt;margin-top:781.957947pt;width:13pt;height:11pt;mso-position-horizontal-relative:page;mso-position-vertical-relative:page;z-index:-14662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466224" type="#_x0000_t75" stroked="false">
          <v:imagedata r:id="rId1" o:title=""/>
        </v:shape>
      </w:pict>
    </w:r>
    <w:r>
      <w:rPr/>
      <w:pict>
        <v:shape style="position:absolute;margin-left:758.97998pt;margin-top:535.357971pt;width:13pt;height:11pt;mso-position-horizontal-relative:page;mso-position-vertical-relative:page;z-index:-14662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24</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66128" type="#_x0000_t75" stroked="false">
          <v:imagedata r:id="rId1" o:title=""/>
        </v:shape>
      </w:pict>
    </w:r>
    <w:r>
      <w:rPr/>
      <w:pict>
        <v:shape style="position:absolute;margin-left:527.679993pt;margin-top:781.957947pt;width:13pt;height:11pt;mso-position-horizontal-relative:page;mso-position-vertical-relative:page;z-index:-14661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466056" type="#_x0000_t75" stroked="false">
          <v:imagedata r:id="rId1" o:title=""/>
        </v:shape>
      </w:pict>
    </w:r>
    <w:r>
      <w:rPr/>
      <w:pict>
        <v:shape style="position:absolute;margin-left:758.97998pt;margin-top:535.357971pt;width:13pt;height:11pt;mso-position-horizontal-relative:page;mso-position-vertical-relative:page;z-index:-14660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35</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65960" type="#_x0000_t75" stroked="false">
          <v:imagedata r:id="rId1" o:title=""/>
        </v:shape>
      </w:pict>
    </w:r>
    <w:r>
      <w:rPr/>
      <w:pict>
        <v:shape style="position:absolute;margin-left:527.679993pt;margin-top:781.957947pt;width:13pt;height:11pt;mso-position-horizontal-relative:page;mso-position-vertical-relative:page;z-index:-14659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44</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466440"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44.220001pt;margin-top:42.865608pt;width:195.5pt;height:11.5pt;mso-position-horizontal-relative:page;mso-position-vertical-relative:page;z-index:-1466416" type="#_x0000_t202" filled="false" stroked="false">
          <v:textbox inset="0,0,0,0">
            <w:txbxContent>
              <w:p>
                <w:pPr>
                  <w:pStyle w:val="BodyText"/>
                  <w:spacing w:line="214" w:lineRule="exact"/>
                  <w:ind w:left="20" w:right="0"/>
                  <w:jc w:val="left"/>
                </w:pPr>
                <w:r>
                  <w:rPr/>
                  <w:t>神州数码集团股份有限公司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520020pt;margin-top:42.865631pt;width:195.5pt;height:11.5pt;mso-position-horizontal-relative:page;mso-position-vertical-relative:page;z-index:-1465600" type="#_x0000_t202" filled="false" stroked="false">
          <v:textbox inset="0,0,0,0">
            <w:txbxContent>
              <w:p>
                <w:pPr>
                  <w:pStyle w:val="BodyText"/>
                  <w:spacing w:line="214" w:lineRule="exact"/>
                  <w:ind w:left="20" w:right="0"/>
                  <w:jc w:val="left"/>
                </w:pPr>
                <w:r>
                  <w:rPr/>
                  <w:t>神州数码集团股份有限公司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465528"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44.220001pt;margin-top:42.865608pt;width:195.5pt;height:11.5pt;mso-position-horizontal-relative:page;mso-position-vertical-relative:page;z-index:-1465504" type="#_x0000_t202" filled="false" stroked="false">
          <v:textbox inset="0,0,0,0">
            <w:txbxContent>
              <w:p>
                <w:pPr>
                  <w:pStyle w:val="BodyText"/>
                  <w:spacing w:line="214" w:lineRule="exact"/>
                  <w:ind w:left="20" w:right="0"/>
                  <w:jc w:val="left"/>
                </w:pPr>
                <w:r>
                  <w:rPr/>
                  <w:t>神州数码集团股份有限公司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520020pt;margin-top:42.865631pt;width:195.5pt;height:11.5pt;mso-position-horizontal-relative:page;mso-position-vertical-relative:page;z-index:-1466248" type="#_x0000_t202" filled="false" stroked="false">
          <v:textbox inset="0,0,0,0">
            <w:txbxContent>
              <w:p>
                <w:pPr>
                  <w:pStyle w:val="BodyText"/>
                  <w:spacing w:line="214" w:lineRule="exact"/>
                  <w:ind w:left="20" w:right="0"/>
                  <w:jc w:val="left"/>
                </w:pPr>
                <w:r>
                  <w:rPr/>
                  <w:t>神州数码集团股份有限公司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466176"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44.220001pt;margin-top:42.865608pt;width:195.5pt;height:11.5pt;mso-position-horizontal-relative:page;mso-position-vertical-relative:page;z-index:-1466152" type="#_x0000_t202" filled="false" stroked="false">
          <v:textbox inset="0,0,0,0">
            <w:txbxContent>
              <w:p>
                <w:pPr>
                  <w:pStyle w:val="BodyText"/>
                  <w:spacing w:line="214" w:lineRule="exact"/>
                  <w:ind w:left="20" w:right="0"/>
                  <w:jc w:val="left"/>
                </w:pPr>
                <w:r>
                  <w:rPr/>
                  <w:t>神州数码集团股份有限公司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520020pt;margin-top:42.865631pt;width:195.5pt;height:11.5pt;mso-position-horizontal-relative:page;mso-position-vertical-relative:page;z-index:-1466080" type="#_x0000_t202" filled="false" stroked="false">
          <v:textbox inset="0,0,0,0">
            <w:txbxContent>
              <w:p>
                <w:pPr>
                  <w:pStyle w:val="BodyText"/>
                  <w:spacing w:line="214" w:lineRule="exact"/>
                  <w:ind w:left="20" w:right="0"/>
                  <w:jc w:val="left"/>
                </w:pPr>
                <w:r>
                  <w:rPr/>
                  <w:t>神州数码集团股份有限公司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466008"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44.220001pt;margin-top:42.865608pt;width:195.5pt;height:11.5pt;mso-position-horizontal-relative:page;mso-position-vertical-relative:page;z-index:-1465984" type="#_x0000_t202" filled="false" stroked="false">
          <v:textbox inset="0,0,0,0">
            <w:txbxContent>
              <w:p>
                <w:pPr>
                  <w:pStyle w:val="BodyText"/>
                  <w:spacing w:line="214" w:lineRule="exact"/>
                  <w:ind w:left="20" w:right="0"/>
                  <w:jc w:val="left"/>
                </w:pPr>
                <w:r>
                  <w:rPr/>
                  <w:t>神州数码集团股份有限公司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520020pt;margin-top:42.865631pt;width:195.5pt;height:11.5pt;mso-position-horizontal-relative:page;mso-position-vertical-relative:page;z-index:-1465816" type="#_x0000_t202" filled="false" stroked="false">
          <v:textbox inset="0,0,0,0">
            <w:txbxContent>
              <w:p>
                <w:pPr>
                  <w:pStyle w:val="BodyText"/>
                  <w:spacing w:line="214" w:lineRule="exact"/>
                  <w:ind w:left="20" w:right="0"/>
                  <w:jc w:val="left"/>
                </w:pPr>
                <w:r>
                  <w:rPr/>
                  <w:t>神州数码集团股份有限公司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465744"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44.220001pt;margin-top:42.865608pt;width:195.5pt;height:11.5pt;mso-position-horizontal-relative:page;mso-position-vertical-relative:page;z-index:-1465720" type="#_x0000_t202" filled="false" stroked="false">
          <v:textbox inset="0,0,0,0">
            <w:txbxContent>
              <w:p>
                <w:pPr>
                  <w:pStyle w:val="BodyText"/>
                  <w:spacing w:line="214" w:lineRule="exact"/>
                  <w:ind w:left="20" w:right="0"/>
                  <w:jc w:val="left"/>
                </w:pPr>
                <w:r>
                  <w:rPr/>
                  <w:t>神州数码集团股份有限公司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4"/>
    </w:pPr>
    <w:rPr>
      <w:rFonts w:ascii="宋体" w:hAnsi="宋体" w:eastAsia="宋体"/>
      <w:b/>
      <w:bCs/>
      <w:sz w:val="24"/>
      <w:szCs w:val="24"/>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3751"/>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ind w:left="154"/>
      <w:outlineLvl w:val="4"/>
    </w:pPr>
    <w:rPr>
      <w:rFonts w:ascii="宋体" w:hAnsi="宋体" w:eastAsia="宋体"/>
      <w:b/>
      <w:bCs/>
      <w:sz w:val="20"/>
      <w:szCs w:val="20"/>
    </w:rPr>
  </w:style>
  <w:style w:styleId="Heading5" w:type="paragraph">
    <w:name w:val="Heading 5"/>
    <w:basedOn w:val="Normal"/>
    <w:uiPriority w:val="1"/>
    <w:qFormat/>
    <w:pPr>
      <w:spacing w:before="44"/>
      <w:ind w:left="154"/>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hyperlink" Target="http://www.cninfo.com.cn/" TargetMode="External"/><Relationship Id="rId10" Type="http://schemas.openxmlformats.org/officeDocument/2006/relationships/hyperlink" Target="http://www.digitalchina.com/" TargetMode="External"/><Relationship Id="rId11" Type="http://schemas.openxmlformats.org/officeDocument/2006/relationships/hyperlink" Target="mailto:dcg-ir@digitalchina.com" TargetMode="Externa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image" Target="media/image1.jpeg"/><Relationship Id="rId15" Type="http://schemas.openxmlformats.org/officeDocument/2006/relationships/footer" Target="footer4.xml"/><Relationship Id="rId16" Type="http://schemas.openxmlformats.org/officeDocument/2006/relationships/image" Target="media/image3.jpeg"/><Relationship Id="rId17" Type="http://schemas.openxmlformats.org/officeDocument/2006/relationships/image" Target="media/image4.png"/><Relationship Id="rId18" Type="http://schemas.openxmlformats.org/officeDocument/2006/relationships/footer" Target="footer5.xml"/><Relationship Id="rId19" Type="http://schemas.openxmlformats.org/officeDocument/2006/relationships/header" Target="header3.xml"/><Relationship Id="rId20" Type="http://schemas.openxmlformats.org/officeDocument/2006/relationships/footer" Target="footer6.xml"/><Relationship Id="rId21" Type="http://schemas.openxmlformats.org/officeDocument/2006/relationships/header" Target="header4.xml"/><Relationship Id="rId22" Type="http://schemas.openxmlformats.org/officeDocument/2006/relationships/footer" Target="footer7.xml"/><Relationship Id="rId23" Type="http://schemas.openxmlformats.org/officeDocument/2006/relationships/header" Target="header5.xml"/><Relationship Id="rId24" Type="http://schemas.openxmlformats.org/officeDocument/2006/relationships/footer" Target="footer8.xml"/><Relationship Id="rId25" Type="http://schemas.openxmlformats.org/officeDocument/2006/relationships/header" Target="header6.xml"/><Relationship Id="rId26" Type="http://schemas.openxmlformats.org/officeDocument/2006/relationships/footer" Target="footer9.xml"/><Relationship Id="rId27" Type="http://schemas.openxmlformats.org/officeDocument/2006/relationships/image" Target="media/image5.png"/><Relationship Id="rId28" Type="http://schemas.openxmlformats.org/officeDocument/2006/relationships/footer" Target="footer10.xml"/><Relationship Id="rId29" Type="http://schemas.openxmlformats.org/officeDocument/2006/relationships/footer" Target="footer11.xml"/><Relationship Id="rId30" Type="http://schemas.openxmlformats.org/officeDocument/2006/relationships/header" Target="header7.xml"/><Relationship Id="rId31" Type="http://schemas.openxmlformats.org/officeDocument/2006/relationships/footer" Target="footer12.xml"/><Relationship Id="rId32" Type="http://schemas.openxmlformats.org/officeDocument/2006/relationships/header" Target="header8.xml"/><Relationship Id="rId33" Type="http://schemas.openxmlformats.org/officeDocument/2006/relationships/footer" Target="footer13.xml"/><Relationship Id="rId34" Type="http://schemas.openxmlformats.org/officeDocument/2006/relationships/header" Target="header9.xml"/><Relationship Id="rId35" Type="http://schemas.openxmlformats.org/officeDocument/2006/relationships/footer" Target="footer14.xml"/><Relationship Id="rId36" Type="http://schemas.openxmlformats.org/officeDocument/2006/relationships/footer" Target="footer15.xml"/><Relationship Id="rId37" Type="http://schemas.openxmlformats.org/officeDocument/2006/relationships/header" Target="header10.xml"/><Relationship Id="rId38" Type="http://schemas.openxmlformats.org/officeDocument/2006/relationships/footer" Target="footer16.xml"/><Relationship Id="rId39" Type="http://schemas.openxmlformats.org/officeDocument/2006/relationships/header" Target="header11.xml"/><Relationship Id="rId40" Type="http://schemas.openxmlformats.org/officeDocument/2006/relationships/footer" Target="footer17.xml"/><Relationship Id="rId41" Type="http://schemas.openxmlformats.org/officeDocument/2006/relationships/footer" Target="footer18.xml"/><Relationship Id="rId42" Type="http://schemas.openxmlformats.org/officeDocument/2006/relationships/footer" Target="footer19.xml"/><Relationship Id="rId43" Type="http://schemas.openxmlformats.org/officeDocument/2006/relationships/footer" Target="footer20.xml"/><Relationship Id="rId44" Type="http://schemas.openxmlformats.org/officeDocument/2006/relationships/footer" Target="footer2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16.xml.rels><?xml version="1.0" encoding="UTF-8" standalone="yes"?>
<Relationships xmlns="http://schemas.openxmlformats.org/package/2006/relationships"><Relationship Id="rId1" Type="http://schemas.openxmlformats.org/officeDocument/2006/relationships/image" Target="media/image1.jpeg"/></Relationships>

</file>

<file path=word/_rels/footer17.xml.rels><?xml version="1.0" encoding="UTF-8" standalone="yes"?>
<Relationships xmlns="http://schemas.openxmlformats.org/package/2006/relationships"><Relationship Id="rId1" Type="http://schemas.openxmlformats.org/officeDocument/2006/relationships/image" Target="media/image1.jpeg"/></Relationships>

</file>

<file path=word/_rels/footer18.xml.rels><?xml version="1.0" encoding="UTF-8" standalone="yes"?>
<Relationships xmlns="http://schemas.openxmlformats.org/package/2006/relationships"><Relationship Id="rId1" Type="http://schemas.openxmlformats.org/officeDocument/2006/relationships/image" Target="media/image1.jpeg"/></Relationships>

</file>

<file path=word/_rels/footer19.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20.xml.rels><?xml version="1.0" encoding="UTF-8" standalone="yes"?>
<Relationships xmlns="http://schemas.openxmlformats.org/package/2006/relationships"><Relationship Id="rId1" Type="http://schemas.openxmlformats.org/officeDocument/2006/relationships/image" Target="media/image1.jpeg"/></Relationships>

</file>

<file path=word/_rels/footer21.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神州数码集团股份有限公司</dc:creator>
  <dc:title>神州数码集团股份有限公司2018年年度报告全文</dc:title>
  <dcterms:created xsi:type="dcterms:W3CDTF">2020-05-04T19:57:39Z</dcterms:created>
  <dcterms:modified xsi:type="dcterms:W3CDTF">2020-05-04T19:57:39Z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2019-03-26T00:00:00Z</vt:filetime>
  </property>
  <property fmtid="{D5CDD505-2E9C-101B-9397-08002B2CF9AE}" pid="3" name="Creator">
    <vt:lpwstr>Microsoft® Office Word 2007</vt:lpwstr>
  </property>
  <property fmtid="{D5CDD505-2E9C-101B-9397-08002B2CF9AE}" pid="4" name="LastSaved">
    <vt:filetime>2020-05-04T00:00:00Z</vt:filetime>
  </property>
</Properties>
</file>