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170" w:lineRule="exact"/>
        <w:ind w:left="31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3199" cy="7429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413199"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084" w:right="3764" w:firstLine="0"/>
        <w:jc w:val="center"/>
        <w:rPr>
          <w:rFonts w:ascii="宋体" w:hAnsi="宋体" w:cs="宋体" w:eastAsia="宋体" w:hint="default"/>
          <w:sz w:val="36"/>
          <w:szCs w:val="36"/>
        </w:rPr>
      </w:pPr>
      <w:r>
        <w:rPr>
          <w:rFonts w:ascii="宋体" w:hAnsi="宋体" w:cs="宋体" w:eastAsia="宋体" w:hint="default"/>
          <w:b/>
          <w:bCs/>
          <w:sz w:val="36"/>
          <w:szCs w:val="36"/>
        </w:rPr>
        <w:t>神州数码集团股份有限公司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803" w:right="0"/>
        <w:jc w:val="left"/>
        <w:rPr>
          <w:b w:val="0"/>
          <w:bCs w:val="0"/>
        </w:rPr>
      </w:pPr>
      <w:bookmarkStart w:name="第一节 重要提示、目录和释义"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公司负责人郭为、主管会计工作负责人辛昕及会计机构负责人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詹晓红声明：保证年度报告中财务报告的真实、准确、完整。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93" w:lineRule="auto" w:before="0"/>
        <w:ind w:left="152" w:right="1131" w:firstLine="562"/>
        <w:jc w:val="both"/>
        <w:rPr>
          <w:rFonts w:ascii="宋体" w:hAnsi="宋体" w:cs="宋体" w:eastAsia="宋体" w:hint="default"/>
          <w:sz w:val="28"/>
          <w:szCs w:val="28"/>
        </w:rPr>
      </w:pPr>
      <w:r>
        <w:rPr>
          <w:rFonts w:ascii="宋体" w:hAnsi="宋体" w:cs="宋体" w:eastAsia="宋体" w:hint="default"/>
          <w:b/>
          <w:bCs/>
          <w:spacing w:val="-8"/>
          <w:w w:val="100"/>
          <w:sz w:val="28"/>
          <w:szCs w:val="28"/>
        </w:rPr>
        <w:t>《证券时报》、《上海证券报》和巨潮资讯网（</w:t>
      </w:r>
      <w:hyperlink r:id="rId9">
        <w:r>
          <w:rPr>
            <w:rFonts w:ascii="Times New Roman" w:hAnsi="Times New Roman" w:cs="Times New Roman" w:eastAsia="Times New Roman" w:hint="default"/>
            <w:b/>
            <w:bCs/>
            <w:spacing w:val="-8"/>
            <w:w w:val="100"/>
            <w:sz w:val="28"/>
            <w:szCs w:val="28"/>
          </w:rPr>
          <w:t>www.cninfo.com.cn</w:t>
        </w:r>
      </w:hyperlink>
      <w:r>
        <w:rPr>
          <w:rFonts w:ascii="宋体" w:hAnsi="宋体" w:cs="宋体" w:eastAsia="宋体" w:hint="default"/>
          <w:b/>
          <w:bCs/>
          <w:spacing w:val="-8"/>
          <w:w w:val="100"/>
          <w:sz w:val="28"/>
          <w:szCs w:val="28"/>
        </w:rPr>
        <w:t>）为公司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信息披露指定媒体，公司所有信息均以上述指定媒体刊登的信息为准，本报告</w:t>
      </w:r>
      <w:r>
        <w:rPr>
          <w:rFonts w:ascii="宋体" w:hAnsi="宋体" w:cs="宋体" w:eastAsia="宋体" w:hint="default"/>
          <w:b/>
          <w:bCs/>
          <w:w w:val="99"/>
          <w:sz w:val="28"/>
          <w:szCs w:val="28"/>
        </w:rPr>
        <w:t> </w:t>
      </w:r>
      <w:r>
        <w:rPr>
          <w:rFonts w:ascii="宋体" w:hAnsi="宋体" w:cs="宋体" w:eastAsia="宋体" w:hint="default"/>
          <w:b/>
          <w:bCs/>
          <w:sz w:val="28"/>
          <w:szCs w:val="28"/>
        </w:rPr>
        <w:t>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
          <w:sz w:val="28"/>
          <w:szCs w:val="28"/>
        </w:rPr>
        <w:t>分析了公司未来可能面临的风险，敬请投资者查</w:t>
      </w:r>
      <w:r>
        <w:rPr>
          <w:rFonts w:ascii="宋体" w:hAnsi="宋体" w:cs="宋体" w:eastAsia="宋体" w:hint="default"/>
          <w:b/>
          <w:bCs/>
          <w:w w:val="99"/>
          <w:sz w:val="28"/>
          <w:szCs w:val="28"/>
        </w:rPr>
        <w:t> </w:t>
      </w:r>
      <w:r>
        <w:rPr>
          <w:rFonts w:ascii="宋体" w:hAnsi="宋体" w:cs="宋体" w:eastAsia="宋体" w:hint="default"/>
          <w:b/>
          <w:bCs/>
          <w:sz w:val="28"/>
          <w:szCs w:val="28"/>
        </w:rPr>
        <w:t>阅并注意投资风险。</w:t>
      </w:r>
      <w:r>
        <w:rPr>
          <w:rFonts w:ascii="宋体" w:hAnsi="宋体" w:cs="宋体" w:eastAsia="宋体" w:hint="default"/>
          <w:sz w:val="28"/>
          <w:szCs w:val="28"/>
        </w:rPr>
      </w:r>
    </w:p>
    <w:p>
      <w:pPr>
        <w:spacing w:before="179"/>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2019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日的总</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2"/>
          <w:w w:val="100"/>
          <w:sz w:val="28"/>
          <w:szCs w:val="28"/>
        </w:rPr>
        <w:t>6</w:t>
      </w:r>
      <w:r>
        <w:rPr>
          <w:rFonts w:ascii="Times New Roman" w:hAnsi="Times New Roman" w:cs="Times New Roman" w:eastAsia="Times New Roman" w:hint="default"/>
          <w:b/>
          <w:bCs/>
          <w:w w:val="100"/>
          <w:sz w:val="28"/>
          <w:szCs w:val="28"/>
        </w:rPr>
        <w:t>54</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70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股扣除</w:t>
      </w:r>
      <w:r>
        <w:rPr>
          <w:rFonts w:ascii="宋体" w:hAnsi="宋体" w:cs="宋体" w:eastAsia="宋体" w:hint="default"/>
          <w:b/>
          <w:bCs/>
          <w:spacing w:val="2"/>
          <w:w w:val="99"/>
          <w:sz w:val="28"/>
          <w:szCs w:val="28"/>
        </w:rPr>
        <w:t>回</w:t>
      </w:r>
      <w:r>
        <w:rPr>
          <w:rFonts w:ascii="宋体" w:hAnsi="宋体" w:cs="宋体" w:eastAsia="宋体" w:hint="default"/>
          <w:b/>
          <w:bCs/>
          <w:w w:val="99"/>
          <w:sz w:val="28"/>
          <w:szCs w:val="28"/>
        </w:rPr>
        <w:t>购专用账户</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w w:val="100"/>
          <w:sz w:val="28"/>
          <w:szCs w:val="28"/>
        </w:rPr>
        <w:t>4</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08</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股后的</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pacing w:val="-2"/>
          <w:w w:val="100"/>
          <w:sz w:val="28"/>
          <w:szCs w:val="28"/>
        </w:rPr>
        <w:t>34</w:t>
      </w:r>
      <w:r>
        <w:rPr>
          <w:rFonts w:ascii="Times New Roman" w:hAnsi="Times New Roman" w:cs="Times New Roman" w:eastAsia="Times New Roman" w:hint="default"/>
          <w:b/>
          <w:bCs/>
          <w:w w:val="100"/>
          <w:sz w:val="28"/>
          <w:szCs w:val="28"/>
        </w:rPr>
        <w:t>9</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116"/>
          <w:w w:val="99"/>
          <w:sz w:val="28"/>
          <w:szCs w:val="28"/>
        </w:rPr>
        <w:t>，</w:t>
      </w:r>
      <w:r>
        <w:rPr>
          <w:rFonts w:ascii="宋体" w:hAnsi="宋体" w:cs="宋体" w:eastAsia="宋体" w:hint="default"/>
          <w:b/>
          <w:bCs/>
          <w:w w:val="99"/>
          <w:sz w:val="28"/>
          <w:szCs w:val="28"/>
        </w:rPr>
        <w:t>向</w:t>
      </w:r>
      <w:r>
        <w:rPr>
          <w:rFonts w:ascii="宋体" w:hAnsi="宋体" w:cs="宋体" w:eastAsia="宋体" w:hint="default"/>
          <w:sz w:val="28"/>
          <w:szCs w:val="28"/>
        </w:rPr>
      </w:r>
    </w:p>
    <w:p>
      <w:pPr>
        <w:spacing w:line="386" w:lineRule="auto" w:before="236"/>
        <w:ind w:left="152" w:right="1127"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100"/>
          <w:sz w:val="28"/>
          <w:szCs w:val="28"/>
        </w:rPr>
        <w:t>2.10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headerReference w:type="default" r:id="rId7"/>
          <w:footerReference w:type="default" r:id="rId8"/>
          <w:pgSz w:w="11910" w:h="16840"/>
          <w:pgMar w:header="877" w:footer="980"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3749" w:right="47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66"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15"/>
              </w:rPr>
              <w:t>111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264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980" w:top="1100" w:bottom="1160" w:left="980" w:right="0"/>
        </w:sectPr>
      </w:pPr>
    </w:p>
    <w:p>
      <w:pPr>
        <w:spacing w:before="894"/>
        <w:ind w:left="3749" w:right="472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公司、本公司、神州数码</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神州数码集团股份有限公司及其下属子公司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神州数码控股有限公司，一家注册于百慕大并于香港上市的公司，股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票代码为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0861.HK</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神州数码信息服务股份有限公司，股票代码为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SZ.000555</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神州控股下属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分销业务公司</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年上市公司实施重大资产重组所收购的神州数码控股有限公司 </w:t>
            </w:r>
            <w:r>
              <w:rPr>
                <w:rFonts w:ascii="宋体" w:hAnsi="宋体" w:cs="宋体" w:eastAsia="宋体" w:hint="default"/>
                <w:spacing w:val="-3"/>
                <w:sz w:val="18"/>
                <w:szCs w:val="18"/>
              </w:rPr>
              <w:t>下属公司，主要包括神码中国</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股权，神码上海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股权和神码 广州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标的资产核心管理团队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分销业务的高级管理人员</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北京神州数码供应链服务有限公司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神码郑州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神州数码（郑州）有限公司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神码沈阳</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沈阳神州数码有限公司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南京神州数码有限公司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神码济南</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济南神州数码有限公司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神码杭州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神码西安</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神码福州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神码成都</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成都神州数码有限公司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神码电商</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北京神州数码电商科技有限公司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上海通信技术</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上海神州数码通信技术有限公司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北京网络公司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42"/>
        <w:gridCol w:w="593"/>
        <w:gridCol w:w="5436"/>
      </w:tblGrid>
      <w:tr>
        <w:trPr>
          <w:trHeight w:val="401" w:hRule="exact"/>
        </w:trPr>
        <w:tc>
          <w:tcPr>
            <w:tcW w:w="3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神州云计算</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贵州云计算</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云科网络</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武汉神州数码云科网络技术有限公司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神州数码科技发展有限公司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系统信息香港</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神码科技</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r>
      <w:tr>
        <w:trPr>
          <w:trHeight w:val="404"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神码网络香港</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神州数码网络（香港）有限公司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DCMS</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Digital China Marketing &amp; Services</w:t>
            </w:r>
            <w:r>
              <w:rPr>
                <w:rFonts w:ascii="Times New Roman"/>
                <w:spacing w:val="-16"/>
                <w:sz w:val="18"/>
              </w:rPr>
              <w:t> </w:t>
            </w:r>
            <w:r>
              <w:rPr>
                <w:rFonts w:ascii="Times New Roman"/>
                <w:sz w:val="18"/>
              </w:rPr>
              <w:t>Ltd</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神码有限</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嘉和美康</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嘉和美康（北京）科技股份有限公司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迪信通</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中信建投基金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中信建投基金管理有限公司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济南趣云</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济南趣云信息技术有限公司</w:t>
            </w:r>
          </w:p>
        </w:tc>
      </w:tr>
      <w:tr>
        <w:trPr>
          <w:trHeight w:val="401"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厦门市政府</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厦门市人民政府</w:t>
            </w:r>
          </w:p>
        </w:tc>
      </w:tr>
      <w:tr>
        <w:trPr>
          <w:trHeight w:val="403" w:hRule="exact"/>
        </w:trPr>
        <w:tc>
          <w:tcPr>
            <w:tcW w:w="35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信创业务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信息技术应用创新业务</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000034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神州数码</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Digital China Group</w:t>
            </w:r>
            <w:r>
              <w:rPr>
                <w:rFonts w:ascii="Times New Roman"/>
                <w:spacing w:val="-10"/>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3"/>
                <w:sz w:val="18"/>
              </w:rPr>
              <w:t> </w:t>
            </w:r>
            <w:r>
              <w:rPr>
                <w:rFonts w:ascii="Times New Roman"/>
                <w:sz w:val="18"/>
              </w:rPr>
              <w:t>China</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深圳市南山区粤海街道科发路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号金融基地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www.digitalchina.com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813"/>
        <w:gridCol w:w="3414"/>
        <w:gridCol w:w="3332"/>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孙丹梅</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010-82705411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010-82705411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010-82705651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010-82705651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dcg-ir@digitalchina.com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北京市海淀区上地九街九号数码科技广场神州数码集团股份有限公司 证券部</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13"/>
        <w:rPr>
          <w:rFonts w:ascii="宋体" w:hAnsi="宋体" w:cs="宋体" w:eastAsia="宋体" w:hint="default"/>
          <w:b/>
          <w:bCs/>
          <w:sz w:val="26"/>
          <w:szCs w:val="26"/>
        </w:rPr>
      </w:pPr>
    </w:p>
    <w:p>
      <w:pPr>
        <w:pStyle w:val="BodyText"/>
        <w:tabs>
          <w:tab w:pos="2308" w:val="left" w:leader="none"/>
        </w:tabs>
        <w:spacing w:line="240" w:lineRule="auto" w:before="44"/>
        <w:ind w:left="181" w:right="0"/>
        <w:jc w:val="left"/>
        <w:rPr>
          <w:rFonts w:ascii="Times New Roman" w:hAnsi="Times New Roman" w:cs="Times New Roman" w:eastAsia="Times New Roman" w:hint="default"/>
        </w:rPr>
      </w:pPr>
      <w:r>
        <w:rPr/>
        <w:pict>
          <v:group style="position:absolute;margin-left:56.400002pt;margin-top:-.968291pt;width:479.05pt;height:574.550pt;mso-position-horizontal-relative:page;mso-position-vertical-relative:paragraph;z-index:-1666000" coordorigin="1128,-19" coordsize="9581,11491">
            <v:group style="position:absolute;left:1151;top:-5;width:2;height:392" coordorigin="1151,-5" coordsize="2,392">
              <v:shape style="position:absolute;left:1151;top:-5;width:2;height:392" coordorigin="1151,-5" coordsize="0,392" path="m1151,-5l1151,386e" filled="false" stroked="true" strokeweight="1.08pt" strokecolor="#d2d2d2">
                <v:path arrowok="t"/>
              </v:shape>
            </v:group>
            <v:group style="position:absolute;left:3245;top:-5;width:2;height:392" coordorigin="3245,-5" coordsize="2,392">
              <v:shape style="position:absolute;left:3245;top:-5;width:2;height:392" coordorigin="3245,-5" coordsize="0,392" path="m3245,-5l3245,386e" filled="false" stroked="true" strokeweight="1.2pt" strokecolor="#d2d2d2">
                <v:path arrowok="t"/>
              </v:shape>
            </v:group>
            <v:group style="position:absolute;left:1162;top:-5;width:2072;height:392" coordorigin="1162,-5" coordsize="2072,392">
              <v:shape style="position:absolute;left:1162;top:-5;width:2072;height:392" coordorigin="1162,-5" coordsize="2072,392" path="m1162,386l3233,386,3233,-5,1162,-5,1162,386xe" filled="true" fillcolor="#d2d2d2" stroked="false">
                <v:path arrowok="t"/>
                <v:fill type="solid"/>
              </v:shape>
            </v:group>
            <v:group style="position:absolute;left:1138;top:-10;width:2118;height:2" coordorigin="1138,-10" coordsize="2118,2">
              <v:shape style="position:absolute;left:1138;top:-10;width:2118;height:2" coordorigin="1138,-10" coordsize="2118,0" path="m1138,-10l3255,-10e" filled="false" stroked="true" strokeweight=".48pt" strokecolor="#000000">
                <v:path arrowok="t"/>
              </v:shape>
            </v:group>
            <v:group style="position:absolute;left:3264;top:-10;width:7435;height:2" coordorigin="3264,-10" coordsize="7435,2">
              <v:shape style="position:absolute;left:3264;top:-10;width:7435;height:2" coordorigin="3264,-10" coordsize="7435,0" path="m3264,-10l10699,-10e" filled="false" stroked="true" strokeweight=".48pt" strokecolor="#000000">
                <v:path arrowok="t"/>
              </v:shape>
            </v:group>
            <v:group style="position:absolute;left:1140;top:396;width:2118;height:4626" coordorigin="1140,396" coordsize="2118,4626">
              <v:shape style="position:absolute;left:1140;top:396;width:2118;height:4626" coordorigin="1140,396" coordsize="2118,4626" path="m1140,5021l3257,5021,3257,396,1140,396,1140,5021xe" filled="true" fillcolor="#d2d2d2" stroked="false">
                <v:path arrowok="t"/>
                <v:fill type="solid"/>
              </v:shape>
            </v:group>
            <v:group style="position:absolute;left:1151;top:5021;width:2;height:704" coordorigin="1151,5021" coordsize="2,704">
              <v:shape style="position:absolute;left:1151;top:5021;width:2;height:704" coordorigin="1151,5021" coordsize="0,704" path="m1151,5021l1151,5724e" filled="false" stroked="true" strokeweight="1.08pt" strokecolor="#d2d2d2">
                <v:path arrowok="t"/>
              </v:shape>
            </v:group>
            <v:group style="position:absolute;left:3245;top:5021;width:2;height:704" coordorigin="3245,5021" coordsize="2,704">
              <v:shape style="position:absolute;left:3245;top:5021;width:2;height:704" coordorigin="3245,5021" coordsize="0,704" path="m3245,5021l3245,5724e" filled="false" stroked="true" strokeweight="1.2pt" strokecolor="#d2d2d2">
                <v:path arrowok="t"/>
              </v:shape>
            </v:group>
            <v:group style="position:absolute;left:1140;top:5724;width:2118;height:4626" coordorigin="1140,5724" coordsize="2118,4626">
              <v:shape style="position:absolute;left:1140;top:5724;width:2118;height:4626" coordorigin="1140,5724" coordsize="2118,4626" path="m1140,10350l3257,10350,3257,5724,1140,5724,1140,10350xe" filled="true" fillcolor="#d2d2d2" stroked="false">
                <v:path arrowok="t"/>
                <v:fill type="solid"/>
              </v:shape>
            </v:group>
            <v:group style="position:absolute;left:1162;top:5021;width:2072;height:353" coordorigin="1162,5021" coordsize="2072,353">
              <v:shape style="position:absolute;left:1162;top:5021;width:2072;height:353" coordorigin="1162,5021" coordsize="2072,353" path="m1162,5374l3233,5374,3233,5021,1162,5021,1162,5374xe" filled="true" fillcolor="#d2d2d2" stroked="false">
                <v:path arrowok="t"/>
                <v:fill type="solid"/>
              </v:shape>
            </v:group>
            <v:group style="position:absolute;left:1162;top:5374;width:2072;height:351" coordorigin="1162,5374" coordsize="2072,351">
              <v:shape style="position:absolute;left:1162;top:5374;width:2072;height:351" coordorigin="1162,5374" coordsize="2072,351" path="m1162,5724l3233,5724,3233,5374,1162,5374,1162,5724xe" filled="true" fillcolor="#d2d2d2" stroked="false">
                <v:path arrowok="t"/>
                <v:fill type="solid"/>
              </v:shape>
            </v:group>
            <v:group style="position:absolute;left:1138;top:391;width:2118;height:2" coordorigin="1138,391" coordsize="2118,2">
              <v:shape style="position:absolute;left:1138;top:391;width:2118;height:2" coordorigin="1138,391" coordsize="2118,0" path="m1138,391l3255,391e" filled="false" stroked="true" strokeweight=".48pt" strokecolor="#000000">
                <v:path arrowok="t"/>
              </v:shape>
            </v:group>
            <v:group style="position:absolute;left:3264;top:391;width:7435;height:2" coordorigin="3264,391" coordsize="7435,2">
              <v:shape style="position:absolute;left:3264;top:391;width:7435;height:2" coordorigin="3264,391" coordsize="7435,0" path="m3264,391l10699,391e" filled="false" stroked="true" strokeweight=".48pt" strokecolor="#000000">
                <v:path arrowok="t"/>
              </v:shape>
            </v:group>
            <v:group style="position:absolute;left:1140;top:10359;width:2118;height:354" coordorigin="1140,10359" coordsize="2118,354">
              <v:shape style="position:absolute;left:1140;top:10359;width:2118;height:354" coordorigin="1140,10359" coordsize="2118,354" path="m1140,10713l3257,10713,3257,10359,1140,10359,1140,10713xe" filled="true" fillcolor="#d2d2d2" stroked="false">
                <v:path arrowok="t"/>
                <v:fill type="solid"/>
              </v:shape>
            </v:group>
            <v:group style="position:absolute;left:1151;top:10713;width:2;height:392" coordorigin="1151,10713" coordsize="2,392">
              <v:shape style="position:absolute;left:1151;top:10713;width:2;height:392" coordorigin="1151,10713" coordsize="0,392" path="m1151,10713l1151,11104e" filled="false" stroked="true" strokeweight="1.08pt" strokecolor="#d2d2d2">
                <v:path arrowok="t"/>
              </v:shape>
            </v:group>
            <v:group style="position:absolute;left:3245;top:10713;width:2;height:392" coordorigin="3245,10713" coordsize="2,392">
              <v:shape style="position:absolute;left:3245;top:10713;width:2;height:392" coordorigin="3245,10713" coordsize="0,392" path="m3245,10713l3245,11104e" filled="false" stroked="true" strokeweight="1.2pt" strokecolor="#d2d2d2">
                <v:path arrowok="t"/>
              </v:shape>
            </v:group>
            <v:group style="position:absolute;left:1140;top:11104;width:2118;height:353" coordorigin="1140,11104" coordsize="2118,353">
              <v:shape style="position:absolute;left:1140;top:11104;width:2118;height:353" coordorigin="1140,11104" coordsize="2118,353" path="m1140,11457l3257,11457,3257,11104,1140,11104,1140,11457xe" filled="true" fillcolor="#d2d2d2" stroked="false">
                <v:path arrowok="t"/>
                <v:fill type="solid"/>
              </v:shape>
            </v:group>
            <v:group style="position:absolute;left:1162;top:10713;width:2072;height:392" coordorigin="1162,10713" coordsize="2072,392">
              <v:shape style="position:absolute;left:1162;top:10713;width:2072;height:392" coordorigin="1162,10713" coordsize="2072,392" path="m1162,11104l3233,11104,3233,10713,1162,10713,1162,11104xe" filled="true" fillcolor="#d2d2d2" stroked="false">
                <v:path arrowok="t"/>
                <v:fill type="solid"/>
              </v:shape>
            </v:group>
            <v:group style="position:absolute;left:1138;top:10354;width:2118;height:2" coordorigin="1138,10354" coordsize="2118,2">
              <v:shape style="position:absolute;left:1138;top:10354;width:2118;height:2" coordorigin="1138,10354" coordsize="2118,0" path="m1138,10354l3255,10354e" filled="false" stroked="true" strokeweight=".47998pt" strokecolor="#000000">
                <v:path arrowok="t"/>
              </v:shape>
            </v:group>
            <v:group style="position:absolute;left:3264;top:10354;width:7435;height:2" coordorigin="3264,10354" coordsize="7435,2">
              <v:shape style="position:absolute;left:3264;top:10354;width:7435;height:2" coordorigin="3264,10354" coordsize="7435,0" path="m3264,10354l10699,10354e" filled="false" stroked="true" strokeweight=".47998pt" strokecolor="#000000">
                <v:path arrowok="t"/>
              </v:shape>
            </v:group>
            <v:group style="position:absolute;left:1133;top:-15;width:2;height:11481" coordorigin="1133,-15" coordsize="2,11481">
              <v:shape style="position:absolute;left:1133;top:-15;width:2;height:11481" coordorigin="1133,-15" coordsize="0,11481" path="m1133,-15l1133,11466e" filled="false" stroked="true" strokeweight=".48pt" strokecolor="#000000">
                <v:path arrowok="t"/>
              </v:shape>
            </v:group>
            <v:group style="position:absolute;left:1138;top:11461;width:2118;height:2" coordorigin="1138,11461" coordsize="2118,2">
              <v:shape style="position:absolute;left:1138;top:11461;width:2118;height:2" coordorigin="1138,11461" coordsize="2118,0" path="m1138,11461l3255,11461e" filled="false" stroked="true" strokeweight=".47998pt" strokecolor="#000000">
                <v:path arrowok="t"/>
              </v:shape>
            </v:group>
            <v:group style="position:absolute;left:3260;top:-15;width:2;height:11481" coordorigin="3260,-15" coordsize="2,11481">
              <v:shape style="position:absolute;left:3260;top:-15;width:2;height:11481" coordorigin="3260,-15" coordsize="0,11481" path="m3260,-15l3260,11466e" filled="false" stroked="true" strokeweight=".48pt" strokecolor="#000000">
                <v:path arrowok="t"/>
              </v:shape>
            </v:group>
            <v:group style="position:absolute;left:3264;top:11461;width:7435;height:2" coordorigin="3264,11461" coordsize="7435,2">
              <v:shape style="position:absolute;left:3264;top:11461;width:7435;height:2" coordorigin="3264,11461" coordsize="7435,0" path="m3264,11461l10699,11461e" filled="false" stroked="true" strokeweight=".47998pt" strokecolor="#000000">
                <v:path arrowok="t"/>
              </v:shape>
            </v:group>
            <v:group style="position:absolute;left:10704;top:-15;width:2;height:11481" coordorigin="10704,-15" coordsize="2,11481">
              <v:shape style="position:absolute;left:10704;top:-15;width:2;height:11481" coordorigin="10704,-15" coordsize="0,11481" path="m10704,-15l10704,11466e" filled="false" stroked="true" strokeweight=".47998pt" strokecolor="#000000">
                <v:path arrowok="t"/>
              </v:shape>
            </v:group>
            <w10:wrap type="none"/>
          </v:group>
        </w:pict>
      </w:r>
      <w:r>
        <w:rPr/>
        <w:t>组织机构代码</w:t>
        <w:tab/>
      </w:r>
      <w:r>
        <w:rPr>
          <w:rFonts w:ascii="Times New Roman" w:hAnsi="Times New Roman" w:cs="Times New Roman" w:eastAsia="Times New Roman" w:hint="default"/>
        </w:rPr>
        <w:t>9144030019218259X7</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16"/>
        <w:ind w:left="181" w:right="-20"/>
        <w:jc w:val="left"/>
      </w:pPr>
      <w:r>
        <w:rPr/>
        <w:t>公司上市以来主营业务的 变化情况</w:t>
      </w:r>
    </w:p>
    <w:p>
      <w:pPr>
        <w:pStyle w:val="BodyText"/>
        <w:spacing w:line="240" w:lineRule="auto" w:before="44"/>
        <w:ind w:left="106" w:right="0"/>
        <w:jc w:val="left"/>
      </w:pPr>
      <w:r>
        <w:rPr/>
        <w:br w:type="column"/>
      </w:r>
      <w:r>
        <w:rPr/>
        <w:t>公司工商登记注册关于经营范围的变更情况为：</w:t>
      </w:r>
    </w:p>
    <w:p>
      <w:pPr>
        <w:pStyle w:val="BodyText"/>
        <w:spacing w:line="240" w:lineRule="auto" w:before="117"/>
        <w:ind w:left="106"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1982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月，经营范围为：食用动物，肉类加工，饲料。畜用药，畜禽医疗器械。</w:t>
      </w:r>
      <w:r>
        <w:rPr>
          <w:rFonts w:ascii="Times New Roman" w:hAnsi="Times New Roman" w:cs="Times New Roman" w:eastAsia="Times New Roman" w:hint="default"/>
        </w:rPr>
        <w:t>1990</w:t>
      </w:r>
      <w:r>
        <w:rPr>
          <w:rFonts w:ascii="Times New Roman" w:hAnsi="Times New Roman" w:cs="Times New Roman" w:eastAsia="Times New Roman" w:hint="default"/>
          <w:spacing w:val="1"/>
        </w:rPr>
        <w:t> </w:t>
      </w:r>
      <w:r>
        <w:rPr/>
        <w:t>年</w:t>
      </w:r>
    </w:p>
    <w:p>
      <w:pPr>
        <w:pStyle w:val="BodyText"/>
        <w:spacing w:line="240" w:lineRule="auto" w:before="63"/>
        <w:ind w:left="106"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日，经营范围变更为：食用动物，肉类加工，饲料，果树种植。畜用药，畜禽医疗器械。</w:t>
      </w:r>
    </w:p>
    <w:p>
      <w:pPr>
        <w:pStyle w:val="BodyText"/>
        <w:spacing w:line="240" w:lineRule="auto" w:before="101"/>
        <w:ind w:left="106"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日，经营范围变更为：经营国内商业、物资供销业（不含专营、专卖、专控</w:t>
      </w:r>
    </w:p>
    <w:p>
      <w:pPr>
        <w:pStyle w:val="BodyText"/>
        <w:spacing w:line="300" w:lineRule="auto" w:before="63"/>
        <w:ind w:left="106" w:right="1224"/>
        <w:jc w:val="left"/>
      </w:pPr>
      <w:r>
        <w:rPr>
          <w:spacing w:val="-7"/>
        </w:rPr>
        <w:t>商品）；进出口业务按深贸管审证字</w:t>
      </w:r>
      <w:r>
        <w:rPr>
          <w:spacing w:val="-33"/>
        </w:rPr>
        <w:t> </w:t>
      </w:r>
      <w:r>
        <w:rPr>
          <w:rFonts w:ascii="Times New Roman" w:hAnsi="Times New Roman" w:cs="Times New Roman" w:eastAsia="Times New Roman" w:hint="default"/>
          <w:spacing w:val="-1"/>
        </w:rPr>
        <w:t>056</w:t>
      </w:r>
      <w:r>
        <w:rPr>
          <w:rFonts w:ascii="Times New Roman" w:hAnsi="Times New Roman" w:cs="Times New Roman" w:eastAsia="Times New Roman" w:hint="default"/>
          <w:spacing w:val="13"/>
        </w:rPr>
        <w:t> </w:t>
      </w:r>
      <w:r>
        <w:rPr>
          <w:spacing w:val="-4"/>
        </w:rPr>
        <w:t>号文办理；食用动物、肉类加工，饲料，果树种植。畜</w:t>
      </w:r>
      <w:r>
        <w:rPr>
          <w:spacing w:val="-87"/>
        </w:rPr>
        <w:t> </w:t>
      </w:r>
      <w:r>
        <w:rPr>
          <w:spacing w:val="-87"/>
        </w:rPr>
      </w:r>
      <w:r>
        <w:rPr/>
        <w:t>用药，畜禽医疗器械。</w:t>
      </w:r>
    </w:p>
    <w:p>
      <w:pPr>
        <w:pStyle w:val="BodyText"/>
        <w:spacing w:line="240" w:lineRule="auto" w:before="72"/>
        <w:ind w:left="106" w:right="0"/>
        <w:jc w:val="left"/>
      </w:pPr>
      <w:r>
        <w:rPr>
          <w:rFonts w:ascii="Times New Roman" w:hAnsi="Times New Roman" w:cs="Times New Roman" w:eastAsia="Times New Roman" w:hint="default"/>
          <w:spacing w:val="1"/>
        </w:rPr>
        <w:t>3</w:t>
      </w:r>
      <w:r>
        <w:rPr>
          <w:spacing w:val="-20"/>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w:t>
      </w:r>
      <w:r>
        <w:rPr>
          <w:rFonts w:ascii="Times New Roman" w:hAnsi="Times New Roman" w:cs="Times New Roman" w:eastAsia="Times New Roman" w:hint="default"/>
        </w:rPr>
        <w:t>7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20"/>
        </w:rPr>
        <w:t>，</w:t>
      </w:r>
      <w:r>
        <w:rPr/>
        <w:t>经营范</w:t>
      </w:r>
      <w:r>
        <w:rPr>
          <w:spacing w:val="-3"/>
        </w:rPr>
        <w:t>围</w:t>
      </w:r>
      <w:r>
        <w:rPr/>
        <w:t>变更为</w:t>
      </w:r>
      <w:r>
        <w:rPr>
          <w:spacing w:val="-20"/>
        </w:rPr>
        <w:t>：</w:t>
      </w:r>
      <w:r>
        <w:rPr/>
        <w:t>国内商业</w:t>
      </w:r>
      <w:r>
        <w:rPr>
          <w:spacing w:val="-20"/>
        </w:rPr>
        <w:t>、</w:t>
      </w:r>
      <w:r>
        <w:rPr/>
        <w:t>物资供</w:t>
      </w:r>
      <w:r>
        <w:rPr>
          <w:spacing w:val="2"/>
        </w:rPr>
        <w:t>销</w:t>
      </w:r>
      <w:r>
        <w:rPr>
          <w:spacing w:val="-20"/>
        </w:rPr>
        <w:t>业</w:t>
      </w:r>
      <w:r>
        <w:rPr/>
        <w:t>（不含专营</w:t>
      </w:r>
      <w:r>
        <w:rPr>
          <w:spacing w:val="-20"/>
        </w:rPr>
        <w:t>、</w:t>
      </w:r>
      <w:r>
        <w:rPr/>
        <w:t>专控</w:t>
      </w:r>
      <w:r>
        <w:rPr>
          <w:spacing w:val="-20"/>
        </w:rPr>
        <w:t>、</w:t>
      </w:r>
      <w:r>
        <w:rPr/>
        <w:t>专卖</w:t>
      </w:r>
      <w:r>
        <w:rPr>
          <w:spacing w:val="2"/>
        </w:rPr>
        <w:t>商</w:t>
      </w:r>
      <w:r>
        <w:rPr/>
        <w:t>品</w:t>
      </w:r>
      <w:r>
        <w:rPr>
          <w:spacing w:val="-92"/>
        </w:rPr>
        <w:t>）</w:t>
      </w:r>
      <w:r>
        <w:rPr/>
        <w:t>。</w:t>
      </w:r>
    </w:p>
    <w:p>
      <w:pPr>
        <w:pStyle w:val="BodyText"/>
        <w:spacing w:line="240" w:lineRule="auto" w:before="63"/>
        <w:ind w:left="106" w:right="0"/>
        <w:jc w:val="left"/>
      </w:pPr>
      <w:r>
        <w:rPr/>
        <w:t>进出口业务（按深贸管审证字</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号文办理</w:t>
      </w:r>
      <w:r>
        <w:rPr>
          <w:spacing w:val="-92"/>
        </w:rPr>
        <w:t>）</w:t>
      </w:r>
      <w:r>
        <w:rPr/>
        <w:t>；食用动物、肉类加工、果树种植；畜用药。</w:t>
      </w:r>
    </w:p>
    <w:p>
      <w:pPr>
        <w:pStyle w:val="BodyText"/>
        <w:spacing w:line="314" w:lineRule="auto" w:before="104"/>
        <w:ind w:left="106" w:right="1127"/>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4 </w:t>
      </w:r>
      <w:r>
        <w:rPr/>
        <w:t>月</w:t>
      </w:r>
      <w:r>
        <w:rPr>
          <w:spacing w:val="-44"/>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 </w:t>
      </w:r>
      <w:r>
        <w:rPr>
          <w:spacing w:val="-4"/>
        </w:rPr>
        <w:t>日，经营范围变更为：（一）研究、开发计算机硬件及配套零件；网络产品、</w:t>
      </w:r>
      <w:r>
        <w:rPr/>
        <w:t> 多媒体产品、电子信息产品及通讯产品、办公自动化设备、仪器仪表、电器及印刷照排设备、</w:t>
      </w:r>
      <w:r>
        <w:rPr>
          <w:spacing w:val="-85"/>
        </w:rPr>
        <w:t> </w:t>
      </w:r>
      <w:r>
        <w:rPr>
          <w:spacing w:val="-85"/>
        </w:rPr>
      </w:r>
      <w:r>
        <w:rPr/>
        <w:t>计算机应用系统的安装和维修；自产产品的技术咨询、技术服务、技术转让；经营自产产品的</w:t>
      </w:r>
      <w:r>
        <w:rPr>
          <w:spacing w:val="-85"/>
        </w:rPr>
        <w:t> </w:t>
      </w:r>
      <w:r>
        <w:rPr>
          <w:spacing w:val="-85"/>
        </w:rPr>
      </w:r>
      <w:r>
        <w:rPr>
          <w:spacing w:val="-7"/>
        </w:rPr>
        <w:t>出口业务；代理销售计算机硬件、软件及外围设施；销售自产产品。（不涉及国营贸易管理商品；</w:t>
      </w:r>
      <w:r>
        <w:rPr>
          <w:spacing w:val="-56"/>
        </w:rPr>
        <w:t> </w:t>
      </w:r>
      <w:r>
        <w:rPr>
          <w:spacing w:val="-56"/>
        </w:rPr>
      </w:r>
      <w:r>
        <w:rPr/>
        <w:t>涉及配额、许可证管理商品的按国家有关规定办理申请手续）依法须经批准的项目，经相关部</w:t>
      </w:r>
      <w:r>
        <w:rPr>
          <w:spacing w:val="-85"/>
        </w:rPr>
        <w:t> </w:t>
      </w:r>
      <w:r>
        <w:rPr>
          <w:spacing w:val="-85"/>
        </w:rPr>
      </w:r>
      <w:r>
        <w:rPr>
          <w:spacing w:val="-5"/>
        </w:rPr>
        <w:t>门批准后依批准的内容开展经营活动。（二）国内商业、物资供销业（不含专营、专控、专卖商</w:t>
      </w:r>
      <w:r>
        <w:rPr>
          <w:spacing w:val="-59"/>
        </w:rPr>
        <w:t> </w:t>
      </w:r>
      <w:r>
        <w:rPr>
          <w:spacing w:val="-59"/>
        </w:rPr>
      </w:r>
      <w:r>
        <w:rPr>
          <w:spacing w:val="-8"/>
        </w:rPr>
        <w:t>品）、进出口业务（按深贸管审证字</w:t>
      </w:r>
      <w:r>
        <w:rPr/>
        <w:t> </w:t>
      </w:r>
      <w:r>
        <w:rPr>
          <w:rFonts w:ascii="Times New Roman" w:hAnsi="Times New Roman" w:cs="Times New Roman" w:eastAsia="Times New Roman" w:hint="default"/>
          <w:spacing w:val="-1"/>
        </w:rPr>
        <w:t>056</w:t>
      </w:r>
      <w:r>
        <w:rPr>
          <w:rFonts w:ascii="Times New Roman" w:hAnsi="Times New Roman" w:cs="Times New Roman" w:eastAsia="Times New Roman" w:hint="default"/>
          <w:spacing w:val="-8"/>
        </w:rPr>
        <w:t> </w:t>
      </w:r>
      <w:r>
        <w:rPr>
          <w:spacing w:val="-7"/>
        </w:rPr>
        <w:t>号文办理）、食用动物、肉类加工、果树种植、畜用药。</w:t>
      </w:r>
    </w:p>
    <w:p>
      <w:pPr>
        <w:pStyle w:val="BodyText"/>
        <w:spacing w:line="316" w:lineRule="auto" w:before="1"/>
        <w:ind w:left="106" w:right="0"/>
        <w:jc w:val="left"/>
      </w:pPr>
      <w:r>
        <w:rPr>
          <w:spacing w:val="-3"/>
        </w:rPr>
        <w:t>（三）开发、生产销售无绳电话机、多功能电话机、遥控器、电子智能学习机、电话注塑配件、</w:t>
      </w:r>
      <w:r>
        <w:rPr>
          <w:spacing w:val="-54"/>
        </w:rPr>
        <w:t> </w:t>
      </w:r>
      <w:r>
        <w:rPr>
          <w:spacing w:val="-54"/>
        </w:rPr>
      </w:r>
      <w:r>
        <w:rPr>
          <w:spacing w:val="-3"/>
        </w:rPr>
        <w:t>电视机塑胶配件；通信设备、电子、计算机配件的技术开发；进出口业务（按资格证书办理）；</w:t>
      </w:r>
      <w:r>
        <w:rPr>
          <w:spacing w:val="-56"/>
        </w:rPr>
        <w:t> </w:t>
      </w:r>
      <w:r>
        <w:rPr>
          <w:spacing w:val="-56"/>
        </w:rPr>
      </w:r>
      <w:r>
        <w:rPr>
          <w:spacing w:val="-5"/>
        </w:rPr>
        <w:t>计算机软件、信息技术、系统集成、办公自动化、综合布线技术的研发（不含限制项目）；生产</w:t>
      </w:r>
      <w:r>
        <w:rPr>
          <w:spacing w:val="-60"/>
        </w:rPr>
        <w:t> </w:t>
      </w:r>
      <w:r>
        <w:rPr>
          <w:spacing w:val="-60"/>
        </w:rPr>
      </w:r>
      <w:r>
        <w:rPr>
          <w:spacing w:val="-11"/>
        </w:rPr>
        <w:t>机电一体化产品。（四）购销饲料、农副产品、浓缩饲料添加剂（以上不含专营专卖、专控商品）；</w:t>
      </w:r>
      <w:r>
        <w:rPr>
          <w:spacing w:val="-58"/>
        </w:rPr>
        <w:t> </w:t>
      </w:r>
      <w:r>
        <w:rPr>
          <w:spacing w:val="-58"/>
        </w:rPr>
      </w:r>
      <w:r>
        <w:rPr>
          <w:spacing w:val="-5"/>
        </w:rPr>
        <w:t>兴办种、养殖业（不含限制项目）。（五）在深圳市范围内从事房地产开发经营业务；兴办实业</w:t>
      </w:r>
    </w:p>
    <w:p>
      <w:pPr>
        <w:pStyle w:val="BodyText"/>
        <w:spacing w:line="240" w:lineRule="auto" w:before="19"/>
        <w:ind w:left="106" w:right="0"/>
        <w:jc w:val="left"/>
      </w:pPr>
      <w:r>
        <w:rPr/>
        <w:t>（具体项目另行审批</w:t>
      </w:r>
      <w:r>
        <w:rPr>
          <w:spacing w:val="-92"/>
        </w:rPr>
        <w:t>）</w:t>
      </w:r>
      <w:r>
        <w:rPr/>
        <w:t>。</w:t>
      </w:r>
    </w:p>
    <w:p>
      <w:pPr>
        <w:pStyle w:val="BodyText"/>
        <w:spacing w:line="316" w:lineRule="auto" w:before="115"/>
        <w:ind w:left="106" w:right="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13"/>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37"/>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spacing w:val="-3"/>
        </w:rPr>
        <w:t>日，经营范围变更为：（一）计算机硬件及配套零件的研究、开发；网络产</w:t>
      </w:r>
      <w:r>
        <w:rPr>
          <w:spacing w:val="-88"/>
        </w:rPr>
        <w:t> </w:t>
      </w:r>
      <w:r>
        <w:rPr>
          <w:spacing w:val="-88"/>
        </w:rPr>
      </w:r>
      <w:r>
        <w:rPr/>
        <w:t>品、多媒体产品、电子信息产品及通讯产品、办公自动化设备、仪器仪表、电器及印刷照排设</w:t>
      </w:r>
      <w:r>
        <w:rPr>
          <w:spacing w:val="-85"/>
        </w:rPr>
        <w:t> </w:t>
      </w:r>
      <w:r>
        <w:rPr>
          <w:spacing w:val="-85"/>
        </w:rPr>
      </w:r>
      <w:r>
        <w:rPr/>
        <w:t>备、计算机应用系统的安装和维修；自产产品的技术咨询、技术服务、技术转让（法律、行政</w:t>
      </w:r>
      <w:r>
        <w:rPr>
          <w:spacing w:val="-85"/>
        </w:rPr>
        <w:t> </w:t>
      </w:r>
      <w:r>
        <w:rPr>
          <w:spacing w:val="-85"/>
        </w:rPr>
      </w:r>
      <w:r>
        <w:rPr>
          <w:spacing w:val="-5"/>
        </w:rPr>
        <w:t>法规、国务院决定禁止的项目除外，限制的项目须取得许可后方可经营）；经营进出口业务（法</w:t>
      </w:r>
      <w:r>
        <w:rPr>
          <w:spacing w:val="-58"/>
        </w:rPr>
        <w:t> </w:t>
      </w:r>
      <w:r>
        <w:rPr>
          <w:spacing w:val="-58"/>
        </w:rPr>
      </w:r>
      <w:r>
        <w:rPr>
          <w:spacing w:val="-7"/>
        </w:rPr>
        <w:t>律、行政法规、国务院决定禁止的项目除外，限制的项目须取得许可后方可经营）；计算机硬件、</w:t>
      </w:r>
      <w:r>
        <w:rPr>
          <w:spacing w:val="-57"/>
        </w:rPr>
        <w:t> </w:t>
      </w:r>
      <w:r>
        <w:rPr>
          <w:spacing w:val="-57"/>
        </w:rPr>
      </w:r>
      <w:r>
        <w:rPr/>
        <w:t>软件及外围设施的代理销售；销售自产产品（法律、行政法规、国务院决定禁止的项目除外，</w:t>
      </w:r>
      <w:r>
        <w:rPr>
          <w:spacing w:val="-85"/>
        </w:rPr>
        <w:t> </w:t>
      </w:r>
      <w:r>
        <w:rPr>
          <w:spacing w:val="-85"/>
        </w:rPr>
      </w:r>
      <w:r>
        <w:rPr>
          <w:spacing w:val="-5"/>
        </w:rPr>
        <w:t>限制的项目须取得许可后方可经营）；（二）通信设备、电子、计算机配件的技术开发；计算机</w:t>
      </w:r>
      <w:r>
        <w:rPr>
          <w:spacing w:val="-53"/>
        </w:rPr>
        <w:t> </w:t>
      </w:r>
      <w:r>
        <w:rPr>
          <w:spacing w:val="-53"/>
        </w:rPr>
      </w:r>
      <w:r>
        <w:rPr>
          <w:spacing w:val="-5"/>
        </w:rPr>
        <w:t>软件、信息技术、系统集成、办公自动化、综合布线技术的研发（不含限制项目）；（三）投资</w:t>
      </w:r>
      <w:r>
        <w:rPr>
          <w:spacing w:val="-54"/>
        </w:rPr>
        <w:t> </w:t>
      </w:r>
      <w:r>
        <w:rPr>
          <w:spacing w:val="-54"/>
        </w:rPr>
      </w:r>
      <w:r>
        <w:rPr>
          <w:spacing w:val="-5"/>
        </w:rPr>
        <w:t>兴办实业（具体项目另行申报）；在合法取得使用权的土地上从事房地产开发经营。（以上项目</w:t>
      </w:r>
      <w:r>
        <w:rPr>
          <w:spacing w:val="-56"/>
        </w:rPr>
        <w:t> </w:t>
      </w:r>
      <w:r>
        <w:rPr>
          <w:spacing w:val="-56"/>
        </w:rPr>
      </w:r>
      <w:r>
        <w:rPr>
          <w:spacing w:val="-3"/>
        </w:rPr>
        <w:t>法律、行政法规、国务院决定禁止的项目除外，限制的项目须取得许可后方可经营）。</w:t>
      </w:r>
    </w:p>
    <w:p>
      <w:pPr>
        <w:spacing w:after="0" w:line="316" w:lineRule="auto"/>
        <w:jc w:val="left"/>
        <w:sectPr>
          <w:type w:val="continuous"/>
          <w:pgSz w:w="11910" w:h="16840"/>
          <w:pgMar w:top="1580" w:bottom="700" w:left="980" w:right="0"/>
          <w:cols w:num="2" w:equalWidth="0">
            <w:col w:w="2162" w:space="40"/>
            <w:col w:w="8728"/>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181" w:right="-20"/>
        <w:jc w:val="left"/>
      </w:pPr>
      <w:r>
        <w:rPr/>
        <w:t>历次控股股东的变更情况</w:t>
      </w:r>
    </w:p>
    <w:p>
      <w:pPr>
        <w:pStyle w:val="BodyText"/>
        <w:spacing w:line="240" w:lineRule="auto" w:before="110"/>
        <w:ind w:left="106" w:right="0"/>
        <w:jc w:val="left"/>
      </w:pPr>
      <w:r>
        <w:rPr/>
        <w:br w:type="column"/>
      </w:r>
      <w:r>
        <w:rPr>
          <w:rFonts w:ascii="Times New Roman" w:hAnsi="Times New Roman" w:cs="Times New Roman" w:eastAsia="Times New Roman" w:hint="default"/>
        </w:rPr>
        <w:t>1</w:t>
      </w:r>
      <w:r>
        <w:rPr/>
        <w:t>、</w:t>
      </w:r>
      <w:r>
        <w:rPr>
          <w:rFonts w:ascii="Times New Roman" w:hAnsi="Times New Roman" w:cs="Times New Roman" w:eastAsia="Times New Roman" w:hint="default"/>
        </w:rPr>
        <w:t>1999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月，公司控股股东由深圳市宝安区投资管理公司变更为深圳国际信托投资公司。</w:t>
      </w:r>
    </w:p>
    <w:p>
      <w:pPr>
        <w:pStyle w:val="BodyText"/>
        <w:spacing w:line="240" w:lineRule="auto" w:before="101"/>
        <w:ind w:left="106" w:right="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月，公司控股股东由深圳国际信托投资有限责任公司变更为中国希格玛有限公司。</w:t>
      </w:r>
    </w:p>
    <w:p>
      <w:pPr>
        <w:pStyle w:val="BodyText"/>
        <w:spacing w:line="240" w:lineRule="auto" w:before="103"/>
        <w:ind w:left="106"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月，公司控股股东由中国希格玛有限公司变更为郭为先生。</w:t>
      </w:r>
    </w:p>
    <w:p>
      <w:pPr>
        <w:spacing w:after="0" w:line="240" w:lineRule="auto"/>
        <w:jc w:val="left"/>
        <w:sectPr>
          <w:type w:val="continuous"/>
          <w:pgSz w:w="11910" w:h="16840"/>
          <w:pgMar w:top="1580" w:bottom="700" w:left="980" w:right="0"/>
          <w:cols w:num="2" w:equalWidth="0">
            <w:col w:w="2162" w:space="40"/>
            <w:col w:w="8728"/>
          </w:cols>
        </w:sectPr>
      </w:pPr>
    </w:p>
    <w:p>
      <w:pPr>
        <w:spacing w:line="240" w:lineRule="auto" w:before="1"/>
        <w:rPr>
          <w:rFonts w:ascii="宋体" w:hAnsi="宋体" w:cs="宋体" w:eastAsia="宋体" w:hint="default"/>
          <w:sz w:val="26"/>
          <w:szCs w:val="26"/>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left="212" w:right="1033"/>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1033"/>
        <w:jc w:val="left"/>
      </w:pPr>
      <w:r>
        <w:rPr/>
        <w:t>公司是否需追溯调整或重述以前年度会计数据</w:t>
      </w:r>
    </w:p>
    <w:p>
      <w:pPr>
        <w:pStyle w:val="BodyText"/>
        <w:spacing w:line="348" w:lineRule="auto" w:before="117"/>
        <w:ind w:left="212" w:right="8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财务报表列报格式变更</w:t>
      </w:r>
    </w:p>
    <w:p>
      <w:pPr>
        <w:spacing w:line="240" w:lineRule="auto" w:before="2"/>
        <w:rPr>
          <w:rFonts w:ascii="宋体" w:hAnsi="宋体" w:cs="宋体" w:eastAsia="宋体" w:hint="default"/>
          <w:sz w:val="2"/>
          <w:szCs w:val="2"/>
        </w:rPr>
      </w:pPr>
    </w:p>
    <w:tbl>
      <w:tblPr>
        <w:tblW w:w="0" w:type="auto"/>
        <w:jc w:val="left"/>
        <w:tblInd w:w="191" w:type="dxa"/>
        <w:tblLayout w:type="fixed"/>
        <w:tblCellMar>
          <w:top w:w="0" w:type="dxa"/>
          <w:left w:w="0" w:type="dxa"/>
          <w:bottom w:w="0" w:type="dxa"/>
          <w:right w:w="0" w:type="dxa"/>
        </w:tblCellMar>
        <w:tblLook w:val="01E0"/>
      </w:tblPr>
      <w:tblGrid>
        <w:gridCol w:w="1908"/>
        <w:gridCol w:w="1405"/>
        <w:gridCol w:w="1406"/>
        <w:gridCol w:w="1407"/>
        <w:gridCol w:w="746"/>
        <w:gridCol w:w="1407"/>
        <w:gridCol w:w="1406"/>
      </w:tblGrid>
      <w:tr>
        <w:trPr>
          <w:trHeight w:val="317" w:hRule="exact"/>
        </w:trPr>
        <w:tc>
          <w:tcPr>
            <w:tcW w:w="1908" w:type="dxa"/>
            <w:vMerge w:val="restart"/>
            <w:tcBorders>
              <w:top w:val="single" w:sz="4" w:space="0" w:color="000000"/>
              <w:left w:val="single" w:sz="4" w:space="0" w:color="000000"/>
              <w:right w:val="single" w:sz="4" w:space="0" w:color="000000"/>
            </w:tcBorders>
            <w:shd w:val="clear" w:color="auto" w:fill="D2D2D2"/>
          </w:tcPr>
          <w:p>
            <w:pPr/>
          </w:p>
        </w:tc>
        <w:tc>
          <w:tcPr>
            <w:tcW w:w="1405" w:type="dxa"/>
            <w:vMerge w:val="restart"/>
            <w:tcBorders>
              <w:top w:val="single" w:sz="4" w:space="0" w:color="000000"/>
              <w:left w:val="single" w:sz="4" w:space="0" w:color="000000"/>
              <w:right w:val="single" w:sz="4" w:space="0" w:color="000000"/>
            </w:tcBorders>
            <w:shd w:val="clear" w:color="auto" w:fill="D2D2D2"/>
          </w:tcPr>
          <w:p>
            <w:pPr/>
          </w:p>
        </w:tc>
        <w:tc>
          <w:tcPr>
            <w:tcW w:w="28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center"/>
              <w:rPr>
                <w:rFonts w:ascii="宋体" w:hAnsi="宋体" w:cs="宋体" w:eastAsia="宋体" w:hint="default"/>
                <w:sz w:val="18"/>
                <w:szCs w:val="18"/>
              </w:rPr>
            </w:pPr>
            <w:r>
              <w:rPr>
                <w:rFonts w:ascii="宋体" w:hAnsi="宋体" w:cs="宋体" w:eastAsia="宋体" w:hint="default"/>
                <w:sz w:val="18"/>
                <w:szCs w:val="18"/>
              </w:rPr>
              <w:t>本年比 上年增 减</w:t>
            </w:r>
          </w:p>
        </w:tc>
        <w:tc>
          <w:tcPr>
            <w:tcW w:w="28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908" w:type="dxa"/>
            <w:vMerge/>
            <w:tcBorders>
              <w:left w:val="single" w:sz="4" w:space="0" w:color="000000"/>
              <w:bottom w:val="nil" w:sz="6" w:space="0" w:color="auto"/>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46" w:type="dxa"/>
            <w:vMerge/>
            <w:tcBorders>
              <w:left w:val="single" w:sz="4" w:space="0" w:color="000000"/>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1908" w:type="dxa"/>
            <w:vMerge w:val="restart"/>
            <w:tcBorders>
              <w:top w:val="nil" w:sz="6" w:space="0" w:color="auto"/>
              <w:left w:val="single" w:sz="4" w:space="0" w:color="000000"/>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3" w:type="dxa"/>
            <w:gridSpan w:val="2"/>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2813"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08" w:type="dxa"/>
            <w:vMerge/>
            <w:tcBorders>
              <w:left w:val="single" w:sz="4" w:space="0" w:color="000000"/>
              <w:bottom w:val="nil" w:sz="6" w:space="0" w:color="auto"/>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1908" w:type="dxa"/>
            <w:vMerge w:val="restart"/>
            <w:tcBorders>
              <w:top w:val="nil" w:sz="6" w:space="0" w:color="auto"/>
              <w:left w:val="single" w:sz="4" w:space="0" w:color="000000"/>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
        </w:tc>
        <w:tc>
          <w:tcPr>
            <w:tcW w:w="2813" w:type="dxa"/>
            <w:gridSpan w:val="2"/>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2813" w:type="dxa"/>
            <w:gridSpan w:val="2"/>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86,803,376,390.13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81,858,054,493.23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81,858,054,493.23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62,215,950,458.56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62,215,950,458.56</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701,410,697.57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512,408,008.06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512,408,008.06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36.89%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722,924,713.03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722,924,713.03</w:t>
            </w:r>
          </w:p>
        </w:tc>
      </w:tr>
      <w:tr>
        <w:trPr>
          <w:trHeight w:val="102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582,143,916.76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472,153,753.44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472,153,753.44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337,321,169.24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337,321,169.24</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1,499,628,700.32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360,539,617.54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360,539,617.54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315.94%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-291,800,291.05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-291,800,291.05</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1.0788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0.7834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0.7834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1.0740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0.7834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0.7834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17.23%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24.10%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24.10%</w:t>
            </w:r>
          </w:p>
        </w:tc>
      </w:tr>
      <w:tr>
        <w:trPr>
          <w:trHeight w:val="317" w:hRule="exact"/>
        </w:trPr>
        <w:tc>
          <w:tcPr>
            <w:tcW w:w="1908" w:type="dxa"/>
            <w:vMerge w:val="restart"/>
            <w:tcBorders>
              <w:top w:val="single" w:sz="4" w:space="0" w:color="000000"/>
              <w:left w:val="single" w:sz="4" w:space="0" w:color="000000"/>
              <w:right w:val="single" w:sz="4" w:space="0" w:color="000000"/>
            </w:tcBorders>
            <w:shd w:val="clear" w:color="auto" w:fill="D2D2D2"/>
          </w:tcPr>
          <w:p>
            <w:pPr/>
          </w:p>
        </w:tc>
        <w:tc>
          <w:tcPr>
            <w:tcW w:w="1405" w:type="dxa"/>
            <w:vMerge w:val="restart"/>
            <w:tcBorders>
              <w:top w:val="single" w:sz="4" w:space="0" w:color="000000"/>
              <w:left w:val="single" w:sz="4" w:space="0" w:color="000000"/>
              <w:right w:val="single" w:sz="4" w:space="0" w:color="000000"/>
            </w:tcBorders>
            <w:shd w:val="clear" w:color="auto" w:fill="D2D2D2"/>
          </w:tcPr>
          <w:p>
            <w:pPr/>
          </w:p>
        </w:tc>
        <w:tc>
          <w:tcPr>
            <w:tcW w:w="28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本年末 比上年 末增减</w:t>
            </w:r>
          </w:p>
        </w:tc>
        <w:tc>
          <w:tcPr>
            <w:tcW w:w="28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908" w:type="dxa"/>
            <w:vMerge/>
            <w:tcBorders>
              <w:left w:val="single" w:sz="4" w:space="0" w:color="000000"/>
              <w:bottom w:val="nil" w:sz="6" w:space="0" w:color="auto"/>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46" w:type="dxa"/>
            <w:vMerge/>
            <w:tcBorders>
              <w:left w:val="single" w:sz="4" w:space="0" w:color="000000"/>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1908" w:type="dxa"/>
            <w:vMerge w:val="restart"/>
            <w:tcBorders>
              <w:top w:val="nil" w:sz="6" w:space="0" w:color="auto"/>
              <w:left w:val="single" w:sz="4" w:space="0" w:color="000000"/>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13" w:type="dxa"/>
            <w:gridSpan w:val="2"/>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2813" w:type="dxa"/>
            <w:gridSpan w:val="2"/>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908" w:type="dxa"/>
            <w:vMerge/>
            <w:tcBorders>
              <w:left w:val="single" w:sz="4" w:space="0" w:color="000000"/>
              <w:bottom w:val="nil" w:sz="6" w:space="0" w:color="auto"/>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281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3" w:hRule="exact"/>
        </w:trPr>
        <w:tc>
          <w:tcPr>
            <w:tcW w:w="1908" w:type="dxa"/>
            <w:vMerge w:val="restart"/>
            <w:tcBorders>
              <w:top w:val="nil" w:sz="6" w:space="0" w:color="auto"/>
              <w:left w:val="single" w:sz="4" w:space="0" w:color="000000"/>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
        </w:tc>
        <w:tc>
          <w:tcPr>
            <w:tcW w:w="2813" w:type="dxa"/>
            <w:gridSpan w:val="2"/>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2813" w:type="dxa"/>
            <w:gridSpan w:val="2"/>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29,420,902,442.41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25,985,451,950.06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25,985,451,950.06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24,273,190,387.85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24,273,190,387.85</w:t>
            </w: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4,372,145,715.43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3,841,446,080.18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3,841,446,080.18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3,350,058,916.99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3,350,058,916.99</w:t>
            </w:r>
          </w:p>
        </w:tc>
      </w:tr>
    </w:tbl>
    <w:p>
      <w:pPr>
        <w:pStyle w:val="BodyText"/>
        <w:spacing w:line="240" w:lineRule="auto" w:before="49"/>
        <w:ind w:left="212" w:right="1033"/>
        <w:jc w:val="left"/>
      </w:pPr>
      <w:r>
        <w:rPr/>
        <w:t>其他说明：</w:t>
      </w:r>
    </w:p>
    <w:p>
      <w:pPr>
        <w:pStyle w:val="BodyText"/>
        <w:spacing w:line="240" w:lineRule="auto" w:before="117"/>
        <w:ind w:left="573" w:right="1033"/>
        <w:jc w:val="left"/>
      </w:pPr>
      <w:r>
        <w:rPr/>
        <w:t>财政部于</w:t>
      </w:r>
      <w:r>
        <w:rPr>
          <w:spacing w:val="-45"/>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9</w:t>
      </w:r>
      <w:r>
        <w:rPr>
          <w:rFonts w:ascii="宋体" w:hAnsi="宋体" w:cs="宋体" w:eastAsia="宋体" w:hint="default"/>
          <w:spacing w:val="-43"/>
        </w:rPr>
        <w:t> </w:t>
      </w:r>
      <w:r>
        <w:rPr/>
        <w:t>年颁</w:t>
      </w:r>
      <w:r>
        <w:rPr>
          <w:spacing w:val="-10"/>
        </w:rPr>
        <w:t>布</w:t>
      </w:r>
      <w:r>
        <w:rPr/>
        <w:t>《关于</w:t>
      </w:r>
      <w:r>
        <w:rPr>
          <w:spacing w:val="-3"/>
        </w:rPr>
        <w:t>修</w:t>
      </w:r>
      <w:r>
        <w:rPr/>
        <w:t>订印发</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9</w:t>
      </w:r>
      <w:r>
        <w:rPr>
          <w:rFonts w:ascii="宋体" w:hAnsi="宋体" w:cs="宋体" w:eastAsia="宋体" w:hint="default"/>
          <w:spacing w:val="-43"/>
        </w:rPr>
        <w:t> </w:t>
      </w:r>
      <w:r>
        <w:rPr/>
        <w:t>年度一般企业财</w:t>
      </w:r>
      <w:r>
        <w:rPr>
          <w:spacing w:val="-3"/>
        </w:rPr>
        <w:t>务</w:t>
      </w:r>
      <w:r>
        <w:rPr/>
        <w:t>报表格式的通知</w:t>
      </w:r>
      <w:r>
        <w:rPr>
          <w:spacing w:val="-99"/>
        </w:rPr>
        <w:t>》</w:t>
      </w:r>
      <w:r>
        <w:rPr/>
        <w:t>（财</w:t>
      </w:r>
      <w:r>
        <w:rPr>
          <w:spacing w:val="-8"/>
        </w:rPr>
        <w:t>会</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spacing w:val="-7"/>
        </w:rPr>
        <w:t>】</w:t>
      </w:r>
      <w:r>
        <w:rPr>
          <w:rFonts w:ascii="宋体" w:hAnsi="宋体" w:cs="宋体" w:eastAsia="宋体" w:hint="default"/>
        </w:rPr>
        <w:t>6</w:t>
      </w:r>
      <w:r>
        <w:rPr>
          <w:rFonts w:ascii="宋体" w:hAnsi="宋体" w:cs="宋体" w:eastAsia="宋体" w:hint="default"/>
          <w:spacing w:val="-44"/>
        </w:rPr>
        <w:t> </w:t>
      </w:r>
      <w:r>
        <w:rPr/>
        <w:t>号</w:t>
      </w:r>
      <w:r>
        <w:rPr>
          <w:spacing w:val="-92"/>
        </w:rPr>
        <w:t>）</w:t>
      </w:r>
      <w:r>
        <w:rPr>
          <w:spacing w:val="-8"/>
        </w:rPr>
        <w:t>，</w:t>
      </w:r>
      <w:r>
        <w:rPr/>
        <w:t>本集团已按照上</w:t>
      </w:r>
    </w:p>
    <w:p>
      <w:pPr>
        <w:pStyle w:val="BodyText"/>
        <w:spacing w:line="316" w:lineRule="auto" w:before="77"/>
        <w:ind w:left="212" w:right="1125"/>
        <w:jc w:val="left"/>
      </w:pPr>
      <w:r>
        <w:rPr/>
        <w:t>述通知编制</w:t>
      </w:r>
      <w:r>
        <w:rPr>
          <w:spacing w:val="-46"/>
        </w:rPr>
        <w:t> </w:t>
      </w:r>
      <w:r>
        <w:rPr>
          <w:rFonts w:ascii="宋体" w:hAnsi="宋体" w:cs="宋体" w:eastAsia="宋体" w:hint="default"/>
        </w:rPr>
        <w:t>2019</w:t>
      </w:r>
      <w:r>
        <w:rPr>
          <w:rFonts w:ascii="宋体" w:hAnsi="宋体" w:cs="宋体" w:eastAsia="宋体" w:hint="default"/>
          <w:spacing w:val="-45"/>
        </w:rPr>
        <w:t> </w:t>
      </w:r>
      <w:r>
        <w:rPr/>
        <w:t>年年度财务报表，并对比较财务报表作出相应调整，见本报告第十二节财务报告、五、重要会计政策及会 计估计、</w:t>
      </w:r>
      <w:r>
        <w:rPr>
          <w:rFonts w:ascii="Times New Roman" w:hAnsi="Times New Roman" w:cs="Times New Roman" w:eastAsia="Times New Roman" w:hint="default"/>
        </w:rPr>
        <w:t>36</w:t>
      </w:r>
      <w:r>
        <w:rPr/>
        <w:t>、重要会计政策和会计估计变更，该报表列示调整不影响主要财务数据和财务指标。</w:t>
      </w:r>
    </w:p>
    <w:p>
      <w:pPr>
        <w:spacing w:line="240" w:lineRule="auto" w:before="0"/>
        <w:rPr>
          <w:rFonts w:ascii="宋体" w:hAnsi="宋体" w:cs="宋体" w:eastAsia="宋体" w:hint="default"/>
          <w:sz w:val="18"/>
          <w:szCs w:val="18"/>
        </w:rPr>
      </w:pPr>
    </w:p>
    <w:p>
      <w:pPr>
        <w:pStyle w:val="BodyText"/>
        <w:spacing w:line="240" w:lineRule="auto" w:before="154"/>
        <w:ind w:left="212" w:right="1033"/>
        <w:jc w:val="left"/>
      </w:pPr>
      <w:r>
        <w:rPr/>
        <w:t>截止披露前一交易日的公司总股本：</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749"/>
        <w:gridCol w:w="4880"/>
      </w:tblGrid>
      <w:tr>
        <w:trPr>
          <w:trHeight w:val="401" w:hRule="exact"/>
        </w:trPr>
        <w:tc>
          <w:tcPr>
            <w:tcW w:w="474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654,070,434</w:t>
            </w:r>
          </w:p>
        </w:tc>
      </w:tr>
    </w:tbl>
    <w:p>
      <w:pPr>
        <w:spacing w:line="240" w:lineRule="auto" w:before="1"/>
        <w:rPr>
          <w:rFonts w:ascii="宋体" w:hAnsi="宋体" w:cs="宋体" w:eastAsia="宋体" w:hint="default"/>
          <w:sz w:val="21"/>
          <w:szCs w:val="21"/>
        </w:rPr>
      </w:pPr>
    </w:p>
    <w:p>
      <w:pPr>
        <w:pStyle w:val="BodyText"/>
        <w:spacing w:line="240" w:lineRule="auto" w:before="44"/>
        <w:ind w:left="212" w:right="1033"/>
        <w:jc w:val="left"/>
      </w:pPr>
      <w:r>
        <w:rPr/>
        <w:t>用最新股本计算的全面摊薄每股收益</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905"/>
        <w:gridCol w:w="4950"/>
      </w:tblGrid>
      <w:tr>
        <w:trPr>
          <w:trHeight w:val="403" w:hRule="exact"/>
        </w:trPr>
        <w:tc>
          <w:tcPr>
            <w:tcW w:w="490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905"/>
        <w:gridCol w:w="4950"/>
      </w:tblGrid>
      <w:tr>
        <w:trPr>
          <w:trHeight w:val="404" w:hRule="exact"/>
        </w:trPr>
        <w:tc>
          <w:tcPr>
            <w:tcW w:w="490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1.0724</w:t>
            </w:r>
          </w:p>
        </w:tc>
      </w:tr>
    </w:tbl>
    <w:p>
      <w:pPr>
        <w:pStyle w:val="BodyText"/>
        <w:spacing w:line="240" w:lineRule="auto" w:before="8"/>
        <w:ind w:left="212" w:right="1033"/>
        <w:jc w:val="left"/>
      </w:pPr>
      <w:r>
        <w:rPr/>
        <w:t>是否存在公司债</w:t>
      </w:r>
    </w:p>
    <w:p>
      <w:pPr>
        <w:pStyle w:val="BodyText"/>
        <w:spacing w:line="240" w:lineRule="auto" w:before="117"/>
        <w:ind w:left="212"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left="212" w:right="1033"/>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1033"/>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212" w:right="14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left="212" w:right="1033"/>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212"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left="212" w:right="1033"/>
        <w:jc w:val="left"/>
        <w:rPr>
          <w:b w:val="0"/>
          <w:bCs w:val="0"/>
        </w:rPr>
      </w:pPr>
      <w:bookmarkStart w:name="3、境内外会计准则下会计数据差异原因说明" w:id="13"/>
      <w:bookmarkEnd w:id="13"/>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2" w:right="10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21,755,299,135.68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20,580,468,169.73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20,639,819,541.07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23,827,789,543.65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136,162,978.16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260,349,670.63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113,666,199.09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191,231,849.69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131,185,795.24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167,842,367.68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107,584,709.63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175,531,044.21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264,844,225.61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-107,018,197.83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894,230,755.14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447,571,917.40</w:t>
            </w:r>
          </w:p>
        </w:tc>
      </w:tr>
    </w:tbl>
    <w:p>
      <w:pPr>
        <w:pStyle w:val="BodyText"/>
        <w:spacing w:line="240" w:lineRule="auto" w:before="49"/>
        <w:ind w:left="212" w:right="1033"/>
        <w:jc w:val="left"/>
      </w:pPr>
      <w:r>
        <w:rPr/>
        <w:t>上述财务指标或其加总数是否与公司已披露季度报告、半年度报告相关财务指标存在重大差异</w:t>
      </w:r>
    </w:p>
    <w:p>
      <w:pPr>
        <w:pStyle w:val="BodyText"/>
        <w:spacing w:line="240" w:lineRule="auto" w:before="115"/>
        <w:ind w:left="212"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left="212" w:right="10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212"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435,204.30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-1,467,524.25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-2,065,144.17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48,995,374.79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45,541,319.26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52,242,727.03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3,641,453.12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10,532,903.51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13,720,467.86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341,722,930.53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3,803,013.70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-3,031,792.93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-14,527,875.34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1,650,831.00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467,403.34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287,165.35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-253,609.94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3,003,802.58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99,957,757.00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1,608,000.00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35,701,011.53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11,719,457.90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13,903,119.11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-185,011.53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1,259.29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119,266,780.81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40,254,254.62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385,603,543.79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46" w:right="0"/>
        <w:jc w:val="left"/>
        <w:rPr>
          <w:b w:val="0"/>
          <w:bCs w:val="0"/>
        </w:rPr>
      </w:pPr>
      <w:bookmarkStart w:name="第三节 公司业务概要" w:id="16"/>
      <w:bookmarkEnd w:id="16"/>
      <w:r>
        <w:rPr>
          <w:b w:val="0"/>
          <w:bCs w:val="0"/>
        </w:rPr>
      </w:r>
      <w:bookmarkStart w:name="_bookmark1"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2"/>
        <w:rPr>
          <w:rFonts w:ascii="宋体" w:hAnsi="宋体" w:cs="宋体" w:eastAsia="宋体" w:hint="default"/>
          <w:b/>
          <w:bCs/>
          <w:sz w:val="28"/>
          <w:szCs w:val="28"/>
        </w:rPr>
      </w:pPr>
    </w:p>
    <w:p>
      <w:pPr>
        <w:pStyle w:val="BodyText"/>
        <w:spacing w:line="364" w:lineRule="auto"/>
        <w:ind w:right="1128" w:firstLine="360"/>
        <w:jc w:val="both"/>
      </w:pPr>
      <w:r>
        <w:rPr>
          <w:spacing w:val="-8"/>
        </w:rPr>
        <w:t>当今，云和数字化转型已经成为企业提升核心竞争力的“刚需”。云计算产业经过</w:t>
      </w:r>
      <w:r>
        <w:rPr>
          <w:spacing w:val="-39"/>
        </w:rPr>
        <w:t> </w:t>
      </w:r>
      <w:r>
        <w:rPr>
          <w:rFonts w:ascii="宋体" w:hAnsi="宋体" w:cs="宋体" w:eastAsia="宋体" w:hint="default"/>
          <w:spacing w:val="-1"/>
        </w:rPr>
        <w:t>10</w:t>
      </w:r>
      <w:r>
        <w:rPr>
          <w:rFonts w:ascii="宋体" w:hAnsi="宋体" w:cs="宋体" w:eastAsia="宋体" w:hint="default"/>
          <w:spacing w:val="-39"/>
        </w:rPr>
        <w:t> </w:t>
      </w:r>
      <w:r>
        <w:rPr>
          <w:spacing w:val="-5"/>
        </w:rPr>
        <w:t>余年的发展，技术不断迭代和成熟，</w:t>
      </w:r>
      <w:r>
        <w:rPr/>
        <w:t> </w:t>
      </w:r>
      <w:r>
        <w:rPr>
          <w:spacing w:val="-9"/>
        </w:rPr>
        <w:t>企业上云加速。据</w:t>
      </w:r>
      <w:r>
        <w:rPr>
          <w:spacing w:val="-39"/>
        </w:rPr>
        <w:t> </w:t>
      </w:r>
      <w:r>
        <w:rPr>
          <w:rFonts w:ascii="宋体" w:hAnsi="宋体" w:cs="宋体" w:eastAsia="宋体" w:hint="default"/>
          <w:spacing w:val="-1"/>
        </w:rPr>
        <w:t>IDC</w:t>
      </w:r>
      <w:r>
        <w:rPr>
          <w:rFonts w:ascii="宋体" w:hAnsi="宋体" w:cs="宋体" w:eastAsia="宋体" w:hint="default"/>
          <w:spacing w:val="-39"/>
        </w:rPr>
        <w:t> </w:t>
      </w:r>
      <w:r>
        <w:rPr>
          <w:spacing w:val="-6"/>
        </w:rPr>
        <w:t>数字化转型报告显示，</w:t>
      </w:r>
      <w:r>
        <w:rPr>
          <w:rFonts w:ascii="宋体" w:hAnsi="宋体" w:cs="宋体" w:eastAsia="宋体" w:hint="default"/>
          <w:spacing w:val="-6"/>
        </w:rPr>
        <w:t>2022</w:t>
      </w:r>
      <w:r>
        <w:rPr>
          <w:rFonts w:ascii="宋体" w:hAnsi="宋体" w:cs="宋体" w:eastAsia="宋体" w:hint="default"/>
          <w:spacing w:val="-38"/>
        </w:rPr>
        <w:t> </w:t>
      </w:r>
      <w:r>
        <w:rPr>
          <w:spacing w:val="-1"/>
        </w:rPr>
        <w:t>年全球超过</w:t>
      </w:r>
      <w:r>
        <w:rPr>
          <w:spacing w:val="-40"/>
        </w:rPr>
        <w:t> </w:t>
      </w:r>
      <w:r>
        <w:rPr>
          <w:rFonts w:ascii="宋体" w:hAnsi="宋体" w:cs="宋体" w:eastAsia="宋体" w:hint="default"/>
          <w:spacing w:val="-5"/>
        </w:rPr>
        <w:t>60%</w:t>
      </w:r>
      <w:r>
        <w:rPr>
          <w:spacing w:val="-5"/>
        </w:rPr>
        <w:t>的经济都将是数字化的，中国</w:t>
      </w:r>
      <w:r>
        <w:rPr>
          <w:spacing w:val="-40"/>
        </w:rPr>
        <w:t> </w:t>
      </w:r>
      <w:r>
        <w:rPr>
          <w:rFonts w:ascii="宋体" w:hAnsi="宋体" w:cs="宋体" w:eastAsia="宋体" w:hint="default"/>
          <w:spacing w:val="-1"/>
        </w:rPr>
        <w:t>65%</w:t>
      </w:r>
      <w:r>
        <w:rPr>
          <w:spacing w:val="-1"/>
        </w:rPr>
        <w:t>的经济都将是数字经济。</w:t>
      </w:r>
      <w:r>
        <w:rPr>
          <w:spacing w:val="-88"/>
        </w:rPr>
        <w:t> </w:t>
      </w:r>
      <w:r>
        <w:rPr>
          <w:spacing w:val="-88"/>
        </w:rPr>
      </w:r>
      <w:r>
        <w:rPr/>
        <w:t>在数字经济进入爆发临界点的推动下，企业数字化转型迫在眉睫，并将驱动绝大部分企业加大</w:t>
      </w:r>
      <w:r>
        <w:rPr>
          <w:spacing w:val="-62"/>
        </w:rPr>
        <w:t> </w:t>
      </w:r>
      <w:r>
        <w:rPr>
          <w:rFonts w:ascii="宋体" w:hAnsi="宋体" w:cs="宋体" w:eastAsia="宋体" w:hint="default"/>
        </w:rPr>
        <w:t>ICT</w:t>
      </w:r>
      <w:r>
        <w:rPr>
          <w:rFonts w:ascii="宋体" w:hAnsi="宋体" w:cs="宋体" w:eastAsia="宋体" w:hint="default"/>
          <w:spacing w:val="-62"/>
        </w:rPr>
        <w:t> </w:t>
      </w:r>
      <w:r>
        <w:rPr>
          <w:spacing w:val="-4"/>
        </w:rPr>
        <w:t>投入。与此同时，云计算</w:t>
      </w:r>
      <w:r>
        <w:rPr/>
        <w:t> 的发展将带动大数据、</w:t>
      </w:r>
      <w:r>
        <w:rPr>
          <w:rFonts w:ascii="宋体" w:hAnsi="宋体" w:cs="宋体" w:eastAsia="宋体" w:hint="default"/>
        </w:rPr>
        <w:t>AI</w:t>
      </w:r>
      <w:r>
        <w:rPr/>
        <w:t>、</w:t>
      </w:r>
      <w:r>
        <w:rPr>
          <w:rFonts w:ascii="宋体" w:hAnsi="宋体" w:cs="宋体" w:eastAsia="宋体" w:hint="default"/>
        </w:rPr>
        <w:t>IoT</w:t>
      </w:r>
      <w:r>
        <w:rPr/>
        <w:t>、区块链等技术在云上的广泛应用，整体推动数字化转型产业蓬勃向前。</w:t>
      </w:r>
    </w:p>
    <w:p>
      <w:pPr>
        <w:pStyle w:val="BodyText"/>
        <w:spacing w:line="364" w:lineRule="auto" w:before="69"/>
        <w:ind w:right="1129" w:firstLine="360"/>
        <w:jc w:val="both"/>
      </w:pPr>
      <w:r>
        <w:rPr>
          <w:spacing w:val="-2"/>
        </w:rPr>
        <w:t>作为一家脱胎于中科院计算所的科技企业，神州数码秉承锐意创新的科学家基因和务实进取的企业家精神，从诞生第一</w:t>
      </w:r>
      <w:r>
        <w:rPr/>
        <w:t> 天起就以</w:t>
      </w:r>
      <w:r>
        <w:rPr>
          <w:spacing w:val="-59"/>
        </w:rPr>
        <w:t> </w:t>
      </w:r>
      <w:r>
        <w:rPr>
          <w:rFonts w:ascii="宋体" w:hAnsi="宋体" w:cs="宋体" w:eastAsia="宋体" w:hint="default"/>
        </w:rPr>
        <w:t>Digital</w:t>
      </w:r>
      <w:r>
        <w:rPr>
          <w:rFonts w:ascii="宋体" w:hAnsi="宋体" w:cs="宋体" w:eastAsia="宋体" w:hint="default"/>
          <w:spacing w:val="-59"/>
        </w:rPr>
        <w:t> </w:t>
      </w:r>
      <w:r>
        <w:rPr>
          <w:rFonts w:ascii="宋体" w:hAnsi="宋体" w:cs="宋体" w:eastAsia="宋体" w:hint="default"/>
        </w:rPr>
        <w:t>China</w:t>
      </w:r>
      <w:r>
        <w:rPr>
          <w:rFonts w:ascii="宋体" w:hAnsi="宋体" w:cs="宋体" w:eastAsia="宋体" w:hint="default"/>
          <w:spacing w:val="-58"/>
        </w:rPr>
        <w:t> </w:t>
      </w:r>
      <w:r>
        <w:rPr/>
        <w:t>作为公司的英文名称以及企业的使命愿景，二十年来矢志不渝地践行数字中国战略，携手全球顶级 科技巨头，持续助力客户的数字化转型。过去</w:t>
      </w:r>
      <w:r>
        <w:rPr>
          <w:spacing w:val="-44"/>
        </w:rPr>
        <w:t> </w:t>
      </w:r>
      <w:r>
        <w:rPr>
          <w:rFonts w:ascii="宋体" w:hAnsi="宋体" w:cs="宋体" w:eastAsia="宋体" w:hint="default"/>
        </w:rPr>
        <w:t>20</w:t>
      </w:r>
      <w:r>
        <w:rPr>
          <w:rFonts w:ascii="宋体" w:hAnsi="宋体" w:cs="宋体" w:eastAsia="宋体" w:hint="default"/>
          <w:spacing w:val="-44"/>
        </w:rPr>
        <w:t> </w:t>
      </w:r>
      <w:r>
        <w:rPr/>
        <w:t>多年的发展历程中，从</w:t>
      </w:r>
      <w:r>
        <w:rPr>
          <w:spacing w:val="-44"/>
        </w:rPr>
        <w:t> </w:t>
      </w:r>
      <w:r>
        <w:rPr>
          <w:rFonts w:ascii="宋体" w:hAnsi="宋体" w:cs="宋体" w:eastAsia="宋体" w:hint="default"/>
        </w:rPr>
        <w:t>IT</w:t>
      </w:r>
      <w:r>
        <w:rPr>
          <w:rFonts w:ascii="宋体" w:hAnsi="宋体" w:cs="宋体" w:eastAsia="宋体" w:hint="default"/>
          <w:spacing w:val="-44"/>
        </w:rPr>
        <w:t> </w:t>
      </w:r>
      <w:r>
        <w:rPr/>
        <w:t>产品设备分销到</w:t>
      </w:r>
      <w:r>
        <w:rPr>
          <w:spacing w:val="-45"/>
        </w:rPr>
        <w:t> </w:t>
      </w:r>
      <w:r>
        <w:rPr>
          <w:rFonts w:ascii="宋体" w:hAnsi="宋体" w:cs="宋体" w:eastAsia="宋体" w:hint="default"/>
        </w:rPr>
        <w:t>IT</w:t>
      </w:r>
      <w:r>
        <w:rPr>
          <w:rFonts w:ascii="宋体" w:hAnsi="宋体" w:cs="宋体" w:eastAsia="宋体" w:hint="default"/>
          <w:spacing w:val="-44"/>
        </w:rPr>
        <w:t> </w:t>
      </w:r>
      <w:r>
        <w:rPr/>
        <w:t>技术服务再到云计算等数字 </w:t>
      </w:r>
      <w:r>
        <w:rPr>
          <w:spacing w:val="-2"/>
        </w:rPr>
        <w:t>化产品方案，神州数码紧跟中国科技产业发展大潮，精研技术产品，深耕市场渠道，始终践行数字中国使命，不忘初心，笃</w:t>
      </w:r>
      <w:r>
        <w:rPr>
          <w:spacing w:val="-70"/>
        </w:rPr>
        <w:t> </w:t>
      </w:r>
      <w:r>
        <w:rPr>
          <w:spacing w:val="-70"/>
        </w:rPr>
      </w:r>
      <w:r>
        <w:rPr/>
        <w:t>定前行。</w:t>
      </w:r>
    </w:p>
    <w:p>
      <w:pPr>
        <w:pStyle w:val="BodyText"/>
        <w:spacing w:line="240" w:lineRule="auto" w:before="69"/>
        <w:ind w:left="513" w:right="0"/>
        <w:jc w:val="left"/>
      </w:pPr>
      <w:r>
        <w:rPr/>
        <w:t>报告期内，公司从事的主要业务包括：</w:t>
      </w:r>
    </w:p>
    <w:p>
      <w:pPr>
        <w:spacing w:line="240" w:lineRule="auto" w:before="6"/>
        <w:rPr>
          <w:rFonts w:ascii="宋体" w:hAnsi="宋体" w:cs="宋体" w:eastAsia="宋体" w:hint="default"/>
          <w:sz w:val="12"/>
          <w:szCs w:val="12"/>
        </w:rPr>
      </w:pPr>
    </w:p>
    <w:p>
      <w:pPr>
        <w:pStyle w:val="Heading4"/>
        <w:spacing w:line="240" w:lineRule="auto"/>
        <w:ind w:right="0"/>
        <w:jc w:val="left"/>
        <w:rPr>
          <w:b w:val="0"/>
          <w:bCs w:val="0"/>
        </w:rPr>
      </w:pPr>
      <w:r>
        <w:rPr/>
        <w:t>（一）云计算和数字化转型业务</w:t>
      </w:r>
      <w:r>
        <w:rPr>
          <w:b w:val="0"/>
          <w:bCs w:val="0"/>
        </w:rPr>
      </w:r>
    </w:p>
    <w:p>
      <w:pPr>
        <w:spacing w:line="240" w:lineRule="auto" w:before="6"/>
        <w:rPr>
          <w:rFonts w:ascii="宋体" w:hAnsi="宋体" w:cs="宋体" w:eastAsia="宋体" w:hint="default"/>
          <w:b/>
          <w:bCs/>
          <w:sz w:val="12"/>
          <w:szCs w:val="12"/>
        </w:rPr>
      </w:pPr>
    </w:p>
    <w:p>
      <w:pPr>
        <w:pStyle w:val="BodyText"/>
        <w:spacing w:line="364" w:lineRule="auto"/>
        <w:ind w:right="1131" w:firstLine="360"/>
        <w:jc w:val="both"/>
      </w:pPr>
      <w:r>
        <w:rPr/>
        <w:t>公司主要为企业客户提供从</w:t>
      </w:r>
      <w:r>
        <w:rPr>
          <w:spacing w:val="-39"/>
        </w:rPr>
        <w:t> </w:t>
      </w:r>
      <w:r>
        <w:rPr>
          <w:rFonts w:ascii="宋体" w:hAnsi="宋体" w:cs="宋体" w:eastAsia="宋体" w:hint="default"/>
          <w:spacing w:val="-6"/>
        </w:rPr>
        <w:t>IaaS</w:t>
      </w:r>
      <w:r>
        <w:rPr>
          <w:spacing w:val="-6"/>
        </w:rPr>
        <w:t>、</w:t>
      </w:r>
      <w:r>
        <w:rPr>
          <w:rFonts w:ascii="宋体" w:hAnsi="宋体" w:cs="宋体" w:eastAsia="宋体" w:hint="default"/>
          <w:spacing w:val="-6"/>
        </w:rPr>
        <w:t>PaaS</w:t>
      </w:r>
      <w:r>
        <w:rPr>
          <w:rFonts w:ascii="宋体" w:hAnsi="宋体" w:cs="宋体" w:eastAsia="宋体" w:hint="default"/>
          <w:spacing w:val="-36"/>
        </w:rPr>
        <w:t> </w:t>
      </w:r>
      <w:r>
        <w:rPr/>
        <w:t>到</w:t>
      </w:r>
      <w:r>
        <w:rPr>
          <w:spacing w:val="-41"/>
        </w:rPr>
        <w:t> </w:t>
      </w:r>
      <w:r>
        <w:rPr>
          <w:rFonts w:ascii="宋体" w:hAnsi="宋体" w:cs="宋体" w:eastAsia="宋体" w:hint="default"/>
          <w:spacing w:val="-1"/>
        </w:rPr>
        <w:t>SaaS</w:t>
      </w:r>
      <w:r>
        <w:rPr>
          <w:rFonts w:ascii="宋体" w:hAnsi="宋体" w:cs="宋体" w:eastAsia="宋体" w:hint="default"/>
          <w:spacing w:val="-36"/>
        </w:rPr>
        <w:t> </w:t>
      </w:r>
      <w:r>
        <w:rPr>
          <w:spacing w:val="-10"/>
        </w:rPr>
        <w:t>的各类产品、服务及企业数字化解决方案，主要包括：（</w:t>
      </w:r>
      <w:r>
        <w:rPr>
          <w:rFonts w:ascii="宋体" w:hAnsi="宋体" w:cs="宋体" w:eastAsia="宋体" w:hint="default"/>
          <w:spacing w:val="-10"/>
        </w:rPr>
        <w:t>1</w:t>
      </w:r>
      <w:r>
        <w:rPr>
          <w:spacing w:val="-10"/>
        </w:rPr>
        <w:t>）云管理服务：</w:t>
      </w:r>
      <w:r>
        <w:rPr/>
        <w:t> </w:t>
      </w:r>
      <w:r>
        <w:rPr>
          <w:spacing w:val="-2"/>
        </w:rPr>
        <w:t>包括咨询、培训、迁移、实施、运维和支持、优化和安全等一系列全生命周期的服务；利用公司自主研发的云管理平台，实</w:t>
      </w:r>
      <w:r>
        <w:rPr>
          <w:spacing w:val="-73"/>
        </w:rPr>
        <w:t> </w:t>
      </w:r>
      <w:r>
        <w:rPr>
          <w:spacing w:val="-73"/>
        </w:rPr>
      </w:r>
      <w:r>
        <w:rPr>
          <w:spacing w:val="-7"/>
        </w:rPr>
        <w:t>时监控、控制风险和优化成本，帮助客户实现多云及混合云资源的一站式管理；（</w:t>
      </w:r>
      <w:r>
        <w:rPr>
          <w:rFonts w:ascii="宋体" w:hAnsi="宋体" w:cs="宋体" w:eastAsia="宋体" w:hint="default"/>
          <w:spacing w:val="-7"/>
        </w:rPr>
        <w:t>2</w:t>
      </w:r>
      <w:r>
        <w:rPr>
          <w:spacing w:val="-7"/>
        </w:rPr>
        <w:t>）数字化解决方案业务：立足于客户上云、</w:t>
      </w:r>
      <w:r>
        <w:rPr>
          <w:spacing w:val="-52"/>
        </w:rPr>
        <w:t> </w:t>
      </w:r>
      <w:r>
        <w:rPr>
          <w:spacing w:val="-52"/>
        </w:rPr>
      </w:r>
      <w:r>
        <w:rPr>
          <w:spacing w:val="-2"/>
        </w:rPr>
        <w:t>用云，为包括零售、快消、汽车等行业世界五百强企业在内的广大企业客户提供以物联网、大数据、人工智能等技术为基础</w:t>
      </w:r>
      <w:r>
        <w:rPr>
          <w:spacing w:val="-65"/>
        </w:rPr>
        <w:t> </w:t>
      </w:r>
      <w:r>
        <w:rPr>
          <w:spacing w:val="-65"/>
        </w:rPr>
      </w:r>
      <w:r>
        <w:rPr>
          <w:spacing w:val="-5"/>
        </w:rPr>
        <w:t>的数字化商业全套解决方案；（</w:t>
      </w:r>
      <w:r>
        <w:rPr>
          <w:rFonts w:ascii="宋体" w:hAnsi="宋体" w:cs="宋体" w:eastAsia="宋体" w:hint="default"/>
          <w:spacing w:val="-5"/>
        </w:rPr>
        <w:t>3</w:t>
      </w:r>
      <w:r>
        <w:rPr>
          <w:spacing w:val="-5"/>
        </w:rPr>
        <w:t>）联合运营解决方案（</w:t>
      </w:r>
      <w:r>
        <w:rPr>
          <w:rFonts w:ascii="宋体" w:hAnsi="宋体" w:cs="宋体" w:eastAsia="宋体" w:hint="default"/>
          <w:spacing w:val="-5"/>
        </w:rPr>
        <w:t>SaaS</w:t>
      </w:r>
      <w:r>
        <w:rPr>
          <w:rFonts w:ascii="宋体" w:hAnsi="宋体" w:cs="宋体" w:eastAsia="宋体" w:hint="default"/>
          <w:spacing w:val="-32"/>
        </w:rPr>
        <w:t> </w:t>
      </w:r>
      <w:r>
        <w:rPr>
          <w:rFonts w:ascii="宋体" w:hAnsi="宋体" w:cs="宋体" w:eastAsia="宋体" w:hint="default"/>
          <w:spacing w:val="-7"/>
        </w:rPr>
        <w:t>Hosting</w:t>
      </w:r>
      <w:r>
        <w:rPr>
          <w:spacing w:val="-7"/>
        </w:rPr>
        <w:t>）：引进全球优秀的</w:t>
      </w:r>
      <w:r>
        <w:rPr>
          <w:spacing w:val="-34"/>
        </w:rPr>
        <w:t> </w:t>
      </w:r>
      <w:r>
        <w:rPr>
          <w:rFonts w:ascii="宋体" w:hAnsi="宋体" w:cs="宋体" w:eastAsia="宋体" w:hint="default"/>
          <w:spacing w:val="-1"/>
        </w:rPr>
        <w:t>SaaS</w:t>
      </w:r>
      <w:r>
        <w:rPr>
          <w:rFonts w:ascii="宋体" w:hAnsi="宋体" w:cs="宋体" w:eastAsia="宋体" w:hint="default"/>
          <w:spacing w:val="-31"/>
        </w:rPr>
        <w:t> </w:t>
      </w:r>
      <w:r>
        <w:rPr>
          <w:spacing w:val="-1"/>
        </w:rPr>
        <w:t>服务，落地中国并提供本地运</w:t>
      </w:r>
      <w:r>
        <w:rPr>
          <w:spacing w:val="-85"/>
        </w:rPr>
        <w:t> </w:t>
      </w:r>
      <w:r>
        <w:rPr>
          <w:spacing w:val="-85"/>
        </w:rPr>
      </w:r>
      <w:r>
        <w:rPr>
          <w:spacing w:val="-2"/>
        </w:rPr>
        <w:t>营服务，凭借云运营牌照、合规运营管理体系、最优基础资源配置、多平台技术支撑、以及庞大的营销服务体系等全系列服</w:t>
      </w:r>
      <w:r>
        <w:rPr>
          <w:spacing w:val="-67"/>
        </w:rPr>
        <w:t> </w:t>
      </w:r>
      <w:r>
        <w:rPr>
          <w:spacing w:val="-67"/>
        </w:rPr>
      </w:r>
      <w:r>
        <w:rPr/>
        <w:t>务，为企业级客户提供国内最大的 </w:t>
      </w:r>
      <w:r>
        <w:rPr>
          <w:rFonts w:ascii="宋体" w:hAnsi="宋体" w:cs="宋体" w:eastAsia="宋体" w:hint="default"/>
        </w:rPr>
        <w:t>SaaS</w:t>
      </w:r>
      <w:r>
        <w:rPr>
          <w:rFonts w:ascii="宋体" w:hAnsi="宋体" w:cs="宋体" w:eastAsia="宋体" w:hint="default"/>
          <w:spacing w:val="-64"/>
        </w:rPr>
        <w:t> </w:t>
      </w:r>
      <w:r>
        <w:rPr>
          <w:spacing w:val="-3"/>
        </w:rPr>
        <w:t>产品资源池；（</w:t>
      </w:r>
      <w:r>
        <w:rPr>
          <w:rFonts w:ascii="宋体" w:hAnsi="宋体" w:cs="宋体" w:eastAsia="宋体" w:hint="default"/>
          <w:spacing w:val="-3"/>
        </w:rPr>
        <w:t>4</w:t>
      </w:r>
      <w:r>
        <w:rPr>
          <w:spacing w:val="-3"/>
        </w:rPr>
        <w:t>）一站式云资源对接业务：包括公有云资源、混合云平台、软件授</w:t>
      </w:r>
      <w:r>
        <w:rPr/>
        <w:t> 权及</w:t>
      </w:r>
      <w:r>
        <w:rPr>
          <w:spacing w:val="-44"/>
        </w:rPr>
        <w:t> </w:t>
      </w:r>
      <w:r>
        <w:rPr>
          <w:rFonts w:ascii="宋体" w:hAnsi="宋体" w:cs="宋体" w:eastAsia="宋体" w:hint="default"/>
        </w:rPr>
        <w:t>SaaS</w:t>
      </w:r>
      <w:r>
        <w:rPr>
          <w:rFonts w:ascii="宋体" w:hAnsi="宋体" w:cs="宋体" w:eastAsia="宋体" w:hint="default"/>
          <w:spacing w:val="-43"/>
        </w:rPr>
        <w:t> </w:t>
      </w:r>
      <w:r>
        <w:rPr/>
        <w:t>服务等。</w:t>
      </w:r>
    </w:p>
    <w:p>
      <w:pPr>
        <w:spacing w:line="405" w:lineRule="auto" w:before="6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（二）信息技术应用创新业务</w:t>
      </w:r>
      <w:r>
        <w:rPr>
          <w:rFonts w:ascii="宋体" w:hAnsi="宋体" w:cs="宋体" w:eastAsia="宋体" w:hint="default"/>
          <w:b/>
          <w:bCs/>
          <w:w w:val="99"/>
          <w:sz w:val="18"/>
          <w:szCs w:val="18"/>
        </w:rPr>
        <w:t> </w:t>
      </w:r>
      <w:r>
        <w:rPr>
          <w:rFonts w:ascii="宋体" w:hAnsi="宋体" w:cs="宋体" w:eastAsia="宋体" w:hint="default"/>
          <w:spacing w:val="-2"/>
          <w:sz w:val="18"/>
          <w:szCs w:val="18"/>
        </w:rPr>
        <w:t>公司多年来始终坚持自有信创品牌的研发投入和产品创新，在北京、深圳、上海、武汉等地建立大型研发基地，拥有从</w:t>
      </w:r>
    </w:p>
    <w:p>
      <w:pPr>
        <w:pStyle w:val="BodyText"/>
        <w:spacing w:line="364" w:lineRule="auto"/>
        <w:ind w:right="1034"/>
        <w:jc w:val="left"/>
      </w:pPr>
      <w:r>
        <w:rPr/>
        <w:t>设计到制造的产品闭环管理体系，已打造出覆盖存储及应用管理、网络、数据库一体机领域的自主品牌，形成网络、存储、</w:t>
      </w:r>
      <w:r>
        <w:rPr>
          <w:spacing w:val="-83"/>
        </w:rPr>
        <w:t> </w:t>
      </w:r>
      <w:r>
        <w:rPr>
          <w:spacing w:val="-83"/>
        </w:rPr>
      </w:r>
      <w:r>
        <w:rPr/>
        <w:t>安全、大数据应用等在内的</w:t>
      </w:r>
      <w:r>
        <w:rPr>
          <w:spacing w:val="-43"/>
        </w:rPr>
        <w:t> </w:t>
      </w:r>
      <w:r>
        <w:rPr>
          <w:rFonts w:ascii="宋体" w:hAnsi="宋体" w:cs="宋体" w:eastAsia="宋体" w:hint="default"/>
        </w:rPr>
        <w:t>22</w:t>
      </w:r>
      <w:r>
        <w:rPr>
          <w:rFonts w:ascii="宋体" w:hAnsi="宋体" w:cs="宋体" w:eastAsia="宋体" w:hint="default"/>
          <w:spacing w:val="-45"/>
        </w:rPr>
        <w:t> </w:t>
      </w:r>
      <w:r>
        <w:rPr/>
        <w:t>个品类</w:t>
      </w:r>
      <w:r>
        <w:rPr>
          <w:spacing w:val="-43"/>
        </w:rPr>
        <w:t> </w:t>
      </w:r>
      <w:r>
        <w:rPr>
          <w:rFonts w:ascii="宋体" w:hAnsi="宋体" w:cs="宋体" w:eastAsia="宋体" w:hint="default"/>
        </w:rPr>
        <w:t>600</w:t>
      </w:r>
      <w:r>
        <w:rPr>
          <w:rFonts w:ascii="宋体" w:hAnsi="宋体" w:cs="宋体" w:eastAsia="宋体" w:hint="default"/>
          <w:spacing w:val="-42"/>
        </w:rPr>
        <w:t> </w:t>
      </w:r>
      <w:r>
        <w:rPr/>
        <w:t>余种自有品牌产品体系，完全满足国内各类用户数据中心基础需求的全线解决方 </w:t>
      </w:r>
      <w:r>
        <w:rPr>
          <w:spacing w:val="-2"/>
        </w:rPr>
        <w:t>案。另外，作为华为的核心战略合作伙伴，公司携手华为在鲲鹏生态合作业务领域取得了重大进展：与厦门市政府签署了战</w:t>
      </w:r>
      <w:r>
        <w:rPr>
          <w:spacing w:val="-64"/>
        </w:rPr>
        <w:t> </w:t>
      </w:r>
      <w:r>
        <w:rPr>
          <w:spacing w:val="-64"/>
        </w:rPr>
      </w:r>
      <w:r>
        <w:rPr/>
        <w:t>略合作框架协议，合力建设鲲鹏服务器和</w:t>
      </w:r>
      <w:r>
        <w:rPr>
          <w:spacing w:val="-41"/>
        </w:rPr>
        <w:t> </w:t>
      </w:r>
      <w:r>
        <w:rPr>
          <w:rFonts w:ascii="宋体" w:hAnsi="宋体" w:cs="宋体" w:eastAsia="宋体" w:hint="default"/>
        </w:rPr>
        <w:t>PC</w:t>
      </w:r>
      <w:r>
        <w:rPr>
          <w:rFonts w:ascii="宋体" w:hAnsi="宋体" w:cs="宋体" w:eastAsia="宋体" w:hint="default"/>
          <w:spacing w:val="-41"/>
        </w:rPr>
        <w:t> </w:t>
      </w:r>
      <w:r>
        <w:rPr/>
        <w:t>产品生产基地及超算中心，依托鲲鹏生态，打造自主、核心产品体系，并融入 </w:t>
      </w:r>
      <w:r>
        <w:rPr>
          <w:spacing w:val="-2"/>
        </w:rPr>
        <w:t>行业解决方案的能力。公司将以创新应用产品和技术服务，持续推动鲲鹏产业生态发展，全面携手合作伙伴，共同为各行各</w:t>
      </w:r>
      <w:r>
        <w:rPr>
          <w:spacing w:val="-65"/>
        </w:rPr>
        <w:t> </w:t>
      </w:r>
      <w:r>
        <w:rPr>
          <w:spacing w:val="-65"/>
        </w:rPr>
      </w:r>
      <w:r>
        <w:rPr/>
        <w:t>业提供基于鲲鹏生态的</w:t>
      </w:r>
      <w:r>
        <w:rPr>
          <w:spacing w:val="-45"/>
        </w:rPr>
        <w:t> </w:t>
      </w:r>
      <w:r>
        <w:rPr>
          <w:rFonts w:ascii="宋体" w:hAnsi="宋体" w:cs="宋体" w:eastAsia="宋体" w:hint="default"/>
        </w:rPr>
        <w:t>IT</w:t>
      </w:r>
      <w:r>
        <w:rPr>
          <w:rFonts w:ascii="宋体" w:hAnsi="宋体" w:cs="宋体" w:eastAsia="宋体" w:hint="default"/>
          <w:spacing w:val="-45"/>
        </w:rPr>
        <w:t> </w:t>
      </w:r>
      <w:r>
        <w:rPr/>
        <w:t>基础设施及行业应用。</w:t>
      </w:r>
    </w:p>
    <w:p>
      <w:pPr>
        <w:pStyle w:val="Heading4"/>
        <w:spacing w:line="240" w:lineRule="auto" w:before="69"/>
        <w:ind w:right="0"/>
        <w:jc w:val="left"/>
        <w:rPr>
          <w:b w:val="0"/>
          <w:bCs w:val="0"/>
        </w:rPr>
      </w:pPr>
      <w:r>
        <w:rPr/>
        <w:t>（三）</w:t>
      </w:r>
      <w:r>
        <w:rPr>
          <w:rFonts w:ascii="宋体" w:hAnsi="宋体" w:cs="宋体" w:eastAsia="宋体" w:hint="default"/>
        </w:rPr>
        <w:t>IT</w:t>
      </w:r>
      <w:r>
        <w:rPr>
          <w:rFonts w:ascii="宋体" w:hAnsi="宋体" w:cs="宋体" w:eastAsia="宋体" w:hint="default"/>
          <w:spacing w:val="-47"/>
        </w:rPr>
        <w:t> </w:t>
      </w:r>
      <w:r>
        <w:rPr/>
        <w:t>分销和增值服务业务</w:t>
      </w:r>
      <w:r>
        <w:rPr>
          <w:b w:val="0"/>
          <w:bCs w:val="0"/>
        </w:rPr>
      </w:r>
    </w:p>
    <w:p>
      <w:pPr>
        <w:pStyle w:val="BodyText"/>
        <w:spacing w:line="240" w:lineRule="auto" w:before="139"/>
        <w:ind w:left="513" w:right="0"/>
        <w:jc w:val="left"/>
      </w:pPr>
      <w:r>
        <w:rPr/>
        <w:t>公司是中国最大的、涉及领域最广的</w:t>
      </w:r>
      <w:r>
        <w:rPr>
          <w:spacing w:val="-42"/>
        </w:rPr>
        <w:t> </w:t>
      </w:r>
      <w:r>
        <w:rPr>
          <w:rFonts w:ascii="宋体" w:hAnsi="宋体" w:cs="宋体" w:eastAsia="宋体" w:hint="default"/>
        </w:rPr>
        <w:t>IT</w:t>
      </w:r>
      <w:r>
        <w:rPr>
          <w:rFonts w:ascii="宋体" w:hAnsi="宋体" w:cs="宋体" w:eastAsia="宋体" w:hint="default"/>
          <w:spacing w:val="-41"/>
        </w:rPr>
        <w:t> </w:t>
      </w:r>
      <w:r>
        <w:rPr/>
        <w:t>领域分销和增值服务商。经过二十多年的积累，公司建立了国内覆盖范围最广</w:t>
      </w:r>
    </w:p>
    <w:p>
      <w:pPr>
        <w:pStyle w:val="BodyText"/>
        <w:spacing w:line="316" w:lineRule="auto" w:before="76"/>
        <w:ind w:right="1130"/>
        <w:jc w:val="both"/>
      </w:pPr>
      <w:r>
        <w:rPr/>
        <w:t>（遍布国内</w:t>
      </w:r>
      <w:r>
        <w:rPr>
          <w:spacing w:val="-33"/>
        </w:rPr>
        <w:t> </w:t>
      </w:r>
      <w:r>
        <w:rPr>
          <w:rFonts w:ascii="宋体" w:hAnsi="宋体" w:cs="宋体" w:eastAsia="宋体" w:hint="default"/>
          <w:spacing w:val="-1"/>
        </w:rPr>
        <w:t>1000</w:t>
      </w:r>
      <w:r>
        <w:rPr>
          <w:rFonts w:ascii="宋体" w:hAnsi="宋体" w:cs="宋体" w:eastAsia="宋体" w:hint="default"/>
          <w:spacing w:val="-32"/>
        </w:rPr>
        <w:t> </w:t>
      </w:r>
      <w:r>
        <w:rPr>
          <w:spacing w:val="-7"/>
        </w:rPr>
        <w:t>余座城市）、生态规模最大（涵盖</w:t>
      </w:r>
      <w:r>
        <w:rPr>
          <w:spacing w:val="-33"/>
        </w:rPr>
        <w:t> </w:t>
      </w:r>
      <w:r>
        <w:rPr>
          <w:rFonts w:ascii="宋体" w:hAnsi="宋体" w:cs="宋体" w:eastAsia="宋体" w:hint="default"/>
          <w:spacing w:val="-1"/>
        </w:rPr>
        <w:t>30000</w:t>
      </w:r>
      <w:r>
        <w:rPr>
          <w:rFonts w:ascii="宋体" w:hAnsi="宋体" w:cs="宋体" w:eastAsia="宋体" w:hint="default"/>
          <w:spacing w:val="-32"/>
        </w:rPr>
        <w:t> </w:t>
      </w:r>
      <w:r>
        <w:rPr>
          <w:spacing w:val="-4"/>
        </w:rPr>
        <w:t>余家渠道合作伙伴）、运营效率最高（存货周转率和资金成本等运</w:t>
      </w:r>
      <w:r>
        <w:rPr>
          <w:spacing w:val="-88"/>
        </w:rPr>
        <w:t> </w:t>
      </w:r>
      <w:r>
        <w:rPr>
          <w:spacing w:val="-88"/>
        </w:rPr>
      </w:r>
      <w:r>
        <w:rPr/>
        <w:t>营效率指标均显著高于行业平均水平）的</w:t>
      </w:r>
      <w:r>
        <w:rPr>
          <w:spacing w:val="-42"/>
        </w:rPr>
        <w:t> </w:t>
      </w:r>
      <w:r>
        <w:rPr>
          <w:rFonts w:ascii="宋体" w:hAnsi="宋体" w:cs="宋体" w:eastAsia="宋体" w:hint="default"/>
        </w:rPr>
        <w:t>To</w:t>
      </w:r>
      <w:r>
        <w:rPr>
          <w:rFonts w:ascii="宋体" w:hAnsi="宋体" w:cs="宋体" w:eastAsia="宋体" w:hint="default"/>
          <w:spacing w:val="1"/>
        </w:rPr>
        <w:t> </w:t>
      </w:r>
      <w:r>
        <w:rPr>
          <w:rFonts w:ascii="宋体" w:hAnsi="宋体" w:cs="宋体" w:eastAsia="宋体" w:hint="default"/>
        </w:rPr>
        <w:t>B</w:t>
      </w:r>
      <w:r>
        <w:rPr>
          <w:rFonts w:ascii="宋体" w:hAnsi="宋体" w:cs="宋体" w:eastAsia="宋体" w:hint="default"/>
          <w:spacing w:val="-42"/>
        </w:rPr>
        <w:t> </w:t>
      </w:r>
      <w:r>
        <w:rPr/>
        <w:t>营销渠道网络。该渠道网络长期服务并深度融合国内海量企业级客户，资源 价值极大、经营壁垒极高，是国内外科技类厂商进入中国企业级</w:t>
      </w:r>
      <w:r>
        <w:rPr>
          <w:spacing w:val="-41"/>
        </w:rPr>
        <w:t> </w:t>
      </w:r>
      <w:r>
        <w:rPr>
          <w:rFonts w:ascii="宋体" w:hAnsi="宋体" w:cs="宋体" w:eastAsia="宋体" w:hint="default"/>
        </w:rPr>
        <w:t>IT</w:t>
      </w:r>
      <w:r>
        <w:rPr>
          <w:rFonts w:ascii="宋体" w:hAnsi="宋体" w:cs="宋体" w:eastAsia="宋体" w:hint="default"/>
          <w:spacing w:val="-41"/>
        </w:rPr>
        <w:t> </w:t>
      </w:r>
      <w:r>
        <w:rPr/>
        <w:t>市场的首选合作伙伴。经营涵盖的产品包括移动办公设 备、计算机配件、智能硬件、物联网设备、笔记本电脑、显示设备、服务器、存储设备、网络设备应用软件等上万种</w:t>
      </w:r>
      <w:r>
        <w:rPr>
          <w:spacing w:val="-40"/>
        </w:rPr>
        <w:t> </w:t>
      </w:r>
      <w:r>
        <w:rPr>
          <w:rFonts w:ascii="宋体" w:hAnsi="宋体" w:cs="宋体" w:eastAsia="宋体" w:hint="default"/>
        </w:rPr>
        <w:t>IT</w:t>
      </w:r>
      <w:r>
        <w:rPr>
          <w:rFonts w:ascii="宋体" w:hAnsi="宋体" w:cs="宋体" w:eastAsia="宋体" w:hint="default"/>
          <w:spacing w:val="-41"/>
        </w:rPr>
        <w:t> </w:t>
      </w:r>
      <w:r>
        <w:rPr/>
        <w:t>产</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2"/>
        <w:jc w:val="both"/>
      </w:pPr>
      <w:r>
        <w:rPr/>
        <w:t>品，连续十几年蝉联</w:t>
      </w:r>
      <w:r>
        <w:rPr>
          <w:spacing w:val="-42"/>
        </w:rPr>
        <w:t> </w:t>
      </w:r>
      <w:r>
        <w:rPr>
          <w:rFonts w:ascii="宋体" w:hAnsi="宋体" w:cs="宋体" w:eastAsia="宋体" w:hint="default"/>
        </w:rPr>
        <w:t>IT</w:t>
      </w:r>
      <w:r>
        <w:rPr>
          <w:rFonts w:ascii="宋体" w:hAnsi="宋体" w:cs="宋体" w:eastAsia="宋体" w:hint="default"/>
          <w:spacing w:val="-41"/>
        </w:rPr>
        <w:t> </w:t>
      </w:r>
      <w:r>
        <w:rPr/>
        <w:t>分销领域国内市场第一。在为广大企业级客户及消费者提供丰富电子产品的同时，公司已经累计为 超过</w:t>
      </w:r>
      <w:r>
        <w:rPr>
          <w:spacing w:val="-37"/>
        </w:rPr>
        <w:t> </w:t>
      </w:r>
      <w:r>
        <w:rPr>
          <w:rFonts w:ascii="宋体" w:hAnsi="宋体" w:cs="宋体" w:eastAsia="宋体" w:hint="default"/>
          <w:spacing w:val="-1"/>
        </w:rPr>
        <w:t>100</w:t>
      </w:r>
      <w:r>
        <w:rPr>
          <w:rFonts w:ascii="宋体" w:hAnsi="宋体" w:cs="宋体" w:eastAsia="宋体" w:hint="default"/>
          <w:spacing w:val="-37"/>
        </w:rPr>
        <w:t> </w:t>
      </w:r>
      <w:r>
        <w:rPr>
          <w:spacing w:val="-2"/>
        </w:rPr>
        <w:t>万家中国企业提供数字化转型所需要的产品、解决方案和服务。面对以云计算为重要标志的数字化转型大潮以及构</w:t>
      </w:r>
      <w:r>
        <w:rPr/>
        <w:t> 建鲲鹏生态带来的市场新机遇，公司强大的</w:t>
      </w:r>
      <w:r>
        <w:rPr>
          <w:spacing w:val="-45"/>
        </w:rPr>
        <w:t> </w:t>
      </w:r>
      <w:r>
        <w:rPr>
          <w:rFonts w:ascii="宋体" w:hAnsi="宋体" w:cs="宋体" w:eastAsia="宋体" w:hint="default"/>
        </w:rPr>
        <w:t>To</w:t>
      </w:r>
      <w:r>
        <w:rPr>
          <w:rFonts w:ascii="宋体" w:hAnsi="宋体" w:cs="宋体" w:eastAsia="宋体" w:hint="default"/>
          <w:spacing w:val="-2"/>
        </w:rPr>
        <w:t> </w:t>
      </w:r>
      <w:r>
        <w:rPr>
          <w:rFonts w:ascii="宋体" w:hAnsi="宋体" w:cs="宋体" w:eastAsia="宋体" w:hint="default"/>
        </w:rPr>
        <w:t>B</w:t>
      </w:r>
      <w:r>
        <w:rPr>
          <w:rFonts w:ascii="宋体" w:hAnsi="宋体" w:cs="宋体" w:eastAsia="宋体" w:hint="default"/>
          <w:spacing w:val="-44"/>
        </w:rPr>
        <w:t> </w:t>
      </w:r>
      <w:r>
        <w:rPr/>
        <w:t>营销渠道网络和企业级客户覆盖能力将迅速展现出巨大的增值空间。</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BodyText"/>
        <w:spacing w:line="240" w:lineRule="auto" w:before="44"/>
        <w:ind w:left="0" w:right="1136"/>
        <w:jc w:val="right"/>
      </w:pPr>
      <w:r>
        <w:rPr/>
        <w:pict>
          <v:shape style="position:absolute;margin-left:56.459999pt;margin-top:-197.438293pt;width:479.2pt;height:268.6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0"/>
                    <w:gridCol w:w="6519"/>
                  </w:tblGrid>
                  <w:tr>
                    <w:trPr>
                      <w:trHeight w:val="76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31,449.40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73,014.62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万元，与期初相比增长</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132.17%</w:t>
                        </w:r>
                        <w:r>
                          <w:rPr>
                            <w:rFonts w:ascii="宋体" w:hAnsi="宋体" w:cs="宋体" w:eastAsia="宋体" w:hint="default"/>
                            <w:sz w:val="18"/>
                            <w:szCs w:val="18"/>
                          </w:rPr>
                          <w:t>，主要原因是本报告期深圳土地项目工程投入增加；</w:t>
                        </w:r>
                      </w:p>
                    </w:tc>
                  </w:tr>
                  <w:tr>
                    <w:trPr>
                      <w:trHeight w:val="102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货币资金期初余额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161,715.62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400,003.39 </w:t>
                        </w:r>
                        <w:r>
                          <w:rPr>
                            <w:rFonts w:ascii="宋体" w:hAnsi="宋体" w:cs="宋体" w:eastAsia="宋体" w:hint="default"/>
                            <w:sz w:val="18"/>
                            <w:szCs w:val="18"/>
                          </w:rPr>
                          <w:t>万元，与期初相比增长 </w:t>
                        </w:r>
                        <w:r>
                          <w:rPr>
                            <w:rFonts w:ascii="Times New Roman" w:hAnsi="Times New Roman" w:cs="Times New Roman" w:eastAsia="Times New Roman" w:hint="default"/>
                            <w:sz w:val="18"/>
                            <w:szCs w:val="18"/>
                          </w:rPr>
                          <w:t>147.35%</w:t>
                        </w:r>
                        <w:r>
                          <w:rPr>
                            <w:rFonts w:ascii="宋体" w:hAnsi="宋体" w:cs="宋体" w:eastAsia="宋体" w:hint="default"/>
                            <w:sz w:val="18"/>
                            <w:szCs w:val="18"/>
                          </w:rPr>
                          <w:t>，主要原因是本报告期销售回款带来的经营性现金流以及发行资产证券化 产品等带来的筹资性现金流流入；</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89,185.17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34,081.93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万元，与期初相比减少</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61.79%</w:t>
                        </w:r>
                        <w:r>
                          <w:rPr>
                            <w:rFonts w:ascii="宋体" w:hAnsi="宋体" w:cs="宋体" w:eastAsia="宋体" w:hint="default"/>
                            <w:sz w:val="18"/>
                            <w:szCs w:val="18"/>
                          </w:rPr>
                          <w:t>，主要原因是本报告期应收商业承兑汇票到期解付；</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应收款项融资期初余额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29,926.03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万元，期末余额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39,195.42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万元，与期初相比增长</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30.97%</w:t>
                        </w:r>
                        <w:r>
                          <w:rPr>
                            <w:rFonts w:ascii="宋体" w:hAnsi="宋体" w:cs="宋体" w:eastAsia="宋体" w:hint="default"/>
                            <w:sz w:val="18"/>
                            <w:szCs w:val="18"/>
                          </w:rPr>
                          <w:t>，主要原因是本报告期银行承兑汇票支付结算货款增加；</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存货期初余额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期末余额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与</w:t>
                        </w:r>
                        <w:r>
                          <w:rPr>
                            <w:rFonts w:ascii="宋体" w:hAnsi="宋体" w:cs="宋体" w:eastAsia="宋体" w:hint="default"/>
                            <w:spacing w:val="-3"/>
                            <w:sz w:val="18"/>
                            <w:szCs w:val="18"/>
                          </w:rPr>
                          <w:t>期</w:t>
                        </w:r>
                        <w:r>
                          <w:rPr>
                            <w:rFonts w:ascii="宋体" w:hAnsi="宋体" w:cs="宋体" w:eastAsia="宋体" w:hint="default"/>
                            <w:sz w:val="18"/>
                            <w:szCs w:val="18"/>
                          </w:rPr>
                          <w:t>初相比增长</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主要原因是本报告期采购备货增加；</w:t>
                        </w:r>
                      </w:p>
                    </w:tc>
                  </w:tr>
                  <w:tr>
                    <w:trPr>
                      <w:trHeight w:val="716"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其他非流动金融资产期初余额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万元，与期初相比 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95.96%</w:t>
                        </w:r>
                        <w:r>
                          <w:rPr>
                            <w:rFonts w:ascii="宋体" w:hAnsi="宋体" w:cs="宋体" w:eastAsia="宋体" w:hint="default"/>
                            <w:sz w:val="18"/>
                            <w:szCs w:val="18"/>
                          </w:rPr>
                          <w:t>，主要原因是本报告期出售参股公司；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right="1130" w:firstLine="360"/>
        <w:jc w:val="both"/>
      </w:pPr>
      <w:r>
        <w:rPr>
          <w:spacing w:val="-2"/>
        </w:rPr>
        <w:t>成立至今，公司始终践行数字中国使命。近年来在国内数字化转型不断推进的大背景下，在云计算和数字化转型领域也</w:t>
      </w:r>
      <w:r>
        <w:rPr/>
        <w:t> 迅速建立和积累了显著的竞争优势，具体如下：</w:t>
      </w:r>
    </w:p>
    <w:p>
      <w:pPr>
        <w:pStyle w:val="BodyText"/>
        <w:spacing w:line="240" w:lineRule="auto" w:before="69"/>
        <w:ind w:left="513" w:right="0"/>
        <w:jc w:val="left"/>
      </w:pPr>
      <w:r>
        <w:rPr>
          <w:rFonts w:ascii="宋体" w:hAnsi="宋体" w:cs="宋体" w:eastAsia="宋体" w:hint="default"/>
        </w:rPr>
        <w:t>1</w:t>
      </w:r>
      <w:r>
        <w:rPr/>
        <w:t>、国内领先的云计算产业相关服务技术优势</w:t>
      </w:r>
    </w:p>
    <w:p>
      <w:pPr>
        <w:spacing w:line="240" w:lineRule="auto" w:before="6"/>
        <w:rPr>
          <w:rFonts w:ascii="宋体" w:hAnsi="宋体" w:cs="宋体" w:eastAsia="宋体" w:hint="default"/>
          <w:sz w:val="12"/>
          <w:szCs w:val="12"/>
        </w:rPr>
      </w:pPr>
    </w:p>
    <w:p>
      <w:pPr>
        <w:pStyle w:val="BodyText"/>
        <w:spacing w:line="364" w:lineRule="auto"/>
        <w:ind w:right="1131" w:firstLine="360"/>
        <w:jc w:val="both"/>
      </w:pPr>
      <w:r>
        <w:rPr>
          <w:spacing w:val="-1"/>
        </w:rPr>
        <w:t>公司云计算团队技术实力雄厚，全集团已获得微软、</w:t>
      </w:r>
      <w:r>
        <w:rPr>
          <w:rFonts w:ascii="宋体" w:hAnsi="宋体" w:cs="宋体" w:eastAsia="宋体" w:hint="default"/>
          <w:spacing w:val="-1"/>
        </w:rPr>
        <w:t>AWS</w:t>
      </w:r>
      <w:r>
        <w:rPr>
          <w:spacing w:val="-1"/>
        </w:rPr>
        <w:t>、阿里云、</w:t>
      </w:r>
      <w:r>
        <w:rPr>
          <w:rFonts w:ascii="宋体" w:hAnsi="宋体" w:cs="宋体" w:eastAsia="宋体" w:hint="default"/>
          <w:spacing w:val="-1"/>
        </w:rPr>
        <w:t>Red</w:t>
      </w:r>
      <w:r>
        <w:rPr>
          <w:rFonts w:ascii="宋体" w:hAnsi="宋体" w:cs="宋体" w:eastAsia="宋体" w:hint="default"/>
          <w:spacing w:val="-36"/>
        </w:rPr>
        <w:t> </w:t>
      </w:r>
      <w:r>
        <w:rPr>
          <w:rFonts w:ascii="宋体" w:hAnsi="宋体" w:cs="宋体" w:eastAsia="宋体" w:hint="default"/>
          <w:spacing w:val="-1"/>
        </w:rPr>
        <w:t>Hat</w:t>
      </w:r>
      <w:r>
        <w:rPr>
          <w:spacing w:val="-1"/>
        </w:rPr>
        <w:t>、</w:t>
      </w:r>
      <w:r>
        <w:rPr>
          <w:rFonts w:ascii="宋体" w:hAnsi="宋体" w:cs="宋体" w:eastAsia="宋体" w:hint="default"/>
          <w:spacing w:val="-1"/>
        </w:rPr>
        <w:t>Oracle</w:t>
      </w:r>
      <w:r>
        <w:rPr>
          <w:spacing w:val="-1"/>
        </w:rPr>
        <w:t>、华为等国内外顶级云相关专业化</w:t>
      </w:r>
      <w:r>
        <w:rPr/>
        <w:t> </w:t>
      </w:r>
      <w:r>
        <w:rPr>
          <w:spacing w:val="-2"/>
        </w:rPr>
        <w:t>认证的人员超过</w:t>
      </w:r>
      <w:r>
        <w:rPr>
          <w:rFonts w:ascii="宋体" w:hAnsi="宋体" w:cs="宋体" w:eastAsia="宋体" w:hint="default"/>
          <w:spacing w:val="-2"/>
        </w:rPr>
        <w:t>500</w:t>
      </w:r>
      <w:r>
        <w:rPr>
          <w:spacing w:val="-2"/>
        </w:rPr>
        <w:t>人次。公司在云计算方面的技术优势主要包括：国内少数能够在多云环境下实现</w:t>
      </w:r>
      <w:r>
        <w:rPr>
          <w:rFonts w:ascii="宋体" w:hAnsi="宋体" w:cs="宋体" w:eastAsia="宋体" w:hint="default"/>
          <w:spacing w:val="-2"/>
        </w:rPr>
        <w:t>MSP</w:t>
      </w:r>
      <w:r>
        <w:rPr>
          <w:spacing w:val="-2"/>
        </w:rPr>
        <w:t>服务的企业、国内极</w:t>
      </w:r>
      <w:r>
        <w:rPr>
          <w:spacing w:val="-62"/>
        </w:rPr>
        <w:t> </w:t>
      </w:r>
      <w:r>
        <w:rPr>
          <w:spacing w:val="-62"/>
        </w:rPr>
      </w:r>
      <w:r>
        <w:rPr>
          <w:spacing w:val="-2"/>
        </w:rPr>
        <w:t>少数能够实现对云平台原生</w:t>
      </w:r>
      <w:r>
        <w:rPr>
          <w:rFonts w:ascii="宋体" w:hAnsi="宋体" w:cs="宋体" w:eastAsia="宋体" w:hint="default"/>
          <w:spacing w:val="-2"/>
        </w:rPr>
        <w:t>PaaS</w:t>
      </w:r>
      <w:r>
        <w:rPr>
          <w:spacing w:val="-2"/>
        </w:rPr>
        <w:t>监控的企业、国内极少数能够帮助客户在多云环境下实现数字化应用开发的企业。公司对</w:t>
      </w:r>
      <w:r>
        <w:rPr>
          <w:rFonts w:ascii="宋体" w:hAnsi="宋体" w:cs="宋体" w:eastAsia="宋体" w:hint="default"/>
          <w:spacing w:val="-2"/>
        </w:rPr>
        <w:t>3A</w:t>
      </w:r>
      <w:r>
        <w:rPr>
          <w:rFonts w:ascii="宋体" w:hAnsi="宋体" w:cs="宋体" w:eastAsia="宋体" w:hint="default"/>
          <w:spacing w:val="-63"/>
        </w:rPr>
        <w:t> </w:t>
      </w:r>
      <w:r>
        <w:rPr>
          <w:spacing w:val="-3"/>
        </w:rPr>
        <w:t>等主流云厂商的</w:t>
      </w:r>
      <w:r>
        <w:rPr>
          <w:rFonts w:ascii="宋体" w:hAnsi="宋体" w:cs="宋体" w:eastAsia="宋体" w:hint="default"/>
          <w:spacing w:val="-3"/>
        </w:rPr>
        <w:t>IaaS+PaaS</w:t>
      </w:r>
      <w:r>
        <w:rPr>
          <w:spacing w:val="-3"/>
        </w:rPr>
        <w:t>架构和技术非常熟悉，拥有基于</w:t>
      </w:r>
      <w:r>
        <w:rPr>
          <w:rFonts w:ascii="宋体" w:hAnsi="宋体" w:cs="宋体" w:eastAsia="宋体" w:hint="default"/>
          <w:spacing w:val="-3"/>
        </w:rPr>
        <w:t>3A</w:t>
      </w:r>
      <w:r>
        <w:rPr>
          <w:spacing w:val="-3"/>
        </w:rPr>
        <w:t>平台、开源平台以及混合云架构的技术服务能力；具备从设计，</w:t>
      </w:r>
      <w:r>
        <w:rPr>
          <w:spacing w:val="-88"/>
        </w:rPr>
        <w:t> </w:t>
      </w:r>
      <w:r>
        <w:rPr>
          <w:spacing w:val="-88"/>
        </w:rPr>
      </w:r>
      <w:r>
        <w:rPr/>
        <w:t>到实施，到开发的全生命周期云专业服务（</w:t>
      </w:r>
      <w:r>
        <w:rPr>
          <w:rFonts w:ascii="宋体" w:hAnsi="宋体" w:cs="宋体" w:eastAsia="宋体" w:hint="default"/>
        </w:rPr>
        <w:t>CPS</w:t>
      </w:r>
      <w:r>
        <w:rPr/>
        <w:t>）能力；利用自主研发、国内领先的云管理平台，为客户提供自动化的开发</w:t>
      </w:r>
      <w:r>
        <w:rPr>
          <w:spacing w:val="-84"/>
        </w:rPr>
        <w:t> </w:t>
      </w:r>
      <w:r>
        <w:rPr>
          <w:spacing w:val="-84"/>
        </w:rPr>
      </w:r>
      <w:r>
        <w:rPr/>
        <w:t>运维服务；具备为</w:t>
      </w:r>
      <w:r>
        <w:rPr>
          <w:rFonts w:ascii="宋体" w:hAnsi="宋体" w:cs="宋体" w:eastAsia="宋体" w:hint="default"/>
        </w:rPr>
        <w:t>SAP</w:t>
      </w:r>
      <w:r>
        <w:rPr/>
        <w:t>、</w:t>
      </w:r>
      <w:r>
        <w:rPr>
          <w:rFonts w:ascii="宋体" w:hAnsi="宋体" w:cs="宋体" w:eastAsia="宋体" w:hint="default"/>
        </w:rPr>
        <w:t>Salesforce</w:t>
      </w:r>
      <w:r>
        <w:rPr/>
        <w:t>等国内外巨头</w:t>
      </w:r>
      <w:r>
        <w:rPr>
          <w:rFonts w:ascii="宋体" w:hAnsi="宋体" w:cs="宋体" w:eastAsia="宋体" w:hint="default"/>
        </w:rPr>
        <w:t>SaaS</w:t>
      </w:r>
      <w:r>
        <w:rPr/>
        <w:t>厂商提供交付和实施服务的能力。</w:t>
      </w:r>
    </w:p>
    <w:p>
      <w:pPr>
        <w:pStyle w:val="BodyText"/>
        <w:spacing w:line="240" w:lineRule="auto" w:before="69"/>
        <w:ind w:left="513" w:right="0"/>
        <w:jc w:val="left"/>
      </w:pPr>
      <w:r>
        <w:rPr>
          <w:rFonts w:ascii="宋体" w:hAnsi="宋体" w:cs="宋体" w:eastAsia="宋体" w:hint="default"/>
        </w:rPr>
        <w:t>2</w:t>
      </w:r>
      <w:r>
        <w:rPr/>
        <w:t>、产业级云计算服务业务成功案例的成熟经验优势</w:t>
      </w:r>
    </w:p>
    <w:p>
      <w:pPr>
        <w:spacing w:after="0" w:line="240" w:lineRule="auto"/>
        <w:jc w:val="left"/>
        <w:sectPr>
          <w:pgSz w:w="11910" w:h="16840"/>
          <w:pgMar w:header="877" w:footer="980"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before="44"/>
        <w:ind w:right="1034" w:firstLine="360"/>
        <w:jc w:val="left"/>
      </w:pPr>
      <w:r>
        <w:rPr>
          <w:spacing w:val="-2"/>
        </w:rPr>
        <w:t>在顶尖行业客户的信任同自身技术实力的见证下，公司积累了大量成功的行业云服务成熟运营经验，以及世界五百强客</w:t>
      </w:r>
      <w:r>
        <w:rPr/>
        <w:t> </w:t>
      </w:r>
      <w:r>
        <w:rPr>
          <w:spacing w:val="-4"/>
        </w:rPr>
        <w:t>户为代表的标杆性成功案例方案。公司累计服务超过</w:t>
      </w:r>
      <w:r>
        <w:rPr>
          <w:rFonts w:ascii="宋体" w:hAnsi="宋体" w:cs="宋体" w:eastAsia="宋体" w:hint="default"/>
          <w:spacing w:val="-4"/>
        </w:rPr>
        <w:t>100</w:t>
      </w:r>
      <w:r>
        <w:rPr>
          <w:spacing w:val="-4"/>
        </w:rPr>
        <w:t>家中大型企业（不包含纯转售业务客户），其中世界五百强客户超过</w:t>
      </w:r>
      <w:r>
        <w:rPr>
          <w:spacing w:val="-41"/>
        </w:rPr>
        <w:t> </w:t>
      </w:r>
      <w:r>
        <w:rPr>
          <w:spacing w:val="-41"/>
        </w:rPr>
      </w:r>
      <w:r>
        <w:rPr>
          <w:rFonts w:ascii="宋体" w:hAnsi="宋体" w:cs="宋体" w:eastAsia="宋体" w:hint="default"/>
        </w:rPr>
        <w:t>30</w:t>
      </w:r>
      <w:r>
        <w:rPr/>
        <w:t>家，重点客户云计算业务年收入超过</w:t>
      </w:r>
      <w:r>
        <w:rPr>
          <w:rFonts w:ascii="宋体" w:hAnsi="宋体" w:cs="宋体" w:eastAsia="宋体" w:hint="default"/>
        </w:rPr>
        <w:t>1000</w:t>
      </w:r>
      <w:r>
        <w:rPr/>
        <w:t>万元且依然保持高速增长，实现了单体客户云运维服务收入过亿元的重大突破，</w:t>
      </w:r>
      <w:r>
        <w:rPr>
          <w:spacing w:val="-84"/>
        </w:rPr>
        <w:t> </w:t>
      </w:r>
      <w:r>
        <w:rPr>
          <w:spacing w:val="-84"/>
        </w:rPr>
      </w:r>
      <w:r>
        <w:rPr>
          <w:spacing w:val="-2"/>
        </w:rPr>
        <w:t>全方位、多角度、全生命周期地协助客户基于云计算进行数字化转型。此外，通过长期服务行业顶级客户，公司积累了包括</w:t>
      </w:r>
      <w:r>
        <w:rPr>
          <w:spacing w:val="-66"/>
        </w:rPr>
        <w:t> </w:t>
      </w:r>
      <w:r>
        <w:rPr>
          <w:spacing w:val="-66"/>
        </w:rPr>
      </w:r>
      <w:r>
        <w:rPr>
          <w:spacing w:val="-2"/>
        </w:rPr>
        <w:t>大数据、物联网、人工智能、混合现实、智能制造、视讯云、云桌面、行业专有云等</w:t>
      </w:r>
      <w:r>
        <w:rPr>
          <w:rFonts w:ascii="宋体" w:hAnsi="宋体" w:cs="宋体" w:eastAsia="宋体" w:hint="default"/>
          <w:spacing w:val="-2"/>
        </w:rPr>
        <w:t>17</w:t>
      </w:r>
      <w:r>
        <w:rPr>
          <w:spacing w:val="-2"/>
        </w:rPr>
        <w:t>类自主产权的公有云解决方案并实现</w:t>
      </w:r>
      <w:r>
        <w:rPr>
          <w:spacing w:val="-71"/>
        </w:rPr>
        <w:t> </w:t>
      </w:r>
      <w:r>
        <w:rPr>
          <w:spacing w:val="-71"/>
        </w:rPr>
      </w:r>
      <w:r>
        <w:rPr/>
        <w:t>了重点行业解决方案产品化。</w:t>
      </w:r>
    </w:p>
    <w:p>
      <w:pPr>
        <w:pStyle w:val="BodyText"/>
        <w:spacing w:line="405" w:lineRule="auto" w:before="71"/>
        <w:ind w:left="513" w:right="1123"/>
        <w:jc w:val="left"/>
      </w:pPr>
      <w:r>
        <w:rPr>
          <w:rFonts w:ascii="宋体" w:hAnsi="宋体" w:cs="宋体" w:eastAsia="宋体" w:hint="default"/>
        </w:rPr>
        <w:t>3</w:t>
      </w:r>
      <w:r>
        <w:rPr/>
        <w:t>、顶尖的云资源优势和云业务全牌照资质 公司与国内外各大云厂商巨头保持了长期紧密的合作关系，同时拥有阿里云钻石合作伙伴及</w:t>
      </w:r>
      <w:r>
        <w:rPr>
          <w:rFonts w:ascii="宋体" w:hAnsi="宋体" w:cs="宋体" w:eastAsia="宋体" w:hint="default"/>
        </w:rPr>
        <w:t>MSP</w:t>
      </w:r>
      <w:r>
        <w:rPr/>
        <w:t>认证服务商的核心合作</w:t>
      </w:r>
    </w:p>
    <w:p>
      <w:pPr>
        <w:pStyle w:val="BodyText"/>
        <w:spacing w:line="364" w:lineRule="auto"/>
        <w:ind w:right="1128"/>
        <w:jc w:val="both"/>
      </w:pPr>
      <w:r>
        <w:rPr/>
        <w:t>伙伴、</w:t>
      </w:r>
      <w:r>
        <w:rPr>
          <w:rFonts w:ascii="宋体" w:hAnsi="宋体" w:cs="宋体" w:eastAsia="宋体" w:hint="default"/>
        </w:rPr>
        <w:t>Azure</w:t>
      </w:r>
      <w:r>
        <w:rPr/>
        <w:t>金牌合作伙伴、</w:t>
      </w:r>
      <w:r>
        <w:rPr>
          <w:rFonts w:ascii="宋体" w:hAnsi="宋体" w:cs="宋体" w:eastAsia="宋体" w:hint="default"/>
        </w:rPr>
        <w:t>AWS</w:t>
      </w:r>
      <w:r>
        <w:rPr/>
        <w:t>高级咨询合作伙伴的身份，也是首批通过</w:t>
      </w:r>
      <w:r>
        <w:rPr>
          <w:rFonts w:ascii="宋体" w:hAnsi="宋体" w:cs="宋体" w:eastAsia="宋体" w:hint="default"/>
        </w:rPr>
        <w:t>Oracle</w:t>
      </w:r>
      <w:r>
        <w:rPr>
          <w:rFonts w:ascii="宋体" w:hAnsi="宋体" w:cs="宋体" w:eastAsia="宋体" w:hint="default"/>
          <w:spacing w:val="-44"/>
        </w:rPr>
        <w:t> </w:t>
      </w:r>
      <w:r>
        <w:rPr>
          <w:rFonts w:ascii="宋体" w:hAnsi="宋体" w:cs="宋体" w:eastAsia="宋体" w:hint="default"/>
        </w:rPr>
        <w:t>Cloud</w:t>
      </w:r>
      <w:r>
        <w:rPr>
          <w:rFonts w:ascii="宋体" w:hAnsi="宋体" w:cs="宋体" w:eastAsia="宋体" w:hint="default"/>
          <w:spacing w:val="-44"/>
        </w:rPr>
        <w:t> </w:t>
      </w:r>
      <w:r>
        <w:rPr>
          <w:rFonts w:ascii="宋体" w:hAnsi="宋体" w:cs="宋体" w:eastAsia="宋体" w:hint="default"/>
        </w:rPr>
        <w:t>MSP</w:t>
      </w:r>
      <w:r>
        <w:rPr/>
        <w:t>认证的大中华区合作伙伴及华为 战略合作伙伴；以</w:t>
      </w:r>
      <w:r>
        <w:rPr>
          <w:rFonts w:ascii="宋体" w:hAnsi="宋体" w:cs="宋体" w:eastAsia="宋体" w:hint="default"/>
        </w:rPr>
        <w:t>MS</w:t>
      </w:r>
      <w:r>
        <w:rPr>
          <w:rFonts w:ascii="宋体" w:hAnsi="宋体" w:cs="宋体" w:eastAsia="宋体" w:hint="default"/>
          <w:spacing w:val="-4"/>
        </w:rPr>
        <w:t> </w:t>
      </w:r>
      <w:r>
        <w:rPr>
          <w:rFonts w:ascii="宋体" w:hAnsi="宋体" w:cs="宋体" w:eastAsia="宋体" w:hint="default"/>
        </w:rPr>
        <w:t>Office365</w:t>
      </w:r>
      <w:r>
        <w:rPr/>
        <w:t>、</w:t>
      </w:r>
      <w:r>
        <w:rPr>
          <w:rFonts w:ascii="宋体" w:hAnsi="宋体" w:cs="宋体" w:eastAsia="宋体" w:hint="default"/>
        </w:rPr>
        <w:t>Adobe</w:t>
      </w:r>
      <w:r>
        <w:rPr/>
        <w:t>、</w:t>
      </w:r>
      <w:r>
        <w:rPr>
          <w:rFonts w:ascii="宋体" w:hAnsi="宋体" w:cs="宋体" w:eastAsia="宋体" w:hint="default"/>
        </w:rPr>
        <w:t>Oracle</w:t>
      </w:r>
      <w:r>
        <w:rPr/>
        <w:t>、</w:t>
      </w:r>
      <w:r>
        <w:rPr>
          <w:rFonts w:ascii="宋体" w:hAnsi="宋体" w:cs="宋体" w:eastAsia="宋体" w:hint="default"/>
        </w:rPr>
        <w:t>Autodesk</w:t>
      </w:r>
      <w:r>
        <w:rPr/>
        <w:t>为主力，构建起汇聚</w:t>
      </w:r>
      <w:r>
        <w:rPr>
          <w:rFonts w:ascii="宋体" w:hAnsi="宋体" w:cs="宋体" w:eastAsia="宋体" w:hint="default"/>
        </w:rPr>
        <w:t>120</w:t>
      </w:r>
      <w:r>
        <w:rPr/>
        <w:t>余种主流云应用</w:t>
      </w:r>
      <w:r>
        <w:rPr>
          <w:rFonts w:ascii="宋体" w:hAnsi="宋体" w:cs="宋体" w:eastAsia="宋体" w:hint="default"/>
        </w:rPr>
        <w:t>SaaS</w:t>
      </w:r>
      <w:r>
        <w:rPr/>
        <w:t>资源、</w:t>
      </w:r>
      <w:r>
        <w:rPr>
          <w:rFonts w:ascii="宋体" w:hAnsi="宋体" w:cs="宋体" w:eastAsia="宋体" w:hint="default"/>
        </w:rPr>
        <w:t>600</w:t>
      </w:r>
      <w:r>
        <w:rPr/>
        <w:t>余家云 </w:t>
      </w:r>
      <w:r>
        <w:rPr>
          <w:spacing w:val="-3"/>
        </w:rPr>
        <w:t>生态合作伙伴资源的云资源池。另外，公司是国内少数拥有</w:t>
      </w:r>
      <w:r>
        <w:rPr>
          <w:rFonts w:ascii="宋体" w:hAnsi="宋体" w:cs="宋体" w:eastAsia="宋体" w:hint="default"/>
          <w:spacing w:val="-3"/>
        </w:rPr>
        <w:t>IDC</w:t>
      </w:r>
      <w:r>
        <w:rPr>
          <w:spacing w:val="-3"/>
        </w:rPr>
        <w:t>（含互联网资源协作）、</w:t>
      </w:r>
      <w:r>
        <w:rPr>
          <w:rFonts w:ascii="宋体" w:hAnsi="宋体" w:cs="宋体" w:eastAsia="宋体" w:hint="default"/>
          <w:spacing w:val="-3"/>
        </w:rPr>
        <w:t>ISP</w:t>
      </w:r>
      <w:r>
        <w:rPr>
          <w:spacing w:val="-3"/>
        </w:rPr>
        <w:t>、</w:t>
      </w:r>
      <w:r>
        <w:rPr>
          <w:rFonts w:ascii="宋体" w:hAnsi="宋体" w:cs="宋体" w:eastAsia="宋体" w:hint="default"/>
          <w:spacing w:val="-3"/>
        </w:rPr>
        <w:t>ICP</w:t>
      </w:r>
      <w:r>
        <w:rPr>
          <w:spacing w:val="-3"/>
        </w:rPr>
        <w:t>牌照且能够对接所有主流云</w:t>
      </w:r>
      <w:r>
        <w:rPr/>
        <w:t> </w:t>
      </w:r>
      <w:r>
        <w:rPr>
          <w:spacing w:val="-2"/>
        </w:rPr>
        <w:t>资源厂商的企业，公司广泛的云合作体系，能够为客户提供主流的、多样化的选择，使客户兼顾成本、适用性和拓展性做出</w:t>
      </w:r>
      <w:r>
        <w:rPr>
          <w:spacing w:val="-67"/>
        </w:rPr>
        <w:t> </w:t>
      </w:r>
      <w:r>
        <w:rPr>
          <w:spacing w:val="-67"/>
        </w:rPr>
      </w:r>
      <w:r>
        <w:rPr/>
        <w:t>最优选择。</w:t>
      </w:r>
    </w:p>
    <w:p>
      <w:pPr>
        <w:pStyle w:val="BodyText"/>
        <w:spacing w:line="408" w:lineRule="auto" w:before="69"/>
        <w:ind w:left="513" w:right="0"/>
        <w:jc w:val="left"/>
      </w:pPr>
      <w:r>
        <w:rPr>
          <w:rFonts w:ascii="宋体" w:hAnsi="宋体" w:cs="宋体" w:eastAsia="宋体" w:hint="default"/>
        </w:rPr>
        <w:t>4</w:t>
      </w:r>
      <w:r>
        <w:rPr/>
        <w:t>、从设计到制造的产品闭环管理体系 </w:t>
      </w:r>
      <w:r>
        <w:rPr>
          <w:spacing w:val="-2"/>
        </w:rPr>
        <w:t>公司多年来坚持自有品牌的创新和投入，在北京、深圳、上海、武汉等地建设大型研发中心，并累计获得了几百项专利</w:t>
      </w:r>
    </w:p>
    <w:p>
      <w:pPr>
        <w:pStyle w:val="BodyText"/>
        <w:spacing w:line="364" w:lineRule="auto"/>
        <w:ind w:right="1034"/>
        <w:jc w:val="left"/>
      </w:pPr>
      <w:r>
        <w:rPr/>
        <w:t>和自主知识产权。公司现已建立起从产品设计、研发、供应链管理，到售后服务的闭环管理体系，形成了覆盖网络、存储、</w:t>
      </w:r>
      <w:r>
        <w:rPr>
          <w:spacing w:val="-82"/>
        </w:rPr>
        <w:t> </w:t>
      </w:r>
      <w:r>
        <w:rPr>
          <w:spacing w:val="-82"/>
        </w:rPr>
      </w:r>
      <w:r>
        <w:rPr>
          <w:spacing w:val="-4"/>
        </w:rPr>
        <w:t>安全、大数据应用等在内的</w:t>
      </w:r>
      <w:r>
        <w:rPr>
          <w:rFonts w:ascii="宋体" w:hAnsi="宋体" w:cs="宋体" w:eastAsia="宋体" w:hint="default"/>
          <w:spacing w:val="-4"/>
        </w:rPr>
        <w:t>22</w:t>
      </w:r>
      <w:r>
        <w:rPr>
          <w:spacing w:val="-4"/>
        </w:rPr>
        <w:t>个品类</w:t>
      </w:r>
      <w:r>
        <w:rPr>
          <w:rFonts w:ascii="宋体" w:hAnsi="宋体" w:cs="宋体" w:eastAsia="宋体" w:hint="default"/>
          <w:spacing w:val="-4"/>
        </w:rPr>
        <w:t>600</w:t>
      </w:r>
      <w:r>
        <w:rPr>
          <w:spacing w:val="-4"/>
        </w:rPr>
        <w:t>余种自有品牌产品体系，并且完全满足国内用户数据中心基本需求的全线解决方案。</w:t>
      </w:r>
      <w:r>
        <w:rPr>
          <w:spacing w:val="-37"/>
        </w:rPr>
        <w:t> </w:t>
      </w:r>
      <w:r>
        <w:rPr>
          <w:spacing w:val="-37"/>
        </w:rPr>
      </w:r>
      <w:r>
        <w:rPr/>
        <w:t>其中，登云数据库一体机、超融合一体机等产品，已广泛应用在国内社保、交通、教育、金融等行业。</w:t>
      </w:r>
    </w:p>
    <w:p>
      <w:pPr>
        <w:pStyle w:val="BodyText"/>
        <w:spacing w:line="240" w:lineRule="auto" w:before="69"/>
        <w:ind w:left="513" w:right="0"/>
        <w:jc w:val="left"/>
      </w:pPr>
      <w:r>
        <w:rPr>
          <w:rFonts w:ascii="宋体" w:hAnsi="宋体" w:cs="宋体" w:eastAsia="宋体" w:hint="default"/>
        </w:rPr>
        <w:t>5</w:t>
      </w:r>
      <w:r>
        <w:rPr/>
        <w:t>、国内最大的</w:t>
      </w:r>
      <w:r>
        <w:rPr>
          <w:rFonts w:ascii="宋体" w:hAnsi="宋体" w:cs="宋体" w:eastAsia="宋体" w:hint="default"/>
        </w:rPr>
        <w:t>To</w:t>
      </w:r>
      <w:r>
        <w:rPr>
          <w:rFonts w:ascii="宋体" w:hAnsi="宋体" w:cs="宋体" w:eastAsia="宋体" w:hint="default"/>
          <w:spacing w:val="-2"/>
        </w:rPr>
        <w:t> </w:t>
      </w:r>
      <w:r>
        <w:rPr>
          <w:rFonts w:ascii="宋体" w:hAnsi="宋体" w:cs="宋体" w:eastAsia="宋体" w:hint="default"/>
        </w:rPr>
        <w:t>B</w:t>
      </w:r>
      <w:r>
        <w:rPr/>
        <w:t>销售网络渠道优势</w:t>
      </w:r>
    </w:p>
    <w:p>
      <w:pPr>
        <w:spacing w:line="240" w:lineRule="auto" w:before="6"/>
        <w:rPr>
          <w:rFonts w:ascii="宋体" w:hAnsi="宋体" w:cs="宋体" w:eastAsia="宋体" w:hint="default"/>
          <w:sz w:val="12"/>
          <w:szCs w:val="12"/>
        </w:rPr>
      </w:pPr>
    </w:p>
    <w:p>
      <w:pPr>
        <w:pStyle w:val="BodyText"/>
        <w:spacing w:line="364" w:lineRule="auto"/>
        <w:ind w:right="1034" w:firstLine="360"/>
        <w:jc w:val="left"/>
      </w:pPr>
      <w:r>
        <w:rPr/>
        <w:t>通过二十年积累而形成的</w:t>
      </w:r>
      <w:r>
        <w:rPr>
          <w:rFonts w:ascii="宋体" w:hAnsi="宋体" w:cs="宋体" w:eastAsia="宋体" w:hint="default"/>
        </w:rPr>
        <w:t>To</w:t>
      </w:r>
      <w:r>
        <w:rPr>
          <w:rFonts w:ascii="宋体" w:hAnsi="宋体" w:cs="宋体" w:eastAsia="宋体" w:hint="default"/>
          <w:spacing w:val="-58"/>
        </w:rPr>
        <w:t> </w:t>
      </w:r>
      <w:r>
        <w:rPr>
          <w:rFonts w:ascii="宋体" w:hAnsi="宋体" w:cs="宋体" w:eastAsia="宋体" w:hint="default"/>
        </w:rPr>
        <w:t>B</w:t>
      </w:r>
      <w:r>
        <w:rPr/>
        <w:t>渠道网络，是公司最重要的战略资源。通过专注于国内企业级</w:t>
      </w:r>
      <w:r>
        <w:rPr>
          <w:rFonts w:ascii="宋体" w:hAnsi="宋体" w:cs="宋体" w:eastAsia="宋体" w:hint="default"/>
        </w:rPr>
        <w:t>IT</w:t>
      </w:r>
      <w:r>
        <w:rPr/>
        <w:t>市场的不懈耕耘，公司构 建了遍布国内</w:t>
      </w:r>
      <w:r>
        <w:rPr>
          <w:rFonts w:ascii="宋体" w:hAnsi="宋体" w:cs="宋体" w:eastAsia="宋体" w:hint="default"/>
        </w:rPr>
        <w:t>1000</w:t>
      </w:r>
      <w:r>
        <w:rPr/>
        <w:t>余座城市、覆盖各大垂直行业、整合</w:t>
      </w:r>
      <w:r>
        <w:rPr>
          <w:rFonts w:ascii="宋体" w:hAnsi="宋体" w:cs="宋体" w:eastAsia="宋体" w:hint="default"/>
        </w:rPr>
        <w:t>30000</w:t>
      </w:r>
      <w:r>
        <w:rPr/>
        <w:t>余家销售渠道的全国最大</w:t>
      </w:r>
      <w:r>
        <w:rPr>
          <w:rFonts w:ascii="宋体" w:hAnsi="宋体" w:cs="宋体" w:eastAsia="宋体" w:hint="default"/>
        </w:rPr>
        <w:t>To</w:t>
      </w:r>
      <w:r>
        <w:rPr>
          <w:rFonts w:ascii="宋体" w:hAnsi="宋体" w:cs="宋体" w:eastAsia="宋体" w:hint="default"/>
          <w:spacing w:val="2"/>
        </w:rPr>
        <w:t> </w:t>
      </w:r>
      <w:r>
        <w:rPr>
          <w:rFonts w:ascii="宋体" w:hAnsi="宋体" w:cs="宋体" w:eastAsia="宋体" w:hint="default"/>
        </w:rPr>
        <w:t>B</w:t>
      </w:r>
      <w:r>
        <w:rPr/>
        <w:t>销售渠道网络，同国内外各大厂 </w:t>
      </w:r>
      <w:r>
        <w:rPr>
          <w:spacing w:val="-2"/>
        </w:rPr>
        <w:t>商客户以及各类合作伙伴建立起了牢固的企业级</w:t>
      </w:r>
      <w:r>
        <w:rPr>
          <w:rFonts w:ascii="宋体" w:hAnsi="宋体" w:cs="宋体" w:eastAsia="宋体" w:hint="default"/>
          <w:spacing w:val="-2"/>
        </w:rPr>
        <w:t>IT</w:t>
      </w:r>
      <w:r>
        <w:rPr>
          <w:spacing w:val="-2"/>
        </w:rPr>
        <w:t>市场产业链和生态圈。这一渠道网络是公司长期深耕细作、日积月累的成</w:t>
      </w:r>
      <w:r>
        <w:rPr>
          <w:spacing w:val="-62"/>
        </w:rPr>
        <w:t> </w:t>
      </w:r>
      <w:r>
        <w:rPr>
          <w:spacing w:val="-62"/>
        </w:rPr>
      </w:r>
      <w:r>
        <w:rPr/>
        <w:t>果结晶，资源价值极大、竞争壁垒极高。基于多年渠道服务经验，公司对于企业客户的行业特性和应用场景有着深度理解，</w:t>
      </w:r>
      <w:r>
        <w:rPr>
          <w:spacing w:val="-83"/>
        </w:rPr>
        <w:t> </w:t>
      </w:r>
      <w:r>
        <w:rPr>
          <w:spacing w:val="-83"/>
        </w:rPr>
      </w:r>
      <w:r>
        <w:rPr/>
        <w:t>能够持续高效触达客户并快速响应客户需求，对客户特别是大</w:t>
      </w:r>
      <w:r>
        <w:rPr>
          <w:rFonts w:ascii="宋体" w:hAnsi="宋体" w:cs="宋体" w:eastAsia="宋体" w:hint="default"/>
        </w:rPr>
        <w:t>B</w:t>
      </w:r>
      <w:r>
        <w:rPr/>
        <w:t>企业级客户形成了超高粘性，成为扩展市场的可靠保障。通</w:t>
      </w:r>
      <w:r>
        <w:rPr>
          <w:spacing w:val="-83"/>
        </w:rPr>
        <w:t> </w:t>
      </w:r>
      <w:r>
        <w:rPr>
          <w:spacing w:val="-83"/>
        </w:rPr>
      </w:r>
      <w:r>
        <w:rPr/>
        <w:t>过这一销售渠道网络，公司能够将全面涵盖企业信息化和数字化需求的产品、解决方案及服务精准高效地传递给企业客户，</w:t>
      </w:r>
      <w:r>
        <w:rPr>
          <w:spacing w:val="-83"/>
        </w:rPr>
        <w:t> </w:t>
      </w:r>
      <w:r>
        <w:rPr>
          <w:spacing w:val="-83"/>
        </w:rPr>
      </w:r>
      <w:r>
        <w:rPr>
          <w:spacing w:val="-2"/>
        </w:rPr>
        <w:t>并根据客户需求和行业属性进行快速映射并落地实施。未来，随着数字化转型大潮和鲲鹏生态带来市场新机遇的爆发，这一</w:t>
      </w:r>
      <w:r>
        <w:rPr>
          <w:spacing w:val="-62"/>
        </w:rPr>
        <w:t> </w:t>
      </w:r>
      <w:r>
        <w:rPr>
          <w:spacing w:val="-62"/>
        </w:rPr>
      </w:r>
      <w:r>
        <w:rPr/>
        <w:t>覆盖全地域、全行业、全产品、全周期的销售渠道网络必将成为公司在云计算、大数据、数字化转型以及鲲鹏生态等</w:t>
      </w:r>
      <w:r>
        <w:rPr>
          <w:rFonts w:ascii="宋体" w:hAnsi="宋体" w:cs="宋体" w:eastAsia="宋体" w:hint="default"/>
        </w:rPr>
        <w:t>To B </w:t>
      </w:r>
      <w:r>
        <w:rPr/>
        <w:t>企业级业务市场实现爆发式增长的坚实基础和有力保障，承载和实现越来越大的产业价值和商业利益。</w:t>
      </w:r>
    </w:p>
    <w:p>
      <w:pPr>
        <w:pStyle w:val="BodyText"/>
        <w:spacing w:line="405" w:lineRule="auto" w:before="71"/>
        <w:ind w:left="513" w:right="0"/>
        <w:jc w:val="left"/>
      </w:pPr>
      <w:r>
        <w:rPr>
          <w:rFonts w:ascii="宋体" w:hAnsi="宋体" w:cs="宋体" w:eastAsia="宋体" w:hint="default"/>
        </w:rPr>
        <w:t>6</w:t>
      </w:r>
      <w:r>
        <w:rPr/>
        <w:t>、包括供应链、资金链等在内的系统化运营优势 </w:t>
      </w:r>
      <w:r>
        <w:rPr>
          <w:spacing w:val="-2"/>
        </w:rPr>
        <w:t>传统的</w:t>
      </w:r>
      <w:r>
        <w:rPr>
          <w:rFonts w:ascii="宋体" w:hAnsi="宋体" w:cs="宋体" w:eastAsia="宋体" w:hint="default"/>
          <w:spacing w:val="-2"/>
        </w:rPr>
        <w:t>IT</w:t>
      </w:r>
      <w:r>
        <w:rPr>
          <w:spacing w:val="-2"/>
        </w:rPr>
        <w:t>分销业务是一个极度考验公司运营效率的行业。公司自成立之日起，不断强化自身技术优势，重点拓展技术含</w:t>
      </w:r>
    </w:p>
    <w:p>
      <w:pPr>
        <w:pStyle w:val="BodyText"/>
        <w:spacing w:line="364" w:lineRule="auto"/>
        <w:ind w:right="1034"/>
        <w:jc w:val="left"/>
      </w:pPr>
      <w:r>
        <w:rPr>
          <w:spacing w:val="-5"/>
        </w:rPr>
        <w:t>量更足、毛利水平更高的增值分销业务，持续优化和提升内部管理和运营效率。在如此激烈竞争的行业中长期保持龙头地位，</w:t>
      </w:r>
      <w:r>
        <w:rPr>
          <w:spacing w:val="-74"/>
        </w:rPr>
        <w:t> </w:t>
      </w:r>
      <w:r>
        <w:rPr>
          <w:spacing w:val="-74"/>
        </w:rPr>
      </w:r>
      <w:r>
        <w:rPr>
          <w:spacing w:val="-2"/>
        </w:rPr>
        <w:t>足以证明公司具备强大的运营能力。供应链管理方面，公司运营效率达到了国际先进水平，较之竞争对手，公司存货周转率</w:t>
      </w:r>
      <w:r>
        <w:rPr>
          <w:spacing w:val="-66"/>
        </w:rPr>
        <w:t> </w:t>
      </w:r>
      <w:r>
        <w:rPr>
          <w:spacing w:val="-66"/>
        </w:rPr>
      </w:r>
      <w:r>
        <w:rPr>
          <w:spacing w:val="-2"/>
        </w:rPr>
        <w:t>更高，存货周转天数更短，具有明显优势。融资能力方面，基于多年来积累的良好信用和持续增长的业绩表现，公司与各大</w:t>
      </w:r>
      <w:r>
        <w:rPr>
          <w:spacing w:val="-67"/>
        </w:rPr>
        <w:t> </w:t>
      </w:r>
      <w:r>
        <w:rPr>
          <w:spacing w:val="-67"/>
        </w:rPr>
      </w:r>
      <w:r>
        <w:rPr>
          <w:spacing w:val="-2"/>
        </w:rPr>
        <w:t>银行、金融机构保持良好关系，具备强大的融资能力。此外，公司充分发挥集团在香港和内地同时拥有融资平台的国际化优</w:t>
      </w:r>
      <w:r>
        <w:rPr>
          <w:spacing w:val="-64"/>
        </w:rPr>
        <w:t> </w:t>
      </w:r>
      <w:r>
        <w:rPr>
          <w:spacing w:val="-64"/>
        </w:rPr>
      </w:r>
      <w:r>
        <w:rPr>
          <w:spacing w:val="-2"/>
        </w:rPr>
        <w:t>势，资本成本显著低于行业水平，通过财务资金管理体系为业务发展提供了稳定支持，保证公司财产的完整安全、实现保值</w:t>
      </w:r>
      <w:r>
        <w:rPr>
          <w:spacing w:val="-65"/>
        </w:rPr>
        <w:t> </w:t>
      </w:r>
      <w:r>
        <w:rPr>
          <w:spacing w:val="-65"/>
        </w:rPr>
      </w:r>
      <w:r>
        <w:rPr/>
        <w:t>增值。通过专注于产业及行业的深耕，公司在</w:t>
      </w:r>
      <w:r>
        <w:rPr>
          <w:rFonts w:ascii="宋体" w:hAnsi="宋体" w:cs="宋体" w:eastAsia="宋体" w:hint="default"/>
        </w:rPr>
        <w:t>IT</w:t>
      </w:r>
      <w:r>
        <w:rPr/>
        <w:t>业内积累了强大的品牌优势、大数据业务的全牌照优势以及其他综合优势，</w:t>
      </w:r>
      <w:r>
        <w:rPr>
          <w:spacing w:val="-82"/>
        </w:rPr>
        <w:t> </w:t>
      </w:r>
      <w:r>
        <w:rPr>
          <w:spacing w:val="-82"/>
        </w:rPr>
      </w:r>
      <w:r>
        <w:rPr/>
        <w:t>为公司各项业务的快速发展提供了系统化的充分保障。</w:t>
      </w:r>
    </w:p>
    <w:p>
      <w:pPr>
        <w:spacing w:after="0" w:line="364"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56" w:val="left" w:leader="none"/>
        </w:tabs>
        <w:spacing w:line="240" w:lineRule="auto"/>
        <w:ind w:left="2897" w:right="0"/>
        <w:jc w:val="left"/>
        <w:rPr>
          <w:b w:val="0"/>
          <w:bCs w:val="0"/>
        </w:rPr>
      </w:pPr>
      <w:bookmarkStart w:name="第四节  经营情况讨论与分析" w:id="23"/>
      <w:bookmarkEnd w:id="23"/>
      <w:r>
        <w:rPr>
          <w:b w:val="0"/>
          <w:bCs w:val="0"/>
        </w:rPr>
      </w:r>
      <w:bookmarkStart w:name="_bookmark2" w:id="24"/>
      <w:bookmarkEnd w:id="24"/>
      <w:r>
        <w:rPr>
          <w:b w:val="0"/>
          <w:bCs w:val="0"/>
        </w:rPr>
      </w:r>
      <w:r>
        <w:rPr>
          <w:w w:val="95"/>
        </w:rPr>
        <w:t>第四节</w:t>
        <w:tab/>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rFonts w:ascii="宋体" w:hAnsi="宋体" w:cs="宋体" w:eastAsia="宋体" w:hint="default"/>
        </w:rPr>
        <w:t>2019</w:t>
      </w:r>
      <w:r>
        <w:rPr>
          <w:rFonts w:ascii="宋体" w:hAnsi="宋体" w:cs="宋体" w:eastAsia="宋体" w:hint="default"/>
          <w:spacing w:val="-22"/>
        </w:rPr>
        <w:t> </w:t>
      </w:r>
      <w:r>
        <w:rPr>
          <w:spacing w:val="-3"/>
        </w:rPr>
        <w:t>年，“</w:t>
      </w:r>
      <w:r>
        <w:rPr>
          <w:rFonts w:ascii="宋体" w:hAnsi="宋体" w:cs="宋体" w:eastAsia="宋体" w:hint="default"/>
          <w:spacing w:val="-3"/>
        </w:rPr>
        <w:t>5G+AICDE</w:t>
      </w:r>
      <w:r>
        <w:rPr>
          <w:spacing w:val="-3"/>
        </w:rPr>
        <w:t>”技术跨界融合、系统创新，成为引爆数字化革命的技术奇点，孕育、衍生出新的技术、产品和服</w:t>
      </w:r>
      <w:r>
        <w:rPr/>
        <w:t> </w:t>
      </w:r>
      <w:r>
        <w:rPr>
          <w:spacing w:val="-9"/>
        </w:rPr>
        <w:t>务，不仅带来</w:t>
      </w:r>
      <w:r>
        <w:rPr>
          <w:spacing w:val="-40"/>
        </w:rPr>
        <w:t> </w:t>
      </w:r>
      <w:r>
        <w:rPr>
          <w:rFonts w:ascii="宋体" w:hAnsi="宋体" w:cs="宋体" w:eastAsia="宋体" w:hint="default"/>
          <w:spacing w:val="-1"/>
        </w:rPr>
        <w:t>IT</w:t>
      </w:r>
      <w:r>
        <w:rPr>
          <w:rFonts w:ascii="宋体" w:hAnsi="宋体" w:cs="宋体" w:eastAsia="宋体" w:hint="default"/>
          <w:spacing w:val="-40"/>
        </w:rPr>
        <w:t> </w:t>
      </w:r>
      <w:r>
        <w:rPr>
          <w:spacing w:val="-5"/>
        </w:rPr>
        <w:t>领域的行业变革，更将带动全社会的创新和变革。</w:t>
      </w:r>
      <w:r>
        <w:rPr>
          <w:rFonts w:ascii="宋体" w:hAnsi="宋体" w:cs="宋体" w:eastAsia="宋体" w:hint="default"/>
          <w:spacing w:val="-5"/>
        </w:rPr>
        <w:t>5G</w:t>
      </w:r>
      <w:r>
        <w:rPr>
          <w:rFonts w:ascii="宋体" w:hAnsi="宋体" w:cs="宋体" w:eastAsia="宋体" w:hint="default"/>
          <w:spacing w:val="-39"/>
        </w:rPr>
        <w:t> </w:t>
      </w:r>
      <w:r>
        <w:rPr/>
        <w:t>使得</w:t>
      </w:r>
      <w:r>
        <w:rPr>
          <w:spacing w:val="-41"/>
        </w:rPr>
        <w:t> </w:t>
      </w:r>
      <w:r>
        <w:rPr>
          <w:rFonts w:ascii="宋体" w:hAnsi="宋体" w:cs="宋体" w:eastAsia="宋体" w:hint="default"/>
          <w:spacing w:val="-1"/>
        </w:rPr>
        <w:t>IT</w:t>
      </w:r>
      <w:r>
        <w:rPr>
          <w:rFonts w:ascii="宋体" w:hAnsi="宋体" w:cs="宋体" w:eastAsia="宋体" w:hint="default"/>
          <w:spacing w:val="-40"/>
        </w:rPr>
        <w:t> </w:t>
      </w:r>
      <w:r>
        <w:rPr/>
        <w:t>和</w:t>
      </w:r>
      <w:r>
        <w:rPr>
          <w:spacing w:val="-43"/>
        </w:rPr>
        <w:t> </w:t>
      </w:r>
      <w:r>
        <w:rPr>
          <w:rFonts w:ascii="宋体" w:hAnsi="宋体" w:cs="宋体" w:eastAsia="宋体" w:hint="default"/>
          <w:spacing w:val="-1"/>
        </w:rPr>
        <w:t>CT</w:t>
      </w:r>
      <w:r>
        <w:rPr>
          <w:rFonts w:ascii="宋体" w:hAnsi="宋体" w:cs="宋体" w:eastAsia="宋体" w:hint="default"/>
          <w:spacing w:val="-40"/>
        </w:rPr>
        <w:t> </w:t>
      </w:r>
      <w:r>
        <w:rPr>
          <w:spacing w:val="-14"/>
        </w:rPr>
        <w:t>实现真正的“云网融合”和“云网原生”，</w:t>
      </w:r>
      <w:r>
        <w:rPr>
          <w:spacing w:val="-88"/>
        </w:rPr>
        <w:t> </w:t>
      </w:r>
      <w:r>
        <w:rPr>
          <w:spacing w:val="-88"/>
        </w:rPr>
      </w:r>
      <w:r>
        <w:rPr/>
        <w:t>数字技术的融合创新也毫无疑问地加快企业数字化转型的速度。根据</w:t>
      </w:r>
      <w:r>
        <w:rPr>
          <w:spacing w:val="-36"/>
        </w:rPr>
        <w:t> </w:t>
      </w:r>
      <w:r>
        <w:rPr>
          <w:rFonts w:ascii="宋体" w:hAnsi="宋体" w:cs="宋体" w:eastAsia="宋体" w:hint="default"/>
        </w:rPr>
        <w:t>IDC</w:t>
      </w:r>
      <w:r>
        <w:rPr>
          <w:rFonts w:ascii="宋体" w:hAnsi="宋体" w:cs="宋体" w:eastAsia="宋体" w:hint="default"/>
          <w:spacing w:val="-36"/>
        </w:rPr>
        <w:t> </w:t>
      </w:r>
      <w:r>
        <w:rPr/>
        <w:t>的预测，到</w:t>
      </w:r>
      <w:r>
        <w:rPr>
          <w:spacing w:val="-37"/>
        </w:rPr>
        <w:t> </w:t>
      </w:r>
      <w:r>
        <w:rPr>
          <w:rFonts w:ascii="宋体" w:hAnsi="宋体" w:cs="宋体" w:eastAsia="宋体" w:hint="default"/>
        </w:rPr>
        <w:t>2021</w:t>
      </w:r>
      <w:r>
        <w:rPr>
          <w:rFonts w:ascii="宋体" w:hAnsi="宋体" w:cs="宋体" w:eastAsia="宋体" w:hint="default"/>
          <w:spacing w:val="-36"/>
        </w:rPr>
        <w:t> </w:t>
      </w:r>
      <w:r>
        <w:rPr/>
        <w:t>年，中国</w:t>
      </w:r>
      <w:r>
        <w:rPr>
          <w:spacing w:val="-37"/>
        </w:rPr>
        <w:t> </w:t>
      </w:r>
      <w:r>
        <w:rPr>
          <w:rFonts w:ascii="宋体" w:hAnsi="宋体" w:cs="宋体" w:eastAsia="宋体" w:hint="default"/>
        </w:rPr>
        <w:t>90%</w:t>
      </w:r>
      <w:r>
        <w:rPr/>
        <w:t>以上的企业将依赖</w:t>
      </w:r>
      <w:r>
        <w:rPr>
          <w:spacing w:val="-3"/>
        </w:rPr>
        <w:t> </w:t>
      </w:r>
      <w:r>
        <w:rPr/>
        <w:t>于本地及专属私有云、多个公有云和遗留平台的组合，以满足其基础设施需求。到</w:t>
      </w:r>
      <w:r>
        <w:rPr>
          <w:spacing w:val="-44"/>
        </w:rPr>
        <w:t> </w:t>
      </w:r>
      <w:r>
        <w:rPr>
          <w:rFonts w:ascii="宋体" w:hAnsi="宋体" w:cs="宋体" w:eastAsia="宋体" w:hint="default"/>
        </w:rPr>
        <w:t>2025</w:t>
      </w:r>
      <w:r>
        <w:rPr>
          <w:rFonts w:ascii="宋体" w:hAnsi="宋体" w:cs="宋体" w:eastAsia="宋体" w:hint="default"/>
          <w:spacing w:val="-44"/>
        </w:rPr>
        <w:t> </w:t>
      </w:r>
      <w:r>
        <w:rPr/>
        <w:t>年，</w:t>
      </w:r>
      <w:r>
        <w:rPr>
          <w:rFonts w:ascii="宋体" w:hAnsi="宋体" w:cs="宋体" w:eastAsia="宋体" w:hint="default"/>
        </w:rPr>
        <w:t>50%</w:t>
      </w:r>
      <w:r>
        <w:rPr/>
        <w:t>的中国企业</w:t>
      </w:r>
      <w:r>
        <w:rPr>
          <w:spacing w:val="-45"/>
        </w:rPr>
        <w:t> </w:t>
      </w:r>
      <w:r>
        <w:rPr>
          <w:rFonts w:ascii="宋体" w:hAnsi="宋体" w:cs="宋体" w:eastAsia="宋体" w:hint="default"/>
        </w:rPr>
        <w:t>IT</w:t>
      </w:r>
      <w:r>
        <w:rPr>
          <w:rFonts w:ascii="宋体" w:hAnsi="宋体" w:cs="宋体" w:eastAsia="宋体" w:hint="default"/>
          <w:spacing w:val="-44"/>
        </w:rPr>
        <w:t> </w:t>
      </w:r>
      <w:r>
        <w:rPr/>
        <w:t>基础设施支 出将分配给公有云，四分之一的企业</w:t>
      </w:r>
      <w:r>
        <w:rPr>
          <w:spacing w:val="-45"/>
        </w:rPr>
        <w:t> </w:t>
      </w:r>
      <w:r>
        <w:rPr>
          <w:rFonts w:ascii="宋体" w:hAnsi="宋体" w:cs="宋体" w:eastAsia="宋体" w:hint="default"/>
        </w:rPr>
        <w:t>IT</w:t>
      </w:r>
      <w:r>
        <w:rPr>
          <w:rFonts w:ascii="宋体" w:hAnsi="宋体" w:cs="宋体" w:eastAsia="宋体" w:hint="default"/>
          <w:spacing w:val="-45"/>
        </w:rPr>
        <w:t> </w:t>
      </w:r>
      <w:r>
        <w:rPr/>
        <w:t>应用将运行在公有云服务上。</w:t>
      </w:r>
    </w:p>
    <w:p>
      <w:pPr>
        <w:pStyle w:val="BodyText"/>
        <w:spacing w:line="319" w:lineRule="auto" w:before="59"/>
        <w:ind w:right="1034" w:firstLine="360"/>
        <w:jc w:val="left"/>
      </w:pPr>
      <w:r>
        <w:rPr>
          <w:spacing w:val="-2"/>
        </w:rPr>
        <w:t>报告期内，公司顺应云和数字化转型的产业发展浪潮，依托国内领先的多云及混合云架构综合服务能力、深厚的行业头</w:t>
      </w:r>
      <w:r>
        <w:rPr/>
        <w:t> 部客户服务成功经验、最大的</w:t>
      </w:r>
      <w:r>
        <w:rPr>
          <w:spacing w:val="-43"/>
        </w:rPr>
        <w:t> </w:t>
      </w:r>
      <w:r>
        <w:rPr>
          <w:rFonts w:ascii="宋体" w:hAnsi="宋体" w:cs="宋体" w:eastAsia="宋体" w:hint="default"/>
        </w:rPr>
        <w:t>To</w:t>
      </w:r>
      <w:r>
        <w:rPr>
          <w:rFonts w:ascii="宋体" w:hAnsi="宋体" w:cs="宋体" w:eastAsia="宋体" w:hint="default"/>
          <w:spacing w:val="-2"/>
        </w:rPr>
        <w:t> </w:t>
      </w:r>
      <w:r>
        <w:rPr>
          <w:rFonts w:ascii="宋体" w:hAnsi="宋体" w:cs="宋体" w:eastAsia="宋体" w:hint="default"/>
        </w:rPr>
        <w:t>B</w:t>
      </w:r>
      <w:r>
        <w:rPr>
          <w:rFonts w:ascii="宋体" w:hAnsi="宋体" w:cs="宋体" w:eastAsia="宋体" w:hint="default"/>
          <w:spacing w:val="-41"/>
        </w:rPr>
        <w:t> </w:t>
      </w:r>
      <w:r>
        <w:rPr/>
        <w:t>渠道网络覆盖，以及最广泛的云计算资源聚合，云计算和数字化转型业务继续保持高速 增长，在生态建设、技术研发、业务开拓、客户服务等方面都取得了长足发展，细分领域竞争优势进一步凸显。与此同时，</w:t>
      </w:r>
      <w:r>
        <w:rPr>
          <w:spacing w:val="-83"/>
        </w:rPr>
        <w:t> </w:t>
      </w:r>
      <w:r>
        <w:rPr>
          <w:spacing w:val="-83"/>
        </w:rPr>
      </w:r>
      <w:r>
        <w:rPr/>
        <w:t>公司基于</w:t>
      </w:r>
      <w:r>
        <w:rPr>
          <w:spacing w:val="-42"/>
        </w:rPr>
        <w:t> </w:t>
      </w:r>
      <w:r>
        <w:rPr>
          <w:rFonts w:ascii="宋体" w:hAnsi="宋体" w:cs="宋体" w:eastAsia="宋体" w:hint="default"/>
        </w:rPr>
        <w:t>20</w:t>
      </w:r>
      <w:r>
        <w:rPr>
          <w:rFonts w:ascii="宋体" w:hAnsi="宋体" w:cs="宋体" w:eastAsia="宋体" w:hint="default"/>
          <w:spacing w:val="-41"/>
        </w:rPr>
        <w:t> </w:t>
      </w:r>
      <w:r>
        <w:rPr/>
        <w:t>年来在中国信息化和数字化建设进程中的深厚积累，研判国内信息技术产业发展的战略趋势，成立神州数码信 创产业集团，全面开启以鲲鹏生态为基础的信创产业布局。</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（一）</w:t>
      </w:r>
      <w:r>
        <w:rPr>
          <w:rFonts w:ascii="宋体" w:hAnsi="宋体" w:cs="宋体" w:eastAsia="宋体" w:hint="default"/>
        </w:rPr>
        <w:t>2019</w:t>
      </w:r>
      <w:r>
        <w:rPr>
          <w:rFonts w:ascii="宋体" w:hAnsi="宋体" w:cs="宋体" w:eastAsia="宋体" w:hint="default"/>
          <w:spacing w:val="-44"/>
        </w:rPr>
        <w:t> </w:t>
      </w:r>
      <w:r>
        <w:rPr/>
        <w:t>年整体经营情况</w:t>
      </w:r>
    </w:p>
    <w:p>
      <w:pPr>
        <w:pStyle w:val="BodyText"/>
        <w:spacing w:line="316" w:lineRule="auto" w:before="117"/>
        <w:ind w:right="1128" w:firstLine="360"/>
        <w:jc w:val="both"/>
        <w:rPr>
          <w:rFonts w:ascii="宋体" w:hAnsi="宋体" w:cs="宋体" w:eastAsia="宋体" w:hint="default"/>
        </w:rPr>
      </w:pPr>
      <w:r>
        <w:rPr>
          <w:spacing w:val="-4"/>
        </w:rPr>
        <w:t>报告期内，公司实现营业收入</w:t>
      </w:r>
      <w:r>
        <w:rPr>
          <w:spacing w:val="-51"/>
        </w:rPr>
        <w:t> </w:t>
      </w:r>
      <w:r>
        <w:rPr>
          <w:rFonts w:ascii="宋体" w:hAnsi="宋体" w:cs="宋体" w:eastAsia="宋体" w:hint="default"/>
        </w:rPr>
        <w:t>868.03</w:t>
      </w:r>
      <w:r>
        <w:rPr>
          <w:rFonts w:ascii="宋体" w:hAnsi="宋体" w:cs="宋体" w:eastAsia="宋体" w:hint="default"/>
          <w:spacing w:val="-50"/>
        </w:rPr>
        <w:t> </w:t>
      </w:r>
      <w:r>
        <w:rPr>
          <w:spacing w:val="-7"/>
        </w:rPr>
        <w:t>亿元，同比增长</w:t>
      </w:r>
      <w:r>
        <w:rPr>
          <w:spacing w:val="-52"/>
        </w:rPr>
        <w:t> </w:t>
      </w:r>
      <w:r>
        <w:rPr>
          <w:rFonts w:ascii="宋体" w:hAnsi="宋体" w:cs="宋体" w:eastAsia="宋体" w:hint="default"/>
        </w:rPr>
        <w:t>6.04%</w:t>
      </w:r>
      <w:r>
        <w:rPr/>
        <w:t>，其中云计算及数字化转型业务实现营业收入</w:t>
      </w:r>
      <w:r>
        <w:rPr>
          <w:spacing w:val="-51"/>
        </w:rPr>
        <w:t> </w:t>
      </w:r>
      <w:r>
        <w:rPr>
          <w:rFonts w:ascii="宋体" w:hAnsi="宋体" w:cs="宋体" w:eastAsia="宋体" w:hint="default"/>
        </w:rPr>
        <w:t>15.31</w:t>
      </w:r>
      <w:r>
        <w:rPr>
          <w:rFonts w:ascii="宋体" w:hAnsi="宋体" w:cs="宋体" w:eastAsia="宋体" w:hint="default"/>
          <w:spacing w:val="-50"/>
        </w:rPr>
        <w:t> </w:t>
      </w:r>
      <w:r>
        <w:rPr/>
        <w:t>亿元， 同比增长</w:t>
      </w:r>
      <w:r>
        <w:rPr>
          <w:spacing w:val="-41"/>
        </w:rPr>
        <w:t> </w:t>
      </w:r>
      <w:r>
        <w:rPr>
          <w:rFonts w:ascii="宋体" w:hAnsi="宋体" w:cs="宋体" w:eastAsia="宋体" w:hint="default"/>
          <w:spacing w:val="-7"/>
        </w:rPr>
        <w:t>163.41%</w:t>
      </w:r>
      <w:r>
        <w:rPr>
          <w:spacing w:val="-7"/>
        </w:rPr>
        <w:t>；</w:t>
      </w:r>
      <w:r>
        <w:rPr>
          <w:rFonts w:ascii="宋体" w:hAnsi="宋体" w:cs="宋体" w:eastAsia="宋体" w:hint="default"/>
          <w:spacing w:val="-7"/>
        </w:rPr>
        <w:t>IT</w:t>
      </w:r>
      <w:r>
        <w:rPr>
          <w:rFonts w:ascii="宋体" w:hAnsi="宋体" w:cs="宋体" w:eastAsia="宋体" w:hint="default"/>
          <w:spacing w:val="-41"/>
        </w:rPr>
        <w:t> </w:t>
      </w:r>
      <w:r>
        <w:rPr/>
        <w:t>分销及增值服务业务实现营业收入</w:t>
      </w:r>
      <w:r>
        <w:rPr>
          <w:spacing w:val="-41"/>
        </w:rPr>
        <w:t> </w:t>
      </w:r>
      <w:r>
        <w:rPr>
          <w:rFonts w:ascii="宋体" w:hAnsi="宋体" w:cs="宋体" w:eastAsia="宋体" w:hint="default"/>
        </w:rPr>
        <w:t>847.06</w:t>
      </w:r>
      <w:r>
        <w:rPr>
          <w:rFonts w:ascii="宋体" w:hAnsi="宋体" w:cs="宋体" w:eastAsia="宋体" w:hint="default"/>
          <w:spacing w:val="-40"/>
        </w:rPr>
        <w:t> </w:t>
      </w:r>
      <w:r>
        <w:rPr>
          <w:spacing w:val="-9"/>
        </w:rPr>
        <w:t>亿元，同比增长</w:t>
      </w:r>
      <w:r>
        <w:rPr>
          <w:spacing w:val="-44"/>
        </w:rPr>
        <w:t> </w:t>
      </w:r>
      <w:r>
        <w:rPr>
          <w:rFonts w:ascii="宋体" w:hAnsi="宋体" w:cs="宋体" w:eastAsia="宋体" w:hint="default"/>
          <w:spacing w:val="-4"/>
        </w:rPr>
        <w:t>4.89%</w:t>
      </w:r>
      <w:r>
        <w:rPr>
          <w:spacing w:val="-4"/>
        </w:rPr>
        <w:t>；归属于上市公司股东的净利润</w:t>
      </w:r>
      <w:r>
        <w:rPr>
          <w:spacing w:val="-41"/>
        </w:rPr>
        <w:t> </w:t>
      </w:r>
      <w:r>
        <w:rPr>
          <w:rFonts w:ascii="宋体" w:hAnsi="宋体" w:cs="宋体" w:eastAsia="宋体" w:hint="default"/>
        </w:rPr>
        <w:t>7.01 </w:t>
      </w:r>
      <w:r>
        <w:rPr>
          <w:spacing w:val="-5"/>
        </w:rPr>
        <w:t>亿元，同比增长</w:t>
      </w:r>
      <w:r>
        <w:rPr>
          <w:spacing w:val="-51"/>
        </w:rPr>
        <w:t> </w:t>
      </w:r>
      <w:r>
        <w:rPr>
          <w:rFonts w:ascii="宋体" w:hAnsi="宋体" w:cs="宋体" w:eastAsia="宋体" w:hint="default"/>
        </w:rPr>
        <w:t>36.89%</w:t>
      </w:r>
      <w:r>
        <w:rPr/>
        <w:t>；归属于上市公司股东扣除非经常性损益的净利润</w:t>
      </w:r>
      <w:r>
        <w:rPr>
          <w:spacing w:val="-50"/>
        </w:rPr>
        <w:t> </w:t>
      </w:r>
      <w:r>
        <w:rPr>
          <w:rFonts w:ascii="宋体" w:hAnsi="宋体" w:cs="宋体" w:eastAsia="宋体" w:hint="default"/>
        </w:rPr>
        <w:t>5.82</w:t>
      </w:r>
      <w:r>
        <w:rPr>
          <w:rFonts w:ascii="宋体" w:hAnsi="宋体" w:cs="宋体" w:eastAsia="宋体" w:hint="default"/>
          <w:spacing w:val="-49"/>
        </w:rPr>
        <w:t> </w:t>
      </w:r>
      <w:r>
        <w:rPr>
          <w:spacing w:val="-6"/>
        </w:rPr>
        <w:t>亿元，同比增长</w:t>
      </w:r>
      <w:r>
        <w:rPr>
          <w:spacing w:val="-51"/>
        </w:rPr>
        <w:t> </w:t>
      </w:r>
      <w:r>
        <w:rPr>
          <w:rFonts w:ascii="宋体" w:hAnsi="宋体" w:cs="宋体" w:eastAsia="宋体" w:hint="default"/>
          <w:spacing w:val="-3"/>
        </w:rPr>
        <w:t>23.30%</w:t>
      </w:r>
      <w:r>
        <w:rPr>
          <w:spacing w:val="-3"/>
        </w:rPr>
        <w:t>；基本每股收益</w:t>
      </w:r>
      <w:r>
        <w:rPr>
          <w:spacing w:val="-51"/>
        </w:rPr>
        <w:t> </w:t>
      </w:r>
      <w:r>
        <w:rPr>
          <w:rFonts w:ascii="宋体" w:hAnsi="宋体" w:cs="宋体" w:eastAsia="宋体" w:hint="default"/>
        </w:rPr>
        <w:t>1.08</w:t>
      </w:r>
    </w:p>
    <w:p>
      <w:pPr>
        <w:pStyle w:val="BodyText"/>
        <w:spacing w:line="319" w:lineRule="auto" w:before="19"/>
        <w:ind w:right="1129"/>
        <w:jc w:val="both"/>
      </w:pPr>
      <w:r>
        <w:rPr>
          <w:spacing w:val="-4"/>
        </w:rPr>
        <w:t>元。经营活动产生的现金流量净额为</w:t>
      </w:r>
      <w:r>
        <w:rPr>
          <w:spacing w:val="-45"/>
        </w:rPr>
        <w:t> </w:t>
      </w:r>
      <w:r>
        <w:rPr>
          <w:rFonts w:ascii="宋体" w:hAnsi="宋体" w:cs="宋体" w:eastAsia="宋体" w:hint="default"/>
        </w:rPr>
        <w:t>15.00</w:t>
      </w:r>
      <w:r>
        <w:rPr>
          <w:rFonts w:ascii="宋体" w:hAnsi="宋体" w:cs="宋体" w:eastAsia="宋体" w:hint="default"/>
          <w:spacing w:val="-45"/>
        </w:rPr>
        <w:t> </w:t>
      </w:r>
      <w:r>
        <w:rPr>
          <w:spacing w:val="-8"/>
        </w:rPr>
        <w:t>亿元，同比增长</w:t>
      </w:r>
      <w:r>
        <w:rPr>
          <w:spacing w:val="-46"/>
        </w:rPr>
        <w:t> </w:t>
      </w:r>
      <w:r>
        <w:rPr>
          <w:rFonts w:ascii="宋体" w:hAnsi="宋体" w:cs="宋体" w:eastAsia="宋体" w:hint="default"/>
          <w:spacing w:val="-6"/>
        </w:rPr>
        <w:t>315.94%</w:t>
      </w:r>
      <w:r>
        <w:rPr>
          <w:spacing w:val="-6"/>
        </w:rPr>
        <w:t>。截至</w:t>
      </w:r>
      <w:r>
        <w:rPr>
          <w:spacing w:val="-46"/>
        </w:rPr>
        <w:t> </w:t>
      </w:r>
      <w:r>
        <w:rPr>
          <w:rFonts w:ascii="宋体" w:hAnsi="宋体" w:cs="宋体" w:eastAsia="宋体" w:hint="default"/>
        </w:rPr>
        <w:t>2019</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7"/>
        </w:rPr>
        <w:t>日，公司资产总额</w:t>
      </w:r>
      <w:r>
        <w:rPr>
          <w:spacing w:val="-45"/>
        </w:rPr>
        <w:t> </w:t>
      </w:r>
      <w:r>
        <w:rPr>
          <w:rFonts w:ascii="宋体" w:hAnsi="宋体" w:cs="宋体" w:eastAsia="宋体" w:hint="default"/>
        </w:rPr>
        <w:t>294.21</w:t>
      </w:r>
      <w:r>
        <w:rPr>
          <w:rFonts w:ascii="宋体" w:hAnsi="宋体" w:cs="宋体" w:eastAsia="宋体" w:hint="default"/>
          <w:spacing w:val="-44"/>
        </w:rPr>
        <w:t> </w:t>
      </w:r>
      <w:r>
        <w:rPr/>
        <w:t>亿元， 较上年度末增加</w:t>
      </w:r>
      <w:r>
        <w:rPr>
          <w:spacing w:val="-44"/>
        </w:rPr>
        <w:t> </w:t>
      </w:r>
      <w:r>
        <w:rPr>
          <w:rFonts w:ascii="宋体" w:hAnsi="宋体" w:cs="宋体" w:eastAsia="宋体" w:hint="default"/>
        </w:rPr>
        <w:t>13.22%</w:t>
      </w:r>
      <w:r>
        <w:rPr/>
        <w:t>；归属于上市公司股东的净资产</w:t>
      </w:r>
      <w:r>
        <w:rPr>
          <w:spacing w:val="-44"/>
        </w:rPr>
        <w:t> </w:t>
      </w:r>
      <w:r>
        <w:rPr>
          <w:rFonts w:ascii="宋体" w:hAnsi="宋体" w:cs="宋体" w:eastAsia="宋体" w:hint="default"/>
        </w:rPr>
        <w:t>43.72</w:t>
      </w:r>
      <w:r>
        <w:rPr>
          <w:rFonts w:ascii="宋体" w:hAnsi="宋体" w:cs="宋体" w:eastAsia="宋体" w:hint="default"/>
          <w:spacing w:val="-43"/>
        </w:rPr>
        <w:t> </w:t>
      </w:r>
      <w:r>
        <w:rPr/>
        <w:t>亿元，较上年度末增加</w:t>
      </w:r>
      <w:r>
        <w:rPr>
          <w:spacing w:val="-46"/>
        </w:rPr>
        <w:t> </w:t>
      </w:r>
      <w:r>
        <w:rPr>
          <w:rFonts w:ascii="宋体" w:hAnsi="宋体" w:cs="宋体" w:eastAsia="宋体" w:hint="default"/>
        </w:rPr>
        <w:t>13.82%</w:t>
      </w:r>
      <w:r>
        <w:rPr/>
        <w:t>。公司战略转型推进顺利，营 收稳步增长，业绩显著提升，结构明显改善。</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60" w:lineRule="auto"/>
        <w:ind w:left="513" w:right="0"/>
        <w:jc w:val="left"/>
      </w:pPr>
      <w:r>
        <w:rPr/>
        <w:t>（二）云计算和数字化转型业务 </w:t>
      </w:r>
      <w:r>
        <w:rPr>
          <w:spacing w:val="-2"/>
        </w:rPr>
        <w:t>在云和数字化转型业务领域，公司已形成广泛的资源聚集、全面的技术积累和服务交付能力，拥有覆盖多个行业头部客</w:t>
      </w:r>
    </w:p>
    <w:p>
      <w:pPr>
        <w:pStyle w:val="BodyText"/>
        <w:spacing w:line="222" w:lineRule="exact"/>
        <w:ind w:right="0"/>
        <w:jc w:val="both"/>
      </w:pPr>
      <w:r>
        <w:rPr/>
        <w:t>户的丰富实践和成功案例，已成为客户信赖的云服务和数字化转型专家。报告期内，公司成立了云业务集团，充分发挥集团</w:t>
      </w:r>
    </w:p>
    <w:p>
      <w:pPr>
        <w:pStyle w:val="BodyText"/>
        <w:spacing w:line="316" w:lineRule="auto" w:before="76"/>
        <w:ind w:right="1131"/>
        <w:jc w:val="both"/>
      </w:pPr>
      <w:r>
        <w:rPr>
          <w:spacing w:val="-2"/>
        </w:rPr>
        <w:t>整体协同优势，深度整合内部优势资源，持续提升自身产品、方案及服务能力，不断巩固和加强在专业服务与托管运维服务</w:t>
      </w:r>
      <w:r>
        <w:rPr>
          <w:spacing w:val="-64"/>
        </w:rPr>
        <w:t> </w:t>
      </w:r>
      <w:r>
        <w:rPr>
          <w:spacing w:val="-64"/>
        </w:rPr>
      </w:r>
      <w:r>
        <w:rPr/>
        <w:t>领域的技术实力，进一步提升云管平台自动化程度和跨云管理效能，加快解决方案产品化进程。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1</w:t>
      </w:r>
      <w:r>
        <w:rPr/>
        <w:t>、云管理服务（</w:t>
      </w:r>
      <w:r>
        <w:rPr>
          <w:rFonts w:ascii="宋体" w:hAnsi="宋体" w:cs="宋体" w:eastAsia="宋体" w:hint="default"/>
        </w:rPr>
        <w:t>MSP</w:t>
      </w:r>
      <w:r>
        <w:rPr/>
        <w:t>）</w:t>
      </w:r>
    </w:p>
    <w:p>
      <w:pPr>
        <w:pStyle w:val="BodyText"/>
        <w:spacing w:line="240" w:lineRule="auto" w:before="117"/>
        <w:ind w:left="513" w:right="0"/>
        <w:jc w:val="left"/>
      </w:pPr>
      <w:r>
        <w:rPr/>
        <w:t>报告期内，云管理服务（</w:t>
      </w:r>
      <w:r>
        <w:rPr>
          <w:rFonts w:ascii="宋体" w:hAnsi="宋体" w:cs="宋体" w:eastAsia="宋体" w:hint="default"/>
        </w:rPr>
        <w:t>MSP</w:t>
      </w:r>
      <w:r>
        <w:rPr/>
        <w:t>）收入</w:t>
      </w:r>
      <w:r>
        <w:rPr>
          <w:spacing w:val="-46"/>
        </w:rPr>
        <w:t> </w:t>
      </w:r>
      <w:r>
        <w:rPr>
          <w:rFonts w:ascii="宋体" w:hAnsi="宋体" w:cs="宋体" w:eastAsia="宋体" w:hint="default"/>
        </w:rPr>
        <w:t>1.89</w:t>
      </w:r>
      <w:r>
        <w:rPr>
          <w:rFonts w:ascii="宋体" w:hAnsi="宋体" w:cs="宋体" w:eastAsia="宋体" w:hint="default"/>
          <w:spacing w:val="-45"/>
        </w:rPr>
        <w:t> </w:t>
      </w:r>
      <w:r>
        <w:rPr/>
        <w:t>亿元，同比增长</w:t>
      </w:r>
      <w:r>
        <w:rPr>
          <w:spacing w:val="-47"/>
        </w:rPr>
        <w:t> </w:t>
      </w:r>
      <w:r>
        <w:rPr>
          <w:rFonts w:ascii="宋体" w:hAnsi="宋体" w:cs="宋体" w:eastAsia="宋体" w:hint="default"/>
        </w:rPr>
        <w:t>257.49%</w:t>
      </w:r>
      <w:r>
        <w:rPr/>
        <w:t>，毛利率</w:t>
      </w:r>
      <w:r>
        <w:rPr>
          <w:spacing w:val="-49"/>
        </w:rPr>
        <w:t> </w:t>
      </w:r>
      <w:r>
        <w:rPr>
          <w:rFonts w:ascii="宋体" w:hAnsi="宋体" w:cs="宋体" w:eastAsia="宋体" w:hint="default"/>
        </w:rPr>
        <w:t>53.45%</w:t>
      </w:r>
      <w:r>
        <w:rPr/>
        <w:t>。</w:t>
      </w:r>
    </w:p>
    <w:p>
      <w:pPr>
        <w:pStyle w:val="BodyText"/>
        <w:spacing w:line="316" w:lineRule="auto" w:before="115"/>
        <w:ind w:right="1042" w:firstLine="360"/>
        <w:jc w:val="left"/>
      </w:pPr>
      <w:r>
        <w:rPr/>
        <w:t>工信部</w:t>
      </w:r>
      <w:r>
        <w:rPr>
          <w:spacing w:val="-38"/>
        </w:rPr>
        <w:t> </w:t>
      </w:r>
      <w:r>
        <w:rPr>
          <w:rFonts w:ascii="宋体" w:hAnsi="宋体" w:cs="宋体" w:eastAsia="宋体" w:hint="default"/>
        </w:rPr>
        <w:t>2018</w:t>
      </w:r>
      <w:r>
        <w:rPr>
          <w:rFonts w:ascii="宋体" w:hAnsi="宋体" w:cs="宋体" w:eastAsia="宋体" w:hint="default"/>
          <w:spacing w:val="-35"/>
        </w:rPr>
        <w:t> </w:t>
      </w:r>
      <w:r>
        <w:rPr>
          <w:spacing w:val="-2"/>
        </w:rPr>
        <w:t>年印发的《推动企业上云实施指南（</w:t>
      </w:r>
      <w:r>
        <w:rPr>
          <w:rFonts w:ascii="宋体" w:hAnsi="宋体" w:cs="宋体" w:eastAsia="宋体" w:hint="default"/>
          <w:spacing w:val="-2"/>
        </w:rPr>
        <w:t>2018-2020</w:t>
      </w:r>
      <w:r>
        <w:rPr>
          <w:rFonts w:ascii="宋体" w:hAnsi="宋体" w:cs="宋体" w:eastAsia="宋体" w:hint="default"/>
          <w:spacing w:val="-39"/>
        </w:rPr>
        <w:t> </w:t>
      </w:r>
      <w:r>
        <w:rPr>
          <w:spacing w:val="-5"/>
        </w:rPr>
        <w:t>年）》指出，企业上云是企业基于自身业务发展和信息技术</w:t>
      </w:r>
      <w:r>
        <w:rPr/>
        <w:t> </w:t>
      </w:r>
      <w:r>
        <w:rPr>
          <w:spacing w:val="-4"/>
        </w:rPr>
        <w:t>应用需求，优化生产经营管理，提高业务能力和发展水平的重要途径，预计到</w:t>
      </w:r>
      <w:r>
        <w:rPr>
          <w:spacing w:val="-43"/>
        </w:rPr>
        <w:t> </w:t>
      </w:r>
      <w:r>
        <w:rPr>
          <w:rFonts w:ascii="宋体" w:hAnsi="宋体" w:cs="宋体" w:eastAsia="宋体" w:hint="default"/>
        </w:rPr>
        <w:t>2020</w:t>
      </w:r>
      <w:r>
        <w:rPr>
          <w:rFonts w:ascii="宋体" w:hAnsi="宋体" w:cs="宋体" w:eastAsia="宋体" w:hint="default"/>
          <w:spacing w:val="-43"/>
        </w:rPr>
        <w:t> </w:t>
      </w:r>
      <w:r>
        <w:rPr>
          <w:spacing w:val="-4"/>
        </w:rPr>
        <w:t>年，全国新增上云企业将达到</w:t>
      </w:r>
      <w:r>
        <w:rPr>
          <w:spacing w:val="-44"/>
        </w:rPr>
        <w:t> </w:t>
      </w:r>
      <w:r>
        <w:rPr>
          <w:rFonts w:ascii="宋体" w:hAnsi="宋体" w:cs="宋体" w:eastAsia="宋体" w:hint="default"/>
        </w:rPr>
        <w:t>100</w:t>
      </w:r>
      <w:r>
        <w:rPr>
          <w:rFonts w:ascii="宋体" w:hAnsi="宋体" w:cs="宋体" w:eastAsia="宋体" w:hint="default"/>
          <w:spacing w:val="-44"/>
        </w:rPr>
        <w:t> </w:t>
      </w:r>
      <w:r>
        <w:rPr/>
        <w:t>万家。 </w:t>
      </w:r>
      <w:r>
        <w:rPr>
          <w:spacing w:val="-2"/>
        </w:rPr>
        <w:t>同时，伴随企业业务系统向云端逐步迁移，其应用服务的复杂性和多样性快速上升，同时还面临成本核算、多云和混合云运</w:t>
      </w:r>
      <w:r>
        <w:rPr>
          <w:spacing w:val="-65"/>
        </w:rPr>
        <w:t> </w:t>
      </w:r>
      <w:r>
        <w:rPr>
          <w:spacing w:val="-65"/>
        </w:rPr>
      </w:r>
      <w:r>
        <w:rPr>
          <w:spacing w:val="-7"/>
        </w:rPr>
        <w:t>维、安全管理等一系列难题，需要专业的云管理服务商提供全方位的云管理服务。根据</w:t>
      </w:r>
      <w:r>
        <w:rPr>
          <w:spacing w:val="-42"/>
        </w:rPr>
        <w:t> </w:t>
      </w:r>
      <w:r>
        <w:rPr>
          <w:rFonts w:ascii="宋体" w:hAnsi="宋体" w:cs="宋体" w:eastAsia="宋体" w:hint="default"/>
          <w:spacing w:val="-1"/>
        </w:rPr>
        <w:t>IDC</w:t>
      </w:r>
      <w:r>
        <w:rPr>
          <w:rFonts w:ascii="宋体" w:hAnsi="宋体" w:cs="宋体" w:eastAsia="宋体" w:hint="default"/>
          <w:spacing w:val="-40"/>
        </w:rPr>
        <w:t> </w:t>
      </w:r>
      <w:r>
        <w:rPr>
          <w:spacing w:val="-1"/>
        </w:rPr>
        <w:t>发布的中国云管理服务市场报告，</w:t>
      </w:r>
      <w:r>
        <w:rPr>
          <w:spacing w:val="-81"/>
        </w:rPr>
        <w:t> </w:t>
      </w:r>
      <w:r>
        <w:rPr>
          <w:spacing w:val="-81"/>
        </w:rPr>
      </w:r>
      <w:r>
        <w:rPr>
          <w:rFonts w:ascii="宋体" w:hAnsi="宋体" w:cs="宋体" w:eastAsia="宋体" w:hint="default"/>
        </w:rPr>
        <w:t>2018-2023</w:t>
      </w:r>
      <w:r>
        <w:rPr>
          <w:rFonts w:ascii="宋体" w:hAnsi="宋体" w:cs="宋体" w:eastAsia="宋体" w:hint="default"/>
          <w:spacing w:val="-44"/>
        </w:rPr>
        <w:t> </w:t>
      </w:r>
      <w:r>
        <w:rPr/>
        <w:t>年国内云管理服务市场规模复合增长率</w:t>
      </w:r>
      <w:r>
        <w:rPr>
          <w:spacing w:val="-45"/>
        </w:rPr>
        <w:t> </w:t>
      </w:r>
      <w:r>
        <w:rPr>
          <w:rFonts w:ascii="宋体" w:hAnsi="宋体" w:cs="宋体" w:eastAsia="宋体" w:hint="default"/>
        </w:rPr>
        <w:t>70.8%</w:t>
      </w:r>
      <w:r>
        <w:rPr/>
        <w:t>，拥有巨大的市场前景和产业机遇，过去几年公司在</w:t>
      </w:r>
      <w:r>
        <w:rPr>
          <w:spacing w:val="-45"/>
        </w:rPr>
        <w:t> </w:t>
      </w:r>
      <w:r>
        <w:rPr>
          <w:rFonts w:ascii="宋体" w:hAnsi="宋体" w:cs="宋体" w:eastAsia="宋体" w:hint="default"/>
        </w:rPr>
        <w:t>MSP</w:t>
      </w:r>
      <w:r>
        <w:rPr>
          <w:rFonts w:ascii="宋体" w:hAnsi="宋体" w:cs="宋体" w:eastAsia="宋体" w:hint="default"/>
          <w:spacing w:val="-44"/>
        </w:rPr>
        <w:t> </w:t>
      </w:r>
      <w:r>
        <w:rPr/>
        <w:t>细分领域 增长速度持续超过行业平均水平，体现明显的卡位优势和竞争能力。报告期内，公司进一步提升咨询、迁移、运维、优化、</w:t>
      </w:r>
      <w:r>
        <w:rPr>
          <w:spacing w:val="-83"/>
        </w:rPr>
        <w:t> </w:t>
      </w:r>
      <w:r>
        <w:rPr>
          <w:spacing w:val="-83"/>
        </w:rPr>
      </w:r>
      <w:r>
        <w:rPr/>
        <w:t>安全等全生命周期的云管理服务能力，为更多企业级客户提供全方位自动化云管理服务，并打造出多项行业标杆案例。</w:t>
      </w:r>
    </w:p>
    <w:p>
      <w:pPr>
        <w:pStyle w:val="BodyText"/>
        <w:spacing w:line="316" w:lineRule="auto" w:before="59"/>
        <w:ind w:right="1116" w:firstLine="360"/>
        <w:jc w:val="left"/>
      </w:pPr>
      <w:r>
        <w:rPr/>
        <w:t>在技术能力认证方面，公司凭借强劲的公有云服务能力和对于全球主流云平台架构的深刻理解，继续扩大</w:t>
      </w:r>
      <w:r>
        <w:rPr>
          <w:spacing w:val="-41"/>
        </w:rPr>
        <w:t> </w:t>
      </w:r>
      <w:r>
        <w:rPr>
          <w:rFonts w:ascii="宋体" w:hAnsi="宋体" w:cs="宋体" w:eastAsia="宋体" w:hint="default"/>
        </w:rPr>
        <w:t>3A TOP</w:t>
      </w:r>
      <w:r>
        <w:rPr>
          <w:rFonts w:ascii="宋体" w:hAnsi="宋体" w:cs="宋体" w:eastAsia="宋体" w:hint="default"/>
          <w:spacing w:val="-41"/>
        </w:rPr>
        <w:t> </w:t>
      </w:r>
      <w:r>
        <w:rPr/>
        <w:t>级合 作伙伴的优势。报告期内，公司荣膺微软年度最佳云管理服务提供商（</w:t>
      </w:r>
      <w:r>
        <w:rPr>
          <w:rFonts w:ascii="宋体" w:hAnsi="宋体" w:cs="宋体" w:eastAsia="宋体" w:hint="default"/>
        </w:rPr>
        <w:t>Top </w:t>
      </w:r>
      <w:r>
        <w:rPr>
          <w:rFonts w:ascii="宋体" w:hAnsi="宋体" w:cs="宋体" w:eastAsia="宋体" w:hint="default"/>
          <w:spacing w:val="-1"/>
        </w:rPr>
        <w:t>MSP</w:t>
      </w:r>
      <w:r>
        <w:rPr>
          <w:rFonts w:ascii="宋体" w:hAnsi="宋体" w:cs="宋体" w:eastAsia="宋体" w:hint="default"/>
          <w:spacing w:val="-58"/>
        </w:rPr>
        <w:t> </w:t>
      </w:r>
      <w:r>
        <w:rPr>
          <w:rFonts w:ascii="宋体" w:hAnsi="宋体" w:cs="宋体" w:eastAsia="宋体" w:hint="default"/>
          <w:spacing w:val="-5"/>
        </w:rPr>
        <w:t>Partner</w:t>
      </w:r>
      <w:r>
        <w:rPr>
          <w:spacing w:val="-5"/>
        </w:rPr>
        <w:t>），成为国内唯一获得微软年度学习</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6"/>
        <w:jc w:val="both"/>
      </w:pPr>
      <w:r>
        <w:rPr/>
        <w:t>伙伴（</w:t>
      </w:r>
      <w:r>
        <w:rPr>
          <w:rFonts w:ascii="宋体" w:hAnsi="宋体" w:cs="宋体" w:eastAsia="宋体" w:hint="default"/>
        </w:rPr>
        <w:t>Learning</w:t>
      </w:r>
      <w:r>
        <w:rPr>
          <w:rFonts w:ascii="宋体" w:hAnsi="宋体" w:cs="宋体" w:eastAsia="宋体" w:hint="default"/>
          <w:spacing w:val="-22"/>
        </w:rPr>
        <w:t> </w:t>
      </w:r>
      <w:r>
        <w:rPr>
          <w:rFonts w:ascii="宋体" w:hAnsi="宋体" w:cs="宋体" w:eastAsia="宋体" w:hint="default"/>
        </w:rPr>
        <w:t>Partner</w:t>
      </w:r>
      <w:r>
        <w:rPr>
          <w:rFonts w:ascii="宋体" w:hAnsi="宋体" w:cs="宋体" w:eastAsia="宋体" w:hint="default"/>
          <w:spacing w:val="-23"/>
        </w:rPr>
        <w:t> </w:t>
      </w:r>
      <w:r>
        <w:rPr>
          <w:rFonts w:ascii="宋体" w:hAnsi="宋体" w:cs="宋体" w:eastAsia="宋体" w:hint="default"/>
        </w:rPr>
        <w:t>of</w:t>
      </w:r>
      <w:r>
        <w:rPr>
          <w:rFonts w:ascii="宋体" w:hAnsi="宋体" w:cs="宋体" w:eastAsia="宋体" w:hint="default"/>
          <w:spacing w:val="-22"/>
        </w:rPr>
        <w:t> </w:t>
      </w:r>
      <w:r>
        <w:rPr>
          <w:rFonts w:ascii="宋体" w:hAnsi="宋体" w:cs="宋体" w:eastAsia="宋体" w:hint="default"/>
        </w:rPr>
        <w:t>the</w:t>
      </w:r>
      <w:r>
        <w:rPr>
          <w:rFonts w:ascii="宋体" w:hAnsi="宋体" w:cs="宋体" w:eastAsia="宋体" w:hint="default"/>
          <w:spacing w:val="-23"/>
        </w:rPr>
        <w:t> </w:t>
      </w:r>
      <w:r>
        <w:rPr>
          <w:rFonts w:ascii="宋体" w:hAnsi="宋体" w:cs="宋体" w:eastAsia="宋体" w:hint="default"/>
        </w:rPr>
        <w:t>Year</w:t>
      </w:r>
      <w:r>
        <w:rPr/>
        <w:t>）提名的云服务商；以</w:t>
      </w:r>
      <w:r>
        <w:rPr>
          <w:spacing w:val="-48"/>
        </w:rPr>
        <w:t> </w:t>
      </w:r>
      <w:r>
        <w:rPr>
          <w:rFonts w:ascii="宋体" w:hAnsi="宋体" w:cs="宋体" w:eastAsia="宋体" w:hint="default"/>
        </w:rPr>
        <w:t>1000</w:t>
      </w:r>
      <w:r>
        <w:rPr>
          <w:rFonts w:ascii="宋体" w:hAnsi="宋体" w:cs="宋体" w:eastAsia="宋体" w:hint="default"/>
          <w:spacing w:val="-44"/>
        </w:rPr>
        <w:t> </w:t>
      </w:r>
      <w:r>
        <w:rPr/>
        <w:t>分的满分成绩通过</w:t>
      </w:r>
      <w:r>
        <w:rPr>
          <w:spacing w:val="-48"/>
        </w:rPr>
        <w:t> </w:t>
      </w:r>
      <w:r>
        <w:rPr>
          <w:rFonts w:ascii="宋体" w:hAnsi="宋体" w:cs="宋体" w:eastAsia="宋体" w:hint="default"/>
        </w:rPr>
        <w:t>AWS </w:t>
      </w:r>
      <w:r>
        <w:rPr/>
        <w:t>管理服务能力审计，成为</w:t>
      </w:r>
      <w:r>
        <w:rPr>
          <w:spacing w:val="-45"/>
        </w:rPr>
        <w:t> </w:t>
      </w:r>
      <w:r>
        <w:rPr>
          <w:rFonts w:ascii="宋体" w:hAnsi="宋体" w:cs="宋体" w:eastAsia="宋体" w:hint="default"/>
        </w:rPr>
        <w:t>AWS </w:t>
      </w:r>
      <w:r>
        <w:rPr/>
        <w:t>管 </w:t>
      </w:r>
      <w:r>
        <w:rPr>
          <w:spacing w:val="-9"/>
        </w:rPr>
        <w:t>理服务提供商（</w:t>
      </w:r>
      <w:r>
        <w:rPr>
          <w:rFonts w:ascii="宋体" w:hAnsi="宋体" w:cs="宋体" w:eastAsia="宋体" w:hint="default"/>
          <w:spacing w:val="-9"/>
        </w:rPr>
        <w:t>MSP</w:t>
      </w:r>
      <w:r>
        <w:rPr>
          <w:spacing w:val="-9"/>
        </w:rPr>
        <w:t>）；公司作为阿里云钻石级合作伙伴、全国总经销商以及</w:t>
      </w:r>
      <w:r>
        <w:rPr>
          <w:spacing w:val="-28"/>
        </w:rPr>
        <w:t> </w:t>
      </w:r>
      <w:r>
        <w:rPr>
          <w:rFonts w:ascii="宋体" w:hAnsi="宋体" w:cs="宋体" w:eastAsia="宋体" w:hint="default"/>
          <w:spacing w:val="-1"/>
        </w:rPr>
        <w:t>MSP</w:t>
      </w:r>
      <w:r>
        <w:rPr>
          <w:rFonts w:ascii="宋体" w:hAnsi="宋体" w:cs="宋体" w:eastAsia="宋体" w:hint="default"/>
          <w:spacing w:val="-28"/>
        </w:rPr>
        <w:t> </w:t>
      </w:r>
      <w:r>
        <w:rPr>
          <w:spacing w:val="-4"/>
        </w:rPr>
        <w:t>认证服务商的核心合作伙伴，双方在专有云、</w:t>
      </w:r>
      <w:r>
        <w:rPr>
          <w:spacing w:val="-84"/>
        </w:rPr>
        <w:t> </w:t>
      </w:r>
      <w:r>
        <w:rPr>
          <w:spacing w:val="-84"/>
        </w:rPr>
      </w:r>
      <w:r>
        <w:rPr/>
        <w:t>混合云、公有云领域共同为行业巨头客户提供云资源技术支持，以及为中小型的互联网云原生企业提供专业的云上服务。</w:t>
      </w:r>
    </w:p>
    <w:p>
      <w:pPr>
        <w:pStyle w:val="BodyText"/>
        <w:spacing w:line="316" w:lineRule="auto" w:before="58"/>
        <w:ind w:right="1128" w:firstLine="360"/>
        <w:jc w:val="right"/>
      </w:pPr>
      <w:r>
        <w:rPr/>
        <w:t>在技术服务升级方面，公司利用</w:t>
      </w:r>
      <w:r>
        <w:rPr>
          <w:spacing w:val="-44"/>
        </w:rPr>
        <w:t> </w:t>
      </w:r>
      <w:r>
        <w:rPr>
          <w:rFonts w:ascii="宋体" w:hAnsi="宋体" w:cs="宋体" w:eastAsia="宋体" w:hint="default"/>
        </w:rPr>
        <w:t>DevOps</w:t>
      </w:r>
      <w:r>
        <w:rPr>
          <w:rFonts w:ascii="宋体" w:hAnsi="宋体" w:cs="宋体" w:eastAsia="宋体" w:hint="default"/>
          <w:spacing w:val="-43"/>
        </w:rPr>
        <w:t> </w:t>
      </w:r>
      <w:r>
        <w:rPr/>
        <w:t>等自动化工具的协作理念，结合自主开发的集成系统，实现</w:t>
      </w:r>
      <w:r>
        <w:rPr>
          <w:spacing w:val="-44"/>
        </w:rPr>
        <w:t> </w:t>
      </w:r>
      <w:r>
        <w:rPr>
          <w:rFonts w:ascii="宋体" w:hAnsi="宋体" w:cs="宋体" w:eastAsia="宋体" w:hint="default"/>
        </w:rPr>
        <w:t>MSP</w:t>
      </w:r>
      <w:r>
        <w:rPr>
          <w:rFonts w:ascii="宋体" w:hAnsi="宋体" w:cs="宋体" w:eastAsia="宋体" w:hint="default"/>
          <w:spacing w:val="-43"/>
        </w:rPr>
        <w:t> </w:t>
      </w:r>
      <w:r>
        <w:rPr/>
        <w:t>自动化服务。 </w:t>
      </w:r>
      <w:r>
        <w:rPr>
          <w:spacing w:val="-2"/>
        </w:rPr>
        <w:t>另外，在云托管安全服务（</w:t>
      </w:r>
      <w:r>
        <w:rPr>
          <w:rFonts w:ascii="宋体" w:hAnsi="宋体" w:cs="宋体" w:eastAsia="宋体" w:hint="default"/>
          <w:spacing w:val="-2"/>
        </w:rPr>
        <w:t>MSSP</w:t>
      </w:r>
      <w:r>
        <w:rPr>
          <w:spacing w:val="-2"/>
        </w:rPr>
        <w:t>）领域，公司提供高可用性的安全中心，使用包括防火墙、入侵检测、虚拟私有网络、漏洞</w:t>
      </w:r>
      <w:r>
        <w:rPr>
          <w:spacing w:val="-78"/>
        </w:rPr>
        <w:t> </w:t>
      </w:r>
      <w:r>
        <w:rPr>
          <w:spacing w:val="-78"/>
        </w:rPr>
      </w:r>
      <w:r>
        <w:rPr>
          <w:spacing w:val="-4"/>
        </w:rPr>
        <w:t>扫描和抗病毒等在内的安全屏障，对安全设备和系统提供</w:t>
      </w:r>
      <w:r>
        <w:rPr/>
        <w:t> </w:t>
      </w:r>
      <w:r>
        <w:rPr>
          <w:rFonts w:ascii="宋体" w:hAnsi="宋体" w:cs="宋体" w:eastAsia="宋体" w:hint="default"/>
          <w:spacing w:val="-1"/>
        </w:rPr>
        <w:t>24*7</w:t>
      </w:r>
      <w:r>
        <w:rPr>
          <w:rFonts w:ascii="宋体" w:hAnsi="宋体" w:cs="宋体" w:eastAsia="宋体" w:hint="default"/>
          <w:spacing w:val="-55"/>
        </w:rPr>
        <w:t> </w:t>
      </w:r>
      <w:r>
        <w:rPr>
          <w:spacing w:val="-4"/>
        </w:rPr>
        <w:t>的监控管理服务，有效降低客户企业数字化系统运营的风险。</w:t>
      </w:r>
    </w:p>
    <w:p>
      <w:pPr>
        <w:pStyle w:val="BodyText"/>
        <w:spacing w:line="316" w:lineRule="auto" w:before="57"/>
        <w:ind w:right="1027" w:firstLine="360"/>
        <w:jc w:val="left"/>
      </w:pPr>
      <w:r>
        <w:rPr>
          <w:spacing w:val="-2"/>
        </w:rPr>
        <w:t>在行业客户拓展方面，依托深厚的品牌价值沉淀和成熟的技术服务优势，公司云管理服务项目在多个行业落地，主要进</w:t>
      </w:r>
      <w:r>
        <w:rPr/>
        <w:t> 展包括：为某全球顶级汽车行业客户的共享车出行云平台提供运维服务；为某知名汽车行业客户提供</w:t>
      </w:r>
      <w:r>
        <w:rPr>
          <w:spacing w:val="-41"/>
        </w:rPr>
        <w:t> </w:t>
      </w:r>
      <w:r>
        <w:rPr>
          <w:rFonts w:ascii="宋体" w:hAnsi="宋体" w:cs="宋体" w:eastAsia="宋体" w:hint="default"/>
        </w:rPr>
        <w:t>MSP</w:t>
      </w:r>
      <w:r>
        <w:rPr>
          <w:rFonts w:ascii="宋体" w:hAnsi="宋体" w:cs="宋体" w:eastAsia="宋体" w:hint="default"/>
          <w:spacing w:val="-42"/>
        </w:rPr>
        <w:t> </w:t>
      </w:r>
      <w:r>
        <w:rPr/>
        <w:t>云管理服务项目； </w:t>
      </w:r>
      <w:r>
        <w:rPr>
          <w:spacing w:val="-4"/>
        </w:rPr>
        <w:t>为某知名文旅企业客户提供混合云平台上的统一化管理及运维服务；为某知名制造业国企客户提供多云、跨云的云管理服务，</w:t>
      </w:r>
      <w:r>
        <w:rPr>
          <w:spacing w:val="-44"/>
        </w:rPr>
        <w:t> </w:t>
      </w:r>
      <w:r>
        <w:rPr>
          <w:spacing w:val="-44"/>
        </w:rPr>
      </w:r>
      <w:r>
        <w:rPr>
          <w:spacing w:val="-2"/>
        </w:rPr>
        <w:t>以及云上安全服务；为某软件企业搭建快速响应业务变化的云上系统架构，并帮助客户降低后期运维成本。其中汽车行业共</w:t>
      </w:r>
      <w:r>
        <w:rPr>
          <w:spacing w:val="-62"/>
        </w:rPr>
        <w:t> </w:t>
      </w:r>
      <w:r>
        <w:rPr>
          <w:spacing w:val="-62"/>
        </w:rPr>
      </w:r>
      <w:r>
        <w:rPr/>
        <w:t>享出行平台项目和</w:t>
      </w:r>
      <w:r>
        <w:rPr>
          <w:spacing w:val="-29"/>
        </w:rPr>
        <w:t> </w:t>
      </w:r>
      <w:r>
        <w:rPr>
          <w:rFonts w:ascii="宋体" w:hAnsi="宋体" w:cs="宋体" w:eastAsia="宋体" w:hint="default"/>
        </w:rPr>
        <w:t>MSP</w:t>
      </w:r>
      <w:r>
        <w:rPr>
          <w:rFonts w:ascii="宋体" w:hAnsi="宋体" w:cs="宋体" w:eastAsia="宋体" w:hint="default"/>
          <w:spacing w:val="-28"/>
        </w:rPr>
        <w:t> </w:t>
      </w:r>
      <w:r>
        <w:rPr/>
        <w:t>云管理服务项目入选了由北大光华管理学院和锦囊专家联合发布的《</w:t>
      </w:r>
      <w:r>
        <w:rPr>
          <w:rFonts w:ascii="宋体" w:hAnsi="宋体" w:cs="宋体" w:eastAsia="宋体" w:hint="default"/>
        </w:rPr>
        <w:t>2019</w:t>
      </w:r>
      <w:r>
        <w:rPr>
          <w:rFonts w:ascii="宋体" w:hAnsi="宋体" w:cs="宋体" w:eastAsia="宋体" w:hint="default"/>
          <w:spacing w:val="-28"/>
        </w:rPr>
        <w:t> </w:t>
      </w:r>
      <w:r>
        <w:rPr/>
        <w:t>中国汽车行业数字化转型 </w:t>
      </w:r>
      <w:r>
        <w:rPr>
          <w:spacing w:val="-16"/>
        </w:rPr>
        <w:t>研究报告》。</w:t>
      </w:r>
    </w:p>
    <w:p>
      <w:pPr>
        <w:pStyle w:val="BodyText"/>
        <w:spacing w:line="316" w:lineRule="auto" w:before="60"/>
        <w:ind w:right="1126" w:firstLine="360"/>
        <w:jc w:val="both"/>
      </w:pPr>
      <w:r>
        <w:rPr>
          <w:spacing w:val="-2"/>
        </w:rPr>
        <w:t>此外，公司报告期内与中国移动签署了《战略合作框架协议》，双方将在通信基础设施、垂直行业、云计算、</w:t>
      </w:r>
      <w:r>
        <w:rPr>
          <w:rFonts w:ascii="宋体" w:hAnsi="宋体" w:cs="宋体" w:eastAsia="宋体" w:hint="default"/>
          <w:spacing w:val="-2"/>
        </w:rPr>
        <w:t>ICT</w:t>
      </w:r>
      <w:r>
        <w:rPr>
          <w:rFonts w:ascii="宋体" w:hAnsi="宋体" w:cs="宋体" w:eastAsia="宋体" w:hint="default"/>
          <w:spacing w:val="22"/>
        </w:rPr>
        <w:t> </w:t>
      </w:r>
      <w:r>
        <w:rPr/>
        <w:t>应用 </w:t>
      </w:r>
      <w:r>
        <w:rPr>
          <w:spacing w:val="-2"/>
        </w:rPr>
        <w:t>和智慧城市等领域展开深度合作。中国移动未来将依托神州数码的云核心技术能力和服务实践积累，为其各级云资源池提供</w:t>
      </w:r>
      <w:r>
        <w:rPr>
          <w:spacing w:val="-64"/>
        </w:rPr>
        <w:t> </w:t>
      </w:r>
      <w:r>
        <w:rPr>
          <w:spacing w:val="-64"/>
        </w:rPr>
      </w:r>
      <w:r>
        <w:rPr/>
        <w:t>属地运营、运维服务，并共同拓展行业重点客户，根据客户在</w:t>
      </w:r>
      <w:r>
        <w:rPr>
          <w:spacing w:val="6"/>
        </w:rPr>
        <w:t> </w:t>
      </w:r>
      <w:r>
        <w:rPr>
          <w:rFonts w:ascii="宋体" w:hAnsi="宋体" w:cs="宋体" w:eastAsia="宋体" w:hint="default"/>
        </w:rPr>
        <w:t>IT</w:t>
      </w:r>
      <w:r>
        <w:rPr/>
        <w:t>、网络、业务云化方面的建设和运营需求，在解决方案、 集成实施、售后服务方面展开深度合作，助力客户数字化转型。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2</w:t>
      </w:r>
      <w:r>
        <w:rPr/>
        <w:t>、数字化解决方案（</w:t>
      </w:r>
      <w:r>
        <w:rPr>
          <w:rFonts w:ascii="宋体" w:hAnsi="宋体" w:cs="宋体" w:eastAsia="宋体" w:hint="default"/>
        </w:rPr>
        <w:t>ISV</w:t>
      </w:r>
      <w:r>
        <w:rPr/>
        <w:t>）</w:t>
      </w:r>
    </w:p>
    <w:p>
      <w:pPr>
        <w:pStyle w:val="BodyText"/>
        <w:spacing w:line="240" w:lineRule="auto" w:before="117"/>
        <w:ind w:left="513" w:right="0"/>
        <w:jc w:val="left"/>
      </w:pPr>
      <w:r>
        <w:rPr/>
        <w:t>报告期内，云上数字化解决方案（</w:t>
      </w:r>
      <w:r>
        <w:rPr>
          <w:rFonts w:ascii="宋体" w:hAnsi="宋体" w:cs="宋体" w:eastAsia="宋体" w:hint="default"/>
        </w:rPr>
        <w:t>ISV</w:t>
      </w:r>
      <w:r>
        <w:rPr/>
        <w:t>）收入</w:t>
      </w:r>
      <w:r>
        <w:rPr>
          <w:spacing w:val="-47"/>
        </w:rPr>
        <w:t> </w:t>
      </w:r>
      <w:r>
        <w:rPr>
          <w:rFonts w:ascii="宋体" w:hAnsi="宋体" w:cs="宋体" w:eastAsia="宋体" w:hint="default"/>
        </w:rPr>
        <w:t>0.88</w:t>
      </w:r>
      <w:r>
        <w:rPr>
          <w:rFonts w:ascii="宋体" w:hAnsi="宋体" w:cs="宋体" w:eastAsia="宋体" w:hint="default"/>
          <w:spacing w:val="-47"/>
        </w:rPr>
        <w:t> </w:t>
      </w:r>
      <w:r>
        <w:rPr/>
        <w:t>亿元，同比增长</w:t>
      </w:r>
      <w:r>
        <w:rPr>
          <w:spacing w:val="-47"/>
        </w:rPr>
        <w:t> </w:t>
      </w:r>
      <w:r>
        <w:rPr>
          <w:rFonts w:ascii="宋体" w:hAnsi="宋体" w:cs="宋体" w:eastAsia="宋体" w:hint="default"/>
        </w:rPr>
        <w:t>22.28%</w:t>
      </w:r>
      <w:r>
        <w:rPr/>
        <w:t>，毛利率</w:t>
      </w:r>
      <w:r>
        <w:rPr>
          <w:spacing w:val="-49"/>
        </w:rPr>
        <w:t> </w:t>
      </w:r>
      <w:r>
        <w:rPr>
          <w:rFonts w:ascii="宋体" w:hAnsi="宋体" w:cs="宋体" w:eastAsia="宋体" w:hint="default"/>
        </w:rPr>
        <w:t>79.73%</w:t>
      </w:r>
      <w:r>
        <w:rPr/>
        <w:t>。</w:t>
      </w:r>
    </w:p>
    <w:p>
      <w:pPr>
        <w:pStyle w:val="BodyText"/>
        <w:spacing w:line="316" w:lineRule="auto" w:before="117"/>
        <w:ind w:right="1131" w:firstLine="360"/>
        <w:jc w:val="both"/>
      </w:pPr>
      <w:r>
        <w:rPr/>
        <w:t>随着公司</w:t>
      </w:r>
      <w:r>
        <w:rPr>
          <w:spacing w:val="-44"/>
        </w:rPr>
        <w:t> </w:t>
      </w:r>
      <w:r>
        <w:rPr>
          <w:rFonts w:ascii="宋体" w:hAnsi="宋体" w:cs="宋体" w:eastAsia="宋体" w:hint="default"/>
        </w:rPr>
        <w:t>MSP</w:t>
      </w:r>
      <w:r>
        <w:rPr>
          <w:rFonts w:ascii="宋体" w:hAnsi="宋体" w:cs="宋体" w:eastAsia="宋体" w:hint="default"/>
          <w:spacing w:val="-42"/>
        </w:rPr>
        <w:t> </w:t>
      </w:r>
      <w:r>
        <w:rPr/>
        <w:t>业务快速发展，云上汇聚海量数据，带来大量云上数字化解决方案（</w:t>
      </w:r>
      <w:r>
        <w:rPr>
          <w:rFonts w:ascii="宋体" w:hAnsi="宋体" w:cs="宋体" w:eastAsia="宋体" w:hint="default"/>
        </w:rPr>
        <w:t>ISV</w:t>
      </w:r>
      <w:r>
        <w:rPr/>
        <w:t>）需求。基于多年服务行业头部 </w:t>
      </w:r>
      <w:r>
        <w:rPr>
          <w:spacing w:val="-2"/>
        </w:rPr>
        <w:t>客户积累的强大技术实力与丰富经验，公司持续为包括零售、快消、汽车、文旅、金融等行业世界五百强企业在内的广大客</w:t>
      </w:r>
      <w:r>
        <w:rPr>
          <w:spacing w:val="-65"/>
        </w:rPr>
        <w:t> </w:t>
      </w:r>
      <w:r>
        <w:rPr>
          <w:spacing w:val="-65"/>
        </w:rPr>
      </w:r>
      <w:r>
        <w:rPr/>
        <w:t>户提供以物联网、大数据、人工智能等技术为基础且可复制性高的数字化解决方案。</w:t>
      </w:r>
    </w:p>
    <w:p>
      <w:pPr>
        <w:pStyle w:val="BodyText"/>
        <w:spacing w:line="319" w:lineRule="auto" w:before="57"/>
        <w:ind w:right="1130" w:firstLine="360"/>
        <w:jc w:val="both"/>
      </w:pPr>
      <w:r>
        <w:rPr>
          <w:spacing w:val="-2"/>
        </w:rPr>
        <w:t>公司围绕数据获取、数据存储、数据管理和数据分析这一完整大数据产业链，对应性地构建并完善了从数据获取到数据</w:t>
      </w:r>
      <w:r>
        <w:rPr/>
        <w:t> 应用的全方位大数据解决方案，有效地赋能零售、酒店、汽车等行业客户提升经营效率。</w:t>
      </w:r>
    </w:p>
    <w:p>
      <w:pPr>
        <w:pStyle w:val="BodyText"/>
        <w:spacing w:line="316" w:lineRule="auto" w:before="58"/>
        <w:ind w:right="1130" w:firstLine="360"/>
        <w:jc w:val="both"/>
      </w:pPr>
      <w:r>
        <w:rPr/>
        <w:t>数据脱敏解决方案：</w:t>
      </w:r>
      <w:r>
        <w:rPr>
          <w:rFonts w:ascii="宋体" w:hAnsi="宋体" w:cs="宋体" w:eastAsia="宋体" w:hint="default"/>
        </w:rPr>
        <w:t>TDMP</w:t>
      </w:r>
      <w:r>
        <w:rPr>
          <w:rFonts w:ascii="宋体" w:hAnsi="宋体" w:cs="宋体" w:eastAsia="宋体" w:hint="default"/>
          <w:spacing w:val="2"/>
        </w:rPr>
        <w:t> </w:t>
      </w:r>
      <w:r>
        <w:rPr/>
        <w:t>专业级数据脱敏系统将资源反射算法应用到数据脱敏中，可以为客户提供满足企业数据安全 </w:t>
      </w:r>
      <w:r>
        <w:rPr>
          <w:spacing w:val="-2"/>
        </w:rPr>
        <w:t>制度、符合国家管控要求的数据安全防护解决方案；使用敏感信息扫描规则和丰富的脱敏算法，自动识别不同场景的敏感信</w:t>
      </w:r>
      <w:r>
        <w:rPr>
          <w:spacing w:val="-63"/>
        </w:rPr>
        <w:t> </w:t>
      </w:r>
      <w:r>
        <w:rPr>
          <w:spacing w:val="-63"/>
        </w:rPr>
      </w:r>
      <w:r>
        <w:rPr>
          <w:spacing w:val="-2"/>
        </w:rPr>
        <w:t>息，并进行点对点数据脱敏处理；部署架构灵活，支持同构库、异构库等多种业务脱敏场景和纯内存数据脱敏、落地数据脱</w:t>
      </w:r>
      <w:r>
        <w:rPr>
          <w:spacing w:val="-67"/>
        </w:rPr>
        <w:t> </w:t>
      </w:r>
      <w:r>
        <w:rPr>
          <w:spacing w:val="-67"/>
        </w:rPr>
      </w:r>
      <w:r>
        <w:rPr/>
        <w:t>敏、就地批量更新脱敏等多种脱敏方式。</w:t>
      </w:r>
    </w:p>
    <w:p>
      <w:pPr>
        <w:pStyle w:val="BodyText"/>
        <w:spacing w:line="316" w:lineRule="auto" w:before="59"/>
        <w:ind w:right="1131" w:firstLine="360"/>
        <w:jc w:val="both"/>
      </w:pPr>
      <w:r>
        <w:rPr/>
        <w:t>零售行业数据建模分析方案：</w:t>
      </w:r>
      <w:r>
        <w:rPr>
          <w:rFonts w:ascii="宋体" w:hAnsi="宋体" w:cs="宋体" w:eastAsia="宋体" w:hint="default"/>
        </w:rPr>
        <w:t>Bluenic</w:t>
      </w:r>
      <w:r>
        <w:rPr>
          <w:rFonts w:ascii="宋体" w:hAnsi="宋体" w:cs="宋体" w:eastAsia="宋体" w:hint="default"/>
          <w:spacing w:val="-40"/>
        </w:rPr>
        <w:t> </w:t>
      </w:r>
      <w:r>
        <w:rPr>
          <w:rFonts w:ascii="宋体" w:hAnsi="宋体" w:cs="宋体" w:eastAsia="宋体" w:hint="default"/>
        </w:rPr>
        <w:t>CDP</w:t>
      </w:r>
      <w:r>
        <w:rPr>
          <w:rFonts w:ascii="宋体" w:hAnsi="宋体" w:cs="宋体" w:eastAsia="宋体" w:hint="default"/>
          <w:spacing w:val="-46"/>
        </w:rPr>
        <w:t> </w:t>
      </w:r>
      <w:r>
        <w:rPr/>
        <w:t>是针对零售行业开发的一个集数据抓取、数据汇总、数据分析、消费习惯分 </w:t>
      </w:r>
      <w:r>
        <w:rPr>
          <w:spacing w:val="-1"/>
        </w:rPr>
        <w:t>析、营销战略建议、库存预警等功能为一体的功能性解决方案。</w:t>
      </w:r>
      <w:r>
        <w:rPr>
          <w:rFonts w:ascii="宋体" w:hAnsi="宋体" w:cs="宋体" w:eastAsia="宋体" w:hint="default"/>
          <w:spacing w:val="-1"/>
        </w:rPr>
        <w:t>Bluenic</w:t>
      </w:r>
      <w:r>
        <w:rPr>
          <w:rFonts w:ascii="宋体" w:hAnsi="宋体" w:cs="宋体" w:eastAsia="宋体" w:hint="default"/>
          <w:spacing w:val="-34"/>
        </w:rPr>
        <w:t> </w:t>
      </w:r>
      <w:r>
        <w:rPr>
          <w:spacing w:val="-1"/>
        </w:rPr>
        <w:t>可整合自有渠道、合作数据源及线上抓取、社交媒</w:t>
      </w:r>
      <w:r>
        <w:rPr>
          <w:spacing w:val="-88"/>
        </w:rPr>
        <w:t> </w:t>
      </w:r>
      <w:r>
        <w:rPr>
          <w:spacing w:val="-88"/>
        </w:rPr>
      </w:r>
      <w:r>
        <w:rPr>
          <w:spacing w:val="-2"/>
        </w:rPr>
        <w:t>体等多方渠道数据，为零售企业呈现基于年龄、性别、产品系列等数据分析报告，协助零售企业明确消费者画像，让零售行</w:t>
      </w:r>
      <w:r>
        <w:rPr>
          <w:spacing w:val="-67"/>
        </w:rPr>
        <w:t> </w:t>
      </w:r>
      <w:r>
        <w:rPr>
          <w:spacing w:val="-67"/>
        </w:rPr>
      </w:r>
      <w:r>
        <w:rPr/>
        <w:t>业的</w:t>
      </w:r>
      <w:r>
        <w:rPr>
          <w:spacing w:val="-46"/>
        </w:rPr>
        <w:t> </w:t>
      </w:r>
      <w:r>
        <w:rPr>
          <w:rFonts w:ascii="宋体" w:hAnsi="宋体" w:cs="宋体" w:eastAsia="宋体" w:hint="default"/>
        </w:rPr>
        <w:t>CMO</w:t>
      </w:r>
      <w:r>
        <w:rPr>
          <w:rFonts w:ascii="宋体" w:hAnsi="宋体" w:cs="宋体" w:eastAsia="宋体" w:hint="default"/>
          <w:spacing w:val="-46"/>
        </w:rPr>
        <w:t> </w:t>
      </w:r>
      <w:r>
        <w:rPr/>
        <w:t>能更快地精准定位营销市场，最大限度发挥客流价值，加速营销转化。</w:t>
      </w:r>
    </w:p>
    <w:p>
      <w:pPr>
        <w:pStyle w:val="BodyText"/>
        <w:spacing w:line="319" w:lineRule="auto" w:before="57"/>
        <w:ind w:right="1131" w:firstLine="360"/>
        <w:jc w:val="both"/>
      </w:pPr>
      <w:r>
        <w:rPr>
          <w:spacing w:val="-2"/>
        </w:rPr>
        <w:t>酒店行业数字化解决方案：酒店行业无偏差预测模型是针对酒店运营数据特点，对未来顾客需求和产品供给趋势进行准</w:t>
      </w:r>
      <w:r>
        <w:rPr/>
        <w:t> </w:t>
      </w:r>
      <w:r>
        <w:rPr>
          <w:spacing w:val="-2"/>
        </w:rPr>
        <w:t>确预测，帮助客户实现更精准、更有效的收益管理应用解决方案。该模型已在某家全球知名酒店客户上线应用，通过精准的</w:t>
      </w:r>
      <w:r>
        <w:rPr>
          <w:spacing w:val="-65"/>
        </w:rPr>
        <w:t> </w:t>
      </w:r>
      <w:r>
        <w:rPr>
          <w:spacing w:val="-65"/>
        </w:rPr>
      </w:r>
      <w:r>
        <w:rPr/>
        <w:t>预测帮助其有效提升运营效率，实现了整体收入持续增长的目标，目前该客户已将此方案从中国区域逐步向境外推广。</w:t>
      </w:r>
    </w:p>
    <w:p>
      <w:pPr>
        <w:pStyle w:val="BodyText"/>
        <w:spacing w:line="316" w:lineRule="auto" w:before="58"/>
        <w:ind w:right="1131" w:firstLine="420"/>
        <w:jc w:val="both"/>
      </w:pPr>
      <w:r>
        <w:rPr/>
        <w:t>汽车行业数字化解决方案：汽车行业是神州数码云转型战略落地的深耕领域，也是除零售快消行业外，方案最完善的 </w:t>
      </w:r>
      <w:r>
        <w:rPr>
          <w:spacing w:val="-2"/>
        </w:rPr>
        <w:t>领域之一。目前，公司已形成从车辆制造到网联车平台，从终端销售到共享平台，从前端业务到内部数字化建设的全系列场</w:t>
      </w:r>
      <w:r>
        <w:rPr>
          <w:spacing w:val="-64"/>
        </w:rPr>
        <w:t> </w:t>
      </w:r>
      <w:r>
        <w:rPr>
          <w:spacing w:val="-64"/>
        </w:rPr>
      </w:r>
      <w:r>
        <w:rPr>
          <w:spacing w:val="-4"/>
        </w:rPr>
        <w:t>景应用数字化解决方案。“汽车智能质检解决方案”搭载的</w:t>
      </w:r>
      <w:r>
        <w:rPr>
          <w:spacing w:val="-25"/>
        </w:rPr>
        <w:t> </w:t>
      </w:r>
      <w:r>
        <w:rPr>
          <w:rFonts w:ascii="宋体" w:hAnsi="宋体" w:cs="宋体" w:eastAsia="宋体" w:hint="default"/>
        </w:rPr>
        <w:t>AR/VR</w:t>
      </w:r>
      <w:r>
        <w:rPr>
          <w:rFonts w:ascii="宋体" w:hAnsi="宋体" w:cs="宋体" w:eastAsia="宋体" w:hint="default"/>
          <w:spacing w:val="-25"/>
        </w:rPr>
        <w:t> </w:t>
      </w:r>
      <w:r>
        <w:rPr>
          <w:spacing w:val="-1"/>
        </w:rPr>
        <w:t>技术，可通过图像自动对比全自动地完成车辆配置检测及</w:t>
      </w:r>
      <w:r>
        <w:rPr>
          <w:spacing w:val="-87"/>
        </w:rPr>
        <w:t> </w:t>
      </w:r>
      <w:r>
        <w:rPr>
          <w:spacing w:val="-87"/>
        </w:rPr>
      </w:r>
      <w:r>
        <w:rPr>
          <w:spacing w:val="-5"/>
        </w:rPr>
        <w:t>性能预测；“车载信息系统解决方案”采用的网联车平台，能实现对整车的语音控制；“云上汽车共享平台运维方案”则通过</w:t>
      </w:r>
      <w:r>
        <w:rPr>
          <w:spacing w:val="-78"/>
        </w:rPr>
        <w:t> </w:t>
      </w:r>
      <w:r>
        <w:rPr>
          <w:spacing w:val="-78"/>
        </w:rPr>
      </w:r>
      <w:r>
        <w:rPr/>
        <w:t>容器技术实现整体平台的开发及运维。</w:t>
      </w:r>
    </w:p>
    <w:p>
      <w:pPr>
        <w:pStyle w:val="BodyText"/>
        <w:spacing w:line="316" w:lineRule="auto" w:before="59"/>
        <w:ind w:right="1135" w:firstLine="420"/>
        <w:jc w:val="both"/>
      </w:pPr>
      <w:r>
        <w:rPr/>
        <w:t>智能仓储解决方案：智能仓储解决方案是针对仓库人工成本高、基础设施不足、智能化程度低等需求和痛点，以云计 </w:t>
      </w:r>
      <w:r>
        <w:rPr>
          <w:spacing w:val="-2"/>
        </w:rPr>
        <w:t>算服务为载体，以边缘节点为触点，兼顾前后端，构建起高效、敏捷的边云协同架构。智能化改造与边云协同架构一起建立</w:t>
      </w:r>
      <w:r>
        <w:rPr>
          <w:spacing w:val="-67"/>
        </w:rPr>
        <w:t> </w:t>
      </w:r>
      <w:r>
        <w:rPr>
          <w:spacing w:val="-67"/>
        </w:rPr>
      </w:r>
      <w:r>
        <w:rPr/>
        <w:t>智能仓储系统，最终实现企业资产的智能化。</w:t>
      </w:r>
    </w:p>
    <w:p>
      <w:pPr>
        <w:spacing w:after="0" w:line="316"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left="513" w:right="0"/>
        <w:jc w:val="left"/>
      </w:pPr>
      <w:r>
        <w:rPr>
          <w:rFonts w:ascii="宋体" w:hAnsi="宋体" w:cs="宋体" w:eastAsia="宋体" w:hint="default"/>
        </w:rPr>
        <w:t>3</w:t>
      </w:r>
      <w:r>
        <w:rPr/>
        <w:t>、联合运营解决方案（</w:t>
      </w:r>
      <w:r>
        <w:rPr>
          <w:rFonts w:ascii="宋体" w:hAnsi="宋体" w:cs="宋体" w:eastAsia="宋体" w:hint="default"/>
        </w:rPr>
        <w:t>SaaS</w:t>
      </w:r>
      <w:r>
        <w:rPr>
          <w:rFonts w:ascii="宋体" w:hAnsi="宋体" w:cs="宋体" w:eastAsia="宋体" w:hint="default"/>
          <w:spacing w:val="-2"/>
        </w:rPr>
        <w:t> </w:t>
      </w:r>
      <w:r>
        <w:rPr>
          <w:rFonts w:ascii="宋体" w:hAnsi="宋体" w:cs="宋体" w:eastAsia="宋体" w:hint="default"/>
        </w:rPr>
        <w:t>Hosting</w:t>
      </w:r>
      <w:r>
        <w:rPr/>
        <w:t>）</w:t>
      </w:r>
    </w:p>
    <w:p>
      <w:pPr>
        <w:pStyle w:val="BodyText"/>
        <w:spacing w:line="316" w:lineRule="auto" w:before="115"/>
        <w:ind w:right="1126" w:firstLine="480"/>
        <w:jc w:val="both"/>
      </w:pPr>
      <w:r>
        <w:rPr/>
        <w:t>根据</w:t>
      </w:r>
      <w:r>
        <w:rPr>
          <w:spacing w:val="-50"/>
        </w:rPr>
        <w:t> </w:t>
      </w:r>
      <w:r>
        <w:rPr>
          <w:rFonts w:ascii="宋体" w:hAnsi="宋体" w:cs="宋体" w:eastAsia="宋体" w:hint="default"/>
        </w:rPr>
        <w:t>Gartner</w:t>
      </w:r>
      <w:r>
        <w:rPr>
          <w:rFonts w:ascii="宋体" w:hAnsi="宋体" w:cs="宋体" w:eastAsia="宋体" w:hint="default"/>
          <w:spacing w:val="-48"/>
        </w:rPr>
        <w:t> </w:t>
      </w:r>
      <w:r>
        <w:rPr/>
        <w:t>的报告，</w:t>
      </w:r>
      <w:r>
        <w:rPr>
          <w:rFonts w:ascii="宋体" w:hAnsi="宋体" w:cs="宋体" w:eastAsia="宋体" w:hint="default"/>
        </w:rPr>
        <w:t>2018</w:t>
      </w:r>
      <w:r>
        <w:rPr>
          <w:rFonts w:ascii="宋体" w:hAnsi="宋体" w:cs="宋体" w:eastAsia="宋体" w:hint="default"/>
          <w:spacing w:val="-48"/>
        </w:rPr>
        <w:t> </w:t>
      </w:r>
      <w:r>
        <w:rPr/>
        <w:t>年全球</w:t>
      </w:r>
      <w:r>
        <w:rPr>
          <w:spacing w:val="-50"/>
        </w:rPr>
        <w:t> </w:t>
      </w:r>
      <w:r>
        <w:rPr>
          <w:rFonts w:ascii="宋体" w:hAnsi="宋体" w:cs="宋体" w:eastAsia="宋体" w:hint="default"/>
        </w:rPr>
        <w:t>SaaS</w:t>
      </w:r>
      <w:r>
        <w:rPr>
          <w:rFonts w:ascii="宋体" w:hAnsi="宋体" w:cs="宋体" w:eastAsia="宋体" w:hint="default"/>
          <w:spacing w:val="-48"/>
        </w:rPr>
        <w:t> </w:t>
      </w:r>
      <w:r>
        <w:rPr/>
        <w:t>市场规模为</w:t>
      </w:r>
      <w:r>
        <w:rPr>
          <w:spacing w:val="-50"/>
        </w:rPr>
        <w:t> </w:t>
      </w:r>
      <w:r>
        <w:rPr>
          <w:rFonts w:ascii="宋体" w:hAnsi="宋体" w:cs="宋体" w:eastAsia="宋体" w:hint="default"/>
        </w:rPr>
        <w:t>800</w:t>
      </w:r>
      <w:r>
        <w:rPr>
          <w:rFonts w:ascii="宋体" w:hAnsi="宋体" w:cs="宋体" w:eastAsia="宋体" w:hint="default"/>
          <w:spacing w:val="-49"/>
        </w:rPr>
        <w:t> </w:t>
      </w:r>
      <w:r>
        <w:rPr/>
        <w:t>亿美元，超过</w:t>
      </w:r>
      <w:r>
        <w:rPr>
          <w:spacing w:val="-50"/>
        </w:rPr>
        <w:t> </w:t>
      </w:r>
      <w:r>
        <w:rPr>
          <w:rFonts w:ascii="宋体" w:hAnsi="宋体" w:cs="宋体" w:eastAsia="宋体" w:hint="default"/>
        </w:rPr>
        <w:t>IaaS</w:t>
      </w:r>
      <w:r>
        <w:rPr>
          <w:rFonts w:ascii="宋体" w:hAnsi="宋体" w:cs="宋体" w:eastAsia="宋体" w:hint="default"/>
          <w:spacing w:val="-50"/>
        </w:rPr>
        <w:t> </w:t>
      </w:r>
      <w:r>
        <w:rPr>
          <w:rFonts w:ascii="宋体" w:hAnsi="宋体" w:cs="宋体" w:eastAsia="宋体" w:hint="default"/>
        </w:rPr>
        <w:t>305</w:t>
      </w:r>
      <w:r>
        <w:rPr>
          <w:rFonts w:ascii="宋体" w:hAnsi="宋体" w:cs="宋体" w:eastAsia="宋体" w:hint="default"/>
          <w:spacing w:val="-49"/>
        </w:rPr>
        <w:t> </w:t>
      </w:r>
      <w:r>
        <w:rPr/>
        <w:t>亿美元市场规模的两倍。根据同期中 国信息通信研究院统计显示，</w:t>
      </w:r>
      <w:r>
        <w:rPr>
          <w:rFonts w:ascii="宋体" w:hAnsi="宋体" w:cs="宋体" w:eastAsia="宋体" w:hint="default"/>
        </w:rPr>
        <w:t>2018</w:t>
      </w:r>
      <w:r>
        <w:rPr>
          <w:rFonts w:ascii="宋体" w:hAnsi="宋体" w:cs="宋体" w:eastAsia="宋体" w:hint="default"/>
          <w:spacing w:val="-46"/>
        </w:rPr>
        <w:t> </w:t>
      </w:r>
      <w:r>
        <w:rPr/>
        <w:t>年中国</w:t>
      </w:r>
      <w:r>
        <w:rPr>
          <w:spacing w:val="-48"/>
        </w:rPr>
        <w:t> </w:t>
      </w:r>
      <w:r>
        <w:rPr>
          <w:rFonts w:ascii="宋体" w:hAnsi="宋体" w:cs="宋体" w:eastAsia="宋体" w:hint="default"/>
        </w:rPr>
        <w:t>SaaS</w:t>
      </w:r>
      <w:r>
        <w:rPr>
          <w:rFonts w:ascii="宋体" w:hAnsi="宋体" w:cs="宋体" w:eastAsia="宋体" w:hint="default"/>
          <w:spacing w:val="-46"/>
        </w:rPr>
        <w:t> </w:t>
      </w:r>
      <w:r>
        <w:rPr/>
        <w:t>市场规模为</w:t>
      </w:r>
      <w:r>
        <w:rPr>
          <w:spacing w:val="-7"/>
        </w:rPr>
        <w:t> </w:t>
      </w:r>
      <w:r>
        <w:rPr>
          <w:rFonts w:ascii="宋体" w:hAnsi="宋体" w:cs="宋体" w:eastAsia="宋体" w:hint="default"/>
        </w:rPr>
        <w:t>145</w:t>
      </w:r>
      <w:r>
        <w:rPr>
          <w:rFonts w:ascii="宋体" w:hAnsi="宋体" w:cs="宋体" w:eastAsia="宋体" w:hint="default"/>
          <w:spacing w:val="-3"/>
        </w:rPr>
        <w:t> </w:t>
      </w:r>
      <w:r>
        <w:rPr/>
        <w:t>亿元，远低于国内</w:t>
      </w:r>
      <w:r>
        <w:rPr>
          <w:spacing w:val="-48"/>
        </w:rPr>
        <w:t> </w:t>
      </w:r>
      <w:r>
        <w:rPr>
          <w:rFonts w:ascii="宋体" w:hAnsi="宋体" w:cs="宋体" w:eastAsia="宋体" w:hint="default"/>
        </w:rPr>
        <w:t>IaaS</w:t>
      </w:r>
      <w:r>
        <w:rPr>
          <w:rFonts w:ascii="宋体" w:hAnsi="宋体" w:cs="宋体" w:eastAsia="宋体" w:hint="default"/>
          <w:spacing w:val="-46"/>
        </w:rPr>
        <w:t> </w:t>
      </w:r>
      <w:r>
        <w:rPr/>
        <w:t>市场的</w:t>
      </w:r>
      <w:r>
        <w:rPr>
          <w:spacing w:val="-48"/>
        </w:rPr>
        <w:t> </w:t>
      </w:r>
      <w:r>
        <w:rPr>
          <w:rFonts w:ascii="宋体" w:hAnsi="宋体" w:cs="宋体" w:eastAsia="宋体" w:hint="default"/>
        </w:rPr>
        <w:t>270</w:t>
      </w:r>
      <w:r>
        <w:rPr>
          <w:rFonts w:ascii="宋体" w:hAnsi="宋体" w:cs="宋体" w:eastAsia="宋体" w:hint="default"/>
          <w:spacing w:val="-46"/>
        </w:rPr>
        <w:t> </w:t>
      </w:r>
      <w:r>
        <w:rPr>
          <w:spacing w:val="-3"/>
        </w:rPr>
        <w:t>亿元规模。此外，根据</w:t>
      </w:r>
      <w:r>
        <w:rPr/>
        <w:t> </w:t>
      </w:r>
      <w:r>
        <w:rPr>
          <w:rFonts w:ascii="宋体" w:hAnsi="宋体" w:cs="宋体" w:eastAsia="宋体" w:hint="default"/>
        </w:rPr>
        <w:t>IDC</w:t>
      </w:r>
      <w:r>
        <w:rPr>
          <w:rFonts w:ascii="宋体" w:hAnsi="宋体" w:cs="宋体" w:eastAsia="宋体" w:hint="default"/>
          <w:spacing w:val="-48"/>
        </w:rPr>
        <w:t> </w:t>
      </w:r>
      <w:r>
        <w:rPr>
          <w:spacing w:val="-6"/>
        </w:rPr>
        <w:t>的报告，到</w:t>
      </w:r>
      <w:r>
        <w:rPr>
          <w:spacing w:val="-52"/>
        </w:rPr>
        <w:t> </w:t>
      </w:r>
      <w:r>
        <w:rPr>
          <w:rFonts w:ascii="宋体" w:hAnsi="宋体" w:cs="宋体" w:eastAsia="宋体" w:hint="default"/>
        </w:rPr>
        <w:t>2024</w:t>
      </w:r>
      <w:r>
        <w:rPr>
          <w:rFonts w:ascii="宋体" w:hAnsi="宋体" w:cs="宋体" w:eastAsia="宋体" w:hint="default"/>
          <w:spacing w:val="-48"/>
        </w:rPr>
        <w:t> </w:t>
      </w:r>
      <w:r>
        <w:rPr>
          <w:spacing w:val="-5"/>
        </w:rPr>
        <w:t>年，中国将有</w:t>
      </w:r>
      <w:r>
        <w:rPr>
          <w:spacing w:val="-49"/>
        </w:rPr>
        <w:t> </w:t>
      </w:r>
      <w:r>
        <w:rPr>
          <w:rFonts w:ascii="宋体" w:hAnsi="宋体" w:cs="宋体" w:eastAsia="宋体" w:hint="default"/>
        </w:rPr>
        <w:t>55%</w:t>
      </w:r>
      <w:r>
        <w:rPr/>
        <w:t>企业通过</w:t>
      </w:r>
      <w:r>
        <w:rPr>
          <w:spacing w:val="-50"/>
        </w:rPr>
        <w:t> </w:t>
      </w:r>
      <w:r>
        <w:rPr>
          <w:rFonts w:ascii="宋体" w:hAnsi="宋体" w:cs="宋体" w:eastAsia="宋体" w:hint="default"/>
        </w:rPr>
        <w:t>SaaS</w:t>
      </w:r>
      <w:r>
        <w:rPr>
          <w:rFonts w:ascii="宋体" w:hAnsi="宋体" w:cs="宋体" w:eastAsia="宋体" w:hint="default"/>
          <w:spacing w:val="-48"/>
        </w:rPr>
        <w:t> </w:t>
      </w:r>
      <w:r>
        <w:rPr/>
        <w:t>应用平台来降低企业定制应用的成本和复杂性，国内</w:t>
      </w:r>
      <w:r>
        <w:rPr>
          <w:spacing w:val="-49"/>
        </w:rPr>
        <w:t> </w:t>
      </w:r>
      <w:r>
        <w:rPr>
          <w:rFonts w:ascii="宋体" w:hAnsi="宋体" w:cs="宋体" w:eastAsia="宋体" w:hint="default"/>
        </w:rPr>
        <w:t>SaaS</w:t>
      </w:r>
      <w:r>
        <w:rPr>
          <w:rFonts w:ascii="宋体" w:hAnsi="宋体" w:cs="宋体" w:eastAsia="宋体" w:hint="default"/>
          <w:spacing w:val="-48"/>
        </w:rPr>
        <w:t> </w:t>
      </w:r>
      <w:r>
        <w:rPr/>
        <w:t>市场具有巨 大发展空间。随着国内</w:t>
      </w:r>
      <w:r>
        <w:rPr>
          <w:spacing w:val="-44"/>
        </w:rPr>
        <w:t> </w:t>
      </w:r>
      <w:r>
        <w:rPr>
          <w:rFonts w:ascii="宋体" w:hAnsi="宋体" w:cs="宋体" w:eastAsia="宋体" w:hint="default"/>
        </w:rPr>
        <w:t>SaaS</w:t>
      </w:r>
      <w:r>
        <w:rPr>
          <w:rFonts w:ascii="宋体" w:hAnsi="宋体" w:cs="宋体" w:eastAsia="宋体" w:hint="default"/>
          <w:spacing w:val="-44"/>
        </w:rPr>
        <w:t> </w:t>
      </w:r>
      <w:r>
        <w:rPr/>
        <w:t>需求的持续高速增长，海外</w:t>
      </w:r>
      <w:r>
        <w:rPr>
          <w:spacing w:val="-44"/>
        </w:rPr>
        <w:t> </w:t>
      </w:r>
      <w:r>
        <w:rPr>
          <w:rFonts w:ascii="宋体" w:hAnsi="宋体" w:cs="宋体" w:eastAsia="宋体" w:hint="default"/>
        </w:rPr>
        <w:t>SaaS</w:t>
      </w:r>
      <w:r>
        <w:rPr>
          <w:rFonts w:ascii="宋体" w:hAnsi="宋体" w:cs="宋体" w:eastAsia="宋体" w:hint="default"/>
          <w:spacing w:val="-46"/>
        </w:rPr>
        <w:t> </w:t>
      </w:r>
      <w:r>
        <w:rPr/>
        <w:t>厂商致力于全面开拓中国市场。海外</w:t>
      </w:r>
      <w:r>
        <w:rPr>
          <w:spacing w:val="-44"/>
        </w:rPr>
        <w:t> </w:t>
      </w:r>
      <w:r>
        <w:rPr>
          <w:rFonts w:ascii="宋体" w:hAnsi="宋体" w:cs="宋体" w:eastAsia="宋体" w:hint="default"/>
        </w:rPr>
        <w:t>SaaS</w:t>
      </w:r>
      <w:r>
        <w:rPr>
          <w:rFonts w:ascii="宋体" w:hAnsi="宋体" w:cs="宋体" w:eastAsia="宋体" w:hint="default"/>
          <w:spacing w:val="-44"/>
        </w:rPr>
        <w:t> </w:t>
      </w:r>
      <w:r>
        <w:rPr/>
        <w:t>企业在国内运营须 </w:t>
      </w:r>
      <w:r>
        <w:rPr>
          <w:spacing w:val="-2"/>
        </w:rPr>
        <w:t>遵守国内相关法律法规，亟需寻求并依赖具有销售渠道、云计算牌照和本地化运营能力的合作伙伴将产品落地，以此达到快</w:t>
      </w:r>
      <w:r>
        <w:rPr>
          <w:spacing w:val="-62"/>
        </w:rPr>
        <w:t> </w:t>
      </w:r>
      <w:r>
        <w:rPr>
          <w:spacing w:val="-62"/>
        </w:rPr>
      </w:r>
      <w:r>
        <w:rPr/>
        <w:t>速、稳定地实现业务拓展的目标。报告期内，公司凭借云业务的全牌照资源、多云支持能力以及</w:t>
      </w:r>
      <w:r>
        <w:rPr>
          <w:spacing w:val="-43"/>
        </w:rPr>
        <w:t> </w:t>
      </w:r>
      <w:r>
        <w:rPr>
          <w:rFonts w:ascii="宋体" w:hAnsi="宋体" w:cs="宋体" w:eastAsia="宋体" w:hint="default"/>
        </w:rPr>
        <w:t>Go-to-Market</w:t>
      </w:r>
      <w:r>
        <w:rPr>
          <w:rFonts w:ascii="宋体" w:hAnsi="宋体" w:cs="宋体" w:eastAsia="宋体" w:hint="default"/>
          <w:spacing w:val="-43"/>
        </w:rPr>
        <w:t> </w:t>
      </w:r>
      <w:r>
        <w:rPr/>
        <w:t>能力，开拓 </w:t>
      </w:r>
      <w:r>
        <w:rPr>
          <w:spacing w:val="-4"/>
        </w:rPr>
        <w:t>性地推出联合运营解决方案（</w:t>
      </w:r>
      <w:r>
        <w:rPr>
          <w:rFonts w:ascii="宋体" w:hAnsi="宋体" w:cs="宋体" w:eastAsia="宋体" w:hint="default"/>
          <w:spacing w:val="-4"/>
        </w:rPr>
        <w:t>SaaS</w:t>
      </w:r>
      <w:r>
        <w:rPr>
          <w:rFonts w:ascii="宋体" w:hAnsi="宋体" w:cs="宋体" w:eastAsia="宋体" w:hint="default"/>
          <w:spacing w:val="-42"/>
        </w:rPr>
        <w:t> </w:t>
      </w:r>
      <w:r>
        <w:rPr>
          <w:rFonts w:ascii="宋体" w:hAnsi="宋体" w:cs="宋体" w:eastAsia="宋体" w:hint="default"/>
          <w:spacing w:val="-8"/>
        </w:rPr>
        <w:t>Hosting</w:t>
      </w:r>
      <w:r>
        <w:rPr>
          <w:spacing w:val="-8"/>
        </w:rPr>
        <w:t>）业务模式，成为诸多国外</w:t>
      </w:r>
      <w:r>
        <w:rPr>
          <w:spacing w:val="-41"/>
        </w:rPr>
        <w:t> </w:t>
      </w:r>
      <w:r>
        <w:rPr>
          <w:rFonts w:ascii="宋体" w:hAnsi="宋体" w:cs="宋体" w:eastAsia="宋体" w:hint="default"/>
        </w:rPr>
        <w:t>SaaS</w:t>
      </w:r>
      <w:r>
        <w:rPr>
          <w:rFonts w:ascii="宋体" w:hAnsi="宋体" w:cs="宋体" w:eastAsia="宋体" w:hint="default"/>
          <w:spacing w:val="-39"/>
        </w:rPr>
        <w:t> </w:t>
      </w:r>
      <w:r>
        <w:rPr>
          <w:spacing w:val="-4"/>
        </w:rPr>
        <w:t>厂商在中国落地云服务的首选。公司通过</w:t>
      </w:r>
      <w:r>
        <w:rPr>
          <w:spacing w:val="-40"/>
        </w:rPr>
        <w:t> </w:t>
      </w:r>
      <w:r>
        <w:rPr>
          <w:rFonts w:ascii="宋体" w:hAnsi="宋体" w:cs="宋体" w:eastAsia="宋体" w:hint="default"/>
        </w:rPr>
        <w:t>Landing</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Partner</w:t>
      </w:r>
      <w:r>
        <w:rPr>
          <w:rFonts w:ascii="宋体" w:hAnsi="宋体" w:cs="宋体" w:eastAsia="宋体" w:hint="default"/>
          <w:spacing w:val="-29"/>
        </w:rPr>
        <w:t> </w:t>
      </w:r>
      <w:r>
        <w:rPr/>
        <w:t>的身份，将为更多海外优质的</w:t>
      </w:r>
      <w:r>
        <w:rPr>
          <w:spacing w:val="-31"/>
        </w:rPr>
        <w:t> </w:t>
      </w:r>
      <w:r>
        <w:rPr>
          <w:rFonts w:ascii="宋体" w:hAnsi="宋体" w:cs="宋体" w:eastAsia="宋体" w:hint="default"/>
        </w:rPr>
        <w:t>SaaS</w:t>
      </w:r>
      <w:r>
        <w:rPr>
          <w:rFonts w:ascii="宋体" w:hAnsi="宋体" w:cs="宋体" w:eastAsia="宋体" w:hint="default"/>
          <w:spacing w:val="-30"/>
        </w:rPr>
        <w:t> </w:t>
      </w:r>
      <w:r>
        <w:rPr/>
        <w:t>产品提供合法的国内运营牌照，合规的国内数据存储中心，并为其提供营销推 广、运营及本地化的技术和客户支持服务。目前，公司已经与</w:t>
      </w:r>
      <w:r>
        <w:rPr>
          <w:spacing w:val="-55"/>
        </w:rPr>
        <w:t> </w:t>
      </w:r>
      <w:r>
        <w:rPr>
          <w:rFonts w:ascii="宋体" w:hAnsi="宋体" w:cs="宋体" w:eastAsia="宋体" w:hint="default"/>
        </w:rPr>
        <w:t>Palo</w:t>
      </w:r>
      <w:r>
        <w:rPr>
          <w:rFonts w:ascii="宋体" w:hAnsi="宋体" w:cs="宋体" w:eastAsia="宋体" w:hint="default"/>
          <w:spacing w:val="-56"/>
        </w:rPr>
        <w:t> </w:t>
      </w:r>
      <w:r>
        <w:rPr>
          <w:rFonts w:ascii="宋体" w:hAnsi="宋体" w:cs="宋体" w:eastAsia="宋体" w:hint="default"/>
        </w:rPr>
        <w:t>Alto</w:t>
      </w:r>
      <w:r>
        <w:rPr/>
        <w:t>、</w:t>
      </w:r>
      <w:r>
        <w:rPr>
          <w:rFonts w:ascii="宋体" w:hAnsi="宋体" w:cs="宋体" w:eastAsia="宋体" w:hint="default"/>
        </w:rPr>
        <w:t>Netskope</w:t>
      </w:r>
      <w:r>
        <w:rPr/>
        <w:t>、</w:t>
      </w:r>
      <w:r>
        <w:rPr>
          <w:rFonts w:ascii="宋体" w:hAnsi="宋体" w:cs="宋体" w:eastAsia="宋体" w:hint="default"/>
        </w:rPr>
        <w:t>ServiceAide</w:t>
      </w:r>
      <w:r>
        <w:rPr>
          <w:rFonts w:ascii="宋体" w:hAnsi="宋体" w:cs="宋体" w:eastAsia="宋体" w:hint="default"/>
          <w:spacing w:val="-53"/>
        </w:rPr>
        <w:t> </w:t>
      </w:r>
      <w:r>
        <w:rPr/>
        <w:t>等</w:t>
      </w:r>
      <w:r>
        <w:rPr>
          <w:spacing w:val="-56"/>
        </w:rPr>
        <w:t> </w:t>
      </w:r>
      <w:r>
        <w:rPr>
          <w:rFonts w:ascii="宋体" w:hAnsi="宋体" w:cs="宋体" w:eastAsia="宋体" w:hint="default"/>
        </w:rPr>
        <w:t>SaaS</w:t>
      </w:r>
      <w:r>
        <w:rPr>
          <w:rFonts w:ascii="宋体" w:hAnsi="宋体" w:cs="宋体" w:eastAsia="宋体" w:hint="default"/>
          <w:spacing w:val="-54"/>
        </w:rPr>
        <w:t> </w:t>
      </w:r>
      <w:r>
        <w:rPr/>
        <w:t>公司达成战略合 </w:t>
      </w:r>
      <w:r>
        <w:rPr>
          <w:spacing w:val="-3"/>
        </w:rPr>
        <w:t>作协议，帮助厂商实现优质</w:t>
      </w:r>
      <w:r>
        <w:rPr>
          <w:spacing w:val="-57"/>
        </w:rPr>
        <w:t> </w:t>
      </w:r>
      <w:r>
        <w:rPr>
          <w:rFonts w:ascii="宋体" w:hAnsi="宋体" w:cs="宋体" w:eastAsia="宋体" w:hint="default"/>
        </w:rPr>
        <w:t>SaaS</w:t>
      </w:r>
      <w:r>
        <w:rPr>
          <w:rFonts w:ascii="宋体" w:hAnsi="宋体" w:cs="宋体" w:eastAsia="宋体" w:hint="default"/>
          <w:spacing w:val="-56"/>
        </w:rPr>
        <w:t> </w:t>
      </w:r>
      <w:r>
        <w:rPr/>
        <w:t>产品在中国的落地。公司也正在与更多的海外知名</w:t>
      </w:r>
      <w:r>
        <w:rPr>
          <w:spacing w:val="-57"/>
        </w:rPr>
        <w:t> </w:t>
      </w:r>
      <w:r>
        <w:rPr>
          <w:rFonts w:ascii="宋体" w:hAnsi="宋体" w:cs="宋体" w:eastAsia="宋体" w:hint="default"/>
        </w:rPr>
        <w:t>SaaS</w:t>
      </w:r>
      <w:r>
        <w:rPr>
          <w:rFonts w:ascii="宋体" w:hAnsi="宋体" w:cs="宋体" w:eastAsia="宋体" w:hint="default"/>
          <w:spacing w:val="-56"/>
        </w:rPr>
        <w:t> </w:t>
      </w:r>
      <w:r>
        <w:rPr/>
        <w:t>厂商进行沟通，希望可以为国内的 企业级客户带来更多细分领域的优质</w:t>
      </w:r>
      <w:r>
        <w:rPr>
          <w:spacing w:val="-44"/>
        </w:rPr>
        <w:t> </w:t>
      </w:r>
      <w:r>
        <w:rPr>
          <w:rFonts w:ascii="宋体" w:hAnsi="宋体" w:cs="宋体" w:eastAsia="宋体" w:hint="default"/>
        </w:rPr>
        <w:t>SaaS</w:t>
      </w:r>
      <w:r>
        <w:rPr>
          <w:rFonts w:ascii="宋体" w:hAnsi="宋体" w:cs="宋体" w:eastAsia="宋体" w:hint="default"/>
          <w:spacing w:val="-43"/>
        </w:rPr>
        <w:t> </w:t>
      </w:r>
      <w:r>
        <w:rPr/>
        <w:t>产品。</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rPr>
        <w:t>4</w:t>
      </w:r>
      <w:r>
        <w:rPr/>
        <w:t>、一站式云资源对接业务</w:t>
      </w:r>
    </w:p>
    <w:p>
      <w:pPr>
        <w:pStyle w:val="BodyText"/>
        <w:spacing w:line="240" w:lineRule="auto" w:before="115"/>
        <w:ind w:left="513" w:right="0"/>
        <w:jc w:val="left"/>
      </w:pPr>
      <w:r>
        <w:rPr/>
        <w:t>报告期内，公司实现云转售业务收入</w:t>
      </w:r>
      <w:r>
        <w:rPr>
          <w:spacing w:val="-45"/>
        </w:rPr>
        <w:t> </w:t>
      </w:r>
      <w:r>
        <w:rPr>
          <w:rFonts w:ascii="宋体" w:hAnsi="宋体" w:cs="宋体" w:eastAsia="宋体" w:hint="default"/>
        </w:rPr>
        <w:t>12.53</w:t>
      </w:r>
      <w:r>
        <w:rPr>
          <w:rFonts w:ascii="宋体" w:hAnsi="宋体" w:cs="宋体" w:eastAsia="宋体" w:hint="default"/>
          <w:spacing w:val="-45"/>
        </w:rPr>
        <w:t> </w:t>
      </w:r>
      <w:r>
        <w:rPr/>
        <w:t>亿元，同比增长</w:t>
      </w:r>
      <w:r>
        <w:rPr>
          <w:spacing w:val="-48"/>
        </w:rPr>
        <w:t> </w:t>
      </w:r>
      <w:r>
        <w:rPr>
          <w:rFonts w:ascii="宋体" w:hAnsi="宋体" w:cs="宋体" w:eastAsia="宋体" w:hint="default"/>
        </w:rPr>
        <w:t>174.89%</w:t>
      </w:r>
      <w:r>
        <w:rPr/>
        <w:t>，毛利率</w:t>
      </w:r>
      <w:r>
        <w:rPr>
          <w:spacing w:val="-46"/>
        </w:rPr>
        <w:t> </w:t>
      </w:r>
      <w:r>
        <w:rPr>
          <w:rFonts w:ascii="宋体" w:hAnsi="宋体" w:cs="宋体" w:eastAsia="宋体" w:hint="default"/>
        </w:rPr>
        <w:t>8.38%</w:t>
      </w:r>
      <w:r>
        <w:rPr/>
        <w:t>。</w:t>
      </w:r>
    </w:p>
    <w:p>
      <w:pPr>
        <w:pStyle w:val="BodyText"/>
        <w:spacing w:line="316" w:lineRule="auto" w:before="117"/>
        <w:ind w:right="1126" w:firstLine="360"/>
        <w:jc w:val="both"/>
      </w:pPr>
      <w:r>
        <w:rPr/>
        <w:t>公司与全球</w:t>
      </w:r>
      <w:r>
        <w:rPr>
          <w:spacing w:val="-58"/>
        </w:rPr>
        <w:t> </w:t>
      </w:r>
      <w:r>
        <w:rPr>
          <w:rFonts w:ascii="宋体" w:hAnsi="宋体" w:cs="宋体" w:eastAsia="宋体" w:hint="default"/>
        </w:rPr>
        <w:t>80</w:t>
      </w:r>
      <w:r>
        <w:rPr>
          <w:rFonts w:ascii="宋体" w:hAnsi="宋体" w:cs="宋体" w:eastAsia="宋体" w:hint="default"/>
          <w:spacing w:val="-58"/>
        </w:rPr>
        <w:t> </w:t>
      </w:r>
      <w:r>
        <w:rPr/>
        <w:t>余家主流云厂商建立了深度合作关系，拥有阿里云钻石合作伙伴、</w:t>
      </w:r>
      <w:r>
        <w:rPr>
          <w:rFonts w:ascii="宋体" w:hAnsi="宋体" w:cs="宋体" w:eastAsia="宋体" w:hint="default"/>
        </w:rPr>
        <w:t>Azure</w:t>
      </w:r>
      <w:r>
        <w:rPr>
          <w:rFonts w:ascii="宋体" w:hAnsi="宋体" w:cs="宋体" w:eastAsia="宋体" w:hint="default"/>
          <w:spacing w:val="-57"/>
        </w:rPr>
        <w:t> </w:t>
      </w:r>
      <w:r>
        <w:rPr>
          <w:spacing w:val="-3"/>
        </w:rPr>
        <w:t>金牌合作伙伴、</w:t>
      </w:r>
      <w:r>
        <w:rPr>
          <w:rFonts w:ascii="宋体" w:hAnsi="宋体" w:cs="宋体" w:eastAsia="宋体" w:hint="default"/>
          <w:spacing w:val="-3"/>
        </w:rPr>
        <w:t>AWS</w:t>
      </w:r>
      <w:r>
        <w:rPr>
          <w:rFonts w:ascii="宋体" w:hAnsi="宋体" w:cs="宋体" w:eastAsia="宋体" w:hint="default"/>
          <w:spacing w:val="-58"/>
        </w:rPr>
        <w:t> </w:t>
      </w:r>
      <w:r>
        <w:rPr/>
        <w:t>高级咨询合 作伙伴以及腾讯云战略及开发合作伙伴身份；获得了微软</w:t>
      </w:r>
      <w:r>
        <w:rPr>
          <w:spacing w:val="-46"/>
        </w:rPr>
        <w:t> </w:t>
      </w:r>
      <w:r>
        <w:rPr>
          <w:rFonts w:ascii="宋体" w:hAnsi="宋体" w:cs="宋体" w:eastAsia="宋体" w:hint="default"/>
        </w:rPr>
        <w:t>Top</w:t>
      </w:r>
      <w:r>
        <w:rPr>
          <w:rFonts w:ascii="宋体" w:hAnsi="宋体" w:cs="宋体" w:eastAsia="宋体" w:hint="default"/>
          <w:spacing w:val="-30"/>
        </w:rPr>
        <w:t> </w:t>
      </w:r>
      <w:r>
        <w:rPr>
          <w:rFonts w:ascii="宋体" w:hAnsi="宋体" w:cs="宋体" w:eastAsia="宋体" w:hint="default"/>
        </w:rPr>
        <w:t>MSP</w:t>
      </w:r>
      <w:r>
        <w:rPr>
          <w:rFonts w:ascii="宋体" w:hAnsi="宋体" w:cs="宋体" w:eastAsia="宋体" w:hint="default"/>
          <w:spacing w:val="-30"/>
        </w:rPr>
        <w:t> </w:t>
      </w:r>
      <w:r>
        <w:rPr>
          <w:rFonts w:ascii="宋体" w:hAnsi="宋体" w:cs="宋体" w:eastAsia="宋体" w:hint="default"/>
        </w:rPr>
        <w:t>Partner</w:t>
      </w:r>
      <w:r>
        <w:rPr>
          <w:rFonts w:ascii="宋体" w:hAnsi="宋体" w:cs="宋体" w:eastAsia="宋体" w:hint="default"/>
          <w:spacing w:val="-44"/>
        </w:rPr>
        <w:t> </w:t>
      </w:r>
      <w:r>
        <w:rPr/>
        <w:t>资质，满分通过了</w:t>
      </w:r>
      <w:r>
        <w:rPr>
          <w:spacing w:val="-47"/>
        </w:rPr>
        <w:t> </w:t>
      </w:r>
      <w:r>
        <w:rPr>
          <w:rFonts w:ascii="宋体" w:hAnsi="宋体" w:cs="宋体" w:eastAsia="宋体" w:hint="default"/>
        </w:rPr>
        <w:t>AWS</w:t>
      </w:r>
      <w:r>
        <w:rPr>
          <w:rFonts w:ascii="宋体" w:hAnsi="宋体" w:cs="宋体" w:eastAsia="宋体" w:hint="default"/>
          <w:spacing w:val="-30"/>
        </w:rPr>
        <w:t> </w:t>
      </w:r>
      <w:r>
        <w:rPr>
          <w:rFonts w:ascii="宋体" w:hAnsi="宋体" w:cs="宋体" w:eastAsia="宋体" w:hint="default"/>
        </w:rPr>
        <w:t>MSP</w:t>
      </w:r>
      <w:r>
        <w:rPr>
          <w:rFonts w:ascii="宋体" w:hAnsi="宋体" w:cs="宋体" w:eastAsia="宋体" w:hint="default"/>
          <w:spacing w:val="-45"/>
        </w:rPr>
        <w:t> </w:t>
      </w:r>
      <w:r>
        <w:rPr/>
        <w:t>能力认证，获得阿里 云首批全国总经销商、</w:t>
      </w:r>
      <w:r>
        <w:rPr>
          <w:rFonts w:ascii="宋体" w:hAnsi="宋体" w:cs="宋体" w:eastAsia="宋体" w:hint="default"/>
        </w:rPr>
        <w:t>MSP</w:t>
      </w:r>
      <w:r>
        <w:rPr>
          <w:rFonts w:ascii="宋体" w:hAnsi="宋体" w:cs="宋体" w:eastAsia="宋体" w:hint="default"/>
          <w:spacing w:val="-29"/>
        </w:rPr>
        <w:t> </w:t>
      </w:r>
      <w:r>
        <w:rPr/>
        <w:t>核心合作伙伴身份；成为首批通过</w:t>
      </w:r>
      <w:r>
        <w:rPr>
          <w:spacing w:val="-30"/>
        </w:rPr>
        <w:t> </w:t>
      </w:r>
      <w:r>
        <w:rPr>
          <w:rFonts w:ascii="宋体" w:hAnsi="宋体" w:cs="宋体" w:eastAsia="宋体" w:hint="default"/>
        </w:rPr>
        <w:t>Oracle</w:t>
      </w:r>
      <w:r>
        <w:rPr>
          <w:rFonts w:ascii="宋体" w:hAnsi="宋体" w:cs="宋体" w:eastAsia="宋体" w:hint="default"/>
          <w:spacing w:val="-3"/>
        </w:rPr>
        <w:t> </w:t>
      </w:r>
      <w:r>
        <w:rPr>
          <w:rFonts w:ascii="宋体" w:hAnsi="宋体" w:cs="宋体" w:eastAsia="宋体" w:hint="default"/>
        </w:rPr>
        <w:t>Cloud</w:t>
      </w:r>
      <w:r>
        <w:rPr>
          <w:rFonts w:ascii="宋体" w:hAnsi="宋体" w:cs="宋体" w:eastAsia="宋体" w:hint="default"/>
          <w:spacing w:val="-3"/>
        </w:rPr>
        <w:t> </w:t>
      </w:r>
      <w:r>
        <w:rPr>
          <w:rFonts w:ascii="宋体" w:hAnsi="宋体" w:cs="宋体" w:eastAsia="宋体" w:hint="default"/>
        </w:rPr>
        <w:t>MSP</w:t>
      </w:r>
      <w:r>
        <w:rPr>
          <w:rFonts w:ascii="宋体" w:hAnsi="宋体" w:cs="宋体" w:eastAsia="宋体" w:hint="default"/>
          <w:spacing w:val="-27"/>
        </w:rPr>
        <w:t> </w:t>
      </w:r>
      <w:r>
        <w:rPr/>
        <w:t>认证的大中华区合作伙伴及华为战略合作 </w:t>
      </w:r>
      <w:r>
        <w:rPr>
          <w:spacing w:val="-3"/>
        </w:rPr>
        <w:t>伙伴，获得华为“优选级沃土数字平台集成交付伙伴”奖项，并通过华为</w:t>
      </w:r>
      <w:r>
        <w:rPr>
          <w:spacing w:val="-44"/>
        </w:rPr>
        <w:t> </w:t>
      </w:r>
      <w:r>
        <w:rPr>
          <w:rFonts w:ascii="宋体" w:hAnsi="宋体" w:cs="宋体" w:eastAsia="宋体" w:hint="default"/>
        </w:rPr>
        <w:t>CSSP</w:t>
      </w:r>
      <w:r>
        <w:rPr>
          <w:rFonts w:ascii="宋体" w:hAnsi="宋体" w:cs="宋体" w:eastAsia="宋体" w:hint="default"/>
          <w:spacing w:val="-43"/>
        </w:rPr>
        <w:t> </w:t>
      </w:r>
      <w:r>
        <w:rPr/>
        <w:t>伙伴</w:t>
      </w:r>
      <w:r>
        <w:rPr>
          <w:spacing w:val="-45"/>
        </w:rPr>
        <w:t> </w:t>
      </w:r>
      <w:r>
        <w:rPr>
          <w:rFonts w:ascii="宋体" w:hAnsi="宋体" w:cs="宋体" w:eastAsia="宋体" w:hint="default"/>
        </w:rPr>
        <w:t>DevOps</w:t>
      </w:r>
      <w:r>
        <w:rPr>
          <w:rFonts w:ascii="宋体" w:hAnsi="宋体" w:cs="宋体" w:eastAsia="宋体" w:hint="default"/>
          <w:spacing w:val="-43"/>
        </w:rPr>
        <w:t> </w:t>
      </w:r>
      <w:r>
        <w:rPr/>
        <w:t>平台方向优选级认证，成为第一 家开始认证并顺利完成该认证的合作伙伴；还是</w:t>
      </w:r>
      <w:r>
        <w:rPr>
          <w:spacing w:val="10"/>
        </w:rPr>
        <w:t> </w:t>
      </w:r>
      <w:r>
        <w:rPr>
          <w:rFonts w:ascii="宋体" w:hAnsi="宋体" w:cs="宋体" w:eastAsia="宋体" w:hint="default"/>
        </w:rPr>
        <w:t>VMware</w:t>
      </w:r>
      <w:r>
        <w:rPr>
          <w:rFonts w:ascii="宋体" w:hAnsi="宋体" w:cs="宋体" w:eastAsia="宋体" w:hint="default"/>
          <w:spacing w:val="8"/>
        </w:rPr>
        <w:t> </w:t>
      </w:r>
      <w:r>
        <w:rPr>
          <w:rFonts w:ascii="宋体" w:hAnsi="宋体" w:cs="宋体" w:eastAsia="宋体" w:hint="default"/>
        </w:rPr>
        <w:t>VCPP</w:t>
      </w:r>
      <w:r>
        <w:rPr>
          <w:rFonts w:ascii="宋体" w:hAnsi="宋体" w:cs="宋体" w:eastAsia="宋体" w:hint="default"/>
          <w:spacing w:val="10"/>
        </w:rPr>
        <w:t> </w:t>
      </w:r>
      <w:r>
        <w:rPr>
          <w:rFonts w:ascii="宋体" w:hAnsi="宋体" w:cs="宋体" w:eastAsia="宋体" w:hint="default"/>
        </w:rPr>
        <w:t>Aggregator</w:t>
      </w:r>
      <w:r>
        <w:rPr>
          <w:rFonts w:ascii="宋体" w:hAnsi="宋体" w:cs="宋体" w:eastAsia="宋体" w:hint="default"/>
          <w:spacing w:val="13"/>
        </w:rPr>
        <w:t> </w:t>
      </w:r>
      <w:r>
        <w:rPr/>
        <w:t>以及红帽</w:t>
      </w:r>
      <w:r>
        <w:rPr>
          <w:spacing w:val="10"/>
        </w:rPr>
        <w:t> </w:t>
      </w:r>
      <w:r>
        <w:rPr>
          <w:rFonts w:ascii="宋体" w:hAnsi="宋体" w:cs="宋体" w:eastAsia="宋体" w:hint="default"/>
        </w:rPr>
        <w:t>CCSPD</w:t>
      </w:r>
      <w:r>
        <w:rPr>
          <w:rFonts w:ascii="宋体" w:hAnsi="宋体" w:cs="宋体" w:eastAsia="宋体" w:hint="default"/>
          <w:spacing w:val="11"/>
        </w:rPr>
        <w:t> </w:t>
      </w:r>
      <w:r>
        <w:rPr/>
        <w:t>合作伙伴。同时，公司以</w:t>
      </w:r>
      <w:r>
        <w:rPr>
          <w:spacing w:val="7"/>
        </w:rPr>
        <w:t> </w:t>
      </w:r>
      <w:r>
        <w:rPr>
          <w:rFonts w:ascii="宋体" w:hAnsi="宋体" w:cs="宋体" w:eastAsia="宋体" w:hint="default"/>
        </w:rPr>
        <w:t>MS</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Office365</w:t>
      </w:r>
      <w:r>
        <w:rPr/>
        <w:t>、</w:t>
      </w:r>
      <w:r>
        <w:rPr>
          <w:rFonts w:ascii="宋体" w:hAnsi="宋体" w:cs="宋体" w:eastAsia="宋体" w:hint="default"/>
        </w:rPr>
        <w:t>Adobe</w:t>
      </w:r>
      <w:r>
        <w:rPr/>
        <w:t>、</w:t>
      </w:r>
      <w:r>
        <w:rPr>
          <w:rFonts w:ascii="宋体" w:hAnsi="宋体" w:cs="宋体" w:eastAsia="宋体" w:hint="default"/>
        </w:rPr>
        <w:t>Oracle</w:t>
      </w:r>
      <w:r>
        <w:rPr/>
        <w:t>、</w:t>
      </w:r>
      <w:r>
        <w:rPr>
          <w:rFonts w:ascii="宋体" w:hAnsi="宋体" w:cs="宋体" w:eastAsia="宋体" w:hint="default"/>
        </w:rPr>
        <w:t>Autodesk</w:t>
      </w:r>
      <w:r>
        <w:rPr>
          <w:rFonts w:ascii="宋体" w:hAnsi="宋体" w:cs="宋体" w:eastAsia="宋体" w:hint="default"/>
          <w:spacing w:val="-45"/>
        </w:rPr>
        <w:t> </w:t>
      </w:r>
      <w:r>
        <w:rPr/>
        <w:t>为主力，构建起汇聚</w:t>
      </w:r>
      <w:r>
        <w:rPr>
          <w:spacing w:val="-47"/>
        </w:rPr>
        <w:t> </w:t>
      </w:r>
      <w:r>
        <w:rPr>
          <w:rFonts w:ascii="宋体" w:hAnsi="宋体" w:cs="宋体" w:eastAsia="宋体" w:hint="default"/>
        </w:rPr>
        <w:t>120</w:t>
      </w:r>
      <w:r>
        <w:rPr>
          <w:rFonts w:ascii="宋体" w:hAnsi="宋体" w:cs="宋体" w:eastAsia="宋体" w:hint="default"/>
          <w:spacing w:val="-46"/>
        </w:rPr>
        <w:t> </w:t>
      </w:r>
      <w:r>
        <w:rPr/>
        <w:t>余种主流</w:t>
      </w:r>
      <w:r>
        <w:rPr>
          <w:spacing w:val="-46"/>
        </w:rPr>
        <w:t> </w:t>
      </w:r>
      <w:r>
        <w:rPr>
          <w:rFonts w:ascii="宋体" w:hAnsi="宋体" w:cs="宋体" w:eastAsia="宋体" w:hint="default"/>
        </w:rPr>
        <w:t>SaaS</w:t>
      </w:r>
      <w:r>
        <w:rPr>
          <w:rFonts w:ascii="宋体" w:hAnsi="宋体" w:cs="宋体" w:eastAsia="宋体" w:hint="default"/>
          <w:spacing w:val="-45"/>
        </w:rPr>
        <w:t> </w:t>
      </w:r>
      <w:r>
        <w:rPr/>
        <w:t>资源、</w:t>
      </w:r>
      <w:r>
        <w:rPr>
          <w:rFonts w:ascii="宋体" w:hAnsi="宋体" w:cs="宋体" w:eastAsia="宋体" w:hint="default"/>
        </w:rPr>
        <w:t>600</w:t>
      </w:r>
      <w:r>
        <w:rPr>
          <w:rFonts w:ascii="宋体" w:hAnsi="宋体" w:cs="宋体" w:eastAsia="宋体" w:hint="default"/>
          <w:spacing w:val="-46"/>
        </w:rPr>
        <w:t> </w:t>
      </w:r>
      <w:r>
        <w:rPr/>
        <w:t>余家云生态合作伙伴资源的云资 源池。作为国内少数拥有</w:t>
      </w:r>
      <w:r>
        <w:rPr>
          <w:spacing w:val="-27"/>
        </w:rPr>
        <w:t> </w:t>
      </w:r>
      <w:r>
        <w:rPr>
          <w:rFonts w:ascii="宋体" w:hAnsi="宋体" w:cs="宋体" w:eastAsia="宋体" w:hint="default"/>
          <w:spacing w:val="-5"/>
        </w:rPr>
        <w:t>IDC</w:t>
      </w:r>
      <w:r>
        <w:rPr>
          <w:spacing w:val="-5"/>
        </w:rPr>
        <w:t>（含互联网资源协作）、</w:t>
      </w:r>
      <w:r>
        <w:rPr>
          <w:rFonts w:ascii="宋体" w:hAnsi="宋体" w:cs="宋体" w:eastAsia="宋体" w:hint="default"/>
          <w:spacing w:val="-5"/>
        </w:rPr>
        <w:t>ISP</w:t>
      </w:r>
      <w:r>
        <w:rPr>
          <w:spacing w:val="-5"/>
        </w:rPr>
        <w:t>、</w:t>
      </w:r>
      <w:r>
        <w:rPr>
          <w:rFonts w:ascii="宋体" w:hAnsi="宋体" w:cs="宋体" w:eastAsia="宋体" w:hint="default"/>
          <w:spacing w:val="-5"/>
        </w:rPr>
        <w:t>ICP</w:t>
      </w:r>
      <w:r>
        <w:rPr>
          <w:rFonts w:ascii="宋体" w:hAnsi="宋体" w:cs="宋体" w:eastAsia="宋体" w:hint="default"/>
          <w:spacing w:val="-25"/>
        </w:rPr>
        <w:t> </w:t>
      </w:r>
      <w:r>
        <w:rPr>
          <w:spacing w:val="-1"/>
        </w:rPr>
        <w:t>牌照且能够对接所有主流云资源厂商的企业，公司提供市场</w:t>
      </w:r>
      <w:r>
        <w:rPr>
          <w:spacing w:val="-85"/>
        </w:rPr>
        <w:t> </w:t>
      </w:r>
      <w:r>
        <w:rPr>
          <w:spacing w:val="-85"/>
        </w:rPr>
      </w:r>
      <w:r>
        <w:rPr/>
        <w:t>上最丰富的云计算及数字化相关资源和产品，包括公有云资源，私有云</w:t>
      </w:r>
      <w:r>
        <w:rPr>
          <w:rFonts w:ascii="宋体" w:hAnsi="宋体" w:cs="宋体" w:eastAsia="宋体" w:hint="default"/>
        </w:rPr>
        <w:t>/</w:t>
      </w:r>
      <w:r>
        <w:rPr/>
        <w:t>混合云平台，</w:t>
      </w:r>
      <w:r>
        <w:rPr>
          <w:rFonts w:ascii="宋体" w:hAnsi="宋体" w:cs="宋体" w:eastAsia="宋体" w:hint="default"/>
        </w:rPr>
        <w:t>SaaS</w:t>
      </w:r>
      <w:r>
        <w:rPr>
          <w:rFonts w:ascii="宋体" w:hAnsi="宋体" w:cs="宋体" w:eastAsia="宋体" w:hint="default"/>
          <w:spacing w:val="-28"/>
        </w:rPr>
        <w:t> </w:t>
      </w:r>
      <w:r>
        <w:rPr/>
        <w:t>以及</w:t>
      </w:r>
      <w:r>
        <w:rPr>
          <w:spacing w:val="-29"/>
        </w:rPr>
        <w:t> </w:t>
      </w:r>
      <w:r>
        <w:rPr>
          <w:rFonts w:ascii="宋体" w:hAnsi="宋体" w:cs="宋体" w:eastAsia="宋体" w:hint="default"/>
        </w:rPr>
        <w:t>AI</w:t>
      </w:r>
      <w:r>
        <w:rPr>
          <w:rFonts w:ascii="宋体" w:hAnsi="宋体" w:cs="宋体" w:eastAsia="宋体" w:hint="default"/>
          <w:spacing w:val="-27"/>
        </w:rPr>
        <w:t> </w:t>
      </w:r>
      <w:r>
        <w:rPr/>
        <w:t>和大数据等新兴技术和 应用，为客户提供一站式、多样化的资源对接和上云服务，使客户兼顾成本、适用性和拓展性做出最优选择。</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60" w:lineRule="auto"/>
        <w:ind w:left="513" w:right="0"/>
        <w:jc w:val="left"/>
      </w:pPr>
      <w:r>
        <w:rPr/>
        <w:t>（三）信息技术应用创新业务 </w:t>
      </w:r>
      <w:r>
        <w:rPr>
          <w:spacing w:val="-2"/>
        </w:rPr>
        <w:t>公司多年来坚持自有品牌的创新和投入，目前已打造了覆盖存储及应用管理、网络、数据库一体机领域的自主品牌，形</w:t>
      </w:r>
    </w:p>
    <w:p>
      <w:pPr>
        <w:pStyle w:val="BodyText"/>
        <w:spacing w:line="222" w:lineRule="exact"/>
        <w:ind w:right="0"/>
        <w:jc w:val="left"/>
      </w:pPr>
      <w:r>
        <w:rPr/>
        <w:t>成了覆盖网络、存储，数据等在内的</w:t>
      </w:r>
      <w:r>
        <w:rPr>
          <w:spacing w:val="-43"/>
        </w:rPr>
        <w:t> </w:t>
      </w:r>
      <w:r>
        <w:rPr>
          <w:rFonts w:ascii="宋体" w:hAnsi="宋体" w:cs="宋体" w:eastAsia="宋体" w:hint="default"/>
        </w:rPr>
        <w:t>22</w:t>
      </w:r>
      <w:r>
        <w:rPr>
          <w:rFonts w:ascii="宋体" w:hAnsi="宋体" w:cs="宋体" w:eastAsia="宋体" w:hint="default"/>
          <w:spacing w:val="-43"/>
        </w:rPr>
        <w:t> </w:t>
      </w:r>
      <w:r>
        <w:rPr/>
        <w:t>个品类</w:t>
      </w:r>
      <w:r>
        <w:rPr>
          <w:spacing w:val="-47"/>
        </w:rPr>
        <w:t> </w:t>
      </w:r>
      <w:r>
        <w:rPr>
          <w:rFonts w:ascii="宋体" w:hAnsi="宋体" w:cs="宋体" w:eastAsia="宋体" w:hint="default"/>
        </w:rPr>
        <w:t>600</w:t>
      </w:r>
      <w:r>
        <w:rPr>
          <w:rFonts w:ascii="宋体" w:hAnsi="宋体" w:cs="宋体" w:eastAsia="宋体" w:hint="default"/>
          <w:spacing w:val="-43"/>
        </w:rPr>
        <w:t> </w:t>
      </w:r>
      <w:r>
        <w:rPr/>
        <w:t>余种自有产品体系。同时，随着“大华为”战略的不断推进，公司与华</w:t>
      </w:r>
    </w:p>
    <w:p>
      <w:pPr>
        <w:pStyle w:val="BodyText"/>
        <w:spacing w:line="319" w:lineRule="auto" w:before="76"/>
        <w:ind w:right="1034"/>
        <w:jc w:val="left"/>
      </w:pPr>
      <w:r>
        <w:rPr>
          <w:spacing w:val="-2"/>
        </w:rPr>
        <w:t>为在云计算、海外市场、鲲鹏生态合作等诸多业务领域都取得了非常大的突破和重要落地成果。在鲲鹏生态合作方面，公司</w:t>
      </w:r>
      <w:r>
        <w:rPr>
          <w:spacing w:val="-66"/>
        </w:rPr>
        <w:t> </w:t>
      </w:r>
      <w:r>
        <w:rPr>
          <w:spacing w:val="-66"/>
        </w:rPr>
      </w:r>
      <w:r>
        <w:rPr/>
        <w:t>与厦门市政府签署了战略合作框架协议，携手推进基于鲲鹏基础软硬件体系的建设与合作，合力打造鲲鹏服务器和</w:t>
      </w:r>
      <w:r>
        <w:rPr>
          <w:spacing w:val="-40"/>
        </w:rPr>
        <w:t> </w:t>
      </w:r>
      <w:r>
        <w:rPr>
          <w:rFonts w:ascii="宋体" w:hAnsi="宋体" w:cs="宋体" w:eastAsia="宋体" w:hint="default"/>
        </w:rPr>
        <w:t>PC</w:t>
      </w:r>
      <w:r>
        <w:rPr>
          <w:rFonts w:ascii="宋体" w:hAnsi="宋体" w:cs="宋体" w:eastAsia="宋体" w:hint="default"/>
          <w:spacing w:val="-41"/>
        </w:rPr>
        <w:t> </w:t>
      </w:r>
      <w:r>
        <w:rPr/>
        <w:t>产品 生产基地及超算中心。以此为契机，神州数码正在成为鲲鹏系列产品生产基地建设的重要实践者，持续深耕鲲鹏生态发展，</w:t>
      </w:r>
      <w:r>
        <w:rPr>
          <w:spacing w:val="-83"/>
        </w:rPr>
        <w:t> </w:t>
      </w:r>
      <w:r>
        <w:rPr>
          <w:spacing w:val="-83"/>
        </w:rPr>
      </w:r>
      <w:r>
        <w:rPr>
          <w:spacing w:val="-2"/>
        </w:rPr>
        <w:t>丰富合作模式、拓展合作领域，优化产业上下游，形成全产业链、全方位的共同发展。同时，全面携手生态合作伙伴在云计</w:t>
      </w:r>
      <w:r>
        <w:rPr>
          <w:spacing w:val="-68"/>
        </w:rPr>
        <w:t> </w:t>
      </w:r>
      <w:r>
        <w:rPr>
          <w:spacing w:val="-68"/>
        </w:rPr>
      </w:r>
      <w:r>
        <w:rPr>
          <w:spacing w:val="-5"/>
        </w:rPr>
        <w:t>算、鲲鹏生态、智慧城市、智慧农业、智慧金融、物联网、供应链、海外市场拓展、场景化联合解决方案等领域的深度协同，</w:t>
      </w:r>
      <w:r>
        <w:rPr>
          <w:spacing w:val="-81"/>
        </w:rPr>
        <w:t> </w:t>
      </w:r>
      <w:r>
        <w:rPr>
          <w:spacing w:val="-81"/>
        </w:rPr>
      </w:r>
      <w:r>
        <w:rPr/>
        <w:t>致力于成为国内领先的服务器生产制造商和综合解决方案提供商。</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513" w:right="0"/>
        <w:jc w:val="left"/>
      </w:pPr>
      <w:r>
        <w:rPr/>
        <w:t>（四）</w:t>
      </w:r>
      <w:r>
        <w:rPr>
          <w:rFonts w:ascii="宋体" w:hAnsi="宋体" w:cs="宋体" w:eastAsia="宋体" w:hint="default"/>
        </w:rPr>
        <w:t>IT</w:t>
      </w:r>
      <w:r>
        <w:rPr>
          <w:rFonts w:ascii="宋体" w:hAnsi="宋体" w:cs="宋体" w:eastAsia="宋体" w:hint="default"/>
          <w:spacing w:val="-44"/>
        </w:rPr>
        <w:t> </w:t>
      </w:r>
      <w:r>
        <w:rPr/>
        <w:t>分销及增值服务业务</w:t>
      </w:r>
    </w:p>
    <w:p>
      <w:pPr>
        <w:pStyle w:val="BodyText"/>
        <w:spacing w:line="316" w:lineRule="auto" w:before="117"/>
        <w:ind w:right="1127" w:firstLine="360"/>
        <w:jc w:val="both"/>
      </w:pPr>
      <w:r>
        <w:rPr/>
        <w:t>报告期内，公司继续扩大传统</w:t>
      </w:r>
      <w:r>
        <w:rPr>
          <w:spacing w:val="-53"/>
        </w:rPr>
        <w:t> </w:t>
      </w:r>
      <w:r>
        <w:rPr>
          <w:rFonts w:ascii="宋体" w:hAnsi="宋体" w:cs="宋体" w:eastAsia="宋体" w:hint="default"/>
        </w:rPr>
        <w:t>IT</w:t>
      </w:r>
      <w:r>
        <w:rPr>
          <w:rFonts w:ascii="宋体" w:hAnsi="宋体" w:cs="宋体" w:eastAsia="宋体" w:hint="default"/>
          <w:spacing w:val="-53"/>
        </w:rPr>
        <w:t> </w:t>
      </w:r>
      <w:r>
        <w:rPr/>
        <w:t>分销和服务业务领域领先优势：业务范围进一步拓宽，从传统</w:t>
      </w:r>
      <w:r>
        <w:rPr>
          <w:spacing w:val="-53"/>
        </w:rPr>
        <w:t> </w:t>
      </w:r>
      <w:r>
        <w:rPr>
          <w:rFonts w:ascii="宋体" w:hAnsi="宋体" w:cs="宋体" w:eastAsia="宋体" w:hint="default"/>
        </w:rPr>
        <w:t>IT</w:t>
      </w:r>
      <w:r>
        <w:rPr>
          <w:rFonts w:ascii="宋体" w:hAnsi="宋体" w:cs="宋体" w:eastAsia="宋体" w:hint="default"/>
          <w:spacing w:val="-53"/>
        </w:rPr>
        <w:t> </w:t>
      </w:r>
      <w:r>
        <w:rPr/>
        <w:t>领域逐步扩展至</w:t>
      </w:r>
      <w:r>
        <w:rPr>
          <w:spacing w:val="-54"/>
        </w:rPr>
        <w:t> </w:t>
      </w:r>
      <w:r>
        <w:rPr>
          <w:rFonts w:ascii="宋体" w:hAnsi="宋体" w:cs="宋体" w:eastAsia="宋体" w:hint="default"/>
        </w:rPr>
        <w:t>ICT </w:t>
      </w:r>
      <w:r>
        <w:rPr/>
        <w:t>及</w:t>
      </w:r>
      <w:r>
        <w:rPr>
          <w:spacing w:val="-30"/>
        </w:rPr>
        <w:t> </w:t>
      </w:r>
      <w:r>
        <w:rPr>
          <w:rFonts w:ascii="宋体" w:hAnsi="宋体" w:cs="宋体" w:eastAsia="宋体" w:hint="default"/>
        </w:rPr>
        <w:t>DT</w:t>
      </w:r>
      <w:r>
        <w:rPr>
          <w:rFonts w:ascii="宋体" w:hAnsi="宋体" w:cs="宋体" w:eastAsia="宋体" w:hint="default"/>
          <w:spacing w:val="-29"/>
        </w:rPr>
        <w:t> </w:t>
      </w:r>
      <w:r>
        <w:rPr/>
        <w:t>领域，合作的厂商和产品线数量逐年稳步增加，在大数据、</w:t>
      </w:r>
      <w:r>
        <w:rPr>
          <w:rFonts w:ascii="宋体" w:hAnsi="宋体" w:cs="宋体" w:eastAsia="宋体" w:hint="default"/>
        </w:rPr>
        <w:t>AI</w:t>
      </w:r>
      <w:r>
        <w:rPr/>
        <w:t>、</w:t>
      </w:r>
      <w:r>
        <w:rPr>
          <w:rFonts w:ascii="宋体" w:hAnsi="宋体" w:cs="宋体" w:eastAsia="宋体" w:hint="default"/>
        </w:rPr>
        <w:t>IoT</w:t>
      </w:r>
      <w:r>
        <w:rPr>
          <w:rFonts w:ascii="宋体" w:hAnsi="宋体" w:cs="宋体" w:eastAsia="宋体" w:hint="default"/>
          <w:spacing w:val="-29"/>
        </w:rPr>
        <w:t> </w:t>
      </w:r>
      <w:r>
        <w:rPr/>
        <w:t>等新兴领域，公司业务呈爆发式增长态势；运营 </w:t>
      </w:r>
      <w:r>
        <w:rPr>
          <w:spacing w:val="-2"/>
        </w:rPr>
        <w:t>和风控水平以及资金使用效率在保持行业领先的基础上继续增强，应收账款周转率、现金周转率等指标持续提升；进一步提</w:t>
      </w:r>
      <w:r>
        <w:rPr>
          <w:spacing w:val="-66"/>
        </w:rPr>
        <w:t> </w:t>
      </w:r>
      <w:r>
        <w:rPr>
          <w:spacing w:val="-66"/>
        </w:rPr>
      </w:r>
      <w:r>
        <w:rPr>
          <w:spacing w:val="-2"/>
        </w:rPr>
        <w:t>升精细化管理水平，从品牌到品类的组织架构调整显现出明显优化效果；大华为业务在贸易摩擦的情况下，依然保持强劲的</w:t>
      </w:r>
      <w:r>
        <w:rPr>
          <w:spacing w:val="-63"/>
        </w:rPr>
        <w:t> </w:t>
      </w:r>
      <w:r>
        <w:rPr>
          <w:spacing w:val="-63"/>
        </w:rPr>
      </w:r>
      <w:r>
        <w:rPr/>
        <w:t>增长；持续加强与苹果合作的深度和广度，合作领域从消费电子拓展至云服务和数据业务。</w:t>
      </w:r>
    </w:p>
    <w:p>
      <w:pPr>
        <w:pStyle w:val="BodyText"/>
        <w:spacing w:line="240" w:lineRule="auto" w:before="59"/>
        <w:ind w:left="513" w:right="0"/>
        <w:jc w:val="left"/>
      </w:pPr>
      <w:r>
        <w:rPr/>
        <w:t>在消费电子业务领域，公司精准判断市场走向，继续深化与厂商、渠道和客户的合作，厂商份额在继续保持领先的基础</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034"/>
        <w:jc w:val="left"/>
      </w:pPr>
      <w:r>
        <w:rPr/>
        <w:t>上，力争扩大领先优势。芯片业务从传统分销模式迈向行业应用，带动微电子业务实现高速增长；华为终端业务大幅增长，</w:t>
      </w:r>
      <w:r>
        <w:rPr>
          <w:spacing w:val="-82"/>
        </w:rPr>
        <w:t> </w:t>
      </w:r>
      <w:r>
        <w:rPr>
          <w:spacing w:val="-82"/>
        </w:rPr>
      </w:r>
      <w:r>
        <w:rPr/>
        <w:t>厂商份额连续四年提升。</w:t>
      </w:r>
    </w:p>
    <w:p>
      <w:pPr>
        <w:pStyle w:val="BodyText"/>
        <w:spacing w:line="316" w:lineRule="auto" w:before="58"/>
        <w:ind w:right="1132" w:firstLine="360"/>
        <w:jc w:val="both"/>
      </w:pPr>
      <w:r>
        <w:rPr>
          <w:spacing w:val="-2"/>
        </w:rPr>
        <w:t>在企业级分销和增值服务业务领域，公司同样进一步巩固绝对领先优势。作为国内企业级增值分销领域覆盖产品和品牌</w:t>
      </w:r>
      <w:r>
        <w:rPr/>
        <w:t> 范围最广、技术能力最全面、营收规模具有绝对优势的分销商，公司连续多年蝉联“中国</w:t>
      </w:r>
      <w:r>
        <w:rPr>
          <w:spacing w:val="-42"/>
        </w:rPr>
        <w:t> </w:t>
      </w:r>
      <w:r>
        <w:rPr>
          <w:rFonts w:ascii="宋体" w:hAnsi="宋体" w:cs="宋体" w:eastAsia="宋体" w:hint="default"/>
        </w:rPr>
        <w:t>IT</w:t>
      </w:r>
      <w:r>
        <w:rPr>
          <w:rFonts w:ascii="宋体" w:hAnsi="宋体" w:cs="宋体" w:eastAsia="宋体" w:hint="default"/>
          <w:spacing w:val="-42"/>
        </w:rPr>
        <w:t> </w:t>
      </w:r>
      <w:r>
        <w:rPr/>
        <w:t>增值分销商十强”榜首。华为 企业级业务稳健增长，厂商份额持续提升；在</w:t>
      </w:r>
      <w:r>
        <w:rPr>
          <w:spacing w:val="-45"/>
        </w:rPr>
        <w:t> </w:t>
      </w:r>
      <w:r>
        <w:rPr>
          <w:rFonts w:ascii="宋体" w:hAnsi="宋体" w:cs="宋体" w:eastAsia="宋体" w:hint="default"/>
        </w:rPr>
        <w:t>F5</w:t>
      </w:r>
      <w:r>
        <w:rPr/>
        <w:t>、</w:t>
      </w:r>
      <w:r>
        <w:rPr>
          <w:rFonts w:ascii="宋体" w:hAnsi="宋体" w:cs="宋体" w:eastAsia="宋体" w:hint="default"/>
        </w:rPr>
        <w:t>DELL</w:t>
      </w:r>
      <w:r>
        <w:rPr>
          <w:rFonts w:ascii="宋体" w:hAnsi="宋体" w:cs="宋体" w:eastAsia="宋体" w:hint="default"/>
          <w:spacing w:val="-2"/>
        </w:rPr>
        <w:t> </w:t>
      </w:r>
      <w:r>
        <w:rPr>
          <w:rFonts w:ascii="宋体" w:hAnsi="宋体" w:cs="宋体" w:eastAsia="宋体" w:hint="default"/>
        </w:rPr>
        <w:t>EMC</w:t>
      </w:r>
      <w:r>
        <w:rPr>
          <w:rFonts w:ascii="宋体" w:hAnsi="宋体" w:cs="宋体" w:eastAsia="宋体" w:hint="default"/>
          <w:spacing w:val="-46"/>
        </w:rPr>
        <w:t> </w:t>
      </w:r>
      <w:r>
        <w:rPr/>
        <w:t>等业务上，厂商份额绝对领先，收入保持两位数增长。</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86,803,376,390.13</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81,858,054,493.23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84,706,104,209.20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80,757,174,190.44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4.89%</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云计算及数字化转 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1,530,551,838.92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581,044,426.22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553,190,728.52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509,690,539.22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13,529,613.49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10,145,337.35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55,379,676,822.01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54,460,383,362.52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29,326,427,387.19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26,296,790,827.92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32.12%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11.52%</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云计算及数字化转 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1,530,551,838.92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581,044,426.22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553,190,728.52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509,690,539.22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13,529,613.49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10,145,337.35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79,551,095,927.20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76,926,517,290.45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7,252,280,462.93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4,931,537,202.78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57"/>
        <w:gridCol w:w="1519"/>
        <w:gridCol w:w="1215"/>
        <w:gridCol w:w="1366"/>
        <w:gridCol w:w="1369"/>
        <w:gridCol w:w="1370"/>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84,706,104,209.20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81,619,622,048.35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55,379,676,822.01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54,076,436,990.22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29,326,427,387.19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27,543,185,058.13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-0.71%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79,551,095,927.20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76,399,061,261.95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594"/>
        <w:gridCol w:w="1241"/>
        <w:gridCol w:w="1594"/>
        <w:gridCol w:w="1597"/>
        <w:gridCol w:w="1594"/>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84,706,104,209.2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80,757,174,190.44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云计算及数字化转型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1,530,551,838.92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581,044,426.22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163.41%</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553,190,728.52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509,690,539.22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13,529,613.49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10,145,337.35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33.36%</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云计算及数字化转型本报告期增加的原因主要是国内企业数字化转型快速推进，云计算和数字化转型业务继续保持高速</w:t>
      </w:r>
    </w:p>
    <w:p>
      <w:pPr>
        <w:pStyle w:val="BodyText"/>
        <w:spacing w:line="240" w:lineRule="auto" w:before="1"/>
        <w:ind w:right="0"/>
        <w:jc w:val="left"/>
      </w:pPr>
      <w:r>
        <w:rPr/>
        <w:t>增长。</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83"/>
        <w:gridCol w:w="2838"/>
        <w:gridCol w:w="281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419"/>
        <w:gridCol w:w="1419"/>
        <w:gridCol w:w="1450"/>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81,619,622,048.35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97.96%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77,733,138,593.93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云计算及数字化 转型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1,254,055,322.06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448,058,666.45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437,334,851.26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374,750,003.74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5,638,640.87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5,638,640.87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419"/>
        <w:gridCol w:w="1419"/>
        <w:gridCol w:w="1450"/>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消费电子分销业 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54,076,436,990.22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53,221,350,609.57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27,543,185,058.13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24,511,787,984.36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云计算及数字化 转型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1,254,055,322.06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448,058,666.45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437,334,851.26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374,750,003.74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5,638,640.87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5,638,640.87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9" w:lineRule="auto" w:before="104"/>
        <w:ind w:right="1133" w:firstLine="360"/>
        <w:jc w:val="both"/>
      </w:pPr>
      <w:r>
        <w:rPr/>
        <w:t>本集团合并财务报表范围包括本公司、神码中国、神码上海、神码广州等</w:t>
      </w:r>
      <w:r>
        <w:rPr>
          <w:rFonts w:ascii="Times New Roman" w:hAnsi="Times New Roman" w:cs="Times New Roman" w:eastAsia="Times New Roman" w:hint="default"/>
        </w:rPr>
        <w:t>41</w:t>
      </w:r>
      <w:r>
        <w:rPr/>
        <w:t>家公司，结构化主体</w:t>
      </w:r>
      <w:r>
        <w:rPr>
          <w:rFonts w:ascii="Times New Roman" w:hAnsi="Times New Roman" w:cs="Times New Roman" w:eastAsia="Times New Roman" w:hint="default"/>
        </w:rPr>
        <w:t>1</w:t>
      </w:r>
      <w:r>
        <w:rPr/>
        <w:t>个。与上年相比，本 </w:t>
      </w:r>
      <w:r>
        <w:rPr>
          <w:spacing w:val="-2"/>
        </w:rPr>
        <w:t>年因设立新增武汉神州数码有限公司，因开展应收账款资产支持专项计划新增结构化主体，因清算关闭重庆神州数码有限公</w:t>
      </w:r>
      <w:r>
        <w:rPr>
          <w:spacing w:val="-64"/>
        </w:rPr>
        <w:t> </w:t>
      </w:r>
      <w:r>
        <w:rPr>
          <w:spacing w:val="-64"/>
        </w:rPr>
      </w:r>
      <w:r>
        <w:rPr/>
        <w:t>司，济南神州数码有限公司，深圳神州数码云科信息安全有限公司，深圳神州数码云科系统科技有限公司共</w:t>
      </w:r>
      <w:r>
        <w:rPr>
          <w:rFonts w:ascii="Times New Roman" w:hAnsi="Times New Roman" w:cs="Times New Roman" w:eastAsia="Times New Roman" w:hint="default"/>
        </w:rPr>
        <w:t>4</w:t>
      </w:r>
      <w:r>
        <w:rPr/>
        <w:t>家公司。</w:t>
      </w:r>
    </w:p>
    <w:p>
      <w:pPr>
        <w:pStyle w:val="BodyText"/>
        <w:spacing w:line="240" w:lineRule="auto" w:before="5"/>
        <w:ind w:left="513" w:right="0"/>
        <w:jc w:val="left"/>
      </w:pPr>
      <w:r>
        <w:rPr/>
        <w:t>详见第十二节、附注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31,547,305,264.00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36.34%</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27,937,786,705.37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1,157,177,821.54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1,077,377,093.90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722,128,280.66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652,835,362.53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31,547,305,264.00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36.34%</w:t>
            </w:r>
          </w:p>
        </w:tc>
      </w:tr>
    </w:tbl>
    <w:p>
      <w:pPr>
        <w:pStyle w:val="BodyText"/>
        <w:spacing w:line="240" w:lineRule="auto" w:before="49"/>
        <w:ind w:right="0"/>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44"/>
        <w:gridCol w:w="4926"/>
      </w:tblGrid>
      <w:tr>
        <w:trPr>
          <w:trHeight w:val="401"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58,267,637,805.24</w:t>
            </w:r>
          </w:p>
        </w:tc>
      </w:tr>
      <w:tr>
        <w:trPr>
          <w:trHeight w:val="403"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69.31%</w:t>
            </w:r>
          </w:p>
        </w:tc>
      </w:tr>
      <w:tr>
        <w:trPr>
          <w:trHeight w:val="401"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25,179,177,091.40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15,150,424,900.92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8,055,910,912.00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5,586,579,842.36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4,295,545,058.56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58,267,637,805.24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69.31%</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1,698,215,203.52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1,633,915,868.48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264,454,079.15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259,433,119.44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490,287,007.09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577,018,663.98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145,505,051.85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96,764,852.25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50.37%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主要原因是本报告期加大云业务研 发投入所致</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460" w:right="1127" w:hanging="3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基于多年服务行业头部客户积累的强大技术实力与丰富经验，公司持续为包括零售、快消、汽车、文旅、金融等行业世</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3"/>
        <w:jc w:val="both"/>
      </w:pPr>
      <w:r>
        <w:rPr>
          <w:spacing w:val="-2"/>
        </w:rPr>
        <w:t>界五百强企业在内的广大客户提供以物联网、大数据、人工智能等技术为基础且可复制性高的数字化解决方案。公司围绕数</w:t>
      </w:r>
      <w:r>
        <w:rPr>
          <w:spacing w:val="-66"/>
        </w:rPr>
        <w:t> </w:t>
      </w:r>
      <w:r>
        <w:rPr>
          <w:spacing w:val="-66"/>
        </w:rPr>
      </w:r>
      <w:r>
        <w:rPr>
          <w:spacing w:val="-2"/>
        </w:rPr>
        <w:t>据获取、数据存储、数据管理和数据分析这一完整大数据产业链，对应性地构建并完善了从数据获取到数据应用的全方位大</w:t>
      </w:r>
      <w:r>
        <w:rPr>
          <w:spacing w:val="-66"/>
        </w:rPr>
        <w:t> </w:t>
      </w:r>
      <w:r>
        <w:rPr>
          <w:spacing w:val="-66"/>
        </w:rPr>
      </w:r>
      <w:r>
        <w:rPr>
          <w:spacing w:val="-2"/>
        </w:rPr>
        <w:t>数据解决方案，有效地赋能零售、酒店、汽车等行业客户提升经营效率，包括数据脱敏解决方案、零售行业数据建模分析方</w:t>
      </w:r>
      <w:r>
        <w:rPr>
          <w:spacing w:val="-67"/>
        </w:rPr>
        <w:t> </w:t>
      </w:r>
      <w:r>
        <w:rPr>
          <w:spacing w:val="-67"/>
        </w:rPr>
      </w:r>
      <w:r>
        <w:rPr>
          <w:spacing w:val="-2"/>
        </w:rPr>
        <w:t>案、酒店行业数字化解决方案、汽车行业数字化解决方案、智能仓储解决方案等。本报告期内，公司与研发有关的支出共计</w:t>
      </w:r>
      <w:r>
        <w:rPr>
          <w:spacing w:val="-67"/>
        </w:rPr>
        <w:t> </w:t>
      </w:r>
      <w:r>
        <w:rPr>
          <w:spacing w:val="-67"/>
        </w:rPr>
      </w:r>
      <w:r>
        <w:rPr>
          <w:rFonts w:ascii="Times New Roman" w:hAnsi="Times New Roman" w:cs="Times New Roman" w:eastAsia="Times New Roman" w:hint="default"/>
        </w:rPr>
        <w:t>14,764.33</w:t>
      </w:r>
      <w:r>
        <w:rPr/>
        <w:t>万元，占公司营业收入的</w:t>
      </w:r>
      <w:r>
        <w:rPr>
          <w:rFonts w:ascii="Times New Roman" w:hAnsi="Times New Roman" w:cs="Times New Roman" w:eastAsia="Times New Roman" w:hint="default"/>
        </w:rPr>
        <w:t>0.17%</w:t>
      </w:r>
      <w:r>
        <w:rPr/>
        <w:t>。</w:t>
      </w:r>
    </w:p>
    <w:p>
      <w:pPr>
        <w:pStyle w:val="BodyText"/>
        <w:spacing w:line="240" w:lineRule="auto" w:before="38"/>
        <w:ind w:right="0"/>
        <w:jc w:val="both"/>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0"/>
        <w:gridCol w:w="1992"/>
        <w:gridCol w:w="2393"/>
        <w:gridCol w:w="2393"/>
      </w:tblGrid>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147,643,269.20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116,691,899.03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26.52%</w:t>
            </w:r>
          </w:p>
        </w:tc>
      </w:tr>
      <w:tr>
        <w:trPr>
          <w:trHeight w:val="40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96"/>
        <w:gridCol w:w="2276"/>
        <w:gridCol w:w="2393"/>
        <w:gridCol w:w="2393"/>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98,751,024,672.07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91,543,692,647.72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97,251,395,971.75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91,183,153,030.18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1,499,628,700.32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360,539,617.54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310,838,610.40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136,931,998.95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199,522,421.08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1,644,694,045.66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111,316,189.32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-1,507,762,046.71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20,375,933,593.59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17,040,458,676.91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19.57%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19,889,239,288.81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16,378,354,002.44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486,694,304.78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662,104,674.47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-26.49%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2,096,654,243.65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-492,123,259.02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526.04%</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t>（</w:t>
      </w:r>
      <w:r>
        <w:rPr>
          <w:rFonts w:ascii="Times New Roman" w:hAnsi="Times New Roman" w:cs="Times New Roman" w:eastAsia="Times New Roman" w:hint="default"/>
        </w:rPr>
        <w:t>1</w:t>
      </w:r>
      <w:r>
        <w:rPr/>
        <w:t>）经营活动产生的现金流量净额同比增加</w:t>
      </w:r>
      <w:r>
        <w:rPr>
          <w:rFonts w:ascii="Times New Roman" w:hAnsi="Times New Roman" w:cs="Times New Roman" w:eastAsia="Times New Roman" w:hint="default"/>
        </w:rPr>
        <w:t>315.94%</w:t>
      </w:r>
      <w:r>
        <w:rPr/>
        <w:t>，主要原因是本报告期销售商品、提供劳务收到的现金增加。</w:t>
      </w:r>
    </w:p>
    <w:p>
      <w:pPr>
        <w:pStyle w:val="BodyText"/>
        <w:spacing w:line="297" w:lineRule="auto" w:before="63"/>
        <w:ind w:right="1199" w:firstLine="360"/>
        <w:jc w:val="left"/>
      </w:pPr>
      <w:r>
        <w:rPr/>
        <w:t>（</w:t>
      </w:r>
      <w:r>
        <w:rPr>
          <w:rFonts w:ascii="Times New Roman" w:hAnsi="Times New Roman" w:cs="Times New Roman" w:eastAsia="Times New Roman" w:hint="default"/>
        </w:rPr>
        <w:t>2</w:t>
      </w:r>
      <w:r>
        <w:rPr/>
        <w:t>）投资活动产生的现金流量净额同比增加</w:t>
      </w:r>
      <w:r>
        <w:rPr>
          <w:rFonts w:ascii="Times New Roman" w:hAnsi="Times New Roman" w:cs="Times New Roman" w:eastAsia="Times New Roman" w:hint="default"/>
        </w:rPr>
        <w:t>107.38%</w:t>
      </w:r>
      <w:r>
        <w:rPr/>
        <w:t>，主要原因是本报告期出售参股公司，确认现金流入，上年同期 支付购买土地款现金流出。</w:t>
      </w:r>
    </w:p>
    <w:p>
      <w:pPr>
        <w:spacing w:after="0" w:line="297"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报告期内公司经营活动产生的现金净流量与本年度净利润存在重大差异的原因说明</w:t>
      </w:r>
    </w:p>
    <w:p>
      <w:pPr>
        <w:pStyle w:val="BodyText"/>
        <w:spacing w:line="338" w:lineRule="auto" w:before="117"/>
        <w:ind w:left="513" w:right="555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差异情况详见本报告第十二节</w:t>
      </w:r>
      <w:r>
        <w:rPr>
          <w:rFonts w:ascii="Times New Roman" w:hAnsi="Times New Roman" w:cs="Times New Roman" w:eastAsia="Times New Roman" w:hint="default"/>
        </w:rPr>
        <w:t>“</w:t>
      </w:r>
      <w:r>
        <w:rPr/>
        <w:t>七、</w:t>
      </w:r>
      <w:r>
        <w:rPr>
          <w:rFonts w:ascii="Times New Roman" w:hAnsi="Times New Roman" w:cs="Times New Roman" w:eastAsia="Times New Roman" w:hint="default"/>
        </w:rPr>
        <w:t>61</w:t>
      </w:r>
      <w:r>
        <w:rPr/>
        <w:t>、现金流量表补充资料</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59,517,156.32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主要是本报告期出售参股 公司确认收益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37,245,054.20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主要是本报告期衍生品评 估收益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19,934,952.66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主要是本报告期存货跌价 冲回</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58,955,678.15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主要是本报告期与日常经 营活动相关的政府补助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-63,728,905.38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主要是本报告期计提应收 信用减值损失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2"/>
        <w:gridCol w:w="1419"/>
        <w:gridCol w:w="850"/>
        <w:gridCol w:w="1418"/>
        <w:gridCol w:w="850"/>
        <w:gridCol w:w="852"/>
        <w:gridCol w:w="2938"/>
      </w:tblGrid>
      <w:tr>
        <w:trPr>
          <w:trHeight w:val="385" w:hRule="exact"/>
        </w:trPr>
        <w:tc>
          <w:tcPr>
            <w:tcW w:w="1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42" w:type="dxa"/>
            <w:vMerge w:val="restart"/>
            <w:tcBorders>
              <w:top w:val="nil" w:sz="6" w:space="0" w:color="auto"/>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40" w:right="58"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2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42"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293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42"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293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4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293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4,000,033,909.38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13.60%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1,617,156,211.49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6.22%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7.38%</w:t>
            </w:r>
          </w:p>
        </w:tc>
        <w:tc>
          <w:tcPr>
            <w:tcW w:w="293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主要原因是本报告期销售回款带来的 经营性现金流以及发行资产证券化产 品等带来的筹资性现金流流入；</w:t>
            </w:r>
          </w:p>
        </w:tc>
      </w:tr>
      <w:tr>
        <w:trPr>
          <w:trHeight w:val="394" w:hRule="exact"/>
        </w:trPr>
        <w:tc>
          <w:tcPr>
            <w:tcW w:w="12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938" w:type="dxa"/>
            <w:vMerge/>
            <w:tcBorders>
              <w:left w:val="single" w:sz="4" w:space="0" w:color="000000"/>
              <w:right w:val="single" w:sz="4" w:space="0" w:color="000000"/>
            </w:tcBorders>
          </w:tcPr>
          <w:p>
            <w:pPr/>
          </w:p>
        </w:tc>
      </w:tr>
      <w:tr>
        <w:trPr>
          <w:trHeight w:val="317" w:hRule="exact"/>
        </w:trPr>
        <w:tc>
          <w:tcPr>
            <w:tcW w:w="1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2938" w:type="dxa"/>
            <w:vMerge/>
            <w:tcBorders>
              <w:left w:val="single" w:sz="4" w:space="0" w:color="000000"/>
              <w:bottom w:val="single" w:sz="4" w:space="0" w:color="000000"/>
              <w:right w:val="single" w:sz="4" w:space="0" w:color="000000"/>
            </w:tcBorders>
          </w:tcPr>
          <w:p>
            <w:pPr/>
          </w:p>
        </w:tc>
      </w:tr>
      <w:tr>
        <w:trPr>
          <w:trHeight w:val="401"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7,038,877,340.76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8,600,087,141.60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主要原因是本报告期销售回款增加；</w:t>
            </w:r>
          </w:p>
        </w:tc>
      </w:tr>
      <w:tr>
        <w:trPr>
          <w:trHeight w:val="403"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9,198,835,216.66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6,507,068,213.06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主要原因是本报告期采购备货增加；</w:t>
            </w:r>
          </w:p>
        </w:tc>
      </w:tr>
      <w:tr>
        <w:trPr>
          <w:trHeight w:val="713" w:hRule="exact"/>
        </w:trPr>
        <w:tc>
          <w:tcPr>
            <w:tcW w:w="12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340,819,332.24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891,851,683.93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主要原因是本报告期应收商业承兑汇 票到期解付；</w:t>
            </w:r>
          </w:p>
        </w:tc>
      </w:tr>
      <w:tr>
        <w:trPr>
          <w:trHeight w:val="715" w:hRule="exact"/>
        </w:trPr>
        <w:tc>
          <w:tcPr>
            <w:tcW w:w="12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3,558,687,083.68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2,573,972,176.18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主要原因是本报告期使用票据结算的 比例上升；</w:t>
            </w:r>
          </w:p>
        </w:tc>
      </w:tr>
      <w:tr>
        <w:trPr>
          <w:trHeight w:val="713" w:hRule="exact"/>
        </w:trPr>
        <w:tc>
          <w:tcPr>
            <w:tcW w:w="12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5,825,871,423.34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6,044,742,292.99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主要原因是本报告期使用票据结算的 比例上升；</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201"/>
        <w:gridCol w:w="1209"/>
        <w:gridCol w:w="1275"/>
        <w:gridCol w:w="704"/>
        <w:gridCol w:w="1280"/>
        <w:gridCol w:w="1283"/>
        <w:gridCol w:w="413"/>
        <w:gridCol w:w="1280"/>
      </w:tblGrid>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75"/>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80" w:type="dxa"/>
            <w:vMerge w:val="restart"/>
            <w:tcBorders>
              <w:top w:val="single" w:sz="4" w:space="0" w:color="000000"/>
              <w:left w:val="single" w:sz="4" w:space="0" w:color="000000"/>
              <w:right w:val="single" w:sz="4" w:space="0" w:color="000000"/>
            </w:tcBorders>
            <w:shd w:val="clear" w:color="auto" w:fill="D2D2D2"/>
          </w:tcPr>
          <w:p>
            <w:pPr/>
          </w:p>
        </w:tc>
        <w:tc>
          <w:tcPr>
            <w:tcW w:w="1283" w:type="dxa"/>
            <w:vMerge w:val="restart"/>
            <w:tcBorders>
              <w:top w:val="single" w:sz="4" w:space="0" w:color="000000"/>
              <w:left w:val="single" w:sz="4" w:space="0" w:color="000000"/>
              <w:right w:val="single" w:sz="4" w:space="0" w:color="000000"/>
            </w:tcBorders>
            <w:shd w:val="clear" w:color="auto" w:fill="D2D2D2"/>
          </w:tcPr>
          <w:p>
            <w:pP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6"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75"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0" w:type="dxa"/>
            <w:vMerge/>
            <w:tcBorders>
              <w:left w:val="single" w:sz="4" w:space="0" w:color="000000"/>
              <w:bottom w:val="nil" w:sz="6" w:space="0" w:color="auto"/>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4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80"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9"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413" w:type="dxa"/>
            <w:vMerge/>
            <w:tcBorders>
              <w:left w:val="single" w:sz="4" w:space="0" w:color="000000"/>
              <w:right w:val="single" w:sz="4" w:space="0" w:color="000000"/>
            </w:tcBorders>
            <w:shd w:val="clear" w:color="auto" w:fill="D2D2D2"/>
          </w:tcPr>
          <w:p>
            <w:pPr/>
          </w:p>
        </w:tc>
        <w:tc>
          <w:tcPr>
            <w:tcW w:w="12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280" w:type="dxa"/>
            <w:vMerge w:val="restart"/>
            <w:tcBorders>
              <w:top w:val="nil" w:sz="6" w:space="0" w:color="auto"/>
              <w:left w:val="single" w:sz="4" w:space="0" w:color="000000"/>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
        </w:tc>
        <w:tc>
          <w:tcPr>
            <w:tcW w:w="413" w:type="dxa"/>
            <w:vMerge/>
            <w:tcBorders>
              <w:left w:val="single" w:sz="4" w:space="0" w:color="000000"/>
              <w:bottom w:val="nil" w:sz="6" w:space="0" w:color="auto"/>
              <w:right w:val="single" w:sz="4" w:space="0" w:color="000000"/>
            </w:tcBorders>
            <w:shd w:val="clear" w:color="auto" w:fill="D2D2D2"/>
          </w:tcPr>
          <w:p>
            <w:pPr/>
          </w:p>
        </w:tc>
        <w:tc>
          <w:tcPr>
            <w:tcW w:w="1280"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646"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10,088,493.80</w:t>
            </w:r>
          </w:p>
        </w:tc>
        <w:tc>
          <w:tcPr>
            <w:tcW w:w="12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118,088,493.80</w:t>
            </w: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397,002.56</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50,146,978.14</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10,261,420.00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54,612,179.42</w:t>
            </w: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6,193,221.28</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 工具投资</w:t>
            </w:r>
          </w:p>
        </w:tc>
        <w:tc>
          <w:tcPr>
            <w:tcW w:w="1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23,795,074.50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3,290,920.50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-7,553,734.57</w:t>
            </w: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27,085,995.00</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1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应收款项 融资</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299,260,296.68</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-1,073,062.25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-4,887,460.80</w:t>
            </w: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93,767,009.59</w:t>
            </w:r>
          </w:p>
        </w:tc>
        <w:tc>
          <w:tcPr>
            <w:tcW w:w="1283"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391,954,244.02</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其他非流 动金融资产</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110,000,000.00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1,440,000.00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110,000,000.00</w:t>
            </w: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4,440,000.00</w:t>
            </w:r>
          </w:p>
        </w:tc>
      </w:tr>
      <w:tr>
        <w:trPr>
          <w:trHeight w:val="71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8"/>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443,540,867.54</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53,804,836.39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-12,441,195.37</w:t>
            </w: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215,028,429.59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282,700,673.22</w:t>
            </w: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429,673,460.30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21,091,940.85</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-14,341,923.94</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11,297,946.33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24,646,398.82</w:t>
            </w:r>
          </w:p>
        </w:tc>
        <w:tc>
          <w:tcPr>
            <w:tcW w:w="41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22,085,412.30</w:t>
            </w:r>
          </w:p>
        </w:tc>
      </w:tr>
    </w:tbl>
    <w:p>
      <w:pPr>
        <w:pStyle w:val="BodyText"/>
        <w:spacing w:line="357" w:lineRule="auto" w:before="49"/>
        <w:ind w:right="9494"/>
        <w:jc w:val="left"/>
      </w:pPr>
      <w:r>
        <w:rPr/>
        <w:t>其他变动的内容 无</w:t>
      </w:r>
    </w:p>
    <w:p>
      <w:pPr>
        <w:pStyle w:val="BodyText"/>
        <w:spacing w:line="240" w:lineRule="auto" w:before="2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t>（</w:t>
      </w:r>
      <w:r>
        <w:rPr>
          <w:rFonts w:ascii="Times New Roman" w:hAnsi="Times New Roman" w:cs="Times New Roman" w:eastAsia="Times New Roman" w:hint="default"/>
        </w:rPr>
        <w:t>1</w:t>
      </w:r>
      <w:r>
        <w:rPr/>
        <w:t>）因未决诉讼被冻结的货币资金、信贷资金监管账户存款余额受限、受限制定期存款及结构性存款、保函保证金、 </w:t>
      </w:r>
      <w:r>
        <w:rPr>
          <w:spacing w:val="-4"/>
        </w:rPr>
        <w:t>信用证保证金、银行承兑汇票保证金合计</w:t>
      </w:r>
      <w:r>
        <w:rPr>
          <w:rFonts w:ascii="Times New Roman" w:hAnsi="Times New Roman" w:cs="Times New Roman" w:eastAsia="Times New Roman" w:hint="default"/>
          <w:spacing w:val="-4"/>
        </w:rPr>
        <w:t>924,758,227.87</w:t>
      </w:r>
      <w:r>
        <w:rPr>
          <w:spacing w:val="-4"/>
        </w:rPr>
        <w:t>元。详情见本报告</w:t>
      </w:r>
      <w:r>
        <w:rPr>
          <w:rFonts w:ascii="Times New Roman" w:hAnsi="Times New Roman" w:cs="Times New Roman" w:eastAsia="Times New Roman" w:hint="default"/>
          <w:spacing w:val="-4"/>
        </w:rPr>
        <w:t>“</w:t>
      </w:r>
      <w:r>
        <w:rPr>
          <w:spacing w:val="-4"/>
        </w:rPr>
        <w:t>第十二节财务报告、七、合并财务报表项目注释、</w:t>
      </w:r>
      <w:r>
        <w:rPr>
          <w:spacing w:val="-50"/>
        </w:rPr>
        <w:t> </w:t>
      </w:r>
      <w:r>
        <w:rPr>
          <w:spacing w:val="-50"/>
        </w:rPr>
      </w: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w:t>
      </w:r>
      <w:r>
        <w:rPr/>
        <w:t>。</w:t>
      </w:r>
    </w:p>
    <w:p>
      <w:pPr>
        <w:pStyle w:val="BodyText"/>
        <w:spacing w:line="300" w:lineRule="auto" w:before="13"/>
        <w:ind w:right="1128" w:firstLine="360"/>
        <w:jc w:val="both"/>
      </w:pPr>
      <w:r>
        <w:rPr>
          <w:spacing w:val="-2"/>
        </w:rPr>
        <w:t>（</w:t>
      </w:r>
      <w:r>
        <w:rPr>
          <w:rFonts w:ascii="Times New Roman" w:hAnsi="Times New Roman" w:cs="Times New Roman" w:eastAsia="Times New Roman" w:hint="default"/>
          <w:spacing w:val="-2"/>
        </w:rPr>
        <w:t>2</w:t>
      </w:r>
      <w:r>
        <w:rPr>
          <w:spacing w:val="-2"/>
        </w:rPr>
        <w:t>）本公司为购买神州控股下属</w:t>
      </w:r>
      <w:r>
        <w:rPr>
          <w:rFonts w:ascii="Times New Roman" w:hAnsi="Times New Roman" w:cs="Times New Roman" w:eastAsia="Times New Roman" w:hint="default"/>
          <w:spacing w:val="-2"/>
        </w:rPr>
        <w:t>IT</w:t>
      </w:r>
      <w:r>
        <w:rPr>
          <w:spacing w:val="-2"/>
        </w:rPr>
        <w:t>分销业务公司自北京银行股份有限公司中关村科技园支行借入的</w:t>
      </w:r>
      <w:r>
        <w:rPr>
          <w:rFonts w:ascii="Times New Roman" w:hAnsi="Times New Roman" w:cs="Times New Roman" w:eastAsia="Times New Roman" w:hint="default"/>
          <w:spacing w:val="-2"/>
        </w:rPr>
        <w:t>5</w:t>
      </w:r>
      <w:r>
        <w:rPr>
          <w:spacing w:val="-2"/>
        </w:rPr>
        <w:t>年期长期借款，利</w:t>
      </w:r>
      <w:r>
        <w:rPr/>
        <w:t> 率为</w:t>
      </w:r>
      <w:r>
        <w:rPr>
          <w:rFonts w:ascii="Times New Roman" w:hAnsi="Times New Roman" w:cs="Times New Roman" w:eastAsia="Times New Roman" w:hint="default"/>
        </w:rPr>
        <w:t>4.75%</w:t>
      </w:r>
      <w:r>
        <w:rPr/>
        <w:t>，本公司以持有的神码中国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pStyle w:val="BodyText"/>
        <w:spacing w:line="300" w:lineRule="auto" w:before="13"/>
        <w:ind w:right="1128" w:firstLine="360"/>
        <w:jc w:val="both"/>
      </w:pPr>
      <w:r>
        <w:rPr/>
        <w:t>（</w:t>
      </w:r>
      <w:r>
        <w:rPr>
          <w:rFonts w:ascii="Times New Roman" w:hAnsi="Times New Roman" w:cs="Times New Roman" w:eastAsia="Times New Roman" w:hint="default"/>
        </w:rPr>
        <w:t>3</w:t>
      </w:r>
      <w:r>
        <w:rPr/>
        <w:t>）本公司自中国民生银行股份有限公司北京中关村分行借入的</w:t>
      </w:r>
      <w:r>
        <w:rPr>
          <w:rFonts w:ascii="Times New Roman" w:hAnsi="Times New Roman" w:cs="Times New Roman" w:eastAsia="Times New Roman" w:hint="default"/>
        </w:rPr>
        <w:t>3</w:t>
      </w:r>
      <w:r>
        <w:rPr/>
        <w:t>年期长期借款，利率为</w:t>
      </w:r>
      <w:r>
        <w:rPr>
          <w:rFonts w:ascii="Times New Roman" w:hAnsi="Times New Roman" w:cs="Times New Roman" w:eastAsia="Times New Roman" w:hint="default"/>
        </w:rPr>
        <w:t>5.9375%</w:t>
      </w:r>
      <w:r>
        <w:rPr/>
        <w:t>，本公司以持有的上 海云角</w:t>
      </w:r>
      <w:r>
        <w:rPr>
          <w:rFonts w:ascii="Times New Roman" w:hAnsi="Times New Roman" w:cs="Times New Roman" w:eastAsia="Times New Roman" w:hint="default"/>
        </w:rPr>
        <w:t>100%</w:t>
      </w:r>
      <w:r>
        <w:rPr/>
        <w:t>股权进行质押。</w:t>
      </w:r>
    </w:p>
    <w:p>
      <w:pPr>
        <w:pStyle w:val="BodyText"/>
        <w:spacing w:line="300" w:lineRule="auto" w:before="13"/>
        <w:ind w:right="1129" w:firstLine="360"/>
        <w:jc w:val="both"/>
      </w:pPr>
      <w:r>
        <w:rPr>
          <w:spacing w:val="-1"/>
        </w:rPr>
        <w:t>（</w:t>
      </w:r>
      <w:r>
        <w:rPr>
          <w:rFonts w:ascii="Times New Roman" w:hAnsi="Times New Roman" w:cs="Times New Roman" w:eastAsia="Times New Roman" w:hint="default"/>
          <w:spacing w:val="-1"/>
        </w:rPr>
        <w:t>4</w:t>
      </w:r>
      <w:r>
        <w:rPr>
          <w:spacing w:val="-1"/>
        </w:rPr>
        <w:t>）本公司自平安银行股份有限公司深圳分行借入的</w:t>
      </w:r>
      <w:r>
        <w:rPr>
          <w:rFonts w:ascii="Times New Roman" w:hAnsi="Times New Roman" w:cs="Times New Roman" w:eastAsia="Times New Roman" w:hint="default"/>
          <w:spacing w:val="-1"/>
        </w:rPr>
        <w:t>5</w:t>
      </w:r>
      <w:r>
        <w:rPr>
          <w:spacing w:val="-1"/>
        </w:rPr>
        <w:t>年期长期借款，利率</w:t>
      </w:r>
      <w:r>
        <w:rPr>
          <w:rFonts w:ascii="Times New Roman" w:hAnsi="Times New Roman" w:cs="Times New Roman" w:eastAsia="Times New Roman" w:hint="default"/>
          <w:spacing w:val="-1"/>
        </w:rPr>
        <w:t>5.9375%</w:t>
      </w:r>
      <w:r>
        <w:rPr>
          <w:spacing w:val="-1"/>
        </w:rPr>
        <w:t>，以深圳市南山区深圳湾超级总部</w:t>
      </w:r>
      <w:r>
        <w:rPr/>
        <w:t> 基地土地使用权进行抵押；</w:t>
      </w:r>
    </w:p>
    <w:p>
      <w:pPr>
        <w:pStyle w:val="BodyText"/>
        <w:spacing w:line="300" w:lineRule="auto" w:before="31"/>
        <w:ind w:right="1132" w:firstLine="360"/>
        <w:jc w:val="both"/>
      </w:pPr>
      <w:r>
        <w:rPr/>
        <w:t>（</w:t>
      </w:r>
      <w:r>
        <w:rPr>
          <w:rFonts w:ascii="Times New Roman" w:hAnsi="Times New Roman" w:cs="Times New Roman" w:eastAsia="Times New Roman" w:hint="default"/>
        </w:rPr>
        <w:t>5</w:t>
      </w:r>
      <w:r>
        <w:rPr/>
        <w:t>）本公司之子公司神码深圳自平安银行股份有限公司深圳分行借入的</w:t>
      </w:r>
      <w:r>
        <w:rPr>
          <w:rFonts w:ascii="Times New Roman" w:hAnsi="Times New Roman" w:cs="Times New Roman" w:eastAsia="Times New Roman" w:hint="default"/>
        </w:rPr>
        <w:t>3</w:t>
      </w:r>
      <w:r>
        <w:rPr/>
        <w:t>年期长期借款，利率</w:t>
      </w:r>
      <w:r>
        <w:rPr>
          <w:rFonts w:ascii="Times New Roman" w:hAnsi="Times New Roman" w:cs="Times New Roman" w:eastAsia="Times New Roman" w:hint="default"/>
        </w:rPr>
        <w:t>6.175%</w:t>
      </w:r>
      <w:r>
        <w:rPr/>
        <w:t>，以深圳市南山 区深圳湾超级总部基地土地使用权进行抵押。</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09" w:firstLine="360"/>
        <w:jc w:val="left"/>
      </w:pPr>
      <w:r>
        <w:rPr/>
        <w:t>（</w:t>
      </w:r>
      <w:r>
        <w:rPr>
          <w:rFonts w:ascii="Times New Roman" w:hAnsi="Times New Roman" w:cs="Times New Roman" w:eastAsia="Times New Roman" w:hint="default"/>
        </w:rPr>
        <w:t>6</w:t>
      </w:r>
      <w:r>
        <w:rPr/>
        <w:t>）本公司之子公司神码深圳自平安银行股份有限公司深圳分行借入的</w:t>
      </w:r>
      <w:r>
        <w:rPr>
          <w:rFonts w:ascii="Times New Roman" w:hAnsi="Times New Roman" w:cs="Times New Roman" w:eastAsia="Times New Roman" w:hint="default"/>
        </w:rPr>
        <w:t>3</w:t>
      </w:r>
      <w:r>
        <w:rPr/>
        <w:t>年期长期借款，利率</w:t>
      </w:r>
      <w:r>
        <w:rPr>
          <w:rFonts w:ascii="Times New Roman" w:hAnsi="Times New Roman" w:cs="Times New Roman" w:eastAsia="Times New Roman" w:hint="default"/>
        </w:rPr>
        <w:t>5.75%</w:t>
      </w:r>
      <w:r>
        <w:rPr/>
        <w:t>，以深圳市南山区 深圳湾超级总部基地土地使用权进行抵押。</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五、投资状况" w:id="45"/>
      <w:bookmarkEnd w:id="45"/>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1,135,055,094.45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1,054,524,805.32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44"/>
        <w:gridCol w:w="1046"/>
        <w:gridCol w:w="1049"/>
        <w:gridCol w:w="1049"/>
        <w:gridCol w:w="1181"/>
        <w:gridCol w:w="1315"/>
        <w:gridCol w:w="1049"/>
        <w:gridCol w:w="1046"/>
        <w:gridCol w:w="1049"/>
        <w:gridCol w:w="1049"/>
        <w:gridCol w:w="1049"/>
        <w:gridCol w:w="1049"/>
        <w:gridCol w:w="1042"/>
      </w:tblGrid>
      <w:tr>
        <w:trPr>
          <w:trHeight w:val="1026"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5"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58" w:right="67" w:hanging="89"/>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70" w:hanging="180"/>
              <w:jc w:val="left"/>
              <w:rPr>
                <w:rFonts w:ascii="宋体" w:hAnsi="宋体" w:cs="宋体" w:eastAsia="宋体" w:hint="default"/>
                <w:sz w:val="18"/>
                <w:szCs w:val="18"/>
              </w:rPr>
            </w:pPr>
            <w:r>
              <w:rPr>
                <w:rFonts w:ascii="宋体" w:hAnsi="宋体" w:cs="宋体" w:eastAsia="宋体" w:hint="default"/>
                <w:sz w:val="18"/>
                <w:szCs w:val="18"/>
              </w:rPr>
              <w:t>投资项目涉 及行业</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03" w:right="47"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 w:right="23"/>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6"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8"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70"/>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6"/>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深圳湾超级 总部基地 </w:t>
            </w:r>
            <w:r>
              <w:rPr>
                <w:rFonts w:ascii="Times New Roman" w:hAnsi="Times New Roman" w:cs="Times New Roman" w:eastAsia="Times New Roman" w:hint="default"/>
                <w:sz w:val="18"/>
                <w:szCs w:val="18"/>
              </w:rPr>
              <w:t>T207-0052</w:t>
            </w:r>
          </w:p>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116"/>
              <w:jc w:val="left"/>
              <w:rPr>
                <w:rFonts w:ascii="宋体" w:hAnsi="宋体" w:cs="宋体" w:eastAsia="宋体" w:hint="default"/>
                <w:sz w:val="18"/>
                <w:szCs w:val="18"/>
              </w:rPr>
            </w:pPr>
            <w:r>
              <w:rPr>
                <w:rFonts w:ascii="宋体" w:hAnsi="宋体" w:cs="宋体" w:eastAsia="宋体" w:hint="default"/>
                <w:sz w:val="18"/>
                <w:szCs w:val="18"/>
              </w:rPr>
              <w:t>自建总部基 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483,703,517.14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4,517,600,718.86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55.00%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6"/>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3"/>
              <w:ind w:left="9" w:right="0"/>
              <w:jc w:val="left"/>
              <w:rPr>
                <w:rFonts w:ascii="Times New Roman" w:hAnsi="Times New Roman" w:cs="Times New Roman" w:eastAsia="Times New Roman" w:hint="default"/>
                <w:sz w:val="18"/>
                <w:szCs w:val="18"/>
              </w:rPr>
            </w:pPr>
            <w:r>
              <w:rPr>
                <w:rFonts w:ascii="Times New Roman"/>
                <w:sz w:val="18"/>
              </w:rPr>
              <w:t>483,703,517.14</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4,517,600,718.86</w:t>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58"/>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84"/>
        <w:gridCol w:w="950"/>
        <w:gridCol w:w="850"/>
        <w:gridCol w:w="1181"/>
        <w:gridCol w:w="886"/>
        <w:gridCol w:w="1090"/>
        <w:gridCol w:w="1001"/>
        <w:gridCol w:w="1061"/>
        <w:gridCol w:w="1183"/>
        <w:gridCol w:w="1174"/>
        <w:gridCol w:w="884"/>
        <w:gridCol w:w="1090"/>
        <w:gridCol w:w="878"/>
        <w:gridCol w:w="907"/>
      </w:tblGrid>
      <w:tr>
        <w:trPr>
          <w:trHeight w:val="1026" w:hRule="exact"/>
        </w:trPr>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最初投资成本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会计计量 模式</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5" w:right="4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5" w:right="75" w:hanging="269"/>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期末账面价 值</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境内外股 票</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00861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29,220,402.41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23,795,074.50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3,290,920.50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-7,553,734.57</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27,085,995.00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其他权益 工具投资</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339"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007186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华夏中债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年政 策金融债</w:t>
            </w:r>
          </w:p>
          <w:p>
            <w:pPr>
              <w:pStyle w:val="TableParagraph"/>
              <w:spacing w:line="240" w:lineRule="auto" w:before="68"/>
              <w:ind w:left="21"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38,222.64</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headerReference w:type="default" r:id="rId12"/>
          <w:footerReference w:type="default" r:id="rId13"/>
          <w:pgSz w:w="16840" w:h="11910" w:orient="landscape"/>
          <w:pgMar w:header="867" w:footer="980" w:top="1060" w:bottom="1160" w:left="1300" w:right="1280"/>
          <w:pgNumType w:start="26"/>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84"/>
        <w:gridCol w:w="950"/>
        <w:gridCol w:w="850"/>
        <w:gridCol w:w="1181"/>
        <w:gridCol w:w="886"/>
        <w:gridCol w:w="1090"/>
        <w:gridCol w:w="1001"/>
        <w:gridCol w:w="1061"/>
        <w:gridCol w:w="1183"/>
        <w:gridCol w:w="1174"/>
        <w:gridCol w:w="884"/>
        <w:gridCol w:w="1090"/>
        <w:gridCol w:w="878"/>
        <w:gridCol w:w="907"/>
      </w:tblGrid>
      <w:tr>
        <w:trPr>
          <w:trHeight w:val="1041" w:hRule="exact"/>
        </w:trPr>
        <w:tc>
          <w:tcPr>
            <w:tcW w:w="8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9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最初投资成本</w:t>
            </w:r>
          </w:p>
        </w:tc>
        <w:tc>
          <w:tcPr>
            <w:tcW w:w="88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会计计量 模式</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0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5" w:right="4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8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7"/>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7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8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5" w:right="75" w:hanging="269"/>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89" w:hanging="360"/>
              <w:jc w:val="left"/>
              <w:rPr>
                <w:rFonts w:ascii="宋体" w:hAnsi="宋体" w:cs="宋体" w:eastAsia="宋体" w:hint="default"/>
                <w:sz w:val="18"/>
                <w:szCs w:val="18"/>
              </w:rPr>
            </w:pPr>
            <w:r>
              <w:rPr>
                <w:rFonts w:ascii="宋体" w:hAnsi="宋体" w:cs="宋体" w:eastAsia="宋体" w:hint="default"/>
                <w:sz w:val="18"/>
                <w:szCs w:val="18"/>
              </w:rPr>
              <w:t>期末账面价 值</w:t>
            </w:r>
          </w:p>
        </w:tc>
        <w:tc>
          <w:tcPr>
            <w:tcW w:w="8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90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5"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007226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1"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海富通中 短债债券 </w:t>
            </w:r>
            <w:r>
              <w:rPr>
                <w:rFonts w:ascii="Times New Roman" w:hAnsi="Times New Roman" w:cs="Times New Roman" w:eastAsia="Times New Roman" w:hint="default"/>
                <w:sz w:val="18"/>
                <w:szCs w:val="18"/>
              </w:rPr>
              <w:t>C</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5,000,000.00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11,202.40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02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007329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1"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上投摩根 瑞益纯债 </w:t>
            </w:r>
            <w:r>
              <w:rPr>
                <w:rFonts w:ascii="Times New Roman" w:hAnsi="Times New Roman" w:cs="Times New Roman" w:eastAsia="Times New Roman" w:hint="default"/>
                <w:sz w:val="18"/>
                <w:szCs w:val="18"/>
              </w:rPr>
              <w:t>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42,605.20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2301147031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天添利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6,000,000.00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6,003,000.00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19,000,000.00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25,027.38</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2301192002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6"/>
              <w:jc w:val="left"/>
              <w:rPr>
                <w:rFonts w:ascii="宋体" w:hAnsi="宋体" w:cs="宋体" w:eastAsia="宋体" w:hint="default"/>
                <w:sz w:val="18"/>
                <w:szCs w:val="18"/>
              </w:rPr>
            </w:pPr>
            <w:r>
              <w:rPr>
                <w:rFonts w:ascii="宋体" w:hAnsi="宋体" w:cs="宋体" w:eastAsia="宋体" w:hint="default"/>
                <w:sz w:val="18"/>
                <w:szCs w:val="18"/>
              </w:rPr>
              <w:t>天添利普 惠计划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102,959.69</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2301177007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left"/>
              <w:rPr>
                <w:rFonts w:ascii="宋体" w:hAnsi="宋体" w:cs="宋体" w:eastAsia="宋体" w:hint="default"/>
                <w:sz w:val="18"/>
                <w:szCs w:val="18"/>
              </w:rPr>
            </w:pPr>
            <w:r>
              <w:rPr>
                <w:rFonts w:ascii="宋体" w:hAnsi="宋体" w:cs="宋体" w:eastAsia="宋体" w:hint="default"/>
                <w:sz w:val="18"/>
                <w:szCs w:val="18"/>
              </w:rPr>
              <w:t>天添利微 计划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公允价值 计量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3,003,558.33</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33,000,000.00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160,300.90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2684"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103,220,402.41</w:t>
            </w:r>
          </w:p>
        </w:tc>
        <w:tc>
          <w:tcPr>
            <w:tcW w:w="88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32,801,632.83</w:t>
            </w:r>
          </w:p>
        </w:tc>
        <w:tc>
          <w:tcPr>
            <w:tcW w:w="1001"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3,290,920.50</w:t>
            </w:r>
          </w:p>
        </w:tc>
        <w:tc>
          <w:tcPr>
            <w:tcW w:w="1061"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-7,553,734.57</w:t>
            </w:r>
          </w:p>
        </w:tc>
        <w:tc>
          <w:tcPr>
            <w:tcW w:w="1183"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108,000,000.00</w:t>
            </w:r>
          </w:p>
        </w:tc>
        <w:tc>
          <w:tcPr>
            <w:tcW w:w="1174"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117,000,000.00</w:t>
            </w:r>
          </w:p>
        </w:tc>
        <w:tc>
          <w:tcPr>
            <w:tcW w:w="884"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380,318.21</w:t>
            </w:r>
          </w:p>
        </w:tc>
        <w:tc>
          <w:tcPr>
            <w:tcW w:w="1090"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27,085,995.00</w:t>
            </w:r>
          </w:p>
        </w:tc>
        <w:tc>
          <w:tcPr>
            <w:tcW w:w="878"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684"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129"/>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 期</w:t>
            </w:r>
          </w:p>
        </w:tc>
        <w:tc>
          <w:tcPr>
            <w:tcW w:w="11334" w:type="dxa"/>
            <w:gridSpan w:val="11"/>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84" w:type="dxa"/>
            <w:gridSpan w:val="3"/>
            <w:vMerge/>
            <w:tcBorders>
              <w:left w:val="single" w:sz="4" w:space="0" w:color="000000"/>
              <w:bottom w:val="single" w:sz="4" w:space="0" w:color="FFFFFF"/>
              <w:right w:val="single" w:sz="4" w:space="0" w:color="000000"/>
            </w:tcBorders>
            <w:shd w:val="clear" w:color="auto" w:fill="D2D2D2"/>
          </w:tcPr>
          <w:p>
            <w:pPr/>
          </w:p>
        </w:tc>
        <w:tc>
          <w:tcPr>
            <w:tcW w:w="11334" w:type="dxa"/>
            <w:gridSpan w:val="11"/>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84"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129"/>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 期</w:t>
            </w:r>
          </w:p>
        </w:tc>
        <w:tc>
          <w:tcPr>
            <w:tcW w:w="11334" w:type="dxa"/>
            <w:gridSpan w:val="11"/>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84" w:type="dxa"/>
            <w:gridSpan w:val="3"/>
            <w:vMerge/>
            <w:tcBorders>
              <w:left w:val="single" w:sz="4" w:space="0" w:color="000000"/>
              <w:bottom w:val="single" w:sz="4" w:space="0" w:color="000000"/>
              <w:right w:val="single" w:sz="4" w:space="0" w:color="000000"/>
            </w:tcBorders>
            <w:shd w:val="clear" w:color="auto" w:fill="D2D2D2"/>
          </w:tcPr>
          <w:p>
            <w:pPr/>
          </w:p>
        </w:tc>
        <w:tc>
          <w:tcPr>
            <w:tcW w:w="1133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7"/>
        <w:jc w:val="right"/>
      </w:pPr>
      <w:r>
        <w:rPr/>
        <w:t>单位：万元</w:t>
      </w:r>
    </w:p>
    <w:p>
      <w:pPr>
        <w:spacing w:after="0" w:line="240" w:lineRule="auto"/>
        <w:jc w:val="right"/>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6"/>
        <w:gridCol w:w="1013"/>
        <w:gridCol w:w="1015"/>
        <w:gridCol w:w="1085"/>
        <w:gridCol w:w="1013"/>
        <w:gridCol w:w="1015"/>
        <w:gridCol w:w="1013"/>
        <w:gridCol w:w="1016"/>
        <w:gridCol w:w="1013"/>
        <w:gridCol w:w="1010"/>
        <w:gridCol w:w="1013"/>
        <w:gridCol w:w="1015"/>
        <w:gridCol w:w="1013"/>
        <w:gridCol w:w="768"/>
      </w:tblGrid>
      <w:tr>
        <w:trPr>
          <w:trHeight w:val="1353" w:hRule="exact"/>
        </w:trPr>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2" w:right="51"/>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5" w:right="89" w:hanging="272"/>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0"/>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1"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3" w:right="51" w:hanging="361"/>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30" w:right="5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8" w:right="5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1"/>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53"/>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13,838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-213.06</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东亚银行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9,571.8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9,571.8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-152.82</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-63.41</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20,890.5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20,890.5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158.65</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9,249.53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9,249.53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56.43</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13,865.8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13,865.8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53.81</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15,215.2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15,215.2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50.96</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17,271.25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17,271.25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58.16</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13,859.6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13,859.6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361.97</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13,862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412.43</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395.35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6"/>
        <w:gridCol w:w="1013"/>
        <w:gridCol w:w="1015"/>
        <w:gridCol w:w="1085"/>
        <w:gridCol w:w="1013"/>
        <w:gridCol w:w="1015"/>
        <w:gridCol w:w="1013"/>
        <w:gridCol w:w="1016"/>
        <w:gridCol w:w="1013"/>
        <w:gridCol w:w="1010"/>
        <w:gridCol w:w="1013"/>
        <w:gridCol w:w="1015"/>
        <w:gridCol w:w="1013"/>
        <w:gridCol w:w="768"/>
      </w:tblGrid>
      <w:tr>
        <w:trPr>
          <w:trHeight w:val="1353" w:hRule="exact"/>
        </w:trPr>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2" w:right="51"/>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5" w:right="89" w:hanging="272"/>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0"/>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1"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3" w:right="51" w:hanging="361"/>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30" w:right="5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8" w:right="5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1"/>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53"/>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6,935.1</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22,745.65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22,745.65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444.48</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17,273.75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17,273.75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447.85</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17,240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537.84</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17,233.25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17,233.25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505.3</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545.4</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299.02</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644.01</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-50.25</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869.75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-628.67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6"/>
        <w:gridCol w:w="1013"/>
        <w:gridCol w:w="1015"/>
        <w:gridCol w:w="1085"/>
        <w:gridCol w:w="1013"/>
        <w:gridCol w:w="1015"/>
        <w:gridCol w:w="1013"/>
        <w:gridCol w:w="1016"/>
        <w:gridCol w:w="1013"/>
        <w:gridCol w:w="1010"/>
        <w:gridCol w:w="1013"/>
        <w:gridCol w:w="1015"/>
        <w:gridCol w:w="1013"/>
        <w:gridCol w:w="768"/>
      </w:tblGrid>
      <w:tr>
        <w:trPr>
          <w:trHeight w:val="1353" w:hRule="exact"/>
        </w:trPr>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2" w:right="51"/>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5" w:right="89" w:hanging="272"/>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0"/>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1"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3" w:right="51" w:hanging="361"/>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30" w:right="5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8" w:right="5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1"/>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53"/>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633.57</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6,539.99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6,539.99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93.23</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4,828.19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4,828.19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70.03</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7,603.67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7,603.67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108.84</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14,140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-145.55</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14,144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21,165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-253.6</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-175.17</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17,562.5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17,562.5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-206.49</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-151.64</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20,985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16"/>
        <w:gridCol w:w="1013"/>
        <w:gridCol w:w="1015"/>
        <w:gridCol w:w="1085"/>
        <w:gridCol w:w="1013"/>
        <w:gridCol w:w="1015"/>
        <w:gridCol w:w="1013"/>
        <w:gridCol w:w="1016"/>
        <w:gridCol w:w="1013"/>
        <w:gridCol w:w="1010"/>
        <w:gridCol w:w="1013"/>
        <w:gridCol w:w="1015"/>
        <w:gridCol w:w="1013"/>
        <w:gridCol w:w="768"/>
      </w:tblGrid>
      <w:tr>
        <w:trPr>
          <w:trHeight w:val="1353" w:hRule="exact"/>
        </w:trPr>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52" w:right="51"/>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355" w:right="89" w:hanging="272"/>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0"/>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3" w:right="51" w:hanging="361"/>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30" w:right="5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8" w:right="5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0" w:right="51"/>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412" w:right="5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53"/>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21,099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-178.14</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外汇远期合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21,120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-214.53</w:t>
            </w:r>
          </w:p>
        </w:tc>
      </w:tr>
      <w:tr>
        <w:trPr>
          <w:trHeight w:val="71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2"/>
              <w:jc w:val="left"/>
              <w:rPr>
                <w:rFonts w:ascii="宋体" w:hAnsi="宋体" w:cs="宋体" w:eastAsia="宋体" w:hint="default"/>
                <w:sz w:val="18"/>
                <w:szCs w:val="18"/>
              </w:rPr>
            </w:pPr>
            <w:r>
              <w:rPr>
                <w:rFonts w:ascii="宋体" w:hAnsi="宋体" w:cs="宋体" w:eastAsia="宋体" w:hint="default"/>
                <w:sz w:val="18"/>
                <w:szCs w:val="18"/>
              </w:rPr>
              <w:t>利率互换合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20,066.67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-137.74</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野村国际</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2"/>
              <w:jc w:val="left"/>
              <w:rPr>
                <w:rFonts w:ascii="宋体" w:hAnsi="宋体" w:cs="宋体" w:eastAsia="宋体" w:hint="default"/>
                <w:sz w:val="18"/>
                <w:szCs w:val="18"/>
              </w:rPr>
            </w:pPr>
            <w:r>
              <w:rPr>
                <w:rFonts w:ascii="宋体" w:hAnsi="宋体" w:cs="宋体" w:eastAsia="宋体" w:hint="default"/>
                <w:sz w:val="18"/>
                <w:szCs w:val="18"/>
              </w:rPr>
              <w:t>利率互换合 约</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22,933.33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11,466.67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-131.14</w:t>
            </w:r>
          </w:p>
        </w:tc>
      </w:tr>
      <w:tr>
        <w:trPr>
          <w:trHeight w:val="401" w:hRule="exact"/>
        </w:trPr>
        <w:tc>
          <w:tcPr>
            <w:tcW w:w="4129" w:type="dxa"/>
            <w:gridSpan w:val="4"/>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1,026.14</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197,421.68</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401,202.7</w:t>
            </w:r>
          </w:p>
        </w:tc>
        <w:tc>
          <w:tcPr>
            <w:tcW w:w="1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303,651.03</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294,973.35</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67.47%</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3,075.65</w:t>
            </w:r>
          </w:p>
        </w:tc>
      </w:tr>
      <w:tr>
        <w:trPr>
          <w:trHeight w:val="403" w:hRule="exact"/>
        </w:trPr>
        <w:tc>
          <w:tcPr>
            <w:tcW w:w="41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41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未涉诉</w:t>
            </w:r>
          </w:p>
        </w:tc>
      </w:tr>
      <w:tr>
        <w:trPr>
          <w:trHeight w:val="403" w:hRule="exact"/>
        </w:trPr>
        <w:tc>
          <w:tcPr>
            <w:tcW w:w="412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4129" w:type="dxa"/>
            <w:gridSpan w:val="4"/>
            <w:vMerge/>
            <w:tcBorders>
              <w:left w:val="single" w:sz="4" w:space="0" w:color="000000"/>
              <w:bottom w:val="single" w:sz="4" w:space="0" w:color="000000"/>
              <w:right w:val="single" w:sz="4" w:space="0" w:color="000000"/>
            </w:tcBorders>
            <w:shd w:val="clear" w:color="auto" w:fill="D2D2D2"/>
          </w:tcPr>
          <w:p>
            <w:pP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12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w:t>
            </w: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129" w:type="dxa"/>
            <w:gridSpan w:val="4"/>
            <w:vMerge/>
            <w:tcBorders>
              <w:left w:val="single" w:sz="4" w:space="0" w:color="000000"/>
              <w:bottom w:val="single" w:sz="4" w:space="0" w:color="000000"/>
              <w:right w:val="single" w:sz="4" w:space="0" w:color="000000"/>
            </w:tcBorders>
            <w:shd w:val="clear" w:color="auto" w:fill="D2D2D2"/>
          </w:tcPr>
          <w:p>
            <w:pPr/>
          </w:p>
        </w:tc>
        <w:tc>
          <w:tcPr>
            <w:tcW w:w="98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before="44"/>
        <w:ind w:left="0" w:right="107"/>
        <w:jc w:val="right"/>
      </w:pPr>
      <w:r>
        <w:rPr/>
        <w:pict>
          <v:shape style="position:absolute;margin-left:70.320pt;margin-top:-203.938278pt;width:701.65pt;height:377.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6"/>
                    <w:gridCol w:w="1025"/>
                    <w:gridCol w:w="1003"/>
                    <w:gridCol w:w="1085"/>
                    <w:gridCol w:w="1002"/>
                    <w:gridCol w:w="1026"/>
                    <w:gridCol w:w="1025"/>
                    <w:gridCol w:w="1004"/>
                    <w:gridCol w:w="1013"/>
                    <w:gridCol w:w="1022"/>
                    <w:gridCol w:w="989"/>
                    <w:gridCol w:w="1038"/>
                    <w:gridCol w:w="1001"/>
                    <w:gridCol w:w="769"/>
                  </w:tblGrid>
                  <w:tr>
                    <w:trPr>
                      <w:trHeight w:val="178" w:hRule="exact"/>
                    </w:trPr>
                    <w:tc>
                      <w:tcPr>
                        <w:tcW w:w="1016" w:type="dxa"/>
                        <w:vMerge w:val="restart"/>
                        <w:tcBorders>
                          <w:top w:val="single" w:sz="15" w:space="0" w:color="000000"/>
                          <w:left w:val="single" w:sz="4" w:space="0" w:color="000000"/>
                          <w:right w:val="single" w:sz="4" w:space="0" w:color="000000"/>
                        </w:tcBorders>
                        <w:shd w:val="clear" w:color="auto" w:fill="D2D2D2"/>
                      </w:tcPr>
                      <w:p>
                        <w:pPr/>
                      </w:p>
                    </w:tc>
                    <w:tc>
                      <w:tcPr>
                        <w:tcW w:w="1025" w:type="dxa"/>
                        <w:vMerge w:val="restart"/>
                        <w:tcBorders>
                          <w:top w:val="single" w:sz="15" w:space="0" w:color="000000"/>
                          <w:left w:val="single" w:sz="4" w:space="0" w:color="000000"/>
                          <w:right w:val="single" w:sz="4" w:space="0" w:color="000000"/>
                        </w:tcBorders>
                        <w:shd w:val="clear" w:color="auto" w:fill="D2D2D2"/>
                      </w:tcPr>
                      <w:p>
                        <w:pPr/>
                      </w:p>
                    </w:tc>
                    <w:tc>
                      <w:tcPr>
                        <w:tcW w:w="1003" w:type="dxa"/>
                        <w:vMerge w:val="restart"/>
                        <w:tcBorders>
                          <w:top w:val="single" w:sz="15" w:space="0" w:color="000000"/>
                          <w:left w:val="single" w:sz="4" w:space="0" w:color="000000"/>
                          <w:right w:val="single" w:sz="4" w:space="0" w:color="000000"/>
                        </w:tcBorders>
                        <w:shd w:val="clear" w:color="auto" w:fill="D2D2D2"/>
                      </w:tcPr>
                      <w:p>
                        <w:pPr/>
                      </w:p>
                    </w:tc>
                    <w:tc>
                      <w:tcPr>
                        <w:tcW w:w="1085" w:type="dxa"/>
                        <w:vMerge w:val="restart"/>
                        <w:tcBorders>
                          <w:top w:val="single" w:sz="15" w:space="0" w:color="000000"/>
                          <w:left w:val="single" w:sz="4" w:space="0" w:color="000000"/>
                          <w:right w:val="single" w:sz="4" w:space="0" w:color="000000"/>
                        </w:tcBorders>
                        <w:shd w:val="clear" w:color="auto" w:fill="D2D2D2"/>
                      </w:tcPr>
                      <w:p>
                        <w:pPr/>
                      </w:p>
                    </w:tc>
                    <w:tc>
                      <w:tcPr>
                        <w:tcW w:w="1002"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26" w:type="dxa"/>
                        <w:vMerge w:val="restart"/>
                        <w:tcBorders>
                          <w:top w:val="single" w:sz="15" w:space="0" w:color="000000"/>
                          <w:left w:val="single" w:sz="4" w:space="0" w:color="000000"/>
                          <w:right w:val="single" w:sz="4" w:space="0" w:color="000000"/>
                        </w:tcBorders>
                        <w:shd w:val="clear" w:color="auto" w:fill="D2D2D2"/>
                      </w:tcPr>
                      <w:p>
                        <w:pPr/>
                      </w:p>
                    </w:tc>
                    <w:tc>
                      <w:tcPr>
                        <w:tcW w:w="1025" w:type="dxa"/>
                        <w:vMerge w:val="restart"/>
                        <w:tcBorders>
                          <w:top w:val="single" w:sz="15" w:space="0" w:color="000000"/>
                          <w:left w:val="single" w:sz="4" w:space="0" w:color="000000"/>
                          <w:right w:val="single" w:sz="4" w:space="0" w:color="000000"/>
                        </w:tcBorders>
                        <w:shd w:val="clear" w:color="auto" w:fill="D2D2D2"/>
                      </w:tcPr>
                      <w:p>
                        <w:pPr/>
                      </w:p>
                    </w:tc>
                    <w:tc>
                      <w:tcPr>
                        <w:tcW w:w="1004" w:type="dxa"/>
                        <w:vMerge w:val="restart"/>
                        <w:tcBorders>
                          <w:top w:val="single" w:sz="15" w:space="0" w:color="000000"/>
                          <w:left w:val="single" w:sz="4" w:space="0" w:color="000000"/>
                          <w:right w:val="single" w:sz="4" w:space="0" w:color="000000"/>
                        </w:tcBorders>
                        <w:shd w:val="clear" w:color="auto" w:fill="D2D2D2"/>
                      </w:tcPr>
                      <w:p>
                        <w:pPr/>
                      </w:p>
                    </w:tc>
                    <w:tc>
                      <w:tcPr>
                        <w:tcW w:w="1013" w:type="dxa"/>
                        <w:vMerge w:val="restart"/>
                        <w:tcBorders>
                          <w:top w:val="single" w:sz="15" w:space="0" w:color="000000"/>
                          <w:left w:val="single" w:sz="4" w:space="0" w:color="000000"/>
                          <w:right w:val="single" w:sz="4" w:space="0" w:color="000000"/>
                        </w:tcBorders>
                        <w:shd w:val="clear" w:color="auto" w:fill="D2D2D2"/>
                      </w:tcPr>
                      <w:p>
                        <w:pPr/>
                      </w:p>
                    </w:tc>
                    <w:tc>
                      <w:tcPr>
                        <w:tcW w:w="1022" w:type="dxa"/>
                        <w:vMerge w:val="restart"/>
                        <w:tcBorders>
                          <w:top w:val="single" w:sz="15" w:space="0" w:color="000000"/>
                          <w:left w:val="single" w:sz="4" w:space="0" w:color="000000"/>
                          <w:right w:val="single" w:sz="4" w:space="0" w:color="000000"/>
                        </w:tcBorders>
                        <w:shd w:val="clear" w:color="auto" w:fill="D2D2D2"/>
                      </w:tcPr>
                      <w:p>
                        <w:pPr/>
                      </w:p>
                    </w:tc>
                    <w:tc>
                      <w:tcPr>
                        <w:tcW w:w="989"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15" w:space="0" w:color="000000"/>
                          <w:left w:val="single" w:sz="4" w:space="0" w:color="000000"/>
                          <w:right w:val="single" w:sz="4" w:space="0" w:color="000000"/>
                        </w:tcBorders>
                        <w:shd w:val="clear" w:color="auto" w:fill="D2D2D2"/>
                      </w:tcPr>
                      <w:p>
                        <w:pPr/>
                      </w:p>
                    </w:tc>
                    <w:tc>
                      <w:tcPr>
                        <w:tcW w:w="1001" w:type="dxa"/>
                        <w:vMerge w:val="restart"/>
                        <w:tcBorders>
                          <w:top w:val="single" w:sz="15" w:space="0" w:color="000000"/>
                          <w:left w:val="single" w:sz="4" w:space="0" w:color="000000"/>
                          <w:right w:val="single" w:sz="4" w:space="0" w:color="000000"/>
                        </w:tcBorders>
                        <w:shd w:val="clear" w:color="auto" w:fill="D2D2D2"/>
                      </w:tcPr>
                      <w:p>
                        <w:pPr>
                          <w:pStyle w:val="TableParagraph"/>
                          <w:spacing w:line="316" w:lineRule="auto" w:before="51"/>
                          <w:ind w:left="37" w:right="53"/>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69"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016" w:type="dxa"/>
                        <w:vMerge/>
                        <w:tcBorders>
                          <w:left w:val="single" w:sz="4" w:space="0" w:color="000000"/>
                          <w:bottom w:val="nil" w:sz="6" w:space="0" w:color="auto"/>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 w:right="41"/>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2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013"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 w:right="39"/>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1038"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9" w:right="10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56" w:hRule="exact"/>
                    </w:trPr>
                    <w:tc>
                      <w:tcPr>
                        <w:tcW w:w="101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衍生品投资 操作方名称</w:t>
                        </w:r>
                      </w:p>
                    </w:tc>
                    <w:tc>
                      <w:tcPr>
                        <w:tcW w:w="1025"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00" w:right="50" w:hanging="360"/>
                          <w:jc w:val="left"/>
                          <w:rPr>
                            <w:rFonts w:ascii="宋体" w:hAnsi="宋体" w:cs="宋体" w:eastAsia="宋体" w:hint="default"/>
                            <w:sz w:val="18"/>
                            <w:szCs w:val="18"/>
                          </w:rPr>
                        </w:pPr>
                        <w:r>
                          <w:rPr>
                            <w:rFonts w:ascii="宋体" w:hAnsi="宋体" w:cs="宋体" w:eastAsia="宋体" w:hint="default"/>
                            <w:sz w:val="18"/>
                            <w:szCs w:val="18"/>
                          </w:rPr>
                          <w:t>是否关联交 易</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55" w:right="89" w:hanging="272"/>
                          <w:jc w:val="left"/>
                          <w:rPr>
                            <w:rFonts w:ascii="宋体" w:hAnsi="宋体" w:cs="宋体" w:eastAsia="宋体" w:hint="default"/>
                            <w:sz w:val="18"/>
                            <w:szCs w:val="18"/>
                          </w:rPr>
                        </w:pPr>
                        <w:r>
                          <w:rPr>
                            <w:rFonts w:ascii="宋体" w:hAnsi="宋体" w:cs="宋体" w:eastAsia="宋体" w:hint="default"/>
                            <w:sz w:val="18"/>
                            <w:szCs w:val="18"/>
                          </w:rPr>
                          <w:t>衍生品投资 类型</w:t>
                        </w:r>
                      </w:p>
                    </w:tc>
                    <w:tc>
                      <w:tcPr>
                        <w:tcW w:w="1002" w:type="dxa"/>
                        <w:vMerge/>
                        <w:tcBorders>
                          <w:left w:val="single" w:sz="4" w:space="0" w:color="000000"/>
                          <w:right w:val="single" w:sz="4" w:space="0" w:color="000000"/>
                        </w:tcBorders>
                        <w:shd w:val="clear" w:color="auto" w:fill="D2D2D2"/>
                      </w:tcPr>
                      <w:p>
                        <w:pPr/>
                      </w:p>
                    </w:tc>
                    <w:tc>
                      <w:tcPr>
                        <w:tcW w:w="1026" w:type="dxa"/>
                        <w:vMerge/>
                        <w:tcBorders>
                          <w:left w:val="single" w:sz="4" w:space="0" w:color="000000"/>
                          <w:bottom w:val="nil" w:sz="6" w:space="0" w:color="auto"/>
                          <w:right w:val="single" w:sz="4" w:space="0" w:color="000000"/>
                        </w:tcBorders>
                        <w:shd w:val="clear" w:color="auto" w:fill="D2D2D2"/>
                      </w:tcPr>
                      <w:p>
                        <w:pPr/>
                      </w:p>
                    </w:tc>
                    <w:tc>
                      <w:tcPr>
                        <w:tcW w:w="1025"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01" w:right="51" w:hanging="361"/>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101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0" w:right="5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8" w:right="6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89" w:type="dxa"/>
                        <w:vMerge/>
                        <w:tcBorders>
                          <w:left w:val="single" w:sz="4" w:space="0" w:color="000000"/>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4" w:right="61"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1001"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391" w:hRule="exact"/>
                    </w:trPr>
                    <w:tc>
                      <w:tcPr>
                        <w:tcW w:w="1016" w:type="dxa"/>
                        <w:vMerge/>
                        <w:tcBorders>
                          <w:left w:val="single" w:sz="4" w:space="0" w:color="000000"/>
                          <w:right w:val="single" w:sz="4" w:space="0" w:color="000000"/>
                        </w:tcBorders>
                        <w:shd w:val="clear" w:color="auto" w:fill="D2D2D2"/>
                      </w:tcPr>
                      <w:p>
                        <w:pP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3"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04" w:type="dxa"/>
                        <w:vMerge/>
                        <w:tcBorders>
                          <w:left w:val="single" w:sz="4" w:space="0" w:color="000000"/>
                          <w:right w:val="single" w:sz="4" w:space="0" w:color="000000"/>
                        </w:tcBorders>
                        <w:shd w:val="clear" w:color="auto" w:fill="D2D2D2"/>
                      </w:tcPr>
                      <w:p>
                        <w:pPr/>
                      </w:p>
                    </w:tc>
                    <w:tc>
                      <w:tcPr>
                        <w:tcW w:w="1013"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038"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156" w:hRule="exact"/>
                    </w:trPr>
                    <w:tc>
                      <w:tcPr>
                        <w:tcW w:w="1016" w:type="dxa"/>
                        <w:vMerge/>
                        <w:tcBorders>
                          <w:left w:val="single" w:sz="4" w:space="0" w:color="000000"/>
                          <w:bottom w:val="nil" w:sz="6" w:space="0" w:color="auto"/>
                          <w:right w:val="single" w:sz="4" w:space="0" w:color="000000"/>
                        </w:tcBorders>
                        <w:shd w:val="clear" w:color="auto" w:fill="D2D2D2"/>
                      </w:tcPr>
                      <w:p>
                        <w:pPr/>
                      </w:p>
                    </w:tc>
                    <w:tc>
                      <w:tcPr>
                        <w:tcW w:w="1025"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
                    </w:tc>
                    <w:tc>
                      <w:tcPr>
                        <w:tcW w:w="1025"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013"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038"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156" w:hRule="exact"/>
                    </w:trPr>
                    <w:tc>
                      <w:tcPr>
                        <w:tcW w:w="1016" w:type="dxa"/>
                        <w:vMerge w:val="restart"/>
                        <w:tcBorders>
                          <w:top w:val="nil" w:sz="6" w:space="0" w:color="auto"/>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102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
                    </w:tc>
                    <w:tc>
                      <w:tcPr>
                        <w:tcW w:w="1013" w:type="dxa"/>
                        <w:vMerge w:val="restart"/>
                        <w:tcBorders>
                          <w:top w:val="nil" w:sz="6" w:space="0" w:color="auto"/>
                          <w:left w:val="single" w:sz="4" w:space="0" w:color="000000"/>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6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16"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7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98" w:hRule="exact"/>
                    </w:trPr>
                    <w:tc>
                      <w:tcPr>
                        <w:tcW w:w="41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9889"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年度公司开展了保值型衍生品投资，主要风险分析及控制措施如下：</w:t>
                        </w:r>
                      </w:p>
                      <w:p>
                        <w:pPr>
                          <w:pStyle w:val="TableParagraph"/>
                          <w:spacing w:line="300" w:lineRule="auto" w:before="101"/>
                          <w:ind w:left="15"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、市场风险：保值衍生品投资合约汇率与到期日实际汇率的差异将产生投资损益；在衍生品的存续期内，每一会计期间将产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生重估损益，至到期日重估损益的累计值等于投资损益；</w:t>
                        </w:r>
                      </w:p>
                      <w:p>
                        <w:pPr>
                          <w:pStyle w:val="TableParagraph"/>
                          <w:spacing w:line="300" w:lineRule="auto" w:before="72"/>
                          <w:ind w:left="15"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、流动性风险：保值衍生品以公司外汇收支预算为依据，与实际外汇收支相匹配，以保证在交割时拥有足额资金供清算，或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选择净额交割衍生品，以减少到期日现金流需求；</w:t>
                        </w:r>
                      </w:p>
                      <w:p>
                        <w:pPr>
                          <w:pStyle w:val="TableParagraph"/>
                          <w:spacing w:line="240" w:lineRule="auto" w:before="7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、信用风险：公司进行的衍生品投资交易对手均为信用良好且与公司已建立长期业务往来的银行，基本不存在履约风险；</w:t>
                        </w:r>
                      </w:p>
                      <w:p>
                        <w:pPr>
                          <w:pStyle w:val="TableParagraph"/>
                          <w:spacing w:line="300" w:lineRule="auto" w:before="101"/>
                          <w:ind w:left="15"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、其它风险：在开展业务时，如操作人员未按规定程序进行衍生品投资操作或未充分理解衍生品信息，将带来操作风险；如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交易合同条款的不明确，将可能面临法律风险。</w:t>
                        </w:r>
                      </w:p>
                      <w:p>
                        <w:pPr>
                          <w:pStyle w:val="TableParagraph"/>
                          <w:spacing w:line="300" w:lineRule="auto" w:before="72"/>
                          <w:ind w:left="15" w:right="1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、控制措施：公司已制定《衍生品投资风险控制及信息披露制度》，对公司进行衍生品投资的风险控制、审批程序和信息披露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后续管理和信息披露等进行明确规定，以有效规范衍生品投资行为，控制衍生品投资风险。</w:t>
                        </w:r>
                      </w:p>
                    </w:tc>
                  </w:tr>
                  <w:tr>
                    <w:trPr>
                      <w:trHeight w:val="1016" w:hRule="exact"/>
                    </w:trPr>
                    <w:tc>
                      <w:tcPr>
                        <w:tcW w:w="412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4"/>
                            <w:sz w:val="18"/>
                            <w:szCs w:val="18"/>
                          </w:rPr>
                          <w:t>报告期衍生品持仓的风险分析及控制措施说明（包括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但不限于市场风险、流动性风险、信用风险、操作风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险、法律风险等）</w:t>
                        </w:r>
                      </w:p>
                    </w:tc>
                    <w:tc>
                      <w:tcPr>
                        <w:tcW w:w="9889" w:type="dxa"/>
                        <w:gridSpan w:val="10"/>
                        <w:vMerge/>
                        <w:tcBorders>
                          <w:left w:val="single" w:sz="9" w:space="0" w:color="D2D2D2"/>
                          <w:right w:val="single" w:sz="4" w:space="0" w:color="000000"/>
                        </w:tcBorders>
                      </w:tcPr>
                      <w:p>
                        <w:pPr/>
                      </w:p>
                    </w:tc>
                  </w:tr>
                  <w:tr>
                    <w:trPr>
                      <w:trHeight w:val="1198" w:hRule="exact"/>
                    </w:trPr>
                    <w:tc>
                      <w:tcPr>
                        <w:tcW w:w="41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9889" w:type="dxa"/>
                        <w:gridSpan w:val="10"/>
                        <w:vMerge/>
                        <w:tcBorders>
                          <w:left w:val="single" w:sz="9" w:space="0" w:color="D2D2D2"/>
                          <w:bottom w:val="single" w:sz="4" w:space="0" w:color="000000"/>
                          <w:right w:val="single" w:sz="4" w:space="0" w:color="000000"/>
                        </w:tcBorders>
                      </w:tcPr>
                      <w:p>
                        <w:pPr/>
                      </w:p>
                    </w:tc>
                  </w:tr>
                  <w:tr>
                    <w:trPr>
                      <w:trHeight w:val="1025" w:hRule="exact"/>
                    </w:trPr>
                    <w:tc>
                      <w:tcPr>
                        <w:tcW w:w="41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 </w:t>
                        </w:r>
                        <w:r>
                          <w:rPr>
                            <w:rFonts w:ascii="宋体" w:hAnsi="宋体" w:cs="宋体" w:eastAsia="宋体" w:hint="default"/>
                            <w:spacing w:val="-4"/>
                            <w:sz w:val="18"/>
                            <w:szCs w:val="18"/>
                          </w:rPr>
                          <w:t>动的情况，对衍生品公允价值的分析应披露具体使用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的方法及相关假设与参数的设定</w:t>
                        </w:r>
                      </w:p>
                    </w:tc>
                    <w:tc>
                      <w:tcPr>
                        <w:tcW w:w="988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9" w:right="23"/>
                          <w:jc w:val="left"/>
                          <w:rPr>
                            <w:rFonts w:ascii="宋体" w:hAnsi="宋体" w:cs="宋体" w:eastAsia="宋体" w:hint="default"/>
                            <w:sz w:val="18"/>
                            <w:szCs w:val="18"/>
                          </w:rPr>
                        </w:pPr>
                        <w:r>
                          <w:rPr>
                            <w:rFonts w:ascii="宋体" w:hAnsi="宋体" w:cs="宋体" w:eastAsia="宋体" w:hint="default"/>
                            <w:sz w:val="18"/>
                            <w:szCs w:val="18"/>
                          </w:rPr>
                          <w:t>公司对报告期内衍生品投资损益情况进行了确认，报告期内确认公允价值变动收益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3,580.51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万元人民币，公允价值计算以产品</w:t>
                        </w:r>
                        <w:r>
                          <w:rPr>
                            <w:rFonts w:ascii="宋体" w:hAnsi="宋体" w:cs="宋体" w:eastAsia="宋体" w:hint="default"/>
                            <w:sz w:val="18"/>
                            <w:szCs w:val="18"/>
                          </w:rPr>
                          <w:t> 资产负债表日的市场价格为基准。</w:t>
                        </w:r>
                      </w:p>
                    </w:tc>
                  </w:tr>
                  <w:tr>
                    <w:trPr>
                      <w:trHeight w:val="715" w:hRule="exact"/>
                    </w:trPr>
                    <w:tc>
                      <w:tcPr>
                        <w:tcW w:w="41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3"/>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988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报告期内，公司衍生品的会计政策及会计核算具体原则与上一报告期比较没有重大变化。</w:t>
                        </w:r>
                      </w:p>
                    </w:tc>
                  </w:tr>
                  <w:tr>
                    <w:trPr>
                      <w:trHeight w:val="161" w:hRule="exact"/>
                    </w:trPr>
                    <w:tc>
                      <w:tcPr>
                        <w:tcW w:w="41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9889" w:type="dxa"/>
                        <w:gridSpan w:val="10"/>
                        <w:vMerge w:val="restart"/>
                        <w:tcBorders>
                          <w:top w:val="single" w:sz="4" w:space="0" w:color="000000"/>
                          <w:left w:val="single" w:sz="9" w:space="0" w:color="D2D2D2"/>
                          <w:right w:val="single" w:sz="4" w:space="0" w:color="000000"/>
                        </w:tcBorders>
                      </w:tcPr>
                      <w:p>
                        <w:pPr>
                          <w:pStyle w:val="TableParagraph"/>
                          <w:spacing w:line="309" w:lineRule="auto" w:before="49"/>
                          <w:ind w:left="15" w:right="21"/>
                          <w:jc w:val="both"/>
                          <w:rPr>
                            <w:rFonts w:ascii="宋体" w:hAnsi="宋体" w:cs="宋体" w:eastAsia="宋体" w:hint="default"/>
                            <w:sz w:val="18"/>
                            <w:szCs w:val="18"/>
                          </w:rPr>
                        </w:pPr>
                        <w:r>
                          <w:rPr>
                            <w:rFonts w:ascii="宋体" w:hAnsi="宋体" w:cs="宋体" w:eastAsia="宋体" w:hint="default"/>
                            <w:sz w:val="18"/>
                            <w:szCs w:val="18"/>
                          </w:rPr>
                          <w:t>经核查，报告期内公司开展的衍生品投资业务均履行了相应的审批程序，我们一致认为，公司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年开展的衍生品投资业务 </w:t>
                        </w:r>
                        <w:r>
                          <w:rPr>
                            <w:rFonts w:ascii="宋体" w:hAnsi="宋体" w:cs="宋体" w:eastAsia="宋体" w:hint="default"/>
                            <w:spacing w:val="-5"/>
                            <w:sz w:val="18"/>
                            <w:szCs w:val="18"/>
                          </w:rPr>
                          <w:t>符合《公司章程》、《衍生品投资风险控制及信息披露制度》等相关规定，公司内部制度完善，决策程序科学，不存在损害公司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和中小股东利益的情形。</w:t>
                        </w:r>
                      </w:p>
                    </w:tc>
                  </w:tr>
                  <w:tr>
                    <w:trPr>
                      <w:trHeight w:val="703" w:hRule="exact"/>
                    </w:trPr>
                    <w:tc>
                      <w:tcPr>
                        <w:tcW w:w="412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133"/>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 意见</w:t>
                        </w:r>
                      </w:p>
                    </w:tc>
                    <w:tc>
                      <w:tcPr>
                        <w:tcW w:w="9889" w:type="dxa"/>
                        <w:gridSpan w:val="10"/>
                        <w:vMerge/>
                        <w:tcBorders>
                          <w:left w:val="single" w:sz="9" w:space="0" w:color="D2D2D2"/>
                          <w:right w:val="single" w:sz="4" w:space="0" w:color="000000"/>
                        </w:tcBorders>
                      </w:tcPr>
                      <w:p>
                        <w:pPr/>
                      </w:p>
                    </w:tc>
                  </w:tr>
                  <w:tr>
                    <w:trPr>
                      <w:trHeight w:val="161" w:hRule="exact"/>
                    </w:trPr>
                    <w:tc>
                      <w:tcPr>
                        <w:tcW w:w="41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9889"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6"/>
        <w:ind w:left="140" w:right="11438"/>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4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after="0" w:line="340" w:lineRule="auto"/>
        <w:jc w:val="left"/>
        <w:sectPr>
          <w:pgSz w:w="16840" w:h="11910" w:orient="landscape"/>
          <w:pgMar w:header="867" w:footer="980" w:top="1060" w:bottom="1160" w:left="1300" w:right="124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665880"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left="140"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40" w:right="0"/>
        <w:jc w:val="left"/>
      </w:pPr>
      <w:r>
        <w:rPr/>
        <w:pict>
          <v:shape style="position:absolute;margin-left:287.933014pt;margin-top:91.867714pt;width:82.8pt;height:39.050pt;mso-position-horizontal-relative:page;mso-position-vertical-relative:paragraph;z-index:-1665904" type="#_x0000_t202" filled="false" stroked="false">
            <v:textbox inset="0,0,0,0">
              <w:txbxContent>
                <w:p>
                  <w:pPr>
                    <w:pStyle w:val="BodyText"/>
                    <w:spacing w:line="240" w:lineRule="auto" w:before="123"/>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004"/>
        <w:gridCol w:w="1001"/>
        <w:gridCol w:w="1001"/>
        <w:gridCol w:w="1001"/>
        <w:gridCol w:w="1001"/>
        <w:gridCol w:w="1001"/>
        <w:gridCol w:w="1001"/>
        <w:gridCol w:w="1001"/>
        <w:gridCol w:w="1001"/>
        <w:gridCol w:w="1001"/>
        <w:gridCol w:w="1001"/>
        <w:gridCol w:w="1001"/>
        <w:gridCol w:w="1001"/>
        <w:gridCol w:w="1003"/>
      </w:tblGrid>
      <w:tr>
        <w:trPr>
          <w:trHeight w:val="2274" w:hRule="exact"/>
        </w:trPr>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47" w:firstLine="21"/>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3" w:right="47"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 w:right="47"/>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5" w:right="45"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316" w:right="43" w:hanging="272"/>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45" w:right="43"/>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所涉及的股 权是否已全 部过户</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 w:right="43"/>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both"/>
              <w:rPr>
                <w:rFonts w:ascii="宋体" w:hAnsi="宋体" w:cs="宋体" w:eastAsia="宋体" w:hint="default"/>
                <w:sz w:val="18"/>
                <w:szCs w:val="18"/>
              </w:rPr>
            </w:pPr>
            <w:r>
              <w:rPr>
                <w:rFonts w:ascii="宋体" w:hAnsi="宋体" w:cs="宋体" w:eastAsia="宋体" w:hint="default"/>
                <w:sz w:val="18"/>
                <w:szCs w:val="18"/>
              </w:rPr>
              <w:t>国寿成达</w:t>
            </w:r>
          </w:p>
          <w:p>
            <w:pPr>
              <w:pStyle w:val="TableParagraph"/>
              <w:spacing w:line="316" w:lineRule="auto" w:before="76"/>
              <w:ind w:left="23" w:right="69"/>
              <w:jc w:val="both"/>
              <w:rPr>
                <w:rFonts w:ascii="宋体" w:hAnsi="宋体" w:cs="宋体" w:eastAsia="宋体" w:hint="default"/>
                <w:sz w:val="18"/>
                <w:szCs w:val="18"/>
              </w:rPr>
            </w:pPr>
            <w:r>
              <w:rPr>
                <w:rFonts w:ascii="宋体" w:hAnsi="宋体" w:cs="宋体" w:eastAsia="宋体" w:hint="default"/>
                <w:sz w:val="18"/>
                <w:szCs w:val="18"/>
              </w:rPr>
              <w:t>（上海）健 康产业股权 投资中心</w:t>
            </w:r>
          </w:p>
          <w:p>
            <w:pPr>
              <w:pStyle w:val="TableParagraph"/>
              <w:spacing w:line="316" w:lineRule="auto" w:before="19"/>
              <w:ind w:left="23" w:right="249"/>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67"/>
              <w:jc w:val="left"/>
              <w:rPr>
                <w:rFonts w:ascii="宋体" w:hAnsi="宋体" w:cs="宋体" w:eastAsia="宋体" w:hint="default"/>
                <w:sz w:val="18"/>
                <w:szCs w:val="18"/>
              </w:rPr>
            </w:pPr>
            <w:r>
              <w:rPr>
                <w:rFonts w:ascii="宋体" w:hAnsi="宋体" w:cs="宋体" w:eastAsia="宋体" w:hint="default"/>
                <w:sz w:val="18"/>
                <w:szCs w:val="18"/>
              </w:rPr>
              <w:t>本公司持有 的嘉和美康</w:t>
            </w:r>
          </w:p>
          <w:p>
            <w:pPr>
              <w:pStyle w:val="TableParagraph"/>
              <w:spacing w:line="319" w:lineRule="auto" w:before="19"/>
              <w:ind w:left="21" w:right="50"/>
              <w:jc w:val="left"/>
              <w:rPr>
                <w:rFonts w:ascii="宋体" w:hAnsi="宋体" w:cs="宋体" w:eastAsia="宋体" w:hint="default"/>
                <w:sz w:val="18"/>
                <w:szCs w:val="18"/>
              </w:rPr>
            </w:pPr>
            <w:r>
              <w:rPr>
                <w:rFonts w:ascii="宋体" w:hAnsi="宋体" w:cs="宋体" w:eastAsia="宋体" w:hint="default"/>
                <w:sz w:val="18"/>
                <w:szCs w:val="18"/>
              </w:rPr>
              <w:t>（北京）科 技股份有限 公司 </w:t>
            </w:r>
            <w:r>
              <w:rPr>
                <w:rFonts w:ascii="Times New Roman" w:hAnsi="Times New Roman" w:cs="Times New Roman" w:eastAsia="Times New Roman" w:hint="default"/>
                <w:sz w:val="18"/>
                <w:szCs w:val="18"/>
              </w:rPr>
              <w:t>10.4979%</w:t>
            </w:r>
            <w:r>
              <w:rPr>
                <w:rFonts w:ascii="宋体" w:hAnsi="宋体" w:cs="宋体" w:eastAsia="宋体" w:hint="default"/>
                <w:sz w:val="18"/>
                <w:szCs w:val="18"/>
              </w:rPr>
              <w:t>股</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20,995.78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7,496.83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7"/>
              <w:jc w:val="left"/>
              <w:rPr>
                <w:rFonts w:ascii="宋体" w:hAnsi="宋体" w:cs="宋体" w:eastAsia="宋体" w:hint="default"/>
                <w:sz w:val="18"/>
                <w:szCs w:val="18"/>
              </w:rPr>
            </w:pPr>
            <w:r>
              <w:rPr>
                <w:rFonts w:ascii="宋体" w:hAnsi="宋体" w:cs="宋体" w:eastAsia="宋体" w:hint="default"/>
                <w:sz w:val="18"/>
                <w:szCs w:val="18"/>
              </w:rPr>
              <w:t>公司将进一 步聚焦核心 主营业务。 交易完成 后，公司将 实现一定的 投资收益， 符合包括中 小投资者在 内的全体股 东利益。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10.68%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双方协商作 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00" w:right="128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665856"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8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单位：亿元</w:t>
      </w:r>
    </w:p>
    <w:p>
      <w:pPr>
        <w:spacing w:after="0" w:line="240" w:lineRule="auto"/>
        <w:jc w:val="left"/>
        <w:sectPr>
          <w:type w:val="continuous"/>
          <w:pgSz w:w="16840" w:h="11910" w:orient="landscape"/>
          <w:pgMar w:top="1580" w:bottom="700" w:left="1300" w:right="1280"/>
          <w:cols w:num="2" w:equalWidth="0">
            <w:col w:w="4838" w:space="8223"/>
            <w:col w:w="1199"/>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46"/>
        <w:gridCol w:w="1754"/>
        <w:gridCol w:w="1529"/>
        <w:gridCol w:w="1531"/>
        <w:gridCol w:w="1532"/>
        <w:gridCol w:w="1531"/>
        <w:gridCol w:w="1529"/>
        <w:gridCol w:w="1532"/>
        <w:gridCol w:w="1534"/>
      </w:tblGrid>
      <w:tr>
        <w:trPr>
          <w:trHeight w:val="403"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10.4272225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3" w:right="0"/>
              <w:jc w:val="left"/>
              <w:rPr>
                <w:rFonts w:ascii="Times New Roman" w:hAnsi="Times New Roman" w:cs="Times New Roman" w:eastAsia="Times New Roman" w:hint="default"/>
                <w:sz w:val="18"/>
                <w:szCs w:val="18"/>
              </w:rPr>
            </w:pPr>
            <w:r>
              <w:rPr>
                <w:rFonts w:ascii="Times New Roman"/>
                <w:sz w:val="18"/>
              </w:rPr>
              <w:t>287.61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780.81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w:t>
            </w:r>
          </w:p>
        </w:tc>
      </w:tr>
    </w:tbl>
    <w:p>
      <w:pPr>
        <w:pStyle w:val="BodyText"/>
        <w:spacing w:line="240" w:lineRule="auto" w:before="49"/>
        <w:ind w:left="140" w:right="0"/>
        <w:jc w:val="left"/>
      </w:pPr>
      <w:r>
        <w:rPr/>
        <w:t>报告期内取得和处置子公司的情况</w:t>
      </w:r>
    </w:p>
    <w:p>
      <w:pPr>
        <w:pStyle w:val="BodyText"/>
        <w:spacing w:line="338" w:lineRule="auto" w:before="117"/>
        <w:ind w:left="140" w:right="11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00" w:lineRule="auto" w:before="43"/>
        <w:ind w:left="140" w:right="0" w:firstLine="360"/>
        <w:jc w:val="left"/>
      </w:pPr>
      <w:r>
        <w:rPr>
          <w:spacing w:val="-1"/>
        </w:rPr>
        <w:t>本公司之子公司神码中国本报告期实现营业收入</w:t>
      </w:r>
      <w:r>
        <w:rPr>
          <w:rFonts w:ascii="Times New Roman" w:hAnsi="Times New Roman" w:cs="Times New Roman" w:eastAsia="Times New Roman" w:hint="default"/>
          <w:spacing w:val="-1"/>
        </w:rPr>
        <w:t>780.81</w:t>
      </w:r>
      <w:r>
        <w:rPr>
          <w:spacing w:val="-1"/>
        </w:rPr>
        <w:t>亿元，较上年同期</w:t>
      </w:r>
      <w:r>
        <w:rPr>
          <w:rFonts w:ascii="Times New Roman" w:hAnsi="Times New Roman" w:cs="Times New Roman" w:eastAsia="Times New Roman" w:hint="default"/>
          <w:spacing w:val="-1"/>
        </w:rPr>
        <w:t>725.80</w:t>
      </w:r>
      <w:r>
        <w:rPr>
          <w:spacing w:val="-1"/>
        </w:rPr>
        <w:t>亿元增长</w:t>
      </w:r>
      <w:r>
        <w:rPr>
          <w:rFonts w:ascii="Times New Roman" w:hAnsi="Times New Roman" w:cs="Times New Roman" w:eastAsia="Times New Roman" w:hint="default"/>
          <w:spacing w:val="-1"/>
        </w:rPr>
        <w:t>7.58%</w:t>
      </w:r>
      <w:r>
        <w:rPr>
          <w:spacing w:val="-1"/>
        </w:rPr>
        <w:t>，主要系</w:t>
      </w:r>
      <w:r>
        <w:rPr>
          <w:rFonts w:ascii="Times New Roman" w:hAnsi="Times New Roman" w:cs="Times New Roman" w:eastAsia="Times New Roman" w:hint="default"/>
          <w:spacing w:val="-1"/>
        </w:rPr>
        <w:t>IT</w:t>
      </w:r>
      <w:r>
        <w:rPr>
          <w:spacing w:val="-1"/>
        </w:rPr>
        <w:t>分销及增值服务业务增长拉动所致。本报告期净利润</w:t>
      </w:r>
      <w:r>
        <w:rPr>
          <w:rFonts w:ascii="Times New Roman" w:hAnsi="Times New Roman" w:cs="Times New Roman" w:eastAsia="Times New Roman" w:hint="default"/>
          <w:spacing w:val="-1"/>
        </w:rPr>
        <w:t>7.38</w:t>
      </w:r>
      <w:r>
        <w:rPr>
          <w:spacing w:val="-1"/>
        </w:rPr>
        <w:t>亿元，较上</w:t>
      </w:r>
      <w:r>
        <w:rPr/>
        <w:t> 年同期</w:t>
      </w:r>
      <w:r>
        <w:rPr>
          <w:rFonts w:ascii="Times New Roman" w:hAnsi="Times New Roman" w:cs="Times New Roman" w:eastAsia="Times New Roman" w:hint="default"/>
        </w:rPr>
        <w:t>5.50</w:t>
      </w:r>
      <w:r>
        <w:rPr/>
        <w:t>亿元增长</w:t>
      </w:r>
      <w:r>
        <w:rPr>
          <w:rFonts w:ascii="Times New Roman" w:hAnsi="Times New Roman" w:cs="Times New Roman" w:eastAsia="Times New Roman" w:hint="default"/>
        </w:rPr>
        <w:t>34.25%</w:t>
      </w:r>
      <w:r>
        <w:rPr/>
        <w:t>，主要系传统</w:t>
      </w:r>
      <w:r>
        <w:rPr>
          <w:rFonts w:ascii="Times New Roman" w:hAnsi="Times New Roman" w:cs="Times New Roman" w:eastAsia="Times New Roman" w:hint="default"/>
        </w:rPr>
        <w:t>IT</w:t>
      </w:r>
      <w:r>
        <w:rPr/>
        <w:t>分销及服务业务保持良好发展态势，收入和利润继续保持稳健增长，以及出售参股公司股权，确认投资收益。</w:t>
      </w:r>
    </w:p>
    <w:p>
      <w:pPr>
        <w:spacing w:after="0" w:line="300" w:lineRule="auto"/>
        <w:jc w:val="left"/>
        <w:sectPr>
          <w:type w:val="continuous"/>
          <w:pgSz w:w="16840" w:h="11910" w:orient="landscape"/>
          <w:pgMar w:top="1580" w:bottom="700" w:left="1300" w:right="128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right="1128" w:firstLine="360"/>
        <w:jc w:val="both"/>
      </w:pPr>
      <w:r>
        <w:rPr/>
        <w:t>针对广州证券</w:t>
      </w:r>
      <w:r>
        <w:rPr>
          <w:rFonts w:ascii="宋体" w:hAnsi="宋体" w:cs="宋体" w:eastAsia="宋体" w:hint="default"/>
        </w:rPr>
        <w:t>-</w:t>
      </w:r>
      <w:r>
        <w:rPr/>
        <w:t>神州数码应收账款资产支持证券专项计划，神码中国持有全部次级资产支持证券，在专项计划费用、优 </w:t>
      </w:r>
      <w:r>
        <w:rPr>
          <w:spacing w:val="-2"/>
        </w:rPr>
        <w:t>先级资产支持证券的预期收益及</w:t>
      </w:r>
      <w:r>
        <w:rPr>
          <w:rFonts w:ascii="宋体" w:hAnsi="宋体" w:cs="宋体" w:eastAsia="宋体" w:hint="default"/>
          <w:spacing w:val="-2"/>
        </w:rPr>
        <w:t>/</w:t>
      </w:r>
      <w:r>
        <w:rPr>
          <w:spacing w:val="-2"/>
        </w:rPr>
        <w:t>或本金未能得到足额偿付时履行差额支付义务。神码中国对广州证券</w:t>
      </w:r>
      <w:r>
        <w:rPr>
          <w:rFonts w:ascii="宋体" w:hAnsi="宋体" w:cs="宋体" w:eastAsia="宋体" w:hint="default"/>
          <w:spacing w:val="-2"/>
        </w:rPr>
        <w:t>-</w:t>
      </w:r>
      <w:r>
        <w:rPr>
          <w:spacing w:val="-2"/>
        </w:rPr>
        <w:t>神州数码应收账款资</w:t>
      </w:r>
      <w:r>
        <w:rPr>
          <w:spacing w:val="-59"/>
        </w:rPr>
        <w:t> </w:t>
      </w:r>
      <w:r>
        <w:rPr/>
        <w:t>产支持证券专项计划具有实际控制权，将其纳入合并财务报表范围。</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回顾过去，公司自上市后连续三年跻身《财富》中国</w:t>
      </w:r>
      <w:r>
        <w:rPr>
          <w:spacing w:val="-48"/>
        </w:rPr>
        <w:t> </w:t>
      </w:r>
      <w:r>
        <w:rPr>
          <w:rFonts w:ascii="宋体" w:hAnsi="宋体" w:cs="宋体" w:eastAsia="宋体" w:hint="default"/>
        </w:rPr>
        <w:t>500</w:t>
      </w:r>
      <w:r>
        <w:rPr>
          <w:rFonts w:ascii="宋体" w:hAnsi="宋体" w:cs="宋体" w:eastAsia="宋体" w:hint="default"/>
          <w:spacing w:val="-48"/>
        </w:rPr>
        <w:t> </w:t>
      </w:r>
      <w:r>
        <w:rPr/>
        <w:t>强，</w:t>
      </w:r>
      <w:r>
        <w:rPr>
          <w:rFonts w:ascii="宋体" w:hAnsi="宋体" w:cs="宋体" w:eastAsia="宋体" w:hint="default"/>
        </w:rPr>
        <w:t>2019</w:t>
      </w:r>
      <w:r>
        <w:rPr>
          <w:rFonts w:ascii="宋体" w:hAnsi="宋体" w:cs="宋体" w:eastAsia="宋体" w:hint="default"/>
          <w:spacing w:val="-47"/>
        </w:rPr>
        <w:t> </w:t>
      </w:r>
      <w:r>
        <w:rPr/>
        <w:t>年排名第</w:t>
      </w:r>
      <w:r>
        <w:rPr>
          <w:spacing w:val="-51"/>
        </w:rPr>
        <w:t> </w:t>
      </w:r>
      <w:r>
        <w:rPr>
          <w:rFonts w:ascii="宋体" w:hAnsi="宋体" w:cs="宋体" w:eastAsia="宋体" w:hint="default"/>
        </w:rPr>
        <w:t>117</w:t>
      </w:r>
      <w:r>
        <w:rPr>
          <w:rFonts w:ascii="宋体" w:hAnsi="宋体" w:cs="宋体" w:eastAsia="宋体" w:hint="default"/>
          <w:spacing w:val="-48"/>
        </w:rPr>
        <w:t> </w:t>
      </w:r>
      <w:r>
        <w:rPr>
          <w:spacing w:val="-3"/>
        </w:rPr>
        <w:t>位，较</w:t>
      </w:r>
      <w:r>
        <w:rPr>
          <w:spacing w:val="-49"/>
        </w:rPr>
        <w:t> </w:t>
      </w:r>
      <w:r>
        <w:rPr>
          <w:rFonts w:ascii="宋体" w:hAnsi="宋体" w:cs="宋体" w:eastAsia="宋体" w:hint="default"/>
        </w:rPr>
        <w:t>2018</w:t>
      </w:r>
      <w:r>
        <w:rPr>
          <w:rFonts w:ascii="宋体" w:hAnsi="宋体" w:cs="宋体" w:eastAsia="宋体" w:hint="default"/>
          <w:spacing w:val="-47"/>
        </w:rPr>
        <w:t> </w:t>
      </w:r>
      <w:r>
        <w:rPr/>
        <w:t>年提升</w:t>
      </w:r>
      <w:r>
        <w:rPr>
          <w:spacing w:val="-51"/>
        </w:rPr>
        <w:t> </w:t>
      </w:r>
      <w:r>
        <w:rPr>
          <w:rFonts w:ascii="宋体" w:hAnsi="宋体" w:cs="宋体" w:eastAsia="宋体" w:hint="default"/>
        </w:rPr>
        <w:t>11</w:t>
      </w:r>
      <w:r>
        <w:rPr>
          <w:rFonts w:ascii="宋体" w:hAnsi="宋体" w:cs="宋体" w:eastAsia="宋体" w:hint="default"/>
          <w:spacing w:val="-48"/>
        </w:rPr>
        <w:t> </w:t>
      </w:r>
      <w:r>
        <w:rPr>
          <w:spacing w:val="-3"/>
        </w:rPr>
        <w:t>位。在</w:t>
      </w:r>
      <w:r>
        <w:rPr>
          <w:spacing w:val="-49"/>
        </w:rPr>
        <w:t> </w:t>
      </w:r>
      <w:r>
        <w:rPr>
          <w:rFonts w:ascii="宋体" w:hAnsi="宋体" w:cs="宋体" w:eastAsia="宋体" w:hint="default"/>
        </w:rPr>
        <w:t>2019</w:t>
      </w:r>
      <w:r>
        <w:rPr>
          <w:rFonts w:ascii="宋体" w:hAnsi="宋体" w:cs="宋体" w:eastAsia="宋体" w:hint="default"/>
          <w:spacing w:val="-47"/>
        </w:rPr>
        <w:t> </w:t>
      </w:r>
      <w:r>
        <w:rPr/>
        <w:t>年</w:t>
      </w:r>
    </w:p>
    <w:p>
      <w:pPr>
        <w:pStyle w:val="BodyText"/>
        <w:spacing w:line="319" w:lineRule="auto" w:before="76"/>
        <w:ind w:right="1131"/>
        <w:jc w:val="both"/>
      </w:pPr>
      <w:r>
        <w:rPr/>
        <w:t>中国民营企业</w:t>
      </w:r>
      <w:r>
        <w:rPr>
          <w:spacing w:val="-45"/>
        </w:rPr>
        <w:t> </w:t>
      </w:r>
      <w:r>
        <w:rPr>
          <w:rFonts w:ascii="宋体" w:hAnsi="宋体" w:cs="宋体" w:eastAsia="宋体" w:hint="default"/>
        </w:rPr>
        <w:t>500</w:t>
      </w:r>
      <w:r>
        <w:rPr>
          <w:rFonts w:ascii="宋体" w:hAnsi="宋体" w:cs="宋体" w:eastAsia="宋体" w:hint="default"/>
          <w:spacing w:val="-45"/>
        </w:rPr>
        <w:t> </w:t>
      </w:r>
      <w:r>
        <w:rPr>
          <w:spacing w:val="-3"/>
        </w:rPr>
        <w:t>强中，公司排名第</w:t>
      </w:r>
      <w:r>
        <w:rPr>
          <w:spacing w:val="-45"/>
        </w:rPr>
        <w:t> </w:t>
      </w:r>
      <w:r>
        <w:rPr>
          <w:rFonts w:ascii="宋体" w:hAnsi="宋体" w:cs="宋体" w:eastAsia="宋体" w:hint="default"/>
        </w:rPr>
        <w:t>78</w:t>
      </w:r>
      <w:r>
        <w:rPr>
          <w:rFonts w:ascii="宋体" w:hAnsi="宋体" w:cs="宋体" w:eastAsia="宋体" w:hint="default"/>
          <w:spacing w:val="-45"/>
        </w:rPr>
        <w:t> </w:t>
      </w:r>
      <w:r>
        <w:rPr/>
        <w:t>位，并荣登中国民营企业服务业</w:t>
      </w:r>
      <w:r>
        <w:rPr>
          <w:spacing w:val="-46"/>
        </w:rPr>
        <w:t> </w:t>
      </w:r>
      <w:r>
        <w:rPr>
          <w:rFonts w:ascii="宋体" w:hAnsi="宋体" w:cs="宋体" w:eastAsia="宋体" w:hint="default"/>
        </w:rPr>
        <w:t>100</w:t>
      </w:r>
      <w:r>
        <w:rPr>
          <w:rFonts w:ascii="宋体" w:hAnsi="宋体" w:cs="宋体" w:eastAsia="宋体" w:hint="default"/>
          <w:spacing w:val="-45"/>
        </w:rPr>
        <w:t> </w:t>
      </w:r>
      <w:r>
        <w:rPr/>
        <w:t>强第</w:t>
      </w:r>
      <w:r>
        <w:rPr>
          <w:spacing w:val="-48"/>
        </w:rPr>
        <w:t> </w:t>
      </w:r>
      <w:r>
        <w:rPr>
          <w:rFonts w:ascii="宋体" w:hAnsi="宋体" w:cs="宋体" w:eastAsia="宋体" w:hint="default"/>
        </w:rPr>
        <w:t>27</w:t>
      </w:r>
      <w:r>
        <w:rPr>
          <w:rFonts w:ascii="宋体" w:hAnsi="宋体" w:cs="宋体" w:eastAsia="宋体" w:hint="default"/>
          <w:spacing w:val="-45"/>
        </w:rPr>
        <w:t> </w:t>
      </w:r>
      <w:r>
        <w:rPr>
          <w:spacing w:val="-7"/>
        </w:rPr>
        <w:t>位。同时，在</w:t>
      </w:r>
      <w:r>
        <w:rPr>
          <w:spacing w:val="-45"/>
        </w:rPr>
        <w:t> </w:t>
      </w:r>
      <w:r>
        <w:rPr>
          <w:rFonts w:ascii="宋体" w:hAnsi="宋体" w:cs="宋体" w:eastAsia="宋体" w:hint="default"/>
        </w:rPr>
        <w:t>IDC</w:t>
      </w:r>
      <w:r>
        <w:rPr>
          <w:rFonts w:ascii="宋体" w:hAnsi="宋体" w:cs="宋体" w:eastAsia="宋体" w:hint="default"/>
          <w:spacing w:val="-45"/>
        </w:rPr>
        <w:t> </w:t>
      </w:r>
      <w:r>
        <w:rPr>
          <w:spacing w:val="-3"/>
        </w:rPr>
        <w:t>发布的《中国云管理</w:t>
      </w:r>
      <w:r>
        <w:rPr/>
        <w:t> </w:t>
      </w:r>
      <w:r>
        <w:rPr>
          <w:spacing w:val="-4"/>
        </w:rPr>
        <w:t>服务市场报告》中，公司</w:t>
      </w:r>
      <w:r>
        <w:rPr>
          <w:spacing w:val="-44"/>
        </w:rPr>
        <w:t> </w:t>
      </w:r>
      <w:r>
        <w:rPr>
          <w:rFonts w:ascii="宋体" w:hAnsi="宋体" w:cs="宋体" w:eastAsia="宋体" w:hint="default"/>
        </w:rPr>
        <w:t>2018</w:t>
      </w:r>
      <w:r>
        <w:rPr>
          <w:rFonts w:ascii="宋体" w:hAnsi="宋体" w:cs="宋体" w:eastAsia="宋体" w:hint="default"/>
          <w:spacing w:val="-45"/>
        </w:rPr>
        <w:t> </w:t>
      </w:r>
      <w:r>
        <w:rPr>
          <w:spacing w:val="-3"/>
        </w:rPr>
        <w:t>年市场份额排名第二。展望未来，在</w:t>
      </w:r>
      <w:r>
        <w:rPr>
          <w:spacing w:val="-43"/>
        </w:rPr>
        <w:t> </w:t>
      </w:r>
      <w:r>
        <w:rPr>
          <w:rFonts w:ascii="宋体" w:hAnsi="宋体" w:cs="宋体" w:eastAsia="宋体" w:hint="default"/>
        </w:rPr>
        <w:t>IT</w:t>
      </w:r>
      <w:r>
        <w:rPr>
          <w:rFonts w:ascii="宋体" w:hAnsi="宋体" w:cs="宋体" w:eastAsia="宋体" w:hint="default"/>
          <w:spacing w:val="-43"/>
        </w:rPr>
        <w:t> </w:t>
      </w:r>
      <w:r>
        <w:rPr/>
        <w:t>分销及增值服务继续保持强劲发展的良好态势下，公 司将聚焦云和数字化转型、信创业务的发展。</w:t>
      </w:r>
    </w:p>
    <w:p>
      <w:pPr>
        <w:pStyle w:val="BodyText"/>
        <w:spacing w:line="432" w:lineRule="exact" w:before="1"/>
        <w:ind w:left="513" w:right="0"/>
        <w:jc w:val="left"/>
      </w:pPr>
      <w:r>
        <w:rPr>
          <w:rFonts w:ascii="宋体" w:hAnsi="宋体" w:cs="宋体" w:eastAsia="宋体" w:hint="default"/>
        </w:rPr>
        <w:t>1</w:t>
      </w:r>
      <w:r>
        <w:rPr/>
        <w:t>、</w:t>
      </w:r>
      <w:r>
        <w:rPr>
          <w:spacing w:val="-42"/>
        </w:rPr>
        <w:t> </w:t>
      </w:r>
      <w:r>
        <w:rPr/>
        <w:t>继续深化云和数字化转型的业务布局</w:t>
      </w:r>
      <w:r>
        <w:rPr/>
        <w:t> </w:t>
      </w:r>
      <w:r>
        <w:rPr>
          <w:spacing w:val="-2"/>
        </w:rPr>
        <w:t>报告期内，公司整合集团内部云及数字化解决方案相关业务，组建了云业务集团。未来将全力抓住数字科技大发展带来</w:t>
      </w:r>
    </w:p>
    <w:p>
      <w:pPr>
        <w:pStyle w:val="BodyText"/>
        <w:spacing w:line="316" w:lineRule="auto" w:before="15"/>
        <w:ind w:right="1129"/>
        <w:jc w:val="both"/>
      </w:pPr>
      <w:r>
        <w:rPr>
          <w:spacing w:val="-2"/>
        </w:rPr>
        <w:t>的窗口期，不断拓展和加深在云及数字化领域的业务布局，打造全栈式云及数字化转型服务领域核心引领能力，携手全球顶</w:t>
      </w:r>
      <w:r>
        <w:rPr>
          <w:spacing w:val="-62"/>
        </w:rPr>
        <w:t> </w:t>
      </w:r>
      <w:r>
        <w:rPr>
          <w:spacing w:val="-62"/>
        </w:rPr>
      </w:r>
      <w:r>
        <w:rPr/>
        <w:t>尖云厂商和云服务商，构建云生态，推动公司云业务实现跨越式发展。</w:t>
      </w:r>
    </w:p>
    <w:p>
      <w:pPr>
        <w:pStyle w:val="BodyText"/>
        <w:spacing w:line="357" w:lineRule="auto" w:before="139"/>
        <w:ind w:left="513" w:right="0"/>
        <w:jc w:val="left"/>
      </w:pPr>
      <w:r>
        <w:rPr/>
        <w:t>（</w:t>
      </w:r>
      <w:r>
        <w:rPr>
          <w:rFonts w:ascii="宋体" w:hAnsi="宋体" w:cs="宋体" w:eastAsia="宋体" w:hint="default"/>
        </w:rPr>
        <w:t>1</w:t>
      </w:r>
      <w:r>
        <w:rPr/>
        <w:t>）深化布局，拓宽领域，打造核心服务能力 </w:t>
      </w:r>
      <w:r>
        <w:rPr>
          <w:spacing w:val="-2"/>
        </w:rPr>
        <w:t>公司将继续加强跨云管理平台、专业服务、托管服务等云管理服务，进一步提高数字化运营效率；为客户提供更加专业</w:t>
      </w:r>
    </w:p>
    <w:p>
      <w:pPr>
        <w:pStyle w:val="BodyText"/>
        <w:spacing w:line="224" w:lineRule="exact"/>
        <w:ind w:right="0"/>
        <w:jc w:val="both"/>
        <w:rPr>
          <w:rFonts w:ascii="宋体" w:hAnsi="宋体" w:cs="宋体" w:eastAsia="宋体" w:hint="default"/>
        </w:rPr>
      </w:pPr>
      <w:r>
        <w:rPr/>
        <w:t>的云托管安全服务（</w:t>
      </w:r>
      <w:r>
        <w:rPr>
          <w:rFonts w:ascii="宋体" w:hAnsi="宋体" w:cs="宋体" w:eastAsia="宋体" w:hint="default"/>
          <w:spacing w:val="1"/>
        </w:rPr>
        <w:t>MS</w:t>
      </w:r>
      <w:r>
        <w:rPr>
          <w:rFonts w:ascii="宋体" w:hAnsi="宋体" w:cs="宋体" w:eastAsia="宋体" w:hint="default"/>
          <w:spacing w:val="-2"/>
        </w:rPr>
        <w:t>S</w:t>
      </w:r>
      <w:r>
        <w:rPr>
          <w:rFonts w:ascii="宋体" w:hAnsi="宋体" w:cs="宋体" w:eastAsia="宋体" w:hint="default"/>
          <w:spacing w:val="1"/>
        </w:rPr>
        <w:t>P</w:t>
      </w:r>
      <w:r>
        <w:rPr>
          <w:spacing w:val="-92"/>
        </w:rPr>
        <w:t>）</w:t>
      </w:r>
      <w:r>
        <w:rPr/>
        <w:t>，满足其日益增长的安全需求，进一步</w:t>
      </w:r>
      <w:r>
        <w:rPr>
          <w:spacing w:val="1"/>
        </w:rPr>
        <w:t>拓</w:t>
      </w:r>
      <w:r>
        <w:rPr/>
        <w:t>展</w:t>
      </w:r>
      <w:r>
        <w:rPr>
          <w:spacing w:val="-42"/>
        </w:rPr>
        <w:t> </w:t>
      </w:r>
      <w:r>
        <w:rPr>
          <w:rFonts w:ascii="宋体" w:hAnsi="宋体" w:cs="宋体" w:eastAsia="宋体" w:hint="default"/>
          <w:spacing w:val="1"/>
        </w:rPr>
        <w:t>MS</w:t>
      </w:r>
      <w:r>
        <w:rPr>
          <w:rFonts w:ascii="宋体" w:hAnsi="宋体" w:cs="宋体" w:eastAsia="宋体" w:hint="default"/>
        </w:rPr>
        <w:t>P</w:t>
      </w:r>
      <w:r>
        <w:rPr>
          <w:rFonts w:ascii="宋体" w:hAnsi="宋体" w:cs="宋体" w:eastAsia="宋体" w:hint="default"/>
          <w:spacing w:val="-41"/>
        </w:rPr>
        <w:t> </w:t>
      </w:r>
      <w:r>
        <w:rPr/>
        <w:t>内涵；在公有</w:t>
      </w:r>
      <w:r>
        <w:rPr>
          <w:spacing w:val="-3"/>
        </w:rPr>
        <w:t>云</w:t>
      </w:r>
      <w:r>
        <w:rPr/>
        <w:t>资源如计算、存储、网络、</w:t>
      </w:r>
      <w:r>
        <w:rPr>
          <w:rFonts w:ascii="宋体" w:hAnsi="宋体" w:cs="宋体" w:eastAsia="宋体" w:hint="default"/>
          <w:spacing w:val="1"/>
        </w:rPr>
        <w:t>Pa</w:t>
      </w:r>
      <w:r>
        <w:rPr>
          <w:rFonts w:ascii="宋体" w:hAnsi="宋体" w:cs="宋体" w:eastAsia="宋体" w:hint="default"/>
          <w:spacing w:val="-2"/>
        </w:rPr>
        <w:t>a</w:t>
      </w:r>
      <w:r>
        <w:rPr>
          <w:rFonts w:ascii="宋体" w:hAnsi="宋体" w:cs="宋体" w:eastAsia="宋体" w:hint="default"/>
        </w:rPr>
        <w:t>S</w:t>
      </w:r>
    </w:p>
    <w:p>
      <w:pPr>
        <w:pStyle w:val="BodyText"/>
        <w:spacing w:line="316" w:lineRule="auto" w:before="76"/>
        <w:ind w:right="1130"/>
        <w:jc w:val="both"/>
      </w:pPr>
      <w:r>
        <w:rPr/>
        <w:t>和</w:t>
      </w:r>
      <w:r>
        <w:rPr>
          <w:spacing w:val="-46"/>
        </w:rPr>
        <w:t> </w:t>
      </w:r>
      <w:r>
        <w:rPr>
          <w:rFonts w:ascii="宋体" w:hAnsi="宋体" w:cs="宋体" w:eastAsia="宋体" w:hint="default"/>
        </w:rPr>
        <w:t>SaaS</w:t>
      </w:r>
      <w:r>
        <w:rPr>
          <w:rFonts w:ascii="宋体" w:hAnsi="宋体" w:cs="宋体" w:eastAsia="宋体" w:hint="default"/>
          <w:spacing w:val="-45"/>
        </w:rPr>
        <w:t> </w:t>
      </w:r>
      <w:r>
        <w:rPr/>
        <w:t>等各个层面继续拓宽中国最大的云资源池，凭借</w:t>
      </w:r>
      <w:r>
        <w:rPr>
          <w:spacing w:val="-46"/>
        </w:rPr>
        <w:t> </w:t>
      </w:r>
      <w:r>
        <w:rPr>
          <w:rFonts w:ascii="宋体" w:hAnsi="宋体" w:cs="宋体" w:eastAsia="宋体" w:hint="default"/>
        </w:rPr>
        <w:t>SaaS</w:t>
      </w:r>
      <w:r>
        <w:rPr>
          <w:rFonts w:ascii="宋体" w:hAnsi="宋体" w:cs="宋体" w:eastAsia="宋体" w:hint="default"/>
          <w:spacing w:val="-41"/>
        </w:rPr>
        <w:t> </w:t>
      </w:r>
      <w:r>
        <w:rPr>
          <w:rFonts w:ascii="宋体" w:hAnsi="宋体" w:cs="宋体" w:eastAsia="宋体" w:hint="default"/>
        </w:rPr>
        <w:t>Hosting</w:t>
      </w:r>
      <w:r>
        <w:rPr>
          <w:rFonts w:ascii="宋体" w:hAnsi="宋体" w:cs="宋体" w:eastAsia="宋体" w:hint="default"/>
          <w:spacing w:val="-44"/>
        </w:rPr>
        <w:t> </w:t>
      </w:r>
      <w:r>
        <w:rPr/>
        <w:t>方式聚集国内外最广泛的</w:t>
      </w:r>
      <w:r>
        <w:rPr>
          <w:spacing w:val="-47"/>
        </w:rPr>
        <w:t> </w:t>
      </w:r>
      <w:r>
        <w:rPr>
          <w:rFonts w:ascii="宋体" w:hAnsi="宋体" w:cs="宋体" w:eastAsia="宋体" w:hint="default"/>
        </w:rPr>
        <w:t>SaaS</w:t>
      </w:r>
      <w:r>
        <w:rPr>
          <w:rFonts w:ascii="宋体" w:hAnsi="宋体" w:cs="宋体" w:eastAsia="宋体" w:hint="default"/>
          <w:spacing w:val="-45"/>
        </w:rPr>
        <w:t> </w:t>
      </w:r>
      <w:r>
        <w:rPr/>
        <w:t>资源，协助海外</w:t>
      </w:r>
      <w:r>
        <w:rPr>
          <w:spacing w:val="-47"/>
        </w:rPr>
        <w:t> </w:t>
      </w:r>
      <w:r>
        <w:rPr>
          <w:rFonts w:ascii="宋体" w:hAnsi="宋体" w:cs="宋体" w:eastAsia="宋体" w:hint="default"/>
        </w:rPr>
        <w:t>SaaS </w:t>
      </w:r>
      <w:r>
        <w:rPr/>
        <w:t>厂商迅速进入国内市场，以最优的公有云及其他基础资源配置选择方案，为客户提供更加高效、快捷、安全的云上服务。</w:t>
      </w:r>
    </w:p>
    <w:p>
      <w:pPr>
        <w:pStyle w:val="BodyText"/>
        <w:spacing w:line="360" w:lineRule="auto" w:before="60"/>
        <w:ind w:left="513" w:right="0"/>
        <w:jc w:val="left"/>
      </w:pPr>
      <w:r>
        <w:rPr/>
        <w:t>（</w:t>
      </w:r>
      <w:r>
        <w:rPr>
          <w:rFonts w:ascii="宋体" w:hAnsi="宋体" w:cs="宋体" w:eastAsia="宋体" w:hint="default"/>
        </w:rPr>
        <w:t>2</w:t>
      </w:r>
      <w:r>
        <w:rPr/>
        <w:t>）加强合作，构建生态，助力企业客户数字化转型 </w:t>
      </w:r>
      <w:r>
        <w:rPr>
          <w:spacing w:val="-3"/>
        </w:rPr>
        <w:t>公司将依托丰富的头部企业服务经验，以企业云管理服务和数字化解决方案为抓手，充分整合内部的客户营销资源，致</w:t>
      </w:r>
      <w:r>
        <w:rPr/>
      </w:r>
    </w:p>
    <w:p>
      <w:pPr>
        <w:pStyle w:val="BodyText"/>
        <w:spacing w:line="222" w:lineRule="exact"/>
        <w:ind w:right="0"/>
        <w:jc w:val="both"/>
      </w:pPr>
      <w:r>
        <w:rPr/>
        <w:t>力于建设全方位的云计算营销网络，构建立体化的云生态体系。未来，公司将全面推进与中国移动《战略合作框架协议》的</w:t>
      </w:r>
    </w:p>
    <w:p>
      <w:pPr>
        <w:pStyle w:val="BodyText"/>
        <w:spacing w:line="316" w:lineRule="auto" w:before="76"/>
        <w:ind w:right="1028"/>
        <w:jc w:val="left"/>
      </w:pPr>
      <w:r>
        <w:rPr>
          <w:spacing w:val="-2"/>
        </w:rPr>
        <w:t>落地，依托中国移动全球最大规模运营商的行业地位、广泛的政企客户资源、庞大且迅速增长的云资源池，借助公司在国际</w:t>
      </w:r>
      <w:r>
        <w:rPr>
          <w:spacing w:val="-65"/>
        </w:rPr>
        <w:t> </w:t>
      </w:r>
      <w:r>
        <w:rPr>
          <w:spacing w:val="-65"/>
        </w:rPr>
      </w:r>
      <w:r>
        <w:rPr/>
        <w:t>大型项目上积累的高标准技术运营运维服务</w:t>
      </w:r>
      <w:r>
        <w:rPr>
          <w:spacing w:val="-42"/>
        </w:rPr>
        <w:t> </w:t>
      </w:r>
      <w:r>
        <w:rPr>
          <w:rFonts w:ascii="宋体" w:hAnsi="宋体" w:cs="宋体" w:eastAsia="宋体" w:hint="default"/>
        </w:rPr>
        <w:t>SLA</w:t>
      </w:r>
      <w:r>
        <w:rPr>
          <w:rFonts w:ascii="宋体" w:hAnsi="宋体" w:cs="宋体" w:eastAsia="宋体" w:hint="default"/>
          <w:spacing w:val="-42"/>
        </w:rPr>
        <w:t> </w:t>
      </w:r>
      <w:r>
        <w:rPr/>
        <w:t>能力与经验、遍布全国的技术支持团队，一同在通信基础设施、垂直行业、 云计算和</w:t>
      </w:r>
      <w:r>
        <w:rPr>
          <w:spacing w:val="-51"/>
        </w:rPr>
        <w:t> </w:t>
      </w:r>
      <w:r>
        <w:rPr>
          <w:rFonts w:ascii="宋体" w:hAnsi="宋体" w:cs="宋体" w:eastAsia="宋体" w:hint="default"/>
        </w:rPr>
        <w:t>ICT</w:t>
      </w:r>
      <w:r>
        <w:rPr>
          <w:rFonts w:ascii="宋体" w:hAnsi="宋体" w:cs="宋体" w:eastAsia="宋体" w:hint="default"/>
          <w:spacing w:val="-11"/>
        </w:rPr>
        <w:t> </w:t>
      </w:r>
      <w:r>
        <w:rPr/>
        <w:t>应用等领域展开深度合作，携手打造基于</w:t>
      </w:r>
      <w:r>
        <w:rPr>
          <w:spacing w:val="-51"/>
        </w:rPr>
        <w:t> </w:t>
      </w:r>
      <w:r>
        <w:rPr>
          <w:rFonts w:ascii="宋体" w:hAnsi="宋体" w:cs="宋体" w:eastAsia="宋体" w:hint="default"/>
        </w:rPr>
        <w:t>5G</w:t>
      </w:r>
      <w:r>
        <w:rPr>
          <w:rFonts w:ascii="宋体" w:hAnsi="宋体" w:cs="宋体" w:eastAsia="宋体" w:hint="default"/>
          <w:spacing w:val="-51"/>
        </w:rPr>
        <w:t> </w:t>
      </w:r>
      <w:r>
        <w:rPr/>
        <w:t>支撑下云网融合的技术架构，共同构建具有中国特色的云网新生 态，激发和助力更多行业客户的数字化转型。</w:t>
      </w:r>
    </w:p>
    <w:p>
      <w:pPr>
        <w:pStyle w:val="BodyText"/>
        <w:spacing w:line="319" w:lineRule="auto" w:before="57"/>
        <w:ind w:right="1128" w:firstLine="360"/>
        <w:jc w:val="both"/>
      </w:pPr>
      <w:r>
        <w:rPr/>
        <w:t>在此基础上，公司将为中国移动各级云资源池提供属地运营、运维服务，共同拓展行业重点客户，并根据客户在</w:t>
      </w:r>
      <w:r>
        <w:rPr>
          <w:spacing w:val="9"/>
        </w:rPr>
        <w:t> </w:t>
      </w:r>
      <w:r>
        <w:rPr>
          <w:rFonts w:ascii="宋体" w:hAnsi="宋体" w:cs="宋体" w:eastAsia="宋体" w:hint="default"/>
        </w:rPr>
        <w:t>IT</w:t>
      </w:r>
      <w:r>
        <w:rPr/>
        <w:t>、 </w:t>
      </w:r>
      <w:r>
        <w:rPr>
          <w:spacing w:val="-2"/>
        </w:rPr>
        <w:t>网络、业务云化方面的建设和运营需求，在解决方案、集成实施、售后服务方面展开深度合作。公司还将支撑中国移动在新</w:t>
      </w:r>
      <w:r>
        <w:rPr>
          <w:spacing w:val="-67"/>
        </w:rPr>
        <w:t> </w:t>
      </w:r>
      <w:r>
        <w:rPr>
          <w:spacing w:val="-67"/>
        </w:rPr>
      </w:r>
      <w:r>
        <w:rPr/>
        <w:t>的云原生体系下，为大中型企业客户提供新的云架构，通过</w:t>
      </w:r>
      <w:r>
        <w:rPr>
          <w:spacing w:val="-43"/>
        </w:rPr>
        <w:t> </w:t>
      </w:r>
      <w:r>
        <w:rPr>
          <w:rFonts w:ascii="宋体" w:hAnsi="宋体" w:cs="宋体" w:eastAsia="宋体" w:hint="default"/>
        </w:rPr>
        <w:t>PaaS</w:t>
      </w:r>
      <w:r>
        <w:rPr>
          <w:rFonts w:ascii="宋体" w:hAnsi="宋体" w:cs="宋体" w:eastAsia="宋体" w:hint="default"/>
          <w:spacing w:val="-43"/>
        </w:rPr>
        <w:t> </w:t>
      </w:r>
      <w:r>
        <w:rPr/>
        <w:t>层数据融合的支撑，为客户提供包括工业互联网、时序数 </w:t>
      </w:r>
      <w:r>
        <w:rPr>
          <w:spacing w:val="-2"/>
        </w:rPr>
        <w:t>据在内的多维度大数据分析应用工具。此外，公司也将同包括中国移动在内的众多合作伙伴一起，构建知识图谱，提升技术</w:t>
      </w:r>
      <w:r>
        <w:rPr>
          <w:spacing w:val="-66"/>
        </w:rPr>
        <w:t> </w:t>
      </w:r>
      <w:r>
        <w:rPr>
          <w:spacing w:val="-66"/>
        </w:rPr>
      </w:r>
      <w:r>
        <w:rPr/>
        <w:t>服务能力，共同赋能企业数字化转型。</w:t>
      </w:r>
    </w:p>
    <w:p>
      <w:pPr>
        <w:pStyle w:val="BodyText"/>
        <w:spacing w:line="360" w:lineRule="auto" w:before="58"/>
        <w:ind w:left="513" w:right="0"/>
        <w:jc w:val="left"/>
      </w:pPr>
      <w:r>
        <w:rPr/>
        <w:t>（</w:t>
      </w:r>
      <w:r>
        <w:rPr>
          <w:rFonts w:ascii="宋体" w:hAnsi="宋体" w:cs="宋体" w:eastAsia="宋体" w:hint="default"/>
        </w:rPr>
        <w:t>3</w:t>
      </w:r>
      <w:r>
        <w:rPr/>
        <w:t>）加大投入，持续研发，培育核心技术应用创新 </w:t>
      </w:r>
      <w:r>
        <w:rPr>
          <w:spacing w:val="-2"/>
        </w:rPr>
        <w:t>公司将不断加大在云服务和数字化转型领域的研发投入力度，形成具有自主知识培育产权、国内领先的云服务技术平台</w:t>
      </w:r>
    </w:p>
    <w:p>
      <w:pPr>
        <w:pStyle w:val="BodyText"/>
        <w:spacing w:line="222" w:lineRule="exact"/>
        <w:ind w:right="0"/>
        <w:jc w:val="both"/>
      </w:pPr>
      <w:r>
        <w:rPr>
          <w:spacing w:val="-2"/>
        </w:rPr>
        <w:t>和数字化解决方案。未来三年公司计划在国内建立</w:t>
      </w:r>
      <w:r>
        <w:rPr/>
        <w:t> </w:t>
      </w:r>
      <w:r>
        <w:rPr>
          <w:rFonts w:ascii="宋体" w:hAnsi="宋体" w:cs="宋体" w:eastAsia="宋体" w:hint="default"/>
          <w:spacing w:val="-1"/>
        </w:rPr>
        <w:t>5-6</w:t>
      </w:r>
      <w:r>
        <w:rPr>
          <w:rFonts w:ascii="宋体" w:hAnsi="宋体" w:cs="宋体" w:eastAsia="宋体" w:hint="default"/>
          <w:spacing w:val="-65"/>
        </w:rPr>
        <w:t> </w:t>
      </w:r>
      <w:r>
        <w:rPr>
          <w:spacing w:val="-2"/>
        </w:rPr>
        <w:t>个研发基地和交付中心，扩展研发和交付能力布局，以便更好地贴近</w:t>
      </w:r>
    </w:p>
    <w:p>
      <w:pPr>
        <w:pStyle w:val="BodyText"/>
        <w:spacing w:line="316" w:lineRule="auto" w:before="76"/>
        <w:ind w:right="1128"/>
        <w:jc w:val="both"/>
      </w:pPr>
      <w:r>
        <w:rPr>
          <w:spacing w:val="-3"/>
        </w:rPr>
        <w:t>客户、服务客户。同时，加大在</w:t>
      </w:r>
      <w:r>
        <w:rPr>
          <w:spacing w:val="-66"/>
        </w:rPr>
        <w:t> </w:t>
      </w:r>
      <w:r>
        <w:rPr>
          <w:rFonts w:ascii="宋体" w:hAnsi="宋体" w:cs="宋体" w:eastAsia="宋体" w:hint="default"/>
        </w:rPr>
        <w:t>MSP</w:t>
      </w:r>
      <w:r>
        <w:rPr>
          <w:rFonts w:ascii="宋体" w:hAnsi="宋体" w:cs="宋体" w:eastAsia="宋体" w:hint="default"/>
          <w:spacing w:val="-65"/>
        </w:rPr>
        <w:t> </w:t>
      </w:r>
      <w:r>
        <w:rPr/>
        <w:t>和大数据等领域的研发投入力度，加速知识、技术的沉淀和积累，提升技术复用率，加 </w:t>
      </w:r>
      <w:r>
        <w:rPr>
          <w:spacing w:val="-2"/>
        </w:rPr>
        <w:t>强项目管理能力，提高交付质量和效率。另外，公司也将进一步提升技术实力和创新能力，在转型过程中进一步推进工程师</w:t>
      </w:r>
      <w:r>
        <w:rPr>
          <w:spacing w:val="-62"/>
        </w:rPr>
        <w:t> </w:t>
      </w:r>
      <w:r>
        <w:rPr>
          <w:spacing w:val="-62"/>
        </w:rPr>
      </w:r>
      <w:r>
        <w:rPr>
          <w:spacing w:val="-2"/>
        </w:rPr>
        <w:t>文化的发展，在云技术团队推行基于</w:t>
      </w:r>
      <w:r>
        <w:rPr>
          <w:spacing w:val="-34"/>
        </w:rPr>
        <w:t> </w:t>
      </w:r>
      <w:r>
        <w:rPr>
          <w:rFonts w:ascii="宋体" w:hAnsi="宋体" w:cs="宋体" w:eastAsia="宋体" w:hint="default"/>
          <w:spacing w:val="-1"/>
        </w:rPr>
        <w:t>OKR</w:t>
      </w:r>
      <w:r>
        <w:rPr>
          <w:rFonts w:ascii="宋体" w:hAnsi="宋体" w:cs="宋体" w:eastAsia="宋体" w:hint="default"/>
          <w:spacing w:val="-34"/>
        </w:rPr>
        <w:t> </w:t>
      </w:r>
      <w:r>
        <w:rPr>
          <w:spacing w:val="-2"/>
        </w:rPr>
        <w:t>理念的考核机制，进一步转型成一家以创新和技术为核心驱动的公司。在公司技术</w:t>
      </w:r>
      <w:r>
        <w:rPr>
          <w:spacing w:val="-88"/>
        </w:rPr>
        <w:t> </w:t>
      </w:r>
      <w:r>
        <w:rPr>
          <w:spacing w:val="-88"/>
        </w:rPr>
      </w:r>
      <w:r>
        <w:rPr/>
        <w:t>方向的框架下，积累技术能力，研发相关产品，不断为客户提供更好的体验，为客户提供核心价值。</w:t>
      </w:r>
    </w:p>
    <w:p>
      <w:pPr>
        <w:spacing w:after="0" w:line="316" w:lineRule="auto"/>
        <w:jc w:val="both"/>
        <w:sectPr>
          <w:headerReference w:type="default" r:id="rId14"/>
          <w:footerReference w:type="default" r:id="rId15"/>
          <w:pgSz w:w="11910" w:h="16840"/>
          <w:pgMar w:header="877" w:footer="980" w:top="1100" w:bottom="1160" w:left="980" w:right="0"/>
          <w:pgNumType w:start="35"/>
        </w:sectPr>
      </w:pPr>
    </w:p>
    <w:p>
      <w:pPr>
        <w:spacing w:line="240" w:lineRule="auto" w:before="13"/>
        <w:rPr>
          <w:rFonts w:ascii="宋体" w:hAnsi="宋体" w:cs="宋体" w:eastAsia="宋体" w:hint="default"/>
          <w:sz w:val="21"/>
          <w:szCs w:val="21"/>
        </w:rPr>
      </w:pPr>
    </w:p>
    <w:p>
      <w:pPr>
        <w:pStyle w:val="BodyText"/>
        <w:spacing w:line="240" w:lineRule="auto" w:before="44"/>
        <w:ind w:left="513" w:right="0"/>
        <w:jc w:val="left"/>
      </w:pPr>
      <w:r>
        <w:rPr>
          <w:rFonts w:ascii="宋体" w:hAnsi="宋体" w:cs="宋体" w:eastAsia="宋体" w:hint="default"/>
        </w:rPr>
        <w:t>2</w:t>
      </w:r>
      <w:r>
        <w:rPr/>
        <w:t>、</w:t>
      </w:r>
      <w:r>
        <w:rPr>
          <w:spacing w:val="-41"/>
        </w:rPr>
        <w:t> </w:t>
      </w:r>
      <w:r>
        <w:rPr/>
        <w:t>全力推动鲲鹏业务落地</w:t>
      </w:r>
    </w:p>
    <w:p>
      <w:pPr>
        <w:spacing w:line="240" w:lineRule="auto" w:before="11"/>
        <w:rPr>
          <w:rFonts w:ascii="宋体" w:hAnsi="宋体" w:cs="宋体" w:eastAsia="宋体" w:hint="default"/>
          <w:sz w:val="14"/>
          <w:szCs w:val="14"/>
        </w:rPr>
      </w:pPr>
    </w:p>
    <w:p>
      <w:pPr>
        <w:pStyle w:val="BodyText"/>
        <w:spacing w:line="316" w:lineRule="auto"/>
        <w:ind w:right="1131" w:firstLine="420"/>
        <w:jc w:val="both"/>
      </w:pPr>
      <w:r>
        <w:rPr/>
        <w:t>服务器是计算产业的基础，据华为发布的《鲲鹏计算产业白皮书》测算，到</w:t>
      </w:r>
      <w:r>
        <w:rPr>
          <w:spacing w:val="-50"/>
        </w:rPr>
        <w:t> </w:t>
      </w:r>
      <w:r>
        <w:rPr>
          <w:rFonts w:ascii="宋体" w:hAnsi="宋体" w:cs="宋体" w:eastAsia="宋体" w:hint="default"/>
        </w:rPr>
        <w:t>2023</w:t>
      </w:r>
      <w:r>
        <w:rPr>
          <w:rFonts w:ascii="宋体" w:hAnsi="宋体" w:cs="宋体" w:eastAsia="宋体" w:hint="default"/>
          <w:spacing w:val="-49"/>
        </w:rPr>
        <w:t> </w:t>
      </w:r>
      <w:r>
        <w:rPr/>
        <w:t>年，预计中国服务器市场空间</w:t>
      </w:r>
      <w:r>
        <w:rPr>
          <w:spacing w:val="-50"/>
        </w:rPr>
        <w:t> </w:t>
      </w:r>
      <w:r>
        <w:rPr>
          <w:rFonts w:ascii="宋体" w:hAnsi="宋体" w:cs="宋体" w:eastAsia="宋体" w:hint="default"/>
        </w:rPr>
        <w:t>339.7 </w:t>
      </w:r>
      <w:r>
        <w:rPr/>
        <w:t>亿美元，</w:t>
      </w:r>
      <w:r>
        <w:rPr>
          <w:rFonts w:ascii="宋体" w:hAnsi="宋体" w:cs="宋体" w:eastAsia="宋体" w:hint="default"/>
        </w:rPr>
        <w:t>5</w:t>
      </w:r>
      <w:r>
        <w:rPr>
          <w:rFonts w:ascii="宋体" w:hAnsi="宋体" w:cs="宋体" w:eastAsia="宋体" w:hint="default"/>
          <w:spacing w:val="-43"/>
        </w:rPr>
        <w:t> </w:t>
      </w:r>
      <w:r>
        <w:rPr/>
        <w:t>年复合增长率</w:t>
      </w:r>
      <w:r>
        <w:rPr>
          <w:spacing w:val="-47"/>
        </w:rPr>
        <w:t> </w:t>
      </w:r>
      <w:r>
        <w:rPr>
          <w:rFonts w:ascii="宋体" w:hAnsi="宋体" w:cs="宋体" w:eastAsia="宋体" w:hint="default"/>
        </w:rPr>
        <w:t>12.4%</w:t>
      </w:r>
      <w:r>
        <w:rPr/>
        <w:t>。随着移动互联网和云计算的不断发展，能构建更高性能、更低功耗计算平台的</w:t>
      </w:r>
      <w:r>
        <w:rPr>
          <w:spacing w:val="-43"/>
        </w:rPr>
        <w:t> </w:t>
      </w:r>
      <w:r>
        <w:rPr>
          <w:rFonts w:ascii="宋体" w:hAnsi="宋体" w:cs="宋体" w:eastAsia="宋体" w:hint="default"/>
        </w:rPr>
        <w:t>ARM</w:t>
      </w:r>
      <w:r>
        <w:rPr>
          <w:rFonts w:ascii="宋体" w:hAnsi="宋体" w:cs="宋体" w:eastAsia="宋体" w:hint="default"/>
          <w:spacing w:val="-43"/>
        </w:rPr>
        <w:t> </w:t>
      </w:r>
      <w:r>
        <w:rPr/>
        <w:t>架构， 正在成为算力发展的主要和必然趋势。</w:t>
      </w:r>
    </w:p>
    <w:p>
      <w:pPr>
        <w:pStyle w:val="BodyText"/>
        <w:spacing w:line="316" w:lineRule="auto" w:before="59"/>
        <w:ind w:right="1034" w:firstLine="360"/>
        <w:jc w:val="left"/>
      </w:pPr>
      <w:r>
        <w:rPr/>
        <w:t>基于</w:t>
      </w:r>
      <w:r>
        <w:rPr>
          <w:spacing w:val="-66"/>
        </w:rPr>
        <w:t> </w:t>
      </w:r>
      <w:r>
        <w:rPr>
          <w:rFonts w:ascii="宋体" w:hAnsi="宋体" w:cs="宋体" w:eastAsia="宋体" w:hint="default"/>
        </w:rPr>
        <w:t>ARM</w:t>
      </w:r>
      <w:r>
        <w:rPr>
          <w:rFonts w:ascii="宋体" w:hAnsi="宋体" w:cs="宋体" w:eastAsia="宋体" w:hint="default"/>
          <w:spacing w:val="-65"/>
        </w:rPr>
        <w:t> </w:t>
      </w:r>
      <w:r>
        <w:rPr/>
        <w:t>架构的华为鲲鹏芯片，已构建起国内最完善的计算机硬件及软件系统生态，拥有端到端的鲲鹏产业化、生态化 </w:t>
      </w:r>
      <w:r>
        <w:rPr>
          <w:spacing w:val="-2"/>
        </w:rPr>
        <w:t>能力，形成从处理器、操作系统、整机到行业方案的部署与交付能力，能够为客户提供整体解决方案。未来，公司作为鲲鹏</w:t>
      </w:r>
      <w:r>
        <w:rPr>
          <w:spacing w:val="-68"/>
        </w:rPr>
        <w:t> </w:t>
      </w:r>
      <w:r>
        <w:rPr>
          <w:spacing w:val="-68"/>
        </w:rPr>
      </w:r>
      <w:r>
        <w:rPr/>
        <w:t>系列产品生产基地建设的重要实践者，全面构建从研发、生产、供应链及销售服务、售后服务的完整软硬件生态配套系统，</w:t>
      </w:r>
      <w:r>
        <w:rPr>
          <w:spacing w:val="-83"/>
        </w:rPr>
        <w:t> </w:t>
      </w:r>
      <w:r>
        <w:rPr>
          <w:spacing w:val="-83"/>
        </w:rPr>
      </w:r>
      <w:r>
        <w:rPr/>
        <w:t>凭借全国最大的</w:t>
      </w:r>
      <w:r>
        <w:rPr>
          <w:spacing w:val="-43"/>
        </w:rPr>
        <w:t> </w:t>
      </w:r>
      <w:r>
        <w:rPr>
          <w:rFonts w:ascii="宋体" w:hAnsi="宋体" w:cs="宋体" w:eastAsia="宋体" w:hint="default"/>
        </w:rPr>
        <w:t>To</w:t>
      </w:r>
      <w:r>
        <w:rPr>
          <w:rFonts w:ascii="宋体" w:hAnsi="宋体" w:cs="宋体" w:eastAsia="宋体" w:hint="default"/>
          <w:spacing w:val="1"/>
        </w:rPr>
        <w:t> </w:t>
      </w:r>
      <w:r>
        <w:rPr>
          <w:rFonts w:ascii="宋体" w:hAnsi="宋体" w:cs="宋体" w:eastAsia="宋体" w:hint="default"/>
        </w:rPr>
        <w:t>B</w:t>
      </w:r>
      <w:r>
        <w:rPr>
          <w:rFonts w:ascii="宋体" w:hAnsi="宋体" w:cs="宋体" w:eastAsia="宋体" w:hint="default"/>
          <w:spacing w:val="-42"/>
        </w:rPr>
        <w:t> </w:t>
      </w:r>
      <w:r>
        <w:rPr/>
        <w:t>销售渠道网络以及对企业级客户行业特性和应用场景的深刻理解，持续加强研发投入，不断提升在鲲 </w:t>
      </w:r>
      <w:r>
        <w:rPr>
          <w:spacing w:val="-5"/>
        </w:rPr>
        <w:t>鹏产业中的合作伙伴地位和生态价值，进一步拓展鲲鹏生态业务布局，打通产业上下游，形成全产业链、全方位的紧密合作。</w:t>
      </w:r>
      <w:r>
        <w:rPr>
          <w:spacing w:val="-77"/>
        </w:rPr>
        <w:t> </w:t>
      </w:r>
      <w:r>
        <w:rPr>
          <w:spacing w:val="-77"/>
        </w:rPr>
      </w:r>
      <w:r>
        <w:rPr>
          <w:spacing w:val="-2"/>
        </w:rPr>
        <w:t>同时，全面携手生态合作伙伴在云计算、鲲鹏生态、智慧城市、智慧农业、智慧金融、物联网、供应链、海外市场拓展、场</w:t>
      </w:r>
      <w:r>
        <w:rPr>
          <w:spacing w:val="-70"/>
        </w:rPr>
        <w:t> </w:t>
      </w:r>
      <w:r>
        <w:rPr>
          <w:spacing w:val="-70"/>
        </w:rPr>
      </w:r>
      <w:r>
        <w:rPr/>
        <w:t>景化联合解决方案等领域的深度协同，与华为共同推动鲲鹏生态不断发展壮大。</w:t>
      </w:r>
    </w:p>
    <w:p>
      <w:pPr>
        <w:spacing w:line="240" w:lineRule="auto" w:before="6"/>
        <w:rPr>
          <w:rFonts w:ascii="宋体" w:hAnsi="宋体" w:cs="宋体" w:eastAsia="宋体" w:hint="default"/>
          <w:sz w:val="13"/>
          <w:szCs w:val="13"/>
        </w:rPr>
      </w:pPr>
    </w:p>
    <w:p>
      <w:pPr>
        <w:spacing w:line="470" w:lineRule="atLeast" w:before="0"/>
        <w:ind w:left="513" w:right="1118" w:hanging="361"/>
        <w:jc w:val="left"/>
        <w:rPr>
          <w:rFonts w:ascii="宋体" w:hAnsi="宋体" w:cs="宋体" w:eastAsia="宋体" w:hint="default"/>
          <w:sz w:val="18"/>
          <w:szCs w:val="18"/>
        </w:rPr>
      </w:pPr>
      <w:r>
        <w:rPr>
          <w:rFonts w:ascii="宋体" w:hAnsi="宋体" w:cs="宋体" w:eastAsia="宋体" w:hint="default"/>
          <w:b/>
          <w:bCs/>
          <w:sz w:val="18"/>
          <w:szCs w:val="18"/>
        </w:rPr>
        <w:t>公司面临的风险和应对措施</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b/>
          <w:bCs/>
          <w:sz w:val="18"/>
          <w:szCs w:val="18"/>
        </w:rPr>
        <w:t>市场竞争风险。</w:t>
      </w:r>
      <w:r>
        <w:rPr>
          <w:rFonts w:ascii="宋体" w:hAnsi="宋体" w:cs="宋体" w:eastAsia="宋体" w:hint="default"/>
          <w:sz w:val="18"/>
          <w:szCs w:val="18"/>
        </w:rPr>
        <w:t>IT</w:t>
      </w:r>
      <w:r>
        <w:rPr>
          <w:rFonts w:ascii="宋体" w:hAnsi="宋体" w:cs="宋体" w:eastAsia="宋体" w:hint="default"/>
          <w:sz w:val="18"/>
          <w:szCs w:val="18"/>
        </w:rPr>
        <w:t>产品和服务行业是成熟且完全竞争的行业，尽管公司具有在业内多年来一直保持的领先优势，但</w:t>
      </w:r>
    </w:p>
    <w:p>
      <w:pPr>
        <w:pStyle w:val="BodyText"/>
        <w:spacing w:line="240" w:lineRule="auto" w:before="74"/>
        <w:ind w:right="0"/>
        <w:jc w:val="left"/>
      </w:pPr>
      <w:r>
        <w:rPr/>
        <w:t>仍面临行业竞争加剧的风险。公司完成了组织架构调整，全面加强了精细化管理水平，进一步激发了业务动能。</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rFonts w:ascii="宋体" w:hAnsi="宋体" w:cs="宋体" w:eastAsia="宋体" w:hint="default"/>
        </w:rPr>
        <w:t>2</w:t>
      </w:r>
      <w:r>
        <w:rPr/>
        <w:t>、</w:t>
      </w:r>
      <w:r>
        <w:rPr>
          <w:rFonts w:ascii="宋体" w:hAnsi="宋体" w:cs="宋体" w:eastAsia="宋体" w:hint="default"/>
          <w:b/>
          <w:bCs/>
        </w:rPr>
        <w:t>汇率波动风险。</w:t>
      </w:r>
      <w:r>
        <w:rPr/>
        <w:t>公司的部分采购和销售业务在香港和澳门进行，以港币和澳门币结算；付给境外客户的采购款部分 </w:t>
      </w:r>
      <w:r>
        <w:rPr>
          <w:spacing w:val="-2"/>
        </w:rPr>
        <w:t>以美元进行结算。汇率波动可能会给公司业绩造成一定的风险。公司采用远期外汇合同来对冲汇率风险，日常对风险敞口及</w:t>
      </w:r>
      <w:r>
        <w:rPr>
          <w:spacing w:val="-63"/>
        </w:rPr>
        <w:t> </w:t>
      </w:r>
      <w:r>
        <w:rPr>
          <w:spacing w:val="-63"/>
        </w:rPr>
      </w:r>
      <w:r>
        <w:rPr/>
        <w:t>市场进行实时监控，及时调整对冲策略及对冲比例。</w:t>
      </w:r>
    </w:p>
    <w:p>
      <w:pPr>
        <w:pStyle w:val="BodyText"/>
        <w:spacing w:line="316" w:lineRule="auto" w:before="59"/>
        <w:ind w:right="1133" w:firstLine="360"/>
        <w:jc w:val="both"/>
      </w:pPr>
      <w:r>
        <w:rPr>
          <w:rFonts w:ascii="宋体" w:hAnsi="宋体" w:cs="宋体" w:eastAsia="宋体" w:hint="default"/>
        </w:rPr>
        <w:t>3</w:t>
      </w:r>
      <w:r>
        <w:rPr/>
        <w:t>、</w:t>
      </w:r>
      <w:r>
        <w:rPr>
          <w:rFonts w:ascii="宋体" w:hAnsi="宋体" w:cs="宋体" w:eastAsia="宋体" w:hint="default"/>
          <w:b/>
          <w:bCs/>
        </w:rPr>
        <w:t>应收账款管理风险。</w:t>
      </w:r>
      <w:r>
        <w:rPr/>
        <w:t>应收账款未能及时收回或部分客户发生信用违约，可能会对公司的业绩造成不良影响。公司拥 </w:t>
      </w:r>
      <w:r>
        <w:rPr>
          <w:spacing w:val="-2"/>
        </w:rPr>
        <w:t>有严格的信用管理和应收账款管理政策。在应收账款可能发生超期时，平台销售部门及风险管理部门将及时分析账款延期原</w:t>
      </w:r>
      <w:r>
        <w:rPr>
          <w:spacing w:val="-64"/>
        </w:rPr>
        <w:t> </w:t>
      </w:r>
      <w:r>
        <w:rPr>
          <w:spacing w:val="-64"/>
        </w:rPr>
      </w:r>
      <w:r>
        <w:rPr/>
        <w:t>因，并采取应对措施，减少预期带来的损失。对大额应收账款进行保险，进一步控制应收账款风险。</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情况" w:id="59"/>
      <w:bookmarkEnd w:id="59"/>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报告期内接待调研、沟通、采访等活动登记表" w:id="60"/>
      <w:bookmarkEnd w:id="60"/>
      <w:r>
        <w:rPr>
          <w:b w:val="0"/>
          <w:bCs w:val="0"/>
        </w:rPr>
      </w:r>
      <w:r>
        <w:rPr/>
        <w:t>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1848"/>
        <w:gridCol w:w="3365"/>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围绕国都证券合同解读公司专有云项目</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巨潮资讯网神州数码集团股份有限公司</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了解贸易战升级对公司业务的影响</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询问出售嘉和美康股权事宜</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询问出售嘉和美康股权事宜</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巨潮资讯网神州数码集团股份有限公司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1848"/>
        <w:gridCol w:w="3365"/>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巨潮资讯网神州数码集团股份有限公司</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巨潮资讯网神州数码集团股份有限公司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日投资者关系活动记录表</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了解公司业务发展情况</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715"/>
        <w:gridCol w:w="5855"/>
      </w:tblGrid>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751" w:right="4727"/>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日召开的第八届董事会第二十六次会议和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2018</w:t>
      </w:r>
      <w:r>
        <w:rPr/>
        <w:t>年第一次临时股东大会审议通过</w:t>
      </w:r>
    </w:p>
    <w:p>
      <w:pPr>
        <w:pStyle w:val="BodyText"/>
        <w:spacing w:line="230" w:lineRule="exact"/>
        <w:ind w:right="0"/>
        <w:jc w:val="left"/>
      </w:pPr>
      <w:r>
        <w:rPr/>
        <w:t>了《关于</w:t>
      </w:r>
      <w:r>
        <w:rPr>
          <w:rFonts w:ascii="Times New Roman" w:hAnsi="Times New Roman" w:cs="Times New Roman" w:eastAsia="Times New Roman" w:hint="default"/>
        </w:rPr>
        <w:t>&lt;</w:t>
      </w:r>
      <w:r>
        <w:rPr/>
        <w:t>未来三年（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w:t>
      </w:r>
      <w:r>
        <w:rPr>
          <w:rFonts w:ascii="Times New Roman" w:hAnsi="Times New Roman" w:cs="Times New Roman" w:eastAsia="Times New Roman" w:hint="default"/>
        </w:rPr>
        <w:t>&gt;</w:t>
      </w:r>
      <w:r>
        <w:rPr/>
        <w:t>的议案》，在制定过程中独立董事发表了意见。</w:t>
      </w:r>
    </w:p>
    <w:p>
      <w:pPr>
        <w:pStyle w:val="BodyText"/>
        <w:spacing w:line="316" w:lineRule="auto" w:before="103"/>
        <w:ind w:right="0" w:firstLine="360"/>
        <w:jc w:val="left"/>
      </w:pPr>
      <w:r>
        <w:rPr>
          <w:spacing w:val="-2"/>
        </w:rPr>
        <w:t>利润分配政策明确了分红标准和分红比例，符合各项规范性文件和《公司章程》的相关规定，能够充分保护中小投资者</w:t>
      </w:r>
      <w:r>
        <w:rPr/>
        <w:t> 的合法权益。公司将严格按照《公司章程》和《股东回报规划》的相关要求进行利润分配。</w:t>
      </w:r>
    </w:p>
    <w:p>
      <w:pPr>
        <w:spacing w:line="240" w:lineRule="auto" w:before="11"/>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6466"/>
        <w:gridCol w:w="3093"/>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4"/>
        <w:ind w:right="0" w:firstLine="360"/>
        <w:jc w:val="left"/>
      </w:pPr>
      <w:r>
        <w:rPr>
          <w:rFonts w:ascii="Times New Roman" w:hAnsi="Times New Roman" w:cs="Times New Roman" w:eastAsia="Times New Roman" w:hint="default"/>
          <w:spacing w:val="-1"/>
        </w:rPr>
        <w:t>2019</w:t>
      </w:r>
      <w:r>
        <w:rPr>
          <w:spacing w:val="-1"/>
        </w:rPr>
        <w:t>年利润分配方案：以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654,070,434</w:t>
      </w:r>
      <w:r>
        <w:rPr>
          <w:spacing w:val="-1"/>
        </w:rPr>
        <w:t>股扣除回购专用账户</w:t>
      </w:r>
      <w:r>
        <w:rPr>
          <w:rFonts w:ascii="Times New Roman" w:hAnsi="Times New Roman" w:cs="Times New Roman" w:eastAsia="Times New Roman" w:hint="default"/>
          <w:spacing w:val="-1"/>
        </w:rPr>
        <w:t>543,085</w:t>
      </w:r>
      <w:r>
        <w:rPr>
          <w:spacing w:val="-1"/>
        </w:rPr>
        <w:t>股后的</w:t>
      </w:r>
      <w:r>
        <w:rPr>
          <w:rFonts w:ascii="Times New Roman" w:hAnsi="Times New Roman" w:cs="Times New Roman" w:eastAsia="Times New Roman" w:hint="default"/>
          <w:spacing w:val="-1"/>
        </w:rPr>
        <w:t>653,527,349</w:t>
      </w:r>
      <w:r>
        <w:rPr>
          <w:spacing w:val="-1"/>
        </w:rPr>
        <w:t>股为基数，</w:t>
      </w:r>
      <w:r>
        <w:rPr/>
        <w:t> 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2.10</w:t>
      </w:r>
      <w:r>
        <w:rPr/>
        <w:t>元（含税），共派发现金红利</w:t>
      </w:r>
      <w:r>
        <w:rPr>
          <w:rFonts w:ascii="Times New Roman" w:hAnsi="Times New Roman" w:cs="Times New Roman" w:eastAsia="Times New Roman" w:hint="default"/>
        </w:rPr>
        <w:t>137,240,743.29</w:t>
      </w:r>
      <w:r>
        <w:rPr/>
        <w:t>元。</w:t>
      </w:r>
    </w:p>
    <w:p>
      <w:pPr>
        <w:pStyle w:val="BodyText"/>
        <w:spacing w:line="300" w:lineRule="auto" w:before="13"/>
        <w:ind w:right="0" w:firstLine="360"/>
        <w:jc w:val="left"/>
      </w:pPr>
      <w:r>
        <w:rPr>
          <w:rFonts w:ascii="Times New Roman" w:hAnsi="Times New Roman" w:cs="Times New Roman" w:eastAsia="Times New Roman" w:hint="default"/>
          <w:spacing w:val="-2"/>
        </w:rPr>
        <w:t>2018</w:t>
      </w:r>
      <w:r>
        <w:rPr>
          <w:spacing w:val="-2"/>
        </w:rPr>
        <w:t>年利润分配方案：以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654,070,434</w:t>
      </w:r>
      <w:r>
        <w:rPr>
          <w:spacing w:val="-2"/>
        </w:rPr>
        <w:t>股扣除回购专用账户</w:t>
      </w:r>
      <w:r>
        <w:rPr>
          <w:rFonts w:ascii="Times New Roman" w:hAnsi="Times New Roman" w:cs="Times New Roman" w:eastAsia="Times New Roman" w:hint="default"/>
          <w:spacing w:val="-2"/>
        </w:rPr>
        <w:t>4,518,085</w:t>
      </w:r>
      <w:r>
        <w:rPr>
          <w:spacing w:val="-2"/>
        </w:rPr>
        <w:t>股后的</w:t>
      </w:r>
      <w:r>
        <w:rPr>
          <w:rFonts w:ascii="Times New Roman" w:hAnsi="Times New Roman" w:cs="Times New Roman" w:eastAsia="Times New Roman" w:hint="default"/>
          <w:spacing w:val="-2"/>
        </w:rPr>
        <w:t>649,552,349</w:t>
      </w:r>
      <w:r>
        <w:rPr>
          <w:spacing w:val="-2"/>
        </w:rPr>
        <w:t>股为基数，</w:t>
      </w:r>
      <w:r>
        <w:rPr/>
        <w:t> 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2.53</w:t>
      </w:r>
      <w:r>
        <w:rPr/>
        <w:t>元（含税），共派发现金红利</w:t>
      </w:r>
      <w:r>
        <w:rPr>
          <w:rFonts w:ascii="Times New Roman" w:hAnsi="Times New Roman" w:cs="Times New Roman" w:eastAsia="Times New Roman" w:hint="default"/>
        </w:rPr>
        <w:t>164,336,744.30</w:t>
      </w:r>
      <w:r>
        <w:rPr/>
        <w:t>元。</w:t>
      </w:r>
    </w:p>
    <w:p>
      <w:pPr>
        <w:pStyle w:val="BodyText"/>
        <w:spacing w:line="300" w:lineRule="auto" w:before="13"/>
        <w:ind w:right="0" w:firstLine="360"/>
        <w:jc w:val="left"/>
      </w:pPr>
      <w:r>
        <w:rPr>
          <w:rFonts w:ascii="Times New Roman" w:hAnsi="Times New Roman" w:cs="Times New Roman" w:eastAsia="Times New Roman" w:hint="default"/>
          <w:spacing w:val="-1"/>
        </w:rPr>
        <w:t>2017</w:t>
      </w:r>
      <w:r>
        <w:rPr>
          <w:spacing w:val="-1"/>
        </w:rPr>
        <w:t>年利润分配方案：以公司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654,070,434</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0.38</w:t>
      </w:r>
      <w:r>
        <w:rPr>
          <w:spacing w:val="-1"/>
        </w:rPr>
        <w:t>元（含</w:t>
      </w:r>
      <w:r>
        <w:rPr/>
        <w:t> 税），共派发现金红利</w:t>
      </w:r>
      <w:r>
        <w:rPr>
          <w:rFonts w:ascii="Times New Roman" w:hAnsi="Times New Roman" w:cs="Times New Roman" w:eastAsia="Times New Roman" w:hint="default"/>
        </w:rPr>
        <w:t>24,854,660.08</w:t>
      </w:r>
      <w:r>
        <w:rPr/>
        <w:t>元。</w:t>
      </w:r>
    </w:p>
    <w:p>
      <w:pPr>
        <w:pStyle w:val="BodyText"/>
        <w:spacing w:line="240" w:lineRule="auto" w:before="53"/>
        <w:ind w:right="0"/>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1274"/>
        <w:gridCol w:w="1277"/>
        <w:gridCol w:w="1277"/>
        <w:gridCol w:w="1134"/>
        <w:gridCol w:w="1254"/>
        <w:gridCol w:w="1197"/>
        <w:gridCol w:w="1184"/>
      </w:tblGrid>
      <w:tr>
        <w:trPr>
          <w:trHeight w:val="161"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34" w:type="dxa"/>
            <w:vMerge/>
            <w:tcBorders>
              <w:left w:val="single" w:sz="4" w:space="0" w:color="000000"/>
              <w:right w:val="single" w:sz="4" w:space="0" w:color="000000"/>
            </w:tcBorders>
            <w:shd w:val="clear" w:color="auto" w:fill="D2D2D2"/>
          </w:tcPr>
          <w:p>
            <w:pPr/>
          </w:p>
        </w:tc>
        <w:tc>
          <w:tcPr>
            <w:tcW w:w="12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82" w:right="7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23" w:right="21" w:hanging="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960"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54"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6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54"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137,240,743.29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701,410,697.57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50,004,040.16</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187,244,783.45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26.70%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164,336,744.30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512,408,008.06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164,336,744.30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32.07%</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24,854,660.08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722,924,713.03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24,854,660.08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40"/>
        <w:gridCol w:w="5219"/>
      </w:tblGrid>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653,527,349</w:t>
            </w:r>
          </w:p>
        </w:tc>
      </w:tr>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137,240,743.29</w:t>
            </w:r>
          </w:p>
        </w:tc>
      </w:tr>
      <w:tr>
        <w:trPr>
          <w:trHeight w:val="403"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50,004,040.16</w:t>
            </w:r>
          </w:p>
        </w:tc>
      </w:tr>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187,244,783.45</w:t>
            </w:r>
          </w:p>
        </w:tc>
      </w:tr>
      <w:tr>
        <w:trPr>
          <w:trHeight w:val="402"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1,261,899,895.70</w:t>
            </w:r>
          </w:p>
        </w:tc>
      </w:tr>
      <w:tr>
        <w:trPr>
          <w:trHeight w:val="407" w:hRule="exact"/>
        </w:trPr>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日公司第九届董事会第二十三次会议审议通过公司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年利润分配预案：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年利润分配方案：以</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654,070,434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股扣除回购专用账户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543,085 </w:t>
            </w:r>
            <w:r>
              <w:rPr>
                <w:rFonts w:ascii="宋体" w:hAnsi="宋体" w:cs="宋体" w:eastAsia="宋体" w:hint="default"/>
                <w:sz w:val="18"/>
                <w:szCs w:val="18"/>
              </w:rPr>
              <w:t>股后的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653,527,349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4"/>
                <w:sz w:val="18"/>
                <w:szCs w:val="18"/>
              </w:rPr>
              <w:t>）</w:t>
            </w:r>
            <w:r>
              <w:rPr>
                <w:rFonts w:ascii="宋体" w:hAnsi="宋体" w:cs="宋体" w:eastAsia="宋体" w:hint="default"/>
                <w:sz w:val="18"/>
                <w:szCs w:val="18"/>
              </w:rPr>
              <w:t>，共派发现金红利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元。本次分配不送红股，</w:t>
            </w:r>
            <w:r>
              <w:rPr>
                <w:rFonts w:ascii="宋体" w:hAnsi="宋体" w:cs="宋体" w:eastAsia="宋体" w:hint="default"/>
                <w:spacing w:val="-3"/>
                <w:sz w:val="18"/>
                <w:szCs w:val="18"/>
              </w:rPr>
              <w:t>不</w:t>
            </w:r>
            <w:r>
              <w:rPr>
                <w:rFonts w:ascii="宋体" w:hAnsi="宋体" w:cs="宋体" w:eastAsia="宋体" w:hint="default"/>
                <w:sz w:val="18"/>
                <w:szCs w:val="18"/>
              </w:rPr>
              <w:t>以公积金转增股本。</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665808"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三、承诺事项履行情况" w:id="65"/>
      <w:bookmarkEnd w:id="65"/>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z w:val="18"/>
                <w:szCs w:val="18"/>
              </w:rPr>
              <w:t> </w:t>
            </w:r>
            <w:r>
              <w:rPr>
                <w:rFonts w:ascii="宋体" w:hAnsi="宋体" w:cs="宋体" w:eastAsia="宋体" w:hint="default"/>
                <w:spacing w:val="-10"/>
                <w:sz w:val="18"/>
                <w:szCs w:val="18"/>
              </w:rPr>
              <w:t>金、标的资产核心</w:t>
            </w:r>
            <w:r>
              <w:rPr>
                <w:rFonts w:ascii="宋体" w:hAnsi="宋体" w:cs="宋体" w:eastAsia="宋体" w:hint="default"/>
                <w:sz w:val="18"/>
                <w:szCs w:val="18"/>
              </w:rPr>
              <w:t> 管理团队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6"/>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57"/>
              <w:jc w:val="both"/>
              <w:rPr>
                <w:rFonts w:ascii="宋体" w:hAnsi="宋体" w:cs="宋体" w:eastAsia="宋体" w:hint="default"/>
                <w:sz w:val="18"/>
                <w:szCs w:val="18"/>
              </w:rPr>
            </w:pPr>
            <w:r>
              <w:rPr>
                <w:rFonts w:ascii="宋体" w:hAnsi="宋体" w:cs="宋体" w:eastAsia="宋体" w:hint="default"/>
                <w:sz w:val="18"/>
                <w:szCs w:val="18"/>
              </w:rPr>
              <w:t>本次交易完成后，保证上市公司在人员、资产、财务、机构及业务方面 与本人控制的其他企业完全分开，保持上市公司在业务、资产、人员、 财务和机构方面的独立。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1054" w:hRule="exact"/>
        </w:trPr>
        <w:tc>
          <w:tcPr>
            <w:tcW w:w="1592"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6" w:right="23"/>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z w:val="18"/>
                <w:szCs w:val="18"/>
              </w:rPr>
              <w:t> </w:t>
            </w:r>
            <w:r>
              <w:rPr>
                <w:rFonts w:ascii="宋体" w:hAnsi="宋体" w:cs="宋体" w:eastAsia="宋体" w:hint="default"/>
                <w:spacing w:val="-10"/>
                <w:sz w:val="18"/>
                <w:szCs w:val="18"/>
              </w:rPr>
              <w:t>金、标的资产核心</w:t>
            </w:r>
            <w:r>
              <w:rPr>
                <w:rFonts w:ascii="宋体" w:hAnsi="宋体" w:cs="宋体" w:eastAsia="宋体" w:hint="default"/>
                <w:sz w:val="18"/>
                <w:szCs w:val="18"/>
              </w:rPr>
              <w:t> 管理团队</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1" w:right="56"/>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5669" w:type="dxa"/>
            <w:vMerge w:val="restart"/>
            <w:tcBorders>
              <w:top w:val="single" w:sz="4" w:space="0" w:color="000000"/>
              <w:left w:val="single" w:sz="4" w:space="0" w:color="000000"/>
              <w:right w:val="single" w:sz="4" w:space="0" w:color="000000"/>
            </w:tcBorders>
          </w:tcPr>
          <w:p>
            <w:pPr>
              <w:pStyle w:val="TableParagraph"/>
              <w:spacing w:line="312"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本次交易前，除标的公司及其下属子公司外，本人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公司在本次交易前未 直接或间接从事其他与标的公司相同、相似或有竞争关系的业务（包括 </w:t>
            </w:r>
            <w:r>
              <w:rPr>
                <w:rFonts w:ascii="宋体" w:hAnsi="宋体" w:cs="宋体" w:eastAsia="宋体" w:hint="default"/>
                <w:spacing w:val="-3"/>
                <w:sz w:val="18"/>
                <w:szCs w:val="18"/>
              </w:rPr>
              <w:t>但不限于以投资、合作、承包、租赁、委托经营等方式参与上述业务），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亦未在相关单位工作或任职。同时本人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 司控制的其他企业不会直接或间接从事任何与上市公司及其下属公司主 要经营业务构成同业竞争或潜在同业竞争关系的生产与经营，亦不会投 资任何与上市公司及其下属公司主要经营业务构成同业竞争或潜在同业 竞争关系的其他企业；在本人在上市公司任职期间，本人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公司或本人</w:t>
            </w:r>
            <w:r>
              <w:rPr>
                <w:rFonts w:ascii="Times New Roman" w:hAnsi="Times New Roman" w:cs="Times New Roman" w:eastAsia="Times New Roman" w:hint="default"/>
                <w:sz w:val="18"/>
                <w:szCs w:val="18"/>
              </w:rPr>
              <w:t>/ </w:t>
            </w:r>
            <w:r>
              <w:rPr>
                <w:rFonts w:ascii="宋体" w:hAnsi="宋体" w:cs="宋体" w:eastAsia="宋体" w:hint="default"/>
                <w:sz w:val="18"/>
                <w:szCs w:val="18"/>
              </w:rPr>
              <w:t>公司控制的其他企业获得的商业机会与上市公司及其下属公司主营业务 发生同业竞争或可能发生同业竞争的，本人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公司将立即通知上市公司， 并尽力将该商业机会给予上市公司，以避免与上市公司及下属公司形成 同业竞争或潜在同业竞争，以确保上市公司及上市公司其他股东利益不 受损害。</w:t>
            </w:r>
          </w:p>
        </w:tc>
        <w:tc>
          <w:tcPr>
            <w:tcW w:w="1702" w:type="dxa"/>
            <w:vMerge w:val="restart"/>
            <w:tcBorders>
              <w:top w:val="single" w:sz="4" w:space="0" w:color="000000"/>
              <w:left w:val="single" w:sz="4" w:space="0" w:color="000000"/>
              <w:right w:val="single" w:sz="4" w:space="0" w:color="000000"/>
            </w:tcBorders>
          </w:tcPr>
          <w:p>
            <w:pPr>
              <w:pStyle w:val="TableParagraph"/>
              <w:spacing w:line="1872" w:lineRule="exact"/>
              <w:ind w:right="-51"/>
              <w:jc w:val="left"/>
              <w:rPr>
                <w:rFonts w:ascii="宋体" w:hAnsi="宋体" w:cs="宋体" w:eastAsia="宋体" w:hint="default"/>
                <w:sz w:val="20"/>
                <w:szCs w:val="20"/>
              </w:rPr>
            </w:pPr>
            <w:r>
              <w:rPr>
                <w:rFonts w:ascii="宋体" w:hAnsi="宋体" w:cs="宋体" w:eastAsia="宋体" w:hint="default"/>
                <w:position w:val="-36"/>
                <w:sz w:val="20"/>
                <w:szCs w:val="20"/>
              </w:rPr>
              <w:pict>
                <v:group style="width:84.65pt;height:93.65pt;mso-position-horizontal-relative:char;mso-position-vertical-relative:line" coordorigin="0,0" coordsize="1693,1873">
                  <v:group style="position:absolute;left:0;top:0;width:1693;height:1873" coordorigin="0,0" coordsize="1693,1873">
                    <v:shape style="position:absolute;left:0;top:0;width:1693;height:1873" coordorigin="0,0" coordsize="1693,1873" path="m0,1872l1692,1872,1692,0,0,0,0,187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703" w:hRule="exact"/>
        </w:trPr>
        <w:tc>
          <w:tcPr>
            <w:tcW w:w="1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418" w:type="dxa"/>
            <w:vMerge/>
            <w:tcBorders>
              <w:left w:val="single" w:sz="10" w:space="0" w:color="D2D2D2"/>
              <w:right w:val="single" w:sz="4" w:space="0" w:color="000000"/>
            </w:tcBorders>
          </w:tcPr>
          <w:p>
            <w:pPr/>
          </w:p>
        </w:tc>
        <w:tc>
          <w:tcPr>
            <w:tcW w:w="989" w:type="dxa"/>
            <w:vMerge/>
            <w:tcBorders>
              <w:left w:val="single" w:sz="4" w:space="0" w:color="000000"/>
              <w:right w:val="single" w:sz="4" w:space="0" w:color="000000"/>
            </w:tcBorders>
          </w:tcPr>
          <w:p>
            <w:pPr/>
          </w:p>
        </w:tc>
        <w:tc>
          <w:tcPr>
            <w:tcW w:w="5669"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r>
      <w:tr>
        <w:trPr>
          <w:trHeight w:val="2391" w:hRule="exact"/>
        </w:trPr>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7" w:footer="980" w:top="1060" w:bottom="1160" w:left="1300" w:right="1280"/>
          <w:pgNumType w:start="40"/>
        </w:sectPr>
      </w:pPr>
    </w:p>
    <w:p>
      <w:pPr>
        <w:spacing w:line="240" w:lineRule="auto" w:before="4"/>
        <w:rPr>
          <w:rFonts w:ascii="Times New Roman" w:hAnsi="Times New Roman" w:cs="Times New Roman" w:eastAsia="Times New Roman" w:hint="default"/>
          <w:sz w:val="3"/>
          <w:szCs w:val="3"/>
        </w:rPr>
      </w:pPr>
      <w:r>
        <w:rPr/>
        <w:pict>
          <v:shape style="position:absolute;margin-left:394.970001pt;margin-top:167.06601pt;width:243.9pt;height:70.25pt;mso-position-horizontal-relative:page;mso-position-vertical-relative:page;z-index:-1665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240" w:lineRule="auto"/>
                    <w:ind w:left="0" w:right="0"/>
                    <w:jc w:val="left"/>
                  </w:pPr>
                  <w:r>
                    <w:rPr/>
                    <w:t>不利用关联交易损害非关联股东的利益。</w:t>
                  </w:r>
                </w:p>
              </w:txbxContent>
            </v:textbox>
            <w10:wrap type="none"/>
          </v:shape>
        </w:pict>
      </w:r>
      <w:r>
        <w:rPr/>
        <w:pict>
          <v:group style="position:absolute;margin-left:554.229980pt;margin-top:167.06601pt;width:84.65pt;height:70.25pt;mso-position-horizontal-relative:page;mso-position-vertical-relative:page;z-index:-1665760" coordorigin="11085,3341" coordsize="1693,1405">
            <v:shape style="position:absolute;left:11085;top:3341;width:1693;height:1405" coordorigin="11085,3341" coordsize="1693,1405" path="m11085,4746l12777,4746,12777,3341,11085,3341,11085,474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1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09"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3"/>
              <w:jc w:val="both"/>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z w:val="18"/>
                <w:szCs w:val="18"/>
              </w:rPr>
              <w:t> </w:t>
            </w:r>
            <w:r>
              <w:rPr>
                <w:rFonts w:ascii="宋体" w:hAnsi="宋体" w:cs="宋体" w:eastAsia="宋体" w:hint="default"/>
                <w:spacing w:val="-10"/>
                <w:sz w:val="18"/>
                <w:szCs w:val="18"/>
              </w:rPr>
              <w:t>金、标的资产核心</w:t>
            </w:r>
            <w:r>
              <w:rPr>
                <w:rFonts w:ascii="宋体" w:hAnsi="宋体" w:cs="宋体" w:eastAsia="宋体" w:hint="default"/>
                <w:sz w:val="18"/>
                <w:szCs w:val="18"/>
              </w:rPr>
              <w:t> 管理团队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56"/>
              <w:jc w:val="both"/>
              <w:rPr>
                <w:rFonts w:ascii="宋体" w:hAnsi="宋体" w:cs="宋体" w:eastAsia="宋体" w:hint="default"/>
                <w:sz w:val="18"/>
                <w:szCs w:val="18"/>
              </w:rPr>
            </w:pPr>
            <w:r>
              <w:rPr>
                <w:rFonts w:ascii="宋体" w:hAnsi="宋体" w:cs="宋体" w:eastAsia="宋体" w:hint="default"/>
                <w:sz w:val="18"/>
                <w:szCs w:val="18"/>
              </w:rPr>
              <w:t>关于减少和 规范关联交 易的承诺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公司控制的企业与上市公司之间不 存在显失公平的关联交易。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公司和本人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 控制的其他企业将尽量避免或减少与上市公司及其下属子公司之间的关 联交易，对于无法避免或有合理理由存在的关联交易，将与上市公司依 法签订规范的关联交易协议，并按照有关法律、法规、规章、上市规则 和其他规范性文件以及上市公司章程的规定履行批准程序；关联交易价 格依照与无关联关系的独立第三方进行相同或相似交易时的价格确定， 保证关联交易价格具有公允性；保证按照有关法律、法规、上市公司章 程的规定履行关联交易的信息披露义务。本公司保证不利用关联交易非 </w:t>
            </w:r>
            <w:r>
              <w:rPr>
                <w:rFonts w:ascii="宋体" w:hAnsi="宋体" w:cs="宋体" w:eastAsia="宋体" w:hint="default"/>
                <w:spacing w:val="-3"/>
                <w:sz w:val="18"/>
                <w:szCs w:val="18"/>
              </w:rPr>
              <w:t>法转移上市公司的资金、利润，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1652" w:hRule="exact"/>
        </w:trPr>
        <w:tc>
          <w:tcPr>
            <w:tcW w:w="1592"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z w:val="18"/>
                <w:szCs w:val="18"/>
              </w:rPr>
              <w:t> </w:t>
            </w:r>
            <w:r>
              <w:rPr>
                <w:rFonts w:ascii="宋体" w:hAnsi="宋体" w:cs="宋体" w:eastAsia="宋体" w:hint="default"/>
                <w:spacing w:val="-10"/>
                <w:sz w:val="18"/>
                <w:szCs w:val="18"/>
              </w:rPr>
              <w:t>金、标的资产核心</w:t>
            </w:r>
            <w:r>
              <w:rPr>
                <w:rFonts w:ascii="宋体" w:hAnsi="宋体" w:cs="宋体" w:eastAsia="宋体" w:hint="default"/>
                <w:sz w:val="18"/>
                <w:szCs w:val="18"/>
              </w:rPr>
              <w:t> 管理团队、王晓 </w:t>
            </w:r>
            <w:r>
              <w:rPr>
                <w:rFonts w:ascii="宋体" w:hAnsi="宋体" w:cs="宋体" w:eastAsia="宋体" w:hint="default"/>
                <w:spacing w:val="-10"/>
                <w:sz w:val="18"/>
                <w:szCs w:val="18"/>
              </w:rPr>
              <w:t>岩、王廷月、钱学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宁、张明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1"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1" w:right="57"/>
              <w:jc w:val="both"/>
              <w:rPr>
                <w:rFonts w:ascii="宋体" w:hAnsi="宋体" w:cs="宋体" w:eastAsia="宋体" w:hint="default"/>
                <w:sz w:val="18"/>
                <w:szCs w:val="18"/>
              </w:rPr>
            </w:pPr>
            <w:r>
              <w:rPr>
                <w:rFonts w:ascii="宋体" w:hAnsi="宋体" w:cs="宋体" w:eastAsia="宋体" w:hint="default"/>
                <w:sz w:val="18"/>
                <w:szCs w:val="18"/>
              </w:rPr>
              <w:t>自该等股份上市之日起三十六个月内将不以任何方式转让，包括但不限 于通过证券市场公开转让或通过协议方式转让。由于深信泰丰送红股、 转增股本等原因而导致增持的股份，亦遵照上述锁定期进行锁定。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承诺已履行完毕， 承诺人无违反本承 诺的情况。</w:t>
            </w:r>
          </w:p>
        </w:tc>
      </w:tr>
      <w:tr>
        <w:trPr>
          <w:trHeight w:val="1337" w:hRule="exact"/>
        </w:trPr>
        <w:tc>
          <w:tcPr>
            <w:tcW w:w="1592"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6"/>
              <w:jc w:val="both"/>
              <w:rPr>
                <w:rFonts w:ascii="宋体" w:hAnsi="宋体" w:cs="宋体" w:eastAsia="宋体" w:hint="default"/>
                <w:sz w:val="18"/>
                <w:szCs w:val="18"/>
              </w:rPr>
            </w:pPr>
            <w:r>
              <w:rPr>
                <w:rFonts w:ascii="宋体" w:hAnsi="宋体" w:cs="宋体" w:eastAsia="宋体" w:hint="default"/>
                <w:sz w:val="18"/>
                <w:szCs w:val="18"/>
              </w:rPr>
              <w:t>关于未来三 年不放弃上 市公司控制 权的承诺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1" w:right="57"/>
              <w:jc w:val="left"/>
              <w:rPr>
                <w:rFonts w:ascii="宋体" w:hAnsi="宋体" w:cs="宋体" w:eastAsia="宋体" w:hint="default"/>
                <w:sz w:val="18"/>
                <w:szCs w:val="18"/>
              </w:rPr>
            </w:pPr>
            <w:r>
              <w:rPr>
                <w:rFonts w:ascii="宋体" w:hAnsi="宋体" w:cs="宋体" w:eastAsia="宋体" w:hint="default"/>
                <w:sz w:val="18"/>
                <w:szCs w:val="18"/>
              </w:rPr>
              <w:t>在本次交易完成后，本人作为上市公司的控股股东、实际控制人，承诺 在本次交易完成后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个月内不主动放弃上市公司的控股股东及实际控 制人地位。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承诺已履行完毕， 承诺人无违反本承 诺的情况。</w:t>
            </w:r>
          </w:p>
        </w:tc>
      </w:tr>
      <w:tr>
        <w:trPr>
          <w:trHeight w:val="196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1" w:right="56"/>
              <w:jc w:val="both"/>
              <w:rPr>
                <w:rFonts w:ascii="宋体" w:hAnsi="宋体" w:cs="宋体" w:eastAsia="宋体" w:hint="default"/>
                <w:sz w:val="18"/>
                <w:szCs w:val="18"/>
              </w:rPr>
            </w:pPr>
            <w:r>
              <w:rPr>
                <w:rFonts w:ascii="宋体" w:hAnsi="宋体" w:cs="宋体" w:eastAsia="宋体" w:hint="default"/>
                <w:sz w:val="18"/>
                <w:szCs w:val="18"/>
              </w:rPr>
              <w:t>关于未来不 谋求上市公 司控制权的 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55"/>
              <w:jc w:val="both"/>
              <w:rPr>
                <w:rFonts w:ascii="宋体" w:hAnsi="宋体" w:cs="宋体" w:eastAsia="宋体" w:hint="default"/>
                <w:sz w:val="18"/>
                <w:szCs w:val="18"/>
              </w:rPr>
            </w:pPr>
            <w:r>
              <w:rPr>
                <w:rFonts w:ascii="宋体" w:hAnsi="宋体" w:cs="宋体" w:eastAsia="宋体" w:hint="default"/>
                <w:sz w:val="18"/>
                <w:szCs w:val="18"/>
              </w:rPr>
              <w:t>在重大资产购买完成后，本人直接或间接持有上市公司股份期间，本人 将仅依据公司、证券法等中国法律法规独立行使本人作为上市公司股东 的权利，不会通过任何方式（包括但不限于在二级市场上增持上市公司 股份、协议受让上市公司股份、认购上市公司新增股份、与上市公司其 他任何直接或间接股东形成一致行动关系等方式）谋求对上市公司的控 制地位或对上市公司控制权的影响。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1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21"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9"/>
              <w:jc w:val="left"/>
              <w:rPr>
                <w:rFonts w:ascii="宋体" w:hAnsi="宋体" w:cs="宋体" w:eastAsia="宋体" w:hint="default"/>
                <w:sz w:val="18"/>
                <w:szCs w:val="18"/>
              </w:rPr>
            </w:pPr>
            <w:r>
              <w:rPr>
                <w:rFonts w:ascii="宋体" w:hAnsi="宋体" w:cs="宋体" w:eastAsia="宋体" w:hint="default"/>
                <w:spacing w:val="-10"/>
                <w:sz w:val="18"/>
                <w:szCs w:val="18"/>
              </w:rPr>
              <w:t>郭为、中信建投基</w:t>
            </w:r>
            <w:r>
              <w:rPr>
                <w:rFonts w:ascii="宋体" w:hAnsi="宋体" w:cs="宋体" w:eastAsia="宋体" w:hint="default"/>
                <w:sz w:val="18"/>
                <w:szCs w:val="18"/>
              </w:rPr>
              <w:t> </w:t>
            </w:r>
            <w:r>
              <w:rPr>
                <w:rFonts w:ascii="宋体" w:hAnsi="宋体" w:cs="宋体" w:eastAsia="宋体" w:hint="default"/>
                <w:spacing w:val="-10"/>
                <w:sz w:val="18"/>
                <w:szCs w:val="18"/>
              </w:rPr>
              <w:t>金、标的资产核心</w:t>
            </w:r>
            <w:r>
              <w:rPr>
                <w:rFonts w:ascii="宋体" w:hAnsi="宋体" w:cs="宋体" w:eastAsia="宋体" w:hint="default"/>
                <w:sz w:val="18"/>
                <w:szCs w:val="18"/>
              </w:rPr>
              <w:t> 管理团队、王廷 </w:t>
            </w:r>
            <w:r>
              <w:rPr>
                <w:rFonts w:ascii="宋体" w:hAnsi="宋体" w:cs="宋体" w:eastAsia="宋体" w:hint="default"/>
                <w:spacing w:val="-10"/>
                <w:sz w:val="18"/>
                <w:szCs w:val="18"/>
              </w:rPr>
              <w:t>月、王晓岩、钱学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宁、张明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21"/>
              <w:jc w:val="left"/>
              <w:rPr>
                <w:rFonts w:ascii="宋体" w:hAnsi="宋体" w:cs="宋体" w:eastAsia="宋体" w:hint="default"/>
                <w:sz w:val="18"/>
                <w:szCs w:val="18"/>
              </w:rPr>
            </w:pP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公司已向上市公司及为本次非公开发行提供审计、评估、法律及财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务顾问专业服务的中介机构提供了与本人有关的相关信息和文件（包括 </w:t>
            </w:r>
            <w:r>
              <w:rPr>
                <w:rFonts w:ascii="宋体" w:hAnsi="宋体" w:cs="宋体" w:eastAsia="宋体" w:hint="default"/>
                <w:spacing w:val="-3"/>
                <w:sz w:val="18"/>
                <w:szCs w:val="18"/>
              </w:rPr>
              <w:t>但不限于原始书面材料、副本材料或口头证言等），本人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公司保证：所</w:t>
            </w:r>
            <w:r>
              <w:rPr>
                <w:rFonts w:ascii="宋体" w:hAnsi="宋体" w:cs="宋体" w:eastAsia="宋体" w:hint="default"/>
                <w:spacing w:val="-86"/>
                <w:sz w:val="18"/>
                <w:szCs w:val="18"/>
              </w:rPr>
              <w:t> </w:t>
            </w:r>
            <w:r>
              <w:rPr>
                <w:rFonts w:ascii="宋体" w:hAnsi="宋体" w:cs="宋体" w:eastAsia="宋体" w:hint="default"/>
                <w:sz w:val="18"/>
                <w:szCs w:val="18"/>
              </w:rPr>
              <w:t>提供的文件资料的副本或复印件与正本或原件一致，且该等文件资料的 签字与印章都是真实的；保证所提供信息和文件真实、准确和完整，不 存在虚假记载、误导性陈述或者重大遗漏，并对所提供信息的真实性、 准确性和完整性承担个别及连带的法律责任。在参与本次非公开发行期 </w:t>
            </w:r>
            <w:r>
              <w:rPr>
                <w:rFonts w:ascii="宋体" w:hAnsi="宋体" w:cs="宋体" w:eastAsia="宋体" w:hint="default"/>
                <w:spacing w:val="-1"/>
                <w:sz w:val="18"/>
                <w:szCs w:val="18"/>
              </w:rPr>
              <w:t>间，本人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公司将依照相关法律、法规、规章、中国证券监督管理委员会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和深圳证券交易所的有关规定，及时向上市公司披露有关本次交易的信 息，并保证该等信息的真实性、准确性和完整性，保证该等信息不存在 虚假记载、误导性陈述或者重大遗漏。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1340"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10"/>
                <w:sz w:val="18"/>
                <w:szCs w:val="18"/>
              </w:rPr>
              <w:t>中信建投基金、标</w:t>
            </w:r>
            <w:r>
              <w:rPr>
                <w:rFonts w:ascii="宋体" w:hAnsi="宋体" w:cs="宋体" w:eastAsia="宋体" w:hint="default"/>
                <w:sz w:val="18"/>
                <w:szCs w:val="18"/>
              </w:rPr>
              <w:t> 的资产核心管理 团队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57"/>
              <w:jc w:val="both"/>
              <w:rPr>
                <w:rFonts w:ascii="宋体" w:hAnsi="宋体" w:cs="宋体" w:eastAsia="宋体" w:hint="default"/>
                <w:sz w:val="18"/>
                <w:szCs w:val="18"/>
              </w:rPr>
            </w:pPr>
            <w:r>
              <w:rPr>
                <w:rFonts w:ascii="宋体" w:hAnsi="宋体" w:cs="宋体" w:eastAsia="宋体" w:hint="default"/>
                <w:sz w:val="18"/>
                <w:szCs w:val="18"/>
              </w:rPr>
              <w:t>资管计划的认购人均为自主认购资管计划份额，为资管计划份额的真实 持有人和最终受益人，任何第三方就该等认购人所持资管计划份额均不 享有任何权利。资管计划的委托人之间不存在分级收益等结构化安排。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547.98999pt;margin-top:77.310005pt;width:90.9pt;height:117.05pt;mso-position-horizontal-relative:page;mso-position-vertical-relative:page;z-index:-1665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shape style="position:absolute;margin-left:466.970001pt;margin-top:213.890015pt;width:171.9pt;height:117.05pt;mso-position-horizontal-relative:page;mso-position-vertical-relative:page;z-index:-1665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控制的上市公司股份，</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1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82"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1" w:right="56"/>
              <w:jc w:val="both"/>
              <w:rPr>
                <w:rFonts w:ascii="宋体" w:hAnsi="宋体" w:cs="宋体" w:eastAsia="宋体" w:hint="default"/>
                <w:sz w:val="18"/>
                <w:szCs w:val="18"/>
              </w:rPr>
            </w:pPr>
            <w:r>
              <w:rPr>
                <w:rFonts w:ascii="宋体" w:hAnsi="宋体" w:cs="宋体" w:eastAsia="宋体" w:hint="default"/>
                <w:sz w:val="18"/>
                <w:szCs w:val="18"/>
              </w:rPr>
              <w:t>关于防止关 联资金占用 的承诺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7"/>
              <w:jc w:val="left"/>
              <w:rPr>
                <w:rFonts w:ascii="宋体" w:hAnsi="宋体" w:cs="宋体" w:eastAsia="宋体" w:hint="default"/>
                <w:sz w:val="18"/>
                <w:szCs w:val="18"/>
              </w:rPr>
            </w:pPr>
            <w:r>
              <w:rPr>
                <w:rFonts w:ascii="宋体" w:hAnsi="宋体" w:cs="宋体" w:eastAsia="宋体" w:hint="default"/>
                <w:sz w:val="18"/>
                <w:szCs w:val="18"/>
              </w:rPr>
              <w:t>本次交易完成之后，本人保证依法行使股东权利，不因滥用股东权利而 损害上市公司或者其他股东的利益。本人及与本人关系密切的家庭成员</w:t>
            </w:r>
          </w:p>
          <w:p>
            <w:pPr>
              <w:pStyle w:val="TableParagraph"/>
              <w:spacing w:line="314" w:lineRule="auto" w:before="19"/>
              <w:ind w:left="21"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指配偶、父母及配偶的父母、兄弟姐妹及其配 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周岁的子女及其配偶、配偶的兄弟姐妹和子女配偶的父母） 等关联方目前不存在且将来也不会以任何方式违法违规占用上市公司及 其纳入合并财务报表范围内的子公司（以下简称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上市公司及其子公司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资金或要求上市公司及其子公司违法违规提供担保。若本人或与本人关 系密切的家庭成员等关联方存在违法违规占用上市公司及其子公司资 金、要求上市公司及其子公司违法违规提供担保的情况，则本人保证并 促使与本人关系密切的家庭成员等关联方将占用资金及相应利息（以同 期银行存款基准利率计算）全部归还；对于违规提供的担保及时进行解 除，并同意在违规担保全部解除前不转让所持有、 并授权上市公司董事会办理股份锁定手续；若本人或与本人关系密切的 家庭成员等关联方因违法违规占用上市公司及其子公司资金或要求上市 公司及其子公司违法违规提供担保而对上市公司及其子公司造成任何经 济损失，本人承诺对该等经济损失承担全部赔偿责任。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84.65pt;height:117.05pt;mso-position-horizontal-relative:char;mso-position-vertical-relative:line" coordorigin="0,0" coordsize="1693,2341">
                  <v:group style="position:absolute;left:0;top:0;width:1693;height:2341" coordorigin="0,0" coordsize="1693,2341">
                    <v:shape style="position:absolute;left:0;top:0;width:1693;height:2341" coordorigin="0,0" coordsize="1693,2341" path="m0,2340l1692,2340,1692,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84.65pt;height:117.05pt;mso-position-horizontal-relative:char;mso-position-vertical-relative:line" coordorigin="0,0" coordsize="1693,2341">
                  <v:group style="position:absolute;left:0;top:0;width:1693;height:2341" coordorigin="0,0" coordsize="1693,2341">
                    <v:shape style="position:absolute;left:0;top:0;width:1693;height:2341" coordorigin="0,0" coordsize="1693,2341" path="m0,2340l1692,2340,1692,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2900"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4"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2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、本公司系在中国法律合法成立并有效存续的有限公司，拥有与深信泰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丰签署协议及履行协议项下权利义务的合法主体资格。</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、本公司及主要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管理人员最近五年内未受过行政处罚、刑事处罚或者涉及与经济纠纷有 关的重大民事诉讼或仲裁，不存在被立案调查的情况，亦未受到与证券 </w:t>
            </w:r>
            <w:r>
              <w:rPr>
                <w:rFonts w:ascii="宋体" w:hAnsi="宋体" w:cs="宋体" w:eastAsia="宋体" w:hint="default"/>
                <w:spacing w:val="-2"/>
                <w:sz w:val="18"/>
                <w:szCs w:val="18"/>
              </w:rPr>
              <w:t>市场有关的行政处罚。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、本公司及主要管理人员在最近五年内不存在违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反诚信的情况，包括但不限于未按期偿还大额债务、未履行承诺、被中 国证券监督管理委员会采取行政监管措施或受到证券交易所纪律处分的 </w:t>
            </w:r>
            <w:r>
              <w:rPr>
                <w:rFonts w:ascii="宋体" w:hAnsi="宋体" w:cs="宋体" w:eastAsia="宋体" w:hint="default"/>
                <w:spacing w:val="-2"/>
                <w:sz w:val="18"/>
                <w:szCs w:val="18"/>
              </w:rPr>
              <w:t>情况等。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、本公司实际控制人王晓岩为深信泰丰董事，除王晓岩外，本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公司未向深信泰丰推荐董事、监事和高级管理人员。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377.087006pt;margin-top:222.290009pt;width:261.8pt;height:109.25pt;mso-position-horizontal-relative:page;mso-position-vertical-relative:page;z-index:-1665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316" w:lineRule="auto"/>
                    <w:ind w:left="0" w:right="1633" w:firstLine="1439"/>
                    <w:jc w:val="left"/>
                  </w:pPr>
                  <w:r>
                    <w:rPr/>
                    <w:t>误导性陈述或者重大遗漏， 准确性和完整性承担个别及连带的法律责任。</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1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897"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本次交易完成后，本公司和本公司控制的企业将尽量避免或减少与上市 公司及其下属子公司之间的关联交易，对于无法避免或有合理理由存在 的关联交易，将与上市公司依法签订规范的关联交易协议，并按照有关 法律、法规、规章、上市规则和其他规范性文件以及上市公司章程的规 定履行批准程序；关联交易价格依照与无关联关系的独立第三方进行相 同或相似交易时的价格确定，保证关联交易价格具有公允性；保证按照 有关法律、法规、上市公司章程的规定履行关联交易的信息披露义务。 本公司保证不利用关联交易非法转移上市公司的资金、利润，不利用关 联交易损害非关联股东的利益。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4772"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4"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、本公司已向上市公司及为本次交易服务的中介机构提供了本公司有关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本次交易的相关信息和文件（包括但不限于原始书面材料、副本材料或 </w:t>
            </w:r>
            <w:r>
              <w:rPr>
                <w:rFonts w:ascii="宋体" w:hAnsi="宋体" w:cs="宋体" w:eastAsia="宋体" w:hint="default"/>
                <w:spacing w:val="-5"/>
                <w:sz w:val="18"/>
                <w:szCs w:val="18"/>
              </w:rPr>
              <w:t>口头证言等）。本公司保证：所提供的文件资料的副本或复印件与正本或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原件一致，且该等文件资料的签字与印章都是真实的；保证所提供信息 和文件真实、准确和完整，不存在虚假记载、</w:t>
            </w:r>
            <w:r>
              <w:rPr>
                <w:rFonts w:ascii="宋体" w:hAnsi="宋体" w:cs="宋体" w:eastAsia="宋体" w:hint="default"/>
                <w:sz w:val="18"/>
                <w:szCs w:val="18"/>
              </w:rPr>
              <w:t> 并对所提供信息的真实性、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、在参与本次交易期间，本公司将依照相关法律、法规、规章、中国证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券监督管理委员会和深圳证券交易所的有关规定，及时向上市公司披露 有关本次交易的信息，并保证该等信息的真实性、准确性和完整性，保 </w:t>
            </w:r>
            <w:r>
              <w:rPr>
                <w:rFonts w:ascii="宋体" w:hAnsi="宋体" w:cs="宋体" w:eastAsia="宋体" w:hint="default"/>
                <w:spacing w:val="-2"/>
                <w:sz w:val="18"/>
                <w:szCs w:val="18"/>
              </w:rPr>
              <w:t>证该等信息不存在虚假记载、误导性陈述或者重大遗漏。</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、本公司保证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填报的内幕信息知情人信息的真实、准确、完整。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、本公司承诺最近五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年内未受过与证券市场相关的行政处罚、刑事处罚，不存在被立案调查 </w:t>
            </w:r>
            <w:r>
              <w:rPr>
                <w:rFonts w:ascii="宋体" w:hAnsi="宋体" w:cs="宋体" w:eastAsia="宋体" w:hint="default"/>
                <w:spacing w:val="-2"/>
                <w:sz w:val="18"/>
                <w:szCs w:val="18"/>
              </w:rPr>
              <w:t>的情况，也不存在与经济纠纷有关的重大民事诉讼或仲裁事项。</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司承诺最近五年内不存在未按期偿还大额债务、未履行承诺、被中国证 监会采取行政监管措施或受到证券交易所纪律处分的情况。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84.65pt;height:109.25pt;mso-position-horizontal-relative:char;mso-position-vertical-relative:line" coordorigin="0,0" coordsize="1693,2185">
                  <v:group style="position:absolute;left:0;top:0;width:1693;height:2185" coordorigin="0,0" coordsize="1693,2185">
                    <v:shape style="position:absolute;left:0;top:0;width:1693;height:2185" coordorigin="0,0" coordsize="1693,2185" path="m0,2184l1692,2184,1692,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484.970001pt;margin-top:159.866013pt;width:153.9pt;height:62.45pt;mso-position-horizontal-relative:page;mso-position-vertical-relative:page;z-index:-1665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0"/>
                    <w:jc w:val="left"/>
                  </w:pPr>
                  <w:r>
                    <w:rPr/>
                    <w:t>并按照有关法律、</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418"/>
        <w:gridCol w:w="989"/>
        <w:gridCol w:w="5669"/>
        <w:gridCol w:w="1702"/>
        <w:gridCol w:w="1133"/>
        <w:gridCol w:w="1514"/>
      </w:tblGrid>
      <w:tr>
        <w:trPr>
          <w:trHeight w:val="41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1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49"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7"/>
              <w:jc w:val="both"/>
              <w:rPr>
                <w:rFonts w:ascii="宋体" w:hAnsi="宋体" w:cs="宋体" w:eastAsia="宋体" w:hint="default"/>
                <w:sz w:val="18"/>
                <w:szCs w:val="18"/>
              </w:rPr>
            </w:pPr>
            <w:r>
              <w:rPr>
                <w:rFonts w:ascii="宋体" w:hAnsi="宋体" w:cs="宋体" w:eastAsia="宋体" w:hint="default"/>
                <w:sz w:val="18"/>
                <w:szCs w:val="18"/>
              </w:rPr>
              <w:t>重大资产出售交易完成之后，五家标的公司所涉及的全部尚未了结的诉 讼所产生的或有负债及或有损失均由标的公司自行承担，上市公司无需 承担任何或有负债及或有损失，且本公司承诺不因标的公司任何相关尚 未了结的诉讼所产生的或有负债及或有损失而要求上市公司承担任何补 偿责任。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2900"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56"/>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本次交易完成后，本人和本人控制的企业将尽量避免或减少与上市公司 及其下属子公司之间的关联交易，对于无法避免或有合理理由存在的关 联交易，将与上市公司依法签订规范的关联交易协议， 法规、规章、上市规则和其他规范性文件以及上市公司章程的规定履行 批准程序；关联交易价格依照与无关联关系的独立第三方进行相同或相 似交易时的价格确定，保证关联交易价格具有公允性；保证按照有关法 律、法规、上市公司章程的规定履行关联交易的信息披露义务。本公司 保证不利用关联交易非法转移上市公司的资金、利润，不利用关联交易 损害非关联股东的利益。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84.65pt;height:62.45pt;mso-position-horizontal-relative:char;mso-position-vertical-relative:line" coordorigin="0,0" coordsize="1693,1249">
                  <v:group style="position:absolute;left:0;top:0;width:1693;height:1249" coordorigin="0,0" coordsize="1693,1249">
                    <v:shape style="position:absolute;left:0;top:0;width:1693;height:1249" coordorigin="0,0" coordsize="1693,1249" path="m0,1248l1692,1248,1692,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8" w:type="dxa"/>
            <w:tcBorders>
              <w:top w:val="single" w:sz="4" w:space="0" w:color="000000"/>
              <w:left w:val="single" w:sz="13" w:space="0" w:color="D2D2D2"/>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郝峻晟、朱丽英</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669" w:type="dxa"/>
            <w:vMerge w:val="restart"/>
            <w:tcBorders>
              <w:top w:val="single" w:sz="4" w:space="0" w:color="000000"/>
              <w:left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郝峻晟、朱丽英承诺，上海云角信息技术有限公司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1" w:right="22"/>
              <w:jc w:val="left"/>
              <w:rPr>
                <w:rFonts w:ascii="宋体" w:hAnsi="宋体" w:cs="宋体" w:eastAsia="宋体" w:hint="default"/>
                <w:sz w:val="18"/>
                <w:szCs w:val="18"/>
              </w:rPr>
            </w:pPr>
            <w:r>
              <w:rPr>
                <w:rFonts w:ascii="宋体" w:hAnsi="宋体" w:cs="宋体" w:eastAsia="宋体" w:hint="default"/>
                <w:sz w:val="18"/>
                <w:szCs w:val="18"/>
              </w:rPr>
              <w:t>度的经审计的扣除非经常性损益后的净利润分别不低于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1,800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2,700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3,645 </w:t>
            </w:r>
            <w:r>
              <w:rPr>
                <w:rFonts w:ascii="宋体" w:hAnsi="宋体" w:cs="宋体" w:eastAsia="宋体" w:hint="default"/>
                <w:sz w:val="18"/>
                <w:szCs w:val="18"/>
              </w:rPr>
              <w:t>万元。承诺期内实现净利润应不低于累计 承诺净利润，否则郝峻晟和朱丽英应按照协议约定对上市公司予以补偿</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14" w:type="dxa"/>
            <w:vMerge w:val="restart"/>
            <w:tcBorders>
              <w:top w:val="single" w:sz="4" w:space="0" w:color="000000"/>
              <w:left w:val="single" w:sz="4" w:space="0" w:color="000000"/>
              <w:right w:val="single" w:sz="4" w:space="0" w:color="000000"/>
            </w:tcBorders>
          </w:tcPr>
          <w:p>
            <w:pPr>
              <w:pStyle w:val="TableParagraph"/>
              <w:spacing w:line="316" w:lineRule="auto" w:before="49"/>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承诺仍在履行过程 中，承诺人无违反 本承诺的情况。</w:t>
            </w:r>
          </w:p>
        </w:tc>
      </w:tr>
      <w:tr>
        <w:trPr>
          <w:trHeight w:val="350" w:hRule="exact"/>
        </w:trPr>
        <w:tc>
          <w:tcPr>
            <w:tcW w:w="15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418" w:type="dxa"/>
            <w:vMerge/>
            <w:tcBorders>
              <w:left w:val="single" w:sz="10"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r>
        <w:trPr>
          <w:trHeight w:val="353" w:hRule="exact"/>
        </w:trPr>
        <w:tc>
          <w:tcPr>
            <w:tcW w:w="1592"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56"/>
              <w:jc w:val="both"/>
              <w:rPr>
                <w:rFonts w:ascii="宋体" w:hAnsi="宋体" w:cs="宋体" w:eastAsia="宋体" w:hint="default"/>
                <w:sz w:val="18"/>
                <w:szCs w:val="18"/>
              </w:rPr>
            </w:pPr>
            <w:r>
              <w:rPr>
                <w:rFonts w:ascii="宋体" w:hAnsi="宋体" w:cs="宋体" w:eastAsia="宋体" w:hint="default"/>
                <w:sz w:val="18"/>
                <w:szCs w:val="18"/>
              </w:rPr>
              <w:t>关于六个月 不减持公司 股份的承诺</w:t>
            </w:r>
          </w:p>
        </w:tc>
        <w:tc>
          <w:tcPr>
            <w:tcW w:w="56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本人自本承诺之日起的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2"/>
                <w:sz w:val="18"/>
                <w:szCs w:val="18"/>
              </w:rPr>
              <w:t>个月内（即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00" w:lineRule="auto" w:before="60"/>
              <w:ind w:left="2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日止），不减持本人名下所登记股份，包括承诺期间该部分股份因资本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公积转增、派送股票红利新增的股份。</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4" w:type="dxa"/>
            <w:vMerge w:val="restart"/>
            <w:tcBorders>
              <w:top w:val="single" w:sz="4" w:space="0" w:color="000000"/>
              <w:left w:val="single" w:sz="4" w:space="0" w:color="000000"/>
              <w:right w:val="single" w:sz="4" w:space="0" w:color="000000"/>
            </w:tcBorders>
          </w:tcPr>
          <w:p>
            <w:pPr>
              <w:pStyle w:val="TableParagraph"/>
              <w:spacing w:line="316" w:lineRule="auto" w:before="51"/>
              <w:ind w:left="21" w:right="41"/>
              <w:jc w:val="both"/>
              <w:rPr>
                <w:rFonts w:ascii="宋体" w:hAnsi="宋体" w:cs="宋体" w:eastAsia="宋体" w:hint="default"/>
                <w:sz w:val="18"/>
                <w:szCs w:val="18"/>
              </w:rPr>
            </w:pPr>
            <w:r>
              <w:rPr>
                <w:rFonts w:ascii="宋体" w:hAnsi="宋体" w:cs="宋体" w:eastAsia="宋体" w:hint="default"/>
                <w:sz w:val="18"/>
                <w:szCs w:val="18"/>
              </w:rPr>
              <w:t>截至本报告日，本 承诺已履行完毕， 承诺人无违反本承 诺的情况。</w:t>
            </w:r>
          </w:p>
        </w:tc>
      </w:tr>
      <w:tr>
        <w:trPr>
          <w:trHeight w:val="986" w:hRule="exact"/>
        </w:trPr>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2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25"/>
        <w:gridCol w:w="1195"/>
        <w:gridCol w:w="1196"/>
        <w:gridCol w:w="1195"/>
        <w:gridCol w:w="1198"/>
        <w:gridCol w:w="1195"/>
        <w:gridCol w:w="1198"/>
        <w:gridCol w:w="1195"/>
      </w:tblGrid>
      <w:tr>
        <w:trPr>
          <w:trHeight w:val="713" w:hRule="exact"/>
        </w:trPr>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8" w:right="27" w:hanging="272"/>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0" w:hanging="452"/>
              <w:jc w:val="left"/>
              <w:rPr>
                <w:rFonts w:ascii="宋体" w:hAnsi="宋体" w:cs="宋体" w:eastAsia="宋体" w:hint="default"/>
                <w:sz w:val="18"/>
                <w:szCs w:val="18"/>
              </w:rPr>
            </w:pPr>
            <w:r>
              <w:rPr>
                <w:rFonts w:ascii="宋体" w:hAnsi="宋体" w:cs="宋体" w:eastAsia="宋体" w:hint="default"/>
                <w:sz w:val="18"/>
                <w:szCs w:val="18"/>
              </w:rPr>
              <w:t>未达预测的原 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1" w:right="50"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1,362.51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1,868.88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2,834.46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49"/>
        <w:ind w:right="0"/>
        <w:jc w:val="left"/>
      </w:pPr>
      <w:r>
        <w:rPr/>
        <w:t>公司股东、交易对手方在报告年度经营业绩做出的承诺情况</w:t>
      </w:r>
    </w:p>
    <w:p>
      <w:pPr>
        <w:pStyle w:val="BodyText"/>
        <w:spacing w:line="340" w:lineRule="auto" w:before="115"/>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郝峻晟、朱丽英承诺，上海云角</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年实现的经审计的扣除非经常性损益的税后净利润分别</w:t>
      </w:r>
    </w:p>
    <w:p>
      <w:pPr>
        <w:pStyle w:val="BodyText"/>
        <w:spacing w:line="228" w:lineRule="exact"/>
        <w:ind w:right="0"/>
        <w:jc w:val="left"/>
      </w:pPr>
      <w:r>
        <w:rPr/>
        <w:t>不低于人民币</w:t>
      </w:r>
      <w:r>
        <w:rPr>
          <w:rFonts w:ascii="Times New Roman" w:hAnsi="Times New Roman" w:cs="Times New Roman" w:eastAsia="Times New Roman" w:hint="default"/>
        </w:rPr>
        <w:t>1,200</w:t>
      </w:r>
      <w:r>
        <w:rPr/>
        <w:t>万元、人民币</w:t>
      </w:r>
      <w:r>
        <w:rPr>
          <w:rFonts w:ascii="Times New Roman" w:hAnsi="Times New Roman" w:cs="Times New Roman" w:eastAsia="Times New Roman" w:hint="default"/>
        </w:rPr>
        <w:t>1,800</w:t>
      </w:r>
      <w:r>
        <w:rPr/>
        <w:t>万元、人民币</w:t>
      </w:r>
      <w:r>
        <w:rPr>
          <w:rFonts w:ascii="Times New Roman" w:hAnsi="Times New Roman" w:cs="Times New Roman" w:eastAsia="Times New Roman" w:hint="default"/>
        </w:rPr>
        <w:t>2,700</w:t>
      </w:r>
      <w:r>
        <w:rPr/>
        <w:t>万元、人民币</w:t>
      </w:r>
      <w:r>
        <w:rPr>
          <w:rFonts w:ascii="Times New Roman" w:hAnsi="Times New Roman" w:cs="Times New Roman" w:eastAsia="Times New Roman" w:hint="default"/>
        </w:rPr>
        <w:t>3,645</w:t>
      </w:r>
      <w:r>
        <w:rPr/>
        <w:t>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513" w:right="6253" w:hanging="361"/>
        <w:jc w:val="left"/>
      </w:pPr>
      <w:r>
        <w:rPr/>
        <w:t>业绩承诺的完成情况及其对商誉减值测试的影响 上述业绩承诺均已完成，本报告期未发生商誉减值。</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46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034" w:firstLine="360"/>
        <w:jc w:val="left"/>
      </w:pPr>
      <w:r>
        <w:rPr>
          <w:rFonts w:ascii="Times New Roman" w:hAnsi="Times New Roman" w:cs="Times New Roman" w:eastAsia="Times New Roman" w:hint="default"/>
        </w:rPr>
        <w:t>2019</w:t>
      </w:r>
      <w:r>
        <w:rPr/>
        <w:t>年起本集团执行新金融工具准则，会计政策、会计估计和核算方法发生变化的情况详见本报告第十二节财务报告、 五、重要会计政策及会计估计、</w:t>
      </w:r>
      <w:r>
        <w:rPr>
          <w:rFonts w:ascii="Times New Roman" w:hAnsi="Times New Roman" w:cs="Times New Roman" w:eastAsia="Times New Roman" w:hint="default"/>
        </w:rPr>
        <w:t>36</w:t>
      </w:r>
      <w:r>
        <w:rPr/>
        <w:t>、重要会计政策和会计估计变更。</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after="0" w:line="338" w:lineRule="auto"/>
        <w:jc w:val="left"/>
        <w:sectPr>
          <w:headerReference w:type="default" r:id="rId18"/>
          <w:footerReference w:type="default" r:id="rId19"/>
          <w:pgSz w:w="11910" w:h="16840"/>
          <w:pgMar w:header="877" w:footer="980" w:top="1100" w:bottom="1160" w:left="980" w:right="0"/>
          <w:pgNumType w:start="46"/>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本集团合并财务报表范围包括本公司、神码中国、神码上海、神码广州等</w:t>
      </w:r>
      <w:r>
        <w:rPr>
          <w:rFonts w:ascii="Times New Roman" w:hAnsi="Times New Roman" w:cs="Times New Roman" w:eastAsia="Times New Roman" w:hint="default"/>
        </w:rPr>
        <w:t>41</w:t>
      </w:r>
      <w:r>
        <w:rPr/>
        <w:t>家公司，结构化主体</w:t>
      </w:r>
      <w:r>
        <w:rPr>
          <w:rFonts w:ascii="Times New Roman" w:hAnsi="Times New Roman" w:cs="Times New Roman" w:eastAsia="Times New Roman" w:hint="default"/>
        </w:rPr>
        <w:t>1</w:t>
      </w:r>
      <w:r>
        <w:rPr/>
        <w:t>家。与上年相比，本</w:t>
      </w:r>
    </w:p>
    <w:p>
      <w:pPr>
        <w:pStyle w:val="BodyText"/>
        <w:spacing w:line="217" w:lineRule="exact"/>
        <w:ind w:right="0"/>
        <w:jc w:val="left"/>
      </w:pPr>
      <w:r>
        <w:rPr/>
        <w:t>年因设立新增武汉神州数码有限公司，因开展应收账款资产支持专项计划新增结构化主体，因清算关闭重庆神州数码有限公</w:t>
      </w:r>
    </w:p>
    <w:p>
      <w:pPr>
        <w:pStyle w:val="BodyText"/>
        <w:spacing w:line="240" w:lineRule="auto" w:before="76"/>
        <w:ind w:right="0"/>
        <w:jc w:val="left"/>
      </w:pPr>
      <w:r>
        <w:rPr/>
        <w:t>司，济南神州数码有限公司，深圳神州数码云科信息安全有限公司，深圳神州数码云科系统科技有限公司共</w:t>
      </w:r>
      <w:r>
        <w:rPr>
          <w:rFonts w:ascii="Times New Roman" w:hAnsi="Times New Roman" w:cs="Times New Roman" w:eastAsia="Times New Roman" w:hint="default"/>
        </w:rPr>
        <w:t>4</w:t>
      </w:r>
      <w:r>
        <w:rPr/>
        <w:t>家公司。</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唐炫、唐静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报告期内公司聘请信永中和会计师事务所（特殊普通合伙）为</w:t>
      </w:r>
      <w:r>
        <w:rPr>
          <w:rFonts w:ascii="Times New Roman" w:hAnsi="Times New Roman" w:cs="Times New Roman" w:eastAsia="Times New Roman" w:hint="default"/>
          <w:spacing w:val="-5"/>
        </w:rPr>
        <w:t>2019</w:t>
      </w:r>
      <w:r>
        <w:rPr>
          <w:spacing w:val="-5"/>
        </w:rPr>
        <w:t>年度内部控制审计机构，审计费用为人民币</w:t>
      </w:r>
      <w:r>
        <w:rPr>
          <w:rFonts w:ascii="Times New Roman" w:hAnsi="Times New Roman" w:cs="Times New Roman" w:eastAsia="Times New Roman" w:hint="default"/>
          <w:spacing w:val="-5"/>
        </w:rPr>
        <w:t>35</w:t>
      </w:r>
      <w:r>
        <w:rPr>
          <w:spacing w:val="-5"/>
        </w:rPr>
        <w:t>万元（此</w:t>
      </w:r>
    </w:p>
    <w:p>
      <w:pPr>
        <w:pStyle w:val="BodyText"/>
        <w:spacing w:line="230" w:lineRule="exact"/>
        <w:ind w:right="0"/>
        <w:jc w:val="left"/>
      </w:pPr>
      <w:r>
        <w:rPr/>
        <w:t>费用不包括在上述</w:t>
      </w:r>
      <w:r>
        <w:rPr>
          <w:rFonts w:ascii="Times New Roman" w:hAnsi="Times New Roman" w:cs="Times New Roman" w:eastAsia="Times New Roman" w:hint="default"/>
        </w:rPr>
        <w:t>243</w:t>
      </w:r>
      <w:r>
        <w:rPr/>
        <w:t>万元中），截止报告日尚未支付。</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991"/>
        <w:gridCol w:w="853"/>
        <w:gridCol w:w="991"/>
        <w:gridCol w:w="1844"/>
        <w:gridCol w:w="1202"/>
        <w:gridCol w:w="1064"/>
        <w:gridCol w:w="1066"/>
      </w:tblGrid>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85"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6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311" w:right="67"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36" w:right="47" w:hanging="69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 影响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46" w:right="84"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853"/>
        <w:gridCol w:w="991"/>
        <w:gridCol w:w="1844"/>
        <w:gridCol w:w="1202"/>
        <w:gridCol w:w="1064"/>
        <w:gridCol w:w="10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1" w:right="67"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36" w:right="47" w:hanging="69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 影响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46" w:right="84"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寰球实业（安徽） 有限公司就神码北 京、北京卓优世纪 科技有限公司、神 码中国合同纠纷提 起诉讼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55"/>
              <w:jc w:val="left"/>
              <w:rPr>
                <w:rFonts w:ascii="宋体" w:hAnsi="宋体" w:cs="宋体" w:eastAsia="宋体" w:hint="default"/>
                <w:sz w:val="18"/>
                <w:szCs w:val="18"/>
              </w:rPr>
            </w:pPr>
            <w:r>
              <w:rPr>
                <w:rFonts w:ascii="宋体" w:hAnsi="宋体" w:cs="宋体" w:eastAsia="宋体" w:hint="default"/>
                <w:sz w:val="18"/>
                <w:szCs w:val="18"/>
              </w:rPr>
              <w:t>民事裁定书 生效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日，中 华人民共和国最高人 </w:t>
            </w:r>
            <w:r>
              <w:rPr>
                <w:rFonts w:ascii="宋体" w:hAnsi="宋体" w:cs="宋体" w:eastAsia="宋体" w:hint="default"/>
                <w:spacing w:val="-2"/>
                <w:sz w:val="18"/>
                <w:szCs w:val="18"/>
              </w:rPr>
              <w:t>民法院作出（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）最</w:t>
            </w:r>
            <w:r>
              <w:rPr>
                <w:rFonts w:ascii="宋体" w:hAnsi="宋体" w:cs="宋体" w:eastAsia="宋体" w:hint="default"/>
                <w:spacing w:val="-8"/>
                <w:sz w:val="18"/>
                <w:szCs w:val="18"/>
              </w:rPr>
              <w:t> </w:t>
            </w:r>
            <w:r>
              <w:rPr>
                <w:rFonts w:ascii="宋体" w:hAnsi="宋体" w:cs="宋体" w:eastAsia="宋体" w:hint="default"/>
                <w:sz w:val="18"/>
                <w:szCs w:val="18"/>
              </w:rPr>
              <w:t>高法民申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号《民 </w:t>
            </w:r>
            <w:r>
              <w:rPr>
                <w:rFonts w:ascii="宋体" w:hAnsi="宋体" w:cs="宋体" w:eastAsia="宋体" w:hint="default"/>
                <w:spacing w:val="-10"/>
                <w:sz w:val="18"/>
                <w:szCs w:val="18"/>
              </w:rPr>
              <w:t>事裁定书》，裁定驳回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寰球实业（安徽）有限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公司的再审申请。</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38" w:lineRule="auto"/>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2019-096</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天津祥润昌商贸有 限公司就神码北 京、神码中国合同 纠纷提起诉讼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5,152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40" w:lineRule="auto"/>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2019-017</w:t>
            </w:r>
          </w:p>
        </w:tc>
      </w:tr>
      <w:tr>
        <w:trPr>
          <w:trHeight w:val="38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84"/>
              <w:jc w:val="both"/>
              <w:rPr>
                <w:rFonts w:ascii="宋体" w:hAnsi="宋体" w:cs="宋体" w:eastAsia="宋体" w:hint="default"/>
                <w:sz w:val="18"/>
                <w:szCs w:val="18"/>
              </w:rPr>
            </w:pPr>
            <w:r>
              <w:rPr>
                <w:rFonts w:ascii="宋体" w:hAnsi="宋体" w:cs="宋体" w:eastAsia="宋体" w:hint="default"/>
                <w:sz w:val="18"/>
                <w:szCs w:val="18"/>
              </w:rPr>
              <w:t>山西省物产集团进 出口有限公司就神 码中国合同纠纷提 起诉讼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z w:val="18"/>
              </w:rPr>
              <w:t>3,399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55"/>
              <w:jc w:val="both"/>
              <w:rPr>
                <w:rFonts w:ascii="宋体" w:hAnsi="宋体" w:cs="宋体" w:eastAsia="宋体" w:hint="default"/>
                <w:sz w:val="18"/>
                <w:szCs w:val="18"/>
              </w:rPr>
            </w:pPr>
            <w:r>
              <w:rPr>
                <w:rFonts w:ascii="宋体" w:hAnsi="宋体" w:cs="宋体" w:eastAsia="宋体" w:hint="default"/>
                <w:sz w:val="18"/>
                <w:szCs w:val="18"/>
              </w:rPr>
              <w:t>再审后发回 重审，神码 中国一审胜 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20"/>
                <w:sz w:val="18"/>
                <w:szCs w:val="18"/>
              </w:rPr>
              <w:t>日，北</w:t>
            </w:r>
            <w:r>
              <w:rPr>
                <w:rFonts w:ascii="宋体" w:hAnsi="宋体" w:cs="宋体" w:eastAsia="宋体" w:hint="default"/>
                <w:sz w:val="18"/>
                <w:szCs w:val="18"/>
              </w:rPr>
              <w:t> 京市海淀区人民法院 作出（</w:t>
            </w:r>
            <w:r>
              <w:rPr>
                <w:rFonts w:ascii="Times New Roman" w:hAnsi="Times New Roman" w:cs="Times New Roman" w:eastAsia="Times New Roman" w:hint="default"/>
                <w:sz w:val="18"/>
                <w:szCs w:val="18"/>
              </w:rPr>
              <w:t>2019</w:t>
            </w: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0108</w:t>
            </w:r>
          </w:p>
          <w:p>
            <w:pPr>
              <w:pStyle w:val="TableParagraph"/>
              <w:spacing w:line="316" w:lineRule="auto" w:before="7"/>
              <w:ind w:left="23" w:right="9"/>
              <w:jc w:val="left"/>
              <w:rPr>
                <w:rFonts w:ascii="宋体" w:hAnsi="宋体" w:cs="宋体" w:eastAsia="宋体" w:hint="default"/>
                <w:sz w:val="18"/>
                <w:szCs w:val="18"/>
              </w:rPr>
            </w:pPr>
            <w:r>
              <w:rPr>
                <w:rFonts w:ascii="宋体" w:hAnsi="宋体" w:cs="宋体" w:eastAsia="宋体" w:hint="default"/>
                <w:sz w:val="18"/>
                <w:szCs w:val="18"/>
              </w:rPr>
              <w:t>民再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号《民事判决 </w:t>
            </w:r>
            <w:r>
              <w:rPr>
                <w:rFonts w:ascii="宋体" w:hAnsi="宋体" w:cs="宋体" w:eastAsia="宋体" w:hint="default"/>
                <w:spacing w:val="-10"/>
                <w:sz w:val="18"/>
                <w:szCs w:val="18"/>
              </w:rPr>
              <w:t>书》，判决驳回山西省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物产集团进出口有限 公司的全部诉讼请求； 案件受理费由山西省 物产集团进出口有限 公司负担；公告费由山</w:t>
            </w:r>
            <w:r>
              <w:rPr>
                <w:rFonts w:ascii="宋体" w:hAnsi="宋体" w:cs="宋体" w:eastAsia="宋体" w:hint="default"/>
                <w:sz w:val="18"/>
                <w:szCs w:val="18"/>
              </w:rPr>
              <w:t> 西省物产集团进出口 有限公司负担。</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38" w:lineRule="auto"/>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2020-001</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涉及从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年至报</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告期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 </w:t>
            </w:r>
            <w:r>
              <w:rPr>
                <w:rFonts w:ascii="宋体" w:hAnsi="宋体" w:cs="宋体" w:eastAsia="宋体" w:hint="default"/>
                <w:sz w:val="18"/>
                <w:szCs w:val="18"/>
              </w:rPr>
              <w:t>个购销合 同纠纷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56,059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75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报告期内，公司及其控股股东、实际控制人的诚信状况良好，不存在未履行法院生效判决、所负数额较大的债务到期未</w:t>
      </w:r>
    </w:p>
    <w:p>
      <w:pPr>
        <w:pStyle w:val="BodyText"/>
        <w:spacing w:line="240" w:lineRule="auto" w:before="1"/>
        <w:ind w:right="0"/>
        <w:jc w:val="left"/>
      </w:pPr>
      <w:r>
        <w:rPr/>
        <w:t>清偿等情况。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日公司第九届董事会第十二次会议和公司第九届监事会第十一次会议，及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w:t>
      </w:r>
      <w:r>
        <w:rPr>
          <w:rFonts w:ascii="Times New Roman" w:hAnsi="Times New Roman" w:cs="Times New Roman" w:eastAsia="Times New Roman" w:hint="default"/>
          <w:spacing w:val="-2"/>
        </w:rPr>
        <w:t>2019</w:t>
      </w:r>
      <w:r>
        <w:rPr>
          <w:spacing w:val="-2"/>
        </w:rPr>
        <w:t>年第二次</w:t>
      </w:r>
      <w:r>
        <w:rPr/>
        <w:t> </w:t>
      </w:r>
      <w:r>
        <w:rPr>
          <w:spacing w:val="-4"/>
        </w:rPr>
        <w:t>临时股东大会审议通过了《关于公司</w:t>
      </w:r>
      <w:r>
        <w:rPr>
          <w:rFonts w:ascii="Times New Roman" w:hAnsi="Times New Roman" w:cs="Times New Roman" w:eastAsia="Times New Roman" w:hint="default"/>
          <w:spacing w:val="-4"/>
        </w:rPr>
        <w:t>&lt;2019</w:t>
      </w:r>
      <w:r>
        <w:rPr>
          <w:spacing w:val="-4"/>
        </w:rPr>
        <w:t>年股票期权与限制性股票激励计划（草案）</w:t>
      </w:r>
      <w:r>
        <w:rPr>
          <w:rFonts w:ascii="Times New Roman" w:hAnsi="Times New Roman" w:cs="Times New Roman" w:eastAsia="Times New Roman" w:hint="default"/>
          <w:spacing w:val="-4"/>
        </w:rPr>
        <w:t>&gt;</w:t>
      </w:r>
      <w:r>
        <w:rPr>
          <w:spacing w:val="-4"/>
        </w:rPr>
        <w:t>及其摘要的议案》、《关于公司</w:t>
      </w:r>
      <w:r>
        <w:rPr>
          <w:rFonts w:ascii="Times New Roman" w:hAnsi="Times New Roman" w:cs="Times New Roman" w:eastAsia="Times New Roman" w:hint="default"/>
          <w:spacing w:val="-4"/>
        </w:rPr>
        <w:t>&lt;2019</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年股票期权与限制性股票激励计划实施考核管理办法</w:t>
      </w:r>
      <w:r>
        <w:rPr>
          <w:rFonts w:ascii="Times New Roman" w:hAnsi="Times New Roman" w:cs="Times New Roman" w:eastAsia="Times New Roman" w:hint="default"/>
        </w:rPr>
        <w:t>&gt;</w:t>
      </w:r>
      <w:r>
        <w:rPr/>
        <w:t>的议案》、《关于提请股东大会授权董事会办理股权激励相关事宜的 议案》。详见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日巨潮资讯网上的相关公告。</w:t>
      </w:r>
    </w:p>
    <w:p>
      <w:pPr>
        <w:pStyle w:val="BodyText"/>
        <w:spacing w:line="307" w:lineRule="auto" w:before="1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日，公司第九届董事会第十三次会议和第九届监事会第十二次会议审议通过了《关于调整</w:t>
      </w:r>
      <w:r>
        <w:rPr>
          <w:rFonts w:ascii="Times New Roman" w:hAnsi="Times New Roman" w:cs="Times New Roman" w:eastAsia="Times New Roman" w:hint="default"/>
        </w:rPr>
        <w:t>2019</w:t>
      </w:r>
      <w:r>
        <w:rPr/>
        <w:t>年股票期权 </w:t>
      </w:r>
      <w:r>
        <w:rPr>
          <w:spacing w:val="-5"/>
        </w:rPr>
        <w:t>与限制性股票激励计划激励对象名单及授予权益数量的议案》、《关于向激励对象首次授予股票期权与限制性股票的议案》。</w:t>
      </w:r>
      <w:r>
        <w:rPr>
          <w:spacing w:val="-78"/>
        </w:rPr>
        <w:t> </w:t>
      </w:r>
      <w:r>
        <w:rPr>
          <w:spacing w:val="-78"/>
        </w:rPr>
      </w:r>
      <w:r>
        <w:rPr>
          <w:spacing w:val="-2"/>
        </w:rPr>
        <w:t>股票期权首次授予的激励对象人数调整为</w:t>
      </w:r>
      <w:r>
        <w:rPr>
          <w:rFonts w:ascii="Times New Roman" w:hAnsi="Times New Roman" w:cs="Times New Roman" w:eastAsia="Times New Roman" w:hint="default"/>
          <w:spacing w:val="-2"/>
        </w:rPr>
        <w:t>239</w:t>
      </w:r>
      <w:r>
        <w:rPr>
          <w:spacing w:val="-2"/>
        </w:rPr>
        <w:t>人，股票期权首次授予数量调整为</w:t>
      </w:r>
      <w:r>
        <w:rPr>
          <w:rFonts w:ascii="Times New Roman" w:hAnsi="Times New Roman" w:cs="Times New Roman" w:eastAsia="Times New Roman" w:hint="default"/>
          <w:spacing w:val="-2"/>
        </w:rPr>
        <w:t>2,206.50</w:t>
      </w:r>
      <w:r>
        <w:rPr>
          <w:spacing w:val="-2"/>
        </w:rPr>
        <w:t>万份，限制性股票首次授予的激励对</w:t>
      </w:r>
      <w:r>
        <w:rPr>
          <w:spacing w:val="-56"/>
        </w:rPr>
        <w:t> </w:t>
      </w:r>
      <w:r>
        <w:rPr>
          <w:spacing w:val="-56"/>
        </w:rPr>
      </w:r>
      <w:r>
        <w:rPr/>
        <w:t>象人数调整为</w:t>
      </w:r>
      <w:r>
        <w:rPr>
          <w:rFonts w:ascii="Times New Roman" w:hAnsi="Times New Roman" w:cs="Times New Roman" w:eastAsia="Times New Roman" w:hint="default"/>
        </w:rPr>
        <w:t>21</w:t>
      </w:r>
      <w:r>
        <w:rPr/>
        <w:t>人，限制性股票首次授予数量调整为</w:t>
      </w:r>
      <w:r>
        <w:rPr>
          <w:rFonts w:ascii="Times New Roman" w:hAnsi="Times New Roman" w:cs="Times New Roman" w:eastAsia="Times New Roman" w:hint="default"/>
        </w:rPr>
        <w:t>397.50</w:t>
      </w:r>
      <w:r>
        <w:rPr/>
        <w:t>万股。详见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日巨潮资讯网上的相关公告。</w:t>
      </w:r>
    </w:p>
    <w:p>
      <w:pPr>
        <w:pStyle w:val="BodyText"/>
        <w:spacing w:line="300" w:lineRule="auto" w:before="7"/>
        <w:ind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2019</w:t>
      </w:r>
      <w:r>
        <w:rPr>
          <w:spacing w:val="-2"/>
        </w:rPr>
        <w:t>年股票期权与限制性股票激励计划完成首次授予股票期权的登记，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日本次授予的限制性</w:t>
      </w:r>
      <w:r>
        <w:rPr/>
        <w:t> </w:t>
      </w:r>
      <w:r>
        <w:rPr>
          <w:spacing w:val="-5"/>
        </w:rPr>
        <w:t>股票上市。详见巨潮资讯网《关于</w:t>
      </w:r>
      <w:r>
        <w:rPr>
          <w:rFonts w:ascii="Times New Roman" w:hAnsi="Times New Roman" w:cs="Times New Roman" w:eastAsia="Times New Roman" w:hint="default"/>
          <w:spacing w:val="-5"/>
        </w:rPr>
        <w:t>2019</w:t>
      </w:r>
      <w:r>
        <w:rPr>
          <w:spacing w:val="-5"/>
        </w:rPr>
        <w:t>年股票期权与限制性股票激励计划首次授予登记完成的公告》（公告编号</w:t>
      </w:r>
      <w:r>
        <w:rPr>
          <w:rFonts w:ascii="Times New Roman" w:hAnsi="Times New Roman" w:cs="Times New Roman" w:eastAsia="Times New Roman" w:hint="default"/>
          <w:spacing w:val="-5"/>
        </w:rPr>
        <w:t>2019-072</w:t>
      </w:r>
      <w:r>
        <w:rPr>
          <w:spacing w:val="-5"/>
        </w:rPr>
        <w:t>）。</w:t>
      </w:r>
      <w:r>
        <w:rPr/>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571"/>
        <w:gridCol w:w="775"/>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854.27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44"/>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采购行 政办公 </w:t>
            </w:r>
            <w:r>
              <w:rPr>
                <w:rFonts w:ascii="宋体" w:hAnsi="宋体" w:cs="宋体" w:eastAsia="宋体" w:hint="default"/>
                <w:spacing w:val="-18"/>
                <w:sz w:val="18"/>
                <w:szCs w:val="18"/>
              </w:rPr>
              <w:t>服务、货</w:t>
            </w:r>
            <w:r>
              <w:rPr>
                <w:rFonts w:ascii="宋体" w:hAnsi="宋体" w:cs="宋体" w:eastAsia="宋体" w:hint="default"/>
                <w:sz w:val="18"/>
                <w:szCs w:val="18"/>
              </w:rPr>
              <w:t> 运服务 及其它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39,432.96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6,151.12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销售服 务及其 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1,233.77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采购技 术服务 或劳务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59.92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571"/>
        <w:gridCol w:w="775"/>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18,284.88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神州数码 信息服务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销售行 政办公 </w:t>
            </w:r>
            <w:r>
              <w:rPr>
                <w:rFonts w:ascii="宋体" w:hAnsi="宋体" w:cs="宋体" w:eastAsia="宋体" w:hint="default"/>
                <w:spacing w:val="-18"/>
                <w:sz w:val="18"/>
                <w:szCs w:val="18"/>
              </w:rPr>
              <w:t>服务、货</w:t>
            </w:r>
            <w:r>
              <w:rPr>
                <w:rFonts w:ascii="宋体" w:hAnsi="宋体" w:cs="宋体" w:eastAsia="宋体" w:hint="default"/>
                <w:sz w:val="18"/>
                <w:szCs w:val="18"/>
              </w:rPr>
              <w:t> 运服务 及其它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1,837.98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北京荣之 联科技股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北京荣之 联科技股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销售服 务及其 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69,373.31</w:t>
            </w:r>
            <w:r>
              <w:rPr>
                <w:rFonts w:ascii="Times New Roman"/>
                <w:sz w:val="18"/>
              </w:rPr>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131,100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9"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年度关联方交易：对神州控股关联采购预计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万元，实际履行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40,287.23</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万元；对神州控股关联销售预计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29,700.00 </w:t>
            </w:r>
            <w:r>
              <w:rPr>
                <w:rFonts w:ascii="宋体" w:hAnsi="宋体" w:cs="宋体" w:eastAsia="宋体" w:hint="default"/>
                <w:sz w:val="18"/>
                <w:szCs w:val="18"/>
              </w:rPr>
              <w:t>万元，实际履行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息关联采购预计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万元；对神州信息关联销售预计</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38,500.00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万元，实际履行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20,122.87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万元，对荣之联关联销售预计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万元，实</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w:t>
            </w:r>
          </w:p>
        </w:tc>
        <w:tc>
          <w:tcPr>
            <w:tcW w:w="6711" w:type="dxa"/>
            <w:gridSpan w:val="10"/>
            <w:vMerge/>
            <w:tcBorders>
              <w:left w:val="single" w:sz="10" w:space="0" w:color="D2D2D2"/>
              <w:right w:val="single" w:sz="4" w:space="0" w:color="000000"/>
            </w:tcBorders>
          </w:tcPr>
          <w:p>
            <w:pPr/>
          </w:p>
        </w:tc>
      </w:tr>
      <w:tr>
        <w:trPr>
          <w:trHeight w:val="317"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6"/>
        <w:gridCol w:w="943"/>
        <w:gridCol w:w="958"/>
        <w:gridCol w:w="955"/>
        <w:gridCol w:w="958"/>
        <w:gridCol w:w="958"/>
        <w:gridCol w:w="958"/>
        <w:gridCol w:w="955"/>
        <w:gridCol w:w="958"/>
        <w:gridCol w:w="991"/>
      </w:tblGrid>
      <w:tr>
        <w:trPr>
          <w:trHeight w:val="1027"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7"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北京神州 数码置业 发展有限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15,359.94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1,755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4.35%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-1,881.95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11,733</w:t>
            </w:r>
          </w:p>
        </w:tc>
      </w:tr>
      <w:tr>
        <w:trPr>
          <w:trHeight w:val="715"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公司对北京神州数码置业发展有限公司提供的借款对公司经营成果及财务状况影响较小。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5"/>
        <w:gridCol w:w="915"/>
        <w:gridCol w:w="930"/>
        <w:gridCol w:w="1296"/>
        <w:gridCol w:w="1064"/>
        <w:gridCol w:w="1034"/>
        <w:gridCol w:w="1056"/>
        <w:gridCol w:w="786"/>
        <w:gridCol w:w="779"/>
      </w:tblGrid>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3"/>
              <w:ind w:left="94"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vMerge w:val="restart"/>
            <w:tcBorders>
              <w:top w:val="single" w:sz="4" w:space="0" w:color="000000"/>
              <w:left w:val="single" w:sz="5"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5" w:space="0" w:color="000000"/>
            </w:tcBorders>
            <w:shd w:val="clear" w:color="auto" w:fill="D2D2D2"/>
          </w:tcPr>
          <w:p>
            <w:pPr/>
          </w:p>
        </w:tc>
        <w:tc>
          <w:tcPr>
            <w:tcW w:w="930" w:type="dxa"/>
            <w:vMerge/>
            <w:tcBorders>
              <w:left w:val="single" w:sz="5"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5" w:space="0" w:color="000000"/>
            </w:tcBorders>
            <w:shd w:val="clear" w:color="auto" w:fill="D2D2D2"/>
          </w:tcPr>
          <w:p>
            <w:pPr/>
          </w:p>
        </w:tc>
        <w:tc>
          <w:tcPr>
            <w:tcW w:w="930"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5" w:space="0" w:color="000000"/>
            </w:tcBorders>
            <w:shd w:val="clear" w:color="auto" w:fill="D2D2D2"/>
          </w:tcPr>
          <w:p>
            <w:pPr/>
          </w:p>
        </w:tc>
        <w:tc>
          <w:tcPr>
            <w:tcW w:w="930" w:type="dxa"/>
            <w:vMerge w:val="restart"/>
            <w:tcBorders>
              <w:top w:val="nil" w:sz="6" w:space="0" w:color="auto"/>
              <w:left w:val="single" w:sz="5"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5" w:space="0" w:color="000000"/>
            </w:tcBorders>
            <w:shd w:val="clear" w:color="auto" w:fill="D2D2D2"/>
          </w:tcPr>
          <w:p>
            <w:pPr/>
          </w:p>
        </w:tc>
        <w:tc>
          <w:tcPr>
            <w:tcW w:w="930" w:type="dxa"/>
            <w:vMerge/>
            <w:tcBorders>
              <w:left w:val="single" w:sz="5"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4"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债务人债务 履行期限届 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自不特定债 权的确定期 间届满之日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自不特定债 权的确定期 间届满之日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24,968.16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24,968.16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98,350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18,247.22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自签署之日 起至银行收 到担保人书 面通知终止 担保后三个 月止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自签署之日 起至银行收 到担保人书 面通知终止 担保后三个 月止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18,996.99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17,006.57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债务到期日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最后到期的 主债务履行 期限届满之 日后两年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最后到期的 主债务履行 期限届满之 日后两年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20,023.12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最后到期主 债务履行期 限届满之日 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1,836.36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的债务期限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15,591.5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合同项下债 务人每次使 用授信额度 而发生的债 务履行期限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合同项下债 务人每次使 用授信额度 而发生的债 务履行期限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各具体授信 的债务履行 期限届满之 日后两年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各具体授信 的债务履行 期限届满之 日后两年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258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自每笔债权 合同债务履 行期届满之 日起至该债 权合同约定 的债务履行 期届满之日 后两年止。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每笔债务履 行期届满之 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每笔债务履 行期届满之 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319" w:lineRule="auto" w:before="19"/>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自担保书生 效之日起至</w:t>
            </w:r>
          </w:p>
          <w:p>
            <w:pPr>
              <w:pStyle w:val="TableParagraph"/>
              <w:spacing w:line="319" w:lineRule="auto" w:before="19"/>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主合同约定 的债务人履 行债务期限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的债务期限 届满之次日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履行债务期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19,400.97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的债务履行 期限届满日 后三年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4,750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19,400.97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的债务履行 期限届满日 后三年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后两年止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16,158.87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持续有效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34,777.08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32,049.13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主债务存续 期间持续有 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38,450.96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39,881.72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主债权履行 期限届满之 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债务到期后 满两年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债务到期后 满两年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限届满之日 起三年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14,166.83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履行债务期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22,169.58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《授信协 议》项下每 笔融资的到 期日另加三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12" w:lineRule="auto" w:before="60"/>
              <w:ind w:left="23"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日至最后 一笔被担保 债务的最终 到期日后满</w:t>
            </w:r>
          </w:p>
          <w:p>
            <w:pPr>
              <w:pStyle w:val="TableParagraph"/>
              <w:spacing w:line="300" w:lineRule="auto" w:before="23"/>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年）之日</w:t>
            </w:r>
            <w:r>
              <w:rPr>
                <w:rFonts w:ascii="宋体" w:hAnsi="宋体" w:cs="宋体" w:eastAsia="宋体" w:hint="default"/>
                <w:sz w:val="18"/>
                <w:szCs w:val="18"/>
              </w:rPr>
              <w:t> 终止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4"/>
              <w:jc w:val="both"/>
              <w:rPr>
                <w:rFonts w:ascii="Times New Roman" w:hAnsi="Times New Roman" w:cs="Times New Roman" w:eastAsia="Times New Roman" w:hint="default"/>
                <w:sz w:val="18"/>
                <w:szCs w:val="18"/>
              </w:rPr>
            </w:pPr>
            <w:r>
              <w:rPr>
                <w:rFonts w:ascii="宋体" w:hAnsi="宋体" w:cs="宋体" w:eastAsia="宋体" w:hint="default"/>
                <w:sz w:val="18"/>
                <w:szCs w:val="18"/>
              </w:rPr>
              <w:t>合同义务履 行期届满之 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00" w:lineRule="auto"/>
              <w:ind w:left="23"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担保期间为 被保证交易 约定的债务 履行期限届 满之日起两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自被保证交 易约定的债 务履行期限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神码数据服务香港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神码中国杭州分公司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6,840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之日起三年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神码中国杭州分公司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11,606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债务履行期 限届满之日 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7,617.78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起六个月。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起三年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神码数据服务香港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神码数据服务香港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武汉云科网络</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起二年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7,764.63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从签署日起 至主合同项 下被保证人 债务履行期 届满之后两 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5,130.72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4,735.37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31,412.06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1"/>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20"/>
        <w:gridCol w:w="922"/>
        <w:gridCol w:w="1304"/>
        <w:gridCol w:w="1054"/>
        <w:gridCol w:w="1044"/>
        <w:gridCol w:w="1047"/>
        <w:gridCol w:w="790"/>
        <w:gridCol w:w="785"/>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
              <w:jc w:val="right"/>
              <w:rPr>
                <w:rFonts w:ascii="Times New Roman" w:hAnsi="Times New Roman" w:cs="Times New Roman" w:eastAsia="Times New Roman" w:hint="default"/>
                <w:sz w:val="18"/>
                <w:szCs w:val="18"/>
              </w:rPr>
            </w:pPr>
            <w:r>
              <w:rPr>
                <w:rFonts w:ascii="Times New Roman"/>
                <w:spacing w:val="-1"/>
                <w:sz w:val="18"/>
              </w:rPr>
              <w:t>21,000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
              <w:jc w:val="right"/>
              <w:rPr>
                <w:rFonts w:ascii="Times New Roman" w:hAnsi="Times New Roman" w:cs="Times New Roman" w:eastAsia="Times New Roman" w:hint="default"/>
                <w:sz w:val="18"/>
                <w:szCs w:val="18"/>
              </w:rPr>
            </w:pPr>
            <w:r>
              <w:rPr>
                <w:rFonts w:ascii="Times New Roman"/>
                <w:spacing w:val="-1"/>
                <w:sz w:val="18"/>
              </w:rPr>
              <w:t>19,700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46,000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69,606.35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
              <w:jc w:val="right"/>
              <w:rPr>
                <w:rFonts w:ascii="Times New Roman" w:hAnsi="Times New Roman" w:cs="Times New Roman" w:eastAsia="Times New Roman" w:hint="default"/>
                <w:sz w:val="18"/>
                <w:szCs w:val="18"/>
              </w:rPr>
            </w:pPr>
            <w:r>
              <w:rPr>
                <w:rFonts w:ascii="Times New Roman"/>
                <w:spacing w:val="-1"/>
                <w:sz w:val="18"/>
              </w:rPr>
              <w:t>39,000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
              <w:jc w:val="right"/>
              <w:rPr>
                <w:rFonts w:ascii="Times New Roman" w:hAnsi="Times New Roman" w:cs="Times New Roman" w:eastAsia="Times New Roman" w:hint="default"/>
                <w:sz w:val="18"/>
                <w:szCs w:val="18"/>
              </w:rPr>
            </w:pPr>
            <w:r>
              <w:rPr>
                <w:rFonts w:ascii="Times New Roman"/>
                <w:spacing w:val="-1"/>
                <w:sz w:val="18"/>
              </w:rPr>
              <w:t>69,606.35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pacing w:val="-1"/>
                <w:sz w:val="18"/>
              </w:rPr>
              <w:t>175,000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pacing w:val="-1"/>
                <w:sz w:val="18"/>
              </w:rPr>
              <w:t>76,525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11,346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7" w:right="0"/>
              <w:jc w:val="left"/>
              <w:rPr>
                <w:rFonts w:ascii="Times New Roman" w:hAnsi="Times New Roman" w:cs="Times New Roman" w:eastAsia="Times New Roman" w:hint="default"/>
                <w:sz w:val="18"/>
                <w:szCs w:val="18"/>
              </w:rPr>
            </w:pPr>
            <w:r>
              <w:rPr>
                <w:rFonts w:ascii="Times New Roman"/>
                <w:sz w:val="18"/>
              </w:rPr>
              <w:t>1,770,494.48</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950,257.84</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28" w:right="0"/>
              <w:jc w:val="left"/>
              <w:rPr>
                <w:rFonts w:ascii="Times New Roman" w:hAnsi="Times New Roman" w:cs="Times New Roman" w:eastAsia="Times New Roman" w:hint="default"/>
                <w:sz w:val="18"/>
                <w:szCs w:val="18"/>
              </w:rPr>
            </w:pPr>
            <w:r>
              <w:rPr>
                <w:rFonts w:ascii="Times New Roman"/>
                <w:sz w:val="18"/>
              </w:rPr>
              <w:t>3,963,180.8</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31" w:right="0"/>
              <w:jc w:val="left"/>
              <w:rPr>
                <w:rFonts w:ascii="Times New Roman" w:hAnsi="Times New Roman" w:cs="Times New Roman" w:eastAsia="Times New Roman" w:hint="default"/>
                <w:sz w:val="18"/>
                <w:szCs w:val="18"/>
              </w:rPr>
            </w:pPr>
            <w:r>
              <w:rPr>
                <w:rFonts w:ascii="Times New Roman"/>
                <w:sz w:val="18"/>
              </w:rPr>
              <w:t>1,507,171.85</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4"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7"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7"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7"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60,000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7"/>
              <w:jc w:val="right"/>
              <w:rPr>
                <w:rFonts w:ascii="Times New Roman" w:hAnsi="Times New Roman" w:cs="Times New Roman" w:eastAsia="Times New Roman" w:hint="default"/>
                <w:sz w:val="18"/>
                <w:szCs w:val="18"/>
              </w:rPr>
            </w:pPr>
            <w:r>
              <w:rPr>
                <w:rFonts w:ascii="Times New Roman"/>
                <w:spacing w:val="-1"/>
                <w:sz w:val="18"/>
              </w:rPr>
              <w:t>90,000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8"/>
              <w:jc w:val="right"/>
              <w:rPr>
                <w:rFonts w:ascii="Times New Roman" w:hAnsi="Times New Roman" w:cs="Times New Roman" w:eastAsia="Times New Roman" w:hint="default"/>
                <w:sz w:val="18"/>
                <w:szCs w:val="18"/>
              </w:rPr>
            </w:pPr>
            <w:r>
              <w:rPr>
                <w:rFonts w:ascii="Times New Roman"/>
                <w:sz w:val="18"/>
              </w:rPr>
              <w:t>87,083.6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被担保债务 的履行期届 满之后两年 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届满之日起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33,323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同主债务存 续期间</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2018/2/1-2</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019/1/31</w:t>
            </w: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债务到期后 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897.99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1,756.64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主债权存续 期间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主债权届满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神码马来西亚</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起六个月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7,764.63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从签署日起 至主合同项 下被保证人 债务履行期 届满之后两 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5,130.72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9,500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自主合同债 务人履行债 务期限届满 之日起两年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4,735.37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债务履行期 届满日起两 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31,412.06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生效日至银 行收到保证 人终止保证 书的书面通 知后六个月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债务履行期 限届满之日 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19,700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的借款期限 届满之次日 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69,606.35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39,000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69,606.35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主合同项下 债务履行期 届满之日起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175,000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76,525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11,346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主债权届满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1,027,890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726,820.34</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1,528,190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887,765.98</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2,798,384.48</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1,677,078.18</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5,491,370.8</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2,394,937.83</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547.77%</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2,051,862.36</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1,833,119</w:t>
            </w: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2,051,862.36</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49"/>
        <w:ind w:right="1394"/>
        <w:jc w:val="left"/>
      </w:pPr>
      <w:r>
        <w:rPr/>
        <w:t>采用复合方式担保的具体情况说明 截止报告期末，公司存在十七笔共同担保的情形，其在公司与子公司担保、子公司与子公司担保中均有列出，分别是： </w:t>
      </w:r>
      <w:r>
        <w:rPr>
          <w:rFonts w:ascii="宋体" w:hAnsi="宋体" w:cs="宋体" w:eastAsia="宋体" w:hint="default"/>
        </w:rPr>
        <w:t>1</w:t>
      </w:r>
      <w:r>
        <w:rPr/>
        <w:t>、本公司及神码北京共同为神码中国提供担保</w:t>
      </w:r>
      <w:r>
        <w:rPr>
          <w:rFonts w:ascii="宋体" w:hAnsi="宋体" w:cs="宋体" w:eastAsia="宋体" w:hint="default"/>
        </w:rPr>
        <w:t>15120</w:t>
      </w:r>
      <w:r>
        <w:rPr/>
        <w:t>万元；</w:t>
      </w:r>
    </w:p>
    <w:p>
      <w:pPr>
        <w:pStyle w:val="BodyText"/>
        <w:spacing w:line="240" w:lineRule="auto" w:before="2"/>
        <w:ind w:right="0"/>
        <w:jc w:val="left"/>
      </w:pPr>
      <w:r>
        <w:rPr>
          <w:rFonts w:ascii="宋体" w:hAnsi="宋体" w:cs="宋体" w:eastAsia="宋体" w:hint="default"/>
        </w:rPr>
        <w:t>2</w:t>
      </w:r>
      <w:r>
        <w:rPr/>
        <w:t>、本公司及神码北京共同为神码中国提供担保</w:t>
      </w:r>
      <w:r>
        <w:rPr>
          <w:rFonts w:ascii="宋体" w:hAnsi="宋体" w:cs="宋体" w:eastAsia="宋体" w:hint="default"/>
        </w:rPr>
        <w:t>37000</w:t>
      </w:r>
      <w:r>
        <w:rPr/>
        <w:t>万元；</w:t>
      </w:r>
    </w:p>
    <w:p>
      <w:pPr>
        <w:pStyle w:val="BodyText"/>
        <w:spacing w:line="240" w:lineRule="auto" w:before="76"/>
        <w:ind w:right="0"/>
        <w:jc w:val="left"/>
      </w:pPr>
      <w:r>
        <w:rPr>
          <w:rFonts w:ascii="宋体" w:hAnsi="宋体" w:cs="宋体" w:eastAsia="宋体" w:hint="default"/>
        </w:rPr>
        <w:t>3</w:t>
      </w:r>
      <w:r>
        <w:rPr/>
        <w:t>、本公司及神码广州共同为神码深圳提供担保</w:t>
      </w:r>
      <w:r>
        <w:rPr>
          <w:rFonts w:ascii="宋体" w:hAnsi="宋体" w:cs="宋体" w:eastAsia="宋体" w:hint="default"/>
        </w:rPr>
        <w:t>30000</w:t>
      </w:r>
      <w:r>
        <w:rPr/>
        <w:t>万元；</w:t>
      </w:r>
    </w:p>
    <w:p>
      <w:pPr>
        <w:pStyle w:val="BodyText"/>
        <w:spacing w:line="240" w:lineRule="auto" w:before="76"/>
        <w:ind w:right="0"/>
        <w:jc w:val="left"/>
      </w:pPr>
      <w:r>
        <w:rPr>
          <w:rFonts w:ascii="宋体" w:hAnsi="宋体" w:cs="宋体" w:eastAsia="宋体" w:hint="default"/>
        </w:rPr>
        <w:t>4</w:t>
      </w:r>
      <w:r>
        <w:rPr/>
        <w:t>、本公司及神码中国共同为神码北京提供担保</w:t>
      </w:r>
      <w:r>
        <w:rPr>
          <w:rFonts w:ascii="宋体" w:hAnsi="宋体" w:cs="宋体" w:eastAsia="宋体" w:hint="default"/>
        </w:rPr>
        <w:t>30000</w:t>
      </w:r>
      <w:r>
        <w:rPr/>
        <w:t>万元；</w:t>
      </w:r>
    </w:p>
    <w:p>
      <w:pPr>
        <w:pStyle w:val="BodyText"/>
        <w:spacing w:line="240" w:lineRule="auto" w:before="76"/>
        <w:ind w:right="0"/>
        <w:jc w:val="left"/>
      </w:pPr>
      <w:r>
        <w:rPr>
          <w:rFonts w:ascii="宋体" w:hAnsi="宋体" w:cs="宋体" w:eastAsia="宋体" w:hint="default"/>
        </w:rPr>
        <w:t>5</w:t>
      </w:r>
      <w:r>
        <w:rPr/>
        <w:t>、本公司及神码中国共同为神码广州提供担保</w:t>
      </w:r>
      <w:r>
        <w:rPr>
          <w:rFonts w:ascii="宋体" w:hAnsi="宋体" w:cs="宋体" w:eastAsia="宋体" w:hint="default"/>
        </w:rPr>
        <w:t>10000</w:t>
      </w:r>
      <w:r>
        <w:rPr/>
        <w:t>万元；</w:t>
      </w:r>
    </w:p>
    <w:p>
      <w:pPr>
        <w:pStyle w:val="BodyText"/>
        <w:spacing w:line="240" w:lineRule="auto" w:before="77"/>
        <w:ind w:right="0"/>
        <w:jc w:val="left"/>
      </w:pPr>
      <w:r>
        <w:rPr>
          <w:rFonts w:ascii="宋体" w:hAnsi="宋体" w:cs="宋体" w:eastAsia="宋体" w:hint="default"/>
        </w:rPr>
        <w:t>6</w:t>
      </w:r>
      <w:r>
        <w:rPr/>
        <w:t>、本公司及神码中国共同为神码深圳提供担保</w:t>
      </w:r>
      <w:r>
        <w:rPr>
          <w:rFonts w:ascii="宋体" w:hAnsi="宋体" w:cs="宋体" w:eastAsia="宋体" w:hint="default"/>
        </w:rPr>
        <w:t>25000</w:t>
      </w:r>
      <w:r>
        <w:rPr/>
        <w:t>万元；</w:t>
      </w:r>
    </w:p>
    <w:p>
      <w:pPr>
        <w:pStyle w:val="BodyText"/>
        <w:spacing w:line="240" w:lineRule="auto" w:before="76"/>
        <w:ind w:right="0"/>
        <w:jc w:val="left"/>
      </w:pPr>
      <w:r>
        <w:rPr>
          <w:rFonts w:ascii="宋体" w:hAnsi="宋体" w:cs="宋体" w:eastAsia="宋体" w:hint="default"/>
        </w:rPr>
        <w:t>7</w:t>
      </w:r>
      <w:r>
        <w:rPr/>
        <w:t>、本公司及神码中国共同为神码北京提供担保</w:t>
      </w:r>
      <w:r>
        <w:rPr>
          <w:rFonts w:ascii="宋体" w:hAnsi="宋体" w:cs="宋体" w:eastAsia="宋体" w:hint="default"/>
        </w:rPr>
        <w:t>15120</w:t>
      </w:r>
      <w:r>
        <w:rPr/>
        <w:t>万元；</w:t>
      </w:r>
    </w:p>
    <w:p>
      <w:pPr>
        <w:pStyle w:val="BodyText"/>
        <w:spacing w:line="240" w:lineRule="auto" w:before="76"/>
        <w:ind w:right="0"/>
        <w:jc w:val="left"/>
      </w:pPr>
      <w:r>
        <w:rPr>
          <w:rFonts w:ascii="宋体" w:hAnsi="宋体" w:cs="宋体" w:eastAsia="宋体" w:hint="default"/>
        </w:rPr>
        <w:t>8</w:t>
      </w:r>
      <w:r>
        <w:rPr/>
        <w:t>、本公司及神码中国共同为神码广州提供担保</w:t>
      </w:r>
      <w:r>
        <w:rPr>
          <w:rFonts w:ascii="宋体" w:hAnsi="宋体" w:cs="宋体" w:eastAsia="宋体" w:hint="default"/>
        </w:rPr>
        <w:t>21400</w:t>
      </w:r>
      <w:r>
        <w:rPr/>
        <w:t>万元；</w:t>
      </w:r>
    </w:p>
    <w:p>
      <w:pPr>
        <w:pStyle w:val="BodyText"/>
        <w:spacing w:line="240" w:lineRule="auto" w:before="76"/>
        <w:ind w:right="0"/>
        <w:jc w:val="left"/>
      </w:pPr>
      <w:r>
        <w:rPr>
          <w:rFonts w:ascii="宋体" w:hAnsi="宋体" w:cs="宋体" w:eastAsia="宋体" w:hint="default"/>
        </w:rPr>
        <w:t>9</w:t>
      </w:r>
      <w:r>
        <w:rPr/>
        <w:t>、本公司及神码中国共同为神码科技发展提供担保</w:t>
      </w:r>
      <w:r>
        <w:rPr>
          <w:rFonts w:ascii="宋体" w:hAnsi="宋体" w:cs="宋体" w:eastAsia="宋体" w:hint="default"/>
        </w:rPr>
        <w:t>45500</w:t>
      </w:r>
      <w:r>
        <w:rPr/>
        <w:t>万元；</w:t>
      </w:r>
    </w:p>
    <w:p>
      <w:pPr>
        <w:pStyle w:val="BodyText"/>
        <w:spacing w:line="240" w:lineRule="auto" w:before="76"/>
        <w:ind w:right="0"/>
        <w:jc w:val="left"/>
      </w:pPr>
      <w:r>
        <w:rPr>
          <w:rFonts w:ascii="宋体" w:hAnsi="宋体" w:cs="宋体" w:eastAsia="宋体" w:hint="default"/>
        </w:rPr>
        <w:t>10</w:t>
      </w:r>
      <w:r>
        <w:rPr/>
        <w:t>、本公司及神码中国共同为神码澳门提供担保</w:t>
      </w:r>
      <w:r>
        <w:rPr>
          <w:rFonts w:ascii="宋体" w:hAnsi="宋体" w:cs="宋体" w:eastAsia="宋体" w:hint="default"/>
        </w:rPr>
        <w:t>45500</w:t>
      </w:r>
      <w:r>
        <w:rPr/>
        <w:t>万元；</w:t>
      </w:r>
    </w:p>
    <w:p>
      <w:pPr>
        <w:pStyle w:val="BodyText"/>
        <w:spacing w:line="240" w:lineRule="auto" w:before="76"/>
        <w:ind w:right="0"/>
        <w:jc w:val="left"/>
      </w:pPr>
      <w:r>
        <w:rPr>
          <w:rFonts w:ascii="宋体" w:hAnsi="宋体" w:cs="宋体" w:eastAsia="宋体" w:hint="default"/>
        </w:rPr>
        <w:t>11</w:t>
      </w:r>
      <w:r>
        <w:rPr/>
        <w:t>、本公司及神码中国共同为神码深圳提供担保</w:t>
      </w:r>
      <w:r>
        <w:rPr>
          <w:rFonts w:ascii="宋体" w:hAnsi="宋体" w:cs="宋体" w:eastAsia="宋体" w:hint="default"/>
        </w:rPr>
        <w:t>40000</w:t>
      </w:r>
      <w:r>
        <w:rPr/>
        <w:t>万元；</w:t>
      </w:r>
    </w:p>
    <w:p>
      <w:pPr>
        <w:pStyle w:val="BodyText"/>
        <w:spacing w:line="240" w:lineRule="auto" w:before="76"/>
        <w:ind w:right="0"/>
        <w:jc w:val="left"/>
      </w:pPr>
      <w:r>
        <w:rPr>
          <w:rFonts w:ascii="宋体" w:hAnsi="宋体" w:cs="宋体" w:eastAsia="宋体" w:hint="default"/>
        </w:rPr>
        <w:t>12</w:t>
      </w:r>
      <w:r>
        <w:rPr/>
        <w:t>、本公司及神码中国共同为神码深圳提供担保</w:t>
      </w:r>
      <w:r>
        <w:rPr>
          <w:rFonts w:ascii="宋体" w:hAnsi="宋体" w:cs="宋体" w:eastAsia="宋体" w:hint="default"/>
        </w:rPr>
        <w:t>10000</w:t>
      </w:r>
      <w:r>
        <w:rPr/>
        <w:t>万元；</w:t>
      </w:r>
    </w:p>
    <w:p>
      <w:pPr>
        <w:pStyle w:val="BodyText"/>
        <w:spacing w:line="240" w:lineRule="auto" w:before="76"/>
        <w:ind w:right="0"/>
        <w:jc w:val="left"/>
      </w:pPr>
      <w:r>
        <w:rPr>
          <w:rFonts w:ascii="宋体" w:hAnsi="宋体" w:cs="宋体" w:eastAsia="宋体" w:hint="default"/>
        </w:rPr>
        <w:t>13</w:t>
      </w:r>
      <w:r>
        <w:rPr/>
        <w:t>、本公司及神码深圳共同为神码广州提供担保</w:t>
      </w:r>
      <w:r>
        <w:rPr>
          <w:rFonts w:ascii="宋体" w:hAnsi="宋体" w:cs="宋体" w:eastAsia="宋体" w:hint="default"/>
        </w:rPr>
        <w:t>21000</w:t>
      </w:r>
      <w:r>
        <w:rPr/>
        <w:t>万元；</w:t>
      </w:r>
    </w:p>
    <w:p>
      <w:pPr>
        <w:pStyle w:val="BodyText"/>
        <w:spacing w:line="240" w:lineRule="auto" w:before="76"/>
        <w:ind w:right="0"/>
        <w:jc w:val="left"/>
      </w:pPr>
      <w:r>
        <w:rPr>
          <w:rFonts w:ascii="宋体" w:hAnsi="宋体" w:cs="宋体" w:eastAsia="宋体" w:hint="default"/>
        </w:rPr>
        <w:t>14</w:t>
      </w:r>
      <w:r>
        <w:rPr/>
        <w:t>、本公司及神码上海共同为神码中国提供担保</w:t>
      </w:r>
      <w:r>
        <w:rPr>
          <w:rFonts w:ascii="宋体" w:hAnsi="宋体" w:cs="宋体" w:eastAsia="宋体" w:hint="default"/>
        </w:rPr>
        <w:t>46000</w:t>
      </w:r>
      <w:r>
        <w:rPr/>
        <w:t>万元；</w:t>
      </w:r>
    </w:p>
    <w:p>
      <w:pPr>
        <w:pStyle w:val="BodyText"/>
        <w:spacing w:line="240" w:lineRule="auto" w:before="76"/>
        <w:ind w:right="0"/>
        <w:jc w:val="left"/>
      </w:pPr>
      <w:r>
        <w:rPr>
          <w:rFonts w:ascii="宋体" w:hAnsi="宋体" w:cs="宋体" w:eastAsia="宋体" w:hint="default"/>
        </w:rPr>
        <w:t>15</w:t>
      </w:r>
      <w:r>
        <w:rPr/>
        <w:t>、本公司及北京神码共同为神码中国提供担保</w:t>
      </w:r>
      <w:r>
        <w:rPr>
          <w:rFonts w:ascii="宋体" w:hAnsi="宋体" w:cs="宋体" w:eastAsia="宋体" w:hint="default"/>
        </w:rPr>
        <w:t>39000</w:t>
      </w:r>
      <w:r>
        <w:rPr/>
        <w:t>万元；</w:t>
      </w:r>
    </w:p>
    <w:p>
      <w:pPr>
        <w:pStyle w:val="BodyText"/>
        <w:spacing w:line="240" w:lineRule="auto" w:before="76"/>
        <w:ind w:right="0"/>
        <w:jc w:val="left"/>
      </w:pPr>
      <w:r>
        <w:rPr>
          <w:rFonts w:ascii="宋体" w:hAnsi="宋体" w:cs="宋体" w:eastAsia="宋体" w:hint="default"/>
        </w:rPr>
        <w:t>16</w:t>
      </w:r>
      <w:r>
        <w:rPr/>
        <w:t>、本公司及神码中国共同为神码澳门提供担保</w:t>
      </w:r>
      <w:r>
        <w:rPr>
          <w:rFonts w:ascii="宋体" w:hAnsi="宋体" w:cs="宋体" w:eastAsia="宋体" w:hint="default"/>
        </w:rPr>
        <w:t>175000</w:t>
      </w:r>
      <w:r>
        <w:rPr/>
        <w:t>万元；</w:t>
      </w:r>
    </w:p>
    <w:p>
      <w:pPr>
        <w:pStyle w:val="BodyText"/>
        <w:spacing w:line="316" w:lineRule="auto" w:before="77"/>
        <w:ind w:right="1934"/>
        <w:jc w:val="left"/>
      </w:pPr>
      <w:r>
        <w:rPr>
          <w:rFonts w:ascii="宋体" w:hAnsi="宋体" w:cs="宋体" w:eastAsia="宋体" w:hint="default"/>
        </w:rPr>
        <w:t>17</w:t>
      </w:r>
      <w:r>
        <w:rPr/>
        <w:t>、本公司及神码中国共同为神码澳门提供担保</w:t>
      </w:r>
      <w:r>
        <w:rPr>
          <w:rFonts w:ascii="宋体" w:hAnsi="宋体" w:cs="宋体" w:eastAsia="宋体" w:hint="default"/>
        </w:rPr>
        <w:t>14000</w:t>
      </w:r>
      <w:r>
        <w:rPr/>
        <w:t>万元； 由此实际情况计算得出的公司报告期末已审批担保额度合计为</w:t>
      </w:r>
      <w:r>
        <w:rPr>
          <w:rFonts w:ascii="宋体" w:hAnsi="宋体" w:cs="宋体" w:eastAsia="宋体" w:hint="default"/>
        </w:rPr>
        <w:t>4,871,730.80</w:t>
      </w:r>
      <w:r>
        <w:rPr/>
        <w:t>万元，报告期末实际担保余额合计为 </w:t>
      </w:r>
      <w:r>
        <w:rPr>
          <w:rFonts w:ascii="宋体" w:hAnsi="宋体" w:cs="宋体" w:eastAsia="宋体" w:hint="default"/>
        </w:rPr>
        <w:t>2,056,611.36</w:t>
      </w:r>
      <w:r>
        <w:rPr/>
        <w:t>万元，由于没有超出公司预计额度使用范畴，公司认可按照年报编制规则进行披露。</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580" w:bottom="70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1"/>
        <w:gridCol w:w="1980"/>
        <w:gridCol w:w="1909"/>
        <w:gridCol w:w="1850"/>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8"/>
      <w:bookmarkEnd w:id="98"/>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报告期内，公司高度重视企业社会责任工作，在业务经营发展过程中，努力做到经济效益与社会效益、短期利益与长远</w:t>
      </w:r>
      <w:r>
        <w:rPr/>
        <w:t> 收益兼顾，实现公司与社会的健康和谐发展。</w:t>
      </w:r>
    </w:p>
    <w:p>
      <w:pPr>
        <w:pStyle w:val="BodyText"/>
        <w:spacing w:line="300" w:lineRule="auto" w:before="19"/>
        <w:ind w:left="513" w:right="0"/>
        <w:jc w:val="left"/>
      </w:pPr>
      <w:r>
        <w:rPr/>
        <w:t>（</w:t>
      </w:r>
      <w:r>
        <w:rPr>
          <w:rFonts w:ascii="Times New Roman" w:hAnsi="Times New Roman" w:cs="Times New Roman" w:eastAsia="Times New Roman" w:hint="default"/>
        </w:rPr>
        <w:t>1</w:t>
      </w:r>
      <w:r>
        <w:rPr/>
        <w:t>）维护股东权益，提升股东价值 </w:t>
      </w:r>
      <w:r>
        <w:rPr>
          <w:spacing w:val="-2"/>
        </w:rPr>
        <w:t>股东是公司的所有者，享有法律、行政法规和公司章程规定的合法权利。作为一家上市公司，保障股东特别是中小股东</w:t>
      </w:r>
    </w:p>
    <w:p>
      <w:pPr>
        <w:pStyle w:val="BodyText"/>
        <w:spacing w:line="316" w:lineRule="auto" w:before="31"/>
        <w:ind w:right="1130"/>
        <w:jc w:val="both"/>
      </w:pPr>
      <w:r>
        <w:rPr>
          <w:spacing w:val="-2"/>
        </w:rPr>
        <w:t>的利益，维护债权人的合法权益，是公司最基本的社会责任。公司根据《公司法》、《证券法》、《上市公司治理准则》等</w:t>
      </w:r>
      <w:r>
        <w:rPr>
          <w:spacing w:val="-68"/>
        </w:rPr>
        <w:t> </w:t>
      </w:r>
      <w:r>
        <w:rPr>
          <w:spacing w:val="-68"/>
        </w:rPr>
      </w:r>
      <w:r>
        <w:rPr>
          <w:spacing w:val="-2"/>
        </w:rPr>
        <w:t>法律法规，不断提高规范运作水平，完善公司治理，形成了以股东大会、董事会、监事会及管理层为主体结构的决策与经营</w:t>
      </w:r>
      <w:r>
        <w:rPr>
          <w:spacing w:val="-67"/>
        </w:rPr>
        <w:t> </w:t>
      </w:r>
      <w:r>
        <w:rPr>
          <w:spacing w:val="-67"/>
        </w:rPr>
      </w:r>
      <w:r>
        <w:rPr>
          <w:spacing w:val="-2"/>
        </w:rPr>
        <w:t>体系，切实保障全体股东的权益。报告期内公司共召开一次年度股东大会和五次临时股东大会，积极主动采用网络投票等方</w:t>
      </w:r>
      <w:r>
        <w:rPr>
          <w:spacing w:val="-63"/>
        </w:rPr>
        <w:t> </w:t>
      </w:r>
      <w:r>
        <w:rPr>
          <w:spacing w:val="-63"/>
        </w:rPr>
      </w:r>
      <w:r>
        <w:rPr>
          <w:spacing w:val="-2"/>
        </w:rPr>
        <w:t>式扩大股东参会比例，并对中小投资者进行单独计票，确保股东对公司重大事项的知情权、参与权和表决权。同时，公司依</w:t>
      </w:r>
      <w:r>
        <w:rPr>
          <w:spacing w:val="-64"/>
        </w:rPr>
        <w:t> </w:t>
      </w:r>
      <w:r>
        <w:rPr>
          <w:spacing w:val="-64"/>
        </w:rPr>
      </w:r>
      <w:r>
        <w:rPr>
          <w:spacing w:val="-2"/>
        </w:rPr>
        <w:t>照国家有关法律法规和公司《信息披露制度》的相关规定，充分履行信息披露义务，严格遵循公平、公正、公开的信息披露</w:t>
      </w:r>
      <w:r>
        <w:rPr>
          <w:spacing w:val="-68"/>
        </w:rPr>
        <w:t> </w:t>
      </w:r>
      <w:r>
        <w:rPr>
          <w:spacing w:val="-68"/>
        </w:rPr>
      </w:r>
      <w:r>
        <w:rPr>
          <w:spacing w:val="-2"/>
        </w:rPr>
        <w:t>原则，及时在指定报刊和网站上披露公告和有关文件，保证所有股东都有平等的机会获得信息，及时准确了解、掌握公司经</w:t>
      </w:r>
      <w:r>
        <w:rPr>
          <w:spacing w:val="-64"/>
        </w:rPr>
        <w:t> </w:t>
      </w:r>
      <w:r>
        <w:rPr>
          <w:spacing w:val="-64"/>
        </w:rPr>
      </w:r>
      <w:r>
        <w:rPr>
          <w:spacing w:val="-2"/>
        </w:rPr>
        <w:t>营动态、财务状况及所有重大事项的进展情况，提高了公司的透明度和诚信度。公司注重加强投资者关系管理工作，接受投</w:t>
      </w:r>
      <w:r>
        <w:rPr>
          <w:spacing w:val="-65"/>
        </w:rPr>
        <w:t> </w:t>
      </w:r>
      <w:r>
        <w:rPr>
          <w:spacing w:val="-65"/>
        </w:rPr>
      </w:r>
      <w:r>
        <w:rPr/>
        <w:t>资者咨询，并重视对投资者的投资回报，采取积极的利润分配方案，积极回报股东。</w:t>
      </w:r>
    </w:p>
    <w:p>
      <w:pPr>
        <w:spacing w:after="0" w:line="316" w:lineRule="auto"/>
        <w:jc w:val="both"/>
        <w:sectPr>
          <w:type w:val="continuous"/>
          <w:pgSz w:w="11910" w:h="16840"/>
          <w:pgMar w:top="1580" w:bottom="70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73" w:right="1033"/>
        <w:jc w:val="left"/>
      </w:pPr>
      <w:r>
        <w:rPr/>
        <w:t>（</w:t>
      </w:r>
      <w:r>
        <w:rPr>
          <w:rFonts w:ascii="Times New Roman" w:hAnsi="Times New Roman" w:cs="Times New Roman" w:eastAsia="Times New Roman" w:hint="default"/>
        </w:rPr>
        <w:t>2</w:t>
      </w:r>
      <w:r>
        <w:rPr/>
        <w:t>）坚持诚信经营，维护供应商、客户权益 </w:t>
      </w:r>
      <w:r>
        <w:rPr>
          <w:spacing w:val="-2"/>
        </w:rPr>
        <w:t>公司始终坚持诚信经营、利益共享、互惠互利原则，积极构建和发展与供应商、客户的战略合作伙伴关系，共同构筑信</w:t>
      </w:r>
    </w:p>
    <w:p>
      <w:pPr>
        <w:pStyle w:val="BodyText"/>
        <w:spacing w:line="316" w:lineRule="auto" w:before="31"/>
        <w:ind w:left="212" w:right="1131"/>
        <w:jc w:val="both"/>
      </w:pPr>
      <w:r>
        <w:rPr>
          <w:spacing w:val="-2"/>
        </w:rPr>
        <w:t>任与合作的平台。公司努力确保公司财务稳健与公司资产、资金安全，兼顾债权人的利益；在决策经营过程中，高度重视债</w:t>
      </w:r>
      <w:r>
        <w:rPr>
          <w:spacing w:val="-67"/>
        </w:rPr>
        <w:t> </w:t>
      </w:r>
      <w:r>
        <w:rPr>
          <w:spacing w:val="-67"/>
        </w:rPr>
      </w:r>
      <w:r>
        <w:rPr>
          <w:spacing w:val="-2"/>
        </w:rPr>
        <w:t>权人合法权益的保护，严格按照与债权人签订的合同履行债务。切实履行公司对供应商、客户的社会责任，充分尊重并保护</w:t>
      </w:r>
      <w:r>
        <w:rPr>
          <w:spacing w:val="-64"/>
        </w:rPr>
        <w:t> </w:t>
      </w:r>
      <w:r>
        <w:rPr>
          <w:spacing w:val="-64"/>
        </w:rPr>
      </w:r>
      <w:r>
        <w:rPr/>
        <w:t>供应商和客户的合法权益。</w:t>
      </w:r>
    </w:p>
    <w:p>
      <w:pPr>
        <w:pStyle w:val="BodyText"/>
        <w:spacing w:line="300" w:lineRule="auto" w:before="19"/>
        <w:ind w:left="573" w:right="1033"/>
        <w:jc w:val="left"/>
      </w:pPr>
      <w:r>
        <w:rPr/>
        <w:t>（</w:t>
      </w:r>
      <w:r>
        <w:rPr>
          <w:rFonts w:ascii="Times New Roman" w:hAnsi="Times New Roman" w:cs="Times New Roman" w:eastAsia="Times New Roman" w:hint="default"/>
        </w:rPr>
        <w:t>3</w:t>
      </w:r>
      <w:r>
        <w:rPr/>
        <w:t>）注重员工权益保护，提升员工个人价值和社会价值 </w:t>
      </w:r>
      <w:r>
        <w:rPr>
          <w:spacing w:val="-2"/>
        </w:rPr>
        <w:t>公司严格遵守《劳动法》、《劳动合同法》相关法律法规，在社会保障等方面严格执行国家规定和标准，实现全员参加</w:t>
      </w:r>
    </w:p>
    <w:p>
      <w:pPr>
        <w:pStyle w:val="BodyText"/>
        <w:spacing w:line="309" w:lineRule="auto" w:before="31"/>
        <w:ind w:left="212" w:right="1129"/>
        <w:jc w:val="both"/>
      </w:pPr>
      <w:r>
        <w:rPr>
          <w:spacing w:val="-2"/>
        </w:rPr>
        <w:t>社会保险，解除员工的后顾之忧；关注员工健康，切实尊重和维护员工的个人权益。公司成立的</w:t>
      </w:r>
      <w:r>
        <w:rPr>
          <w:rFonts w:ascii="Times New Roman" w:hAnsi="Times New Roman" w:cs="Times New Roman" w:eastAsia="Times New Roman" w:hint="default"/>
          <w:spacing w:val="-2"/>
        </w:rPr>
        <w:t>“</w:t>
      </w:r>
      <w:r>
        <w:rPr>
          <w:spacing w:val="-2"/>
        </w:rPr>
        <w:t>员工互助基金会</w:t>
      </w:r>
      <w:r>
        <w:rPr>
          <w:rFonts w:ascii="Times New Roman" w:hAnsi="Times New Roman" w:cs="Times New Roman" w:eastAsia="Times New Roman" w:hint="default"/>
          <w:spacing w:val="-2"/>
        </w:rPr>
        <w:t>”</w:t>
      </w:r>
      <w:r>
        <w:rPr>
          <w:spacing w:val="-2"/>
        </w:rPr>
        <w:t>，在员工</w:t>
      </w:r>
      <w:r>
        <w:rPr>
          <w:spacing w:val="-44"/>
        </w:rPr>
        <w:t> </w:t>
      </w:r>
      <w:r>
        <w:rPr>
          <w:spacing w:val="-44"/>
        </w:rPr>
      </w:r>
      <w:r>
        <w:rPr>
          <w:spacing w:val="-2"/>
        </w:rPr>
        <w:t>的大力支持与参与下，</w:t>
      </w:r>
      <w:r>
        <w:rPr>
          <w:rFonts w:ascii="Times New Roman" w:hAnsi="Times New Roman" w:cs="Times New Roman" w:eastAsia="Times New Roman" w:hint="default"/>
          <w:spacing w:val="-2"/>
        </w:rPr>
        <w:t>2019</w:t>
      </w:r>
      <w:r>
        <w:rPr>
          <w:spacing w:val="-2"/>
        </w:rPr>
        <w:t>年员工互助基金入会人数</w:t>
      </w:r>
      <w:r>
        <w:rPr>
          <w:rFonts w:ascii="Times New Roman" w:hAnsi="Times New Roman" w:cs="Times New Roman" w:eastAsia="Times New Roman" w:hint="default"/>
          <w:spacing w:val="-2"/>
        </w:rPr>
        <w:t>3894</w:t>
      </w:r>
      <w:r>
        <w:rPr>
          <w:spacing w:val="-2"/>
        </w:rPr>
        <w:t>人。公司重视员工的职业生涯发展规划以及个人素质的提升，为公</w:t>
      </w:r>
      <w:r>
        <w:rPr>
          <w:spacing w:val="-58"/>
        </w:rPr>
        <w:t> </w:t>
      </w:r>
      <w:r>
        <w:rPr>
          <w:spacing w:val="-58"/>
        </w:rPr>
      </w:r>
      <w:r>
        <w:rPr>
          <w:spacing w:val="-2"/>
        </w:rPr>
        <w:t>司和社会积累更多的人才财富，实现员工与企业的共同成长。同时结合健康向上的企业文化，注重员工人文关怀，积极发挥</w:t>
      </w:r>
      <w:r>
        <w:rPr>
          <w:spacing w:val="-64"/>
        </w:rPr>
        <w:t> </w:t>
      </w:r>
      <w:r>
        <w:rPr>
          <w:spacing w:val="-64"/>
        </w:rPr>
      </w:r>
      <w:r>
        <w:rPr>
          <w:spacing w:val="-2"/>
        </w:rPr>
        <w:t>工会的作用，成立了员工游泳健身俱乐部、羽毛球等球类健身俱乐部、云合唱团，组织了员工户外家庭日、公益健身周、亲</w:t>
      </w:r>
      <w:r>
        <w:rPr>
          <w:spacing w:val="-70"/>
        </w:rPr>
        <w:t> </w:t>
      </w:r>
      <w:r>
        <w:rPr>
          <w:spacing w:val="-70"/>
        </w:rPr>
      </w:r>
      <w:r>
        <w:rPr/>
        <w:t>子植树、全国羽毛球赛、篮球团队赛、音乐快闪等丰富多彩的文体活动，提升员工的归属感，最大程度保障员工的权利。</w:t>
      </w:r>
    </w:p>
    <w:p>
      <w:pPr>
        <w:pStyle w:val="BodyText"/>
        <w:spacing w:line="300" w:lineRule="auto" w:before="25"/>
        <w:ind w:left="573" w:right="1033"/>
        <w:jc w:val="left"/>
      </w:pPr>
      <w:r>
        <w:rPr/>
        <w:t>（</w:t>
      </w:r>
      <w:r>
        <w:rPr>
          <w:rFonts w:ascii="Times New Roman" w:hAnsi="Times New Roman" w:cs="Times New Roman" w:eastAsia="Times New Roman" w:hint="default"/>
        </w:rPr>
        <w:t>4</w:t>
      </w:r>
      <w:r>
        <w:rPr/>
        <w:t>）积极参与社会各项事务，提升企业及员工的社会责任感 公司稳步推行公益捐赠，推动社会的进步。为支持职业教育发展，以培养多样化人才、传承技术技能、促进就业创业，</w:t>
      </w:r>
    </w:p>
    <w:p>
      <w:pPr>
        <w:pStyle w:val="BodyText"/>
        <w:spacing w:line="300" w:lineRule="auto" w:before="31"/>
        <w:ind w:left="212" w:right="1033"/>
        <w:jc w:val="left"/>
      </w:pPr>
      <w:r>
        <w:rPr/>
        <w:t>公司为</w:t>
      </w:r>
      <w:r>
        <w:rPr>
          <w:rFonts w:ascii="Times New Roman" w:hAnsi="Times New Roman" w:cs="Times New Roman" w:eastAsia="Times New Roman" w:hint="default"/>
        </w:rPr>
        <w:t>“2019</w:t>
      </w:r>
      <w:r>
        <w:rPr/>
        <w:t>年全国职业院校技能大赛</w:t>
      </w:r>
      <w:r>
        <w:rPr>
          <w:rFonts w:ascii="Times New Roman" w:hAnsi="Times New Roman" w:cs="Times New Roman" w:eastAsia="Times New Roman" w:hint="default"/>
        </w:rPr>
        <w:t>”</w:t>
      </w:r>
      <w:r>
        <w:rPr/>
        <w:t>捐赠资金</w:t>
      </w:r>
      <w:r>
        <w:rPr>
          <w:rFonts w:ascii="Times New Roman" w:hAnsi="Times New Roman" w:cs="Times New Roman" w:eastAsia="Times New Roman" w:hint="default"/>
        </w:rPr>
        <w:t>120</w:t>
      </w:r>
      <w:r>
        <w:rPr/>
        <w:t>万元。为支持学生教育发展，公司为秦皇岛市中学优秀毕业生助学奖学</w:t>
      </w:r>
      <w:r>
        <w:rPr>
          <w:spacing w:val="-68"/>
        </w:rPr>
        <w:t> </w:t>
      </w:r>
      <w:r>
        <w:rPr>
          <w:spacing w:val="-68"/>
        </w:rPr>
      </w:r>
      <w:r>
        <w:rPr/>
        <w:t>金捐赠</w:t>
      </w:r>
      <w:r>
        <w:rPr>
          <w:rFonts w:ascii="Times New Roman" w:hAnsi="Times New Roman" w:cs="Times New Roman" w:eastAsia="Times New Roman" w:hint="default"/>
        </w:rPr>
        <w:t>50</w:t>
      </w:r>
      <w:r>
        <w:rPr/>
        <w:t>万元。</w:t>
      </w:r>
    </w:p>
    <w:p>
      <w:pPr>
        <w:spacing w:line="240" w:lineRule="auto" w:before="4"/>
        <w:rPr>
          <w:rFonts w:ascii="宋体" w:hAnsi="宋体" w:cs="宋体" w:eastAsia="宋体" w:hint="default"/>
          <w:sz w:val="22"/>
          <w:szCs w:val="22"/>
        </w:rPr>
      </w:pPr>
    </w:p>
    <w:p>
      <w:pPr>
        <w:pStyle w:val="Heading3"/>
        <w:spacing w:line="240" w:lineRule="auto"/>
        <w:ind w:left="212" w:right="0"/>
        <w:jc w:val="both"/>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left="212" w:right="0"/>
        <w:jc w:val="both"/>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212" w:right="5714"/>
        <w:jc w:val="left"/>
      </w:pPr>
      <w:r>
        <w:rPr/>
        <w:t>上市公司及其子公司是否属于环境保护部门公布的重点排污单位 不适用</w:t>
      </w:r>
    </w:p>
    <w:p>
      <w:pPr>
        <w:pStyle w:val="BodyText"/>
        <w:spacing w:line="240" w:lineRule="auto" w:before="25"/>
        <w:ind w:left="212" w:right="0"/>
        <w:jc w:val="both"/>
      </w:pPr>
      <w:r>
        <w:rPr/>
        <w:t>公司及子公司不属于排污单位。</w:t>
      </w:r>
    </w:p>
    <w:p>
      <w:pPr>
        <w:spacing w:line="240" w:lineRule="auto" w:before="3"/>
        <w:rPr>
          <w:rFonts w:ascii="宋体" w:hAnsi="宋体" w:cs="宋体" w:eastAsia="宋体" w:hint="default"/>
          <w:sz w:val="25"/>
          <w:szCs w:val="25"/>
        </w:rPr>
      </w:pPr>
    </w:p>
    <w:p>
      <w:pPr>
        <w:pStyle w:val="Heading2"/>
        <w:spacing w:line="240" w:lineRule="auto"/>
        <w:ind w:left="212" w:right="0"/>
        <w:jc w:val="both"/>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21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其他重要事项的说明请参考公司公告：</w:t>
      </w: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2019-001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103" w:right="204"/>
              <w:jc w:val="left"/>
              <w:rPr>
                <w:rFonts w:ascii="宋体" w:hAnsi="宋体" w:cs="宋体" w:eastAsia="宋体" w:hint="default"/>
                <w:sz w:val="18"/>
                <w:szCs w:val="18"/>
              </w:rPr>
            </w:pPr>
            <w:r>
              <w:rPr>
                <w:rFonts w:ascii="宋体" w:hAnsi="宋体" w:cs="宋体" w:eastAsia="宋体" w:hint="default"/>
                <w:sz w:val="18"/>
                <w:szCs w:val="18"/>
              </w:rPr>
              <w:t>关于全资子公司签署重大经营合同的自愿性信息披露 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A14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2019/1/7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2019-002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sz w:val="18"/>
              </w:rPr>
              <w:t>2019/1/12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2019-003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年度日常关联交易的公告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2019/1/12</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2019-004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关于投资建设深圳湾神州数码国际总部项目的公告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2019/1/12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2019-005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关于公司运营总监辞任的公告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2019/1/12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2019-006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2019/1/12</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2019-007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第九届监事会第九次会议决议公告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2019/1/12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2019-008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2019-009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关于以集中竞价交易方式回购公司股份的回购报告书</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2019/1/23</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关于首次回购公司股份的公告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2019/1/26</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B94</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2019/1/30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关于回购股份事项进展情况公告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B33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2019/2/12</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2019/2/27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关于回购股份事项进展情况公告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2019/3/5</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2019-019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关于部分限售股份上市流通的提示性公告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关于公司股份回购实施完成的公告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2019/3/13</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2019/3/13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关于全资子公司开展应收账款资产证券化的进展公告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2019/3/16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2019/3/22</w:t>
            </w:r>
          </w:p>
        </w:tc>
      </w:tr>
      <w:tr>
        <w:trPr>
          <w:trHeight w:val="579"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sz w:val="18"/>
              </w:rPr>
              <w:t>2019-025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B270</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512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sz w:val="18"/>
              </w:rPr>
              <w:t>2019/3/26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第九届董事会第十一次会议决议公告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关于预计衍生品投资额度的公告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2019-029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关于预计证券投资额度的公告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2019-030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关于预计担保额度的公告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89" w:right="5" w:hanging="1284"/>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0"/>
                <w:sz w:val="18"/>
                <w:szCs w:val="18"/>
              </w:rPr>
              <w:t> </w:t>
            </w:r>
            <w:r>
              <w:rPr>
                <w:rFonts w:ascii="宋体" w:hAnsi="宋体" w:cs="宋体" w:eastAsia="宋体" w:hint="default"/>
                <w:spacing w:val="-11"/>
                <w:sz w:val="18"/>
                <w:szCs w:val="18"/>
              </w:rPr>
              <w:t>B49</w:t>
            </w:r>
            <w:r>
              <w:rPr>
                <w:rFonts w:ascii="宋体" w:hAnsi="宋体" w:cs="宋体" w:eastAsia="宋体" w:hint="default"/>
                <w:spacing w:val="-11"/>
                <w:sz w:val="18"/>
                <w:szCs w:val="18"/>
              </w:rPr>
              <w:t>、</w:t>
            </w:r>
            <w:r>
              <w:rPr>
                <w:rFonts w:ascii="宋体" w:hAnsi="宋体" w:cs="宋体" w:eastAsia="宋体" w:hint="default"/>
                <w:spacing w:val="-11"/>
                <w:sz w:val="18"/>
                <w:szCs w:val="18"/>
              </w:rPr>
              <w:t>B50</w:t>
            </w:r>
            <w:r>
              <w:rPr>
                <w:rFonts w:ascii="宋体" w:hAnsi="宋体" w:cs="宋体" w:eastAsia="宋体" w:hint="default"/>
                <w:spacing w:val="-11"/>
                <w:sz w:val="18"/>
                <w:szCs w:val="18"/>
              </w:rPr>
              <w:t>、上海证券报</w:t>
            </w:r>
            <w:r>
              <w:rPr>
                <w:rFonts w:ascii="宋体" w:hAnsi="宋体" w:cs="宋体" w:eastAsia="宋体" w:hint="default"/>
                <w:spacing w:val="-39"/>
                <w:sz w:val="18"/>
                <w:szCs w:val="18"/>
              </w:rPr>
              <w:t> </w:t>
            </w:r>
            <w:r>
              <w:rPr>
                <w:rFonts w:ascii="宋体" w:hAnsi="宋体" w:cs="宋体" w:eastAsia="宋体" w:hint="default"/>
                <w:sz w:val="18"/>
                <w:szCs w:val="18"/>
              </w:rPr>
              <w:t>87</w:t>
            </w:r>
            <w:r>
              <w:rPr>
                <w:rFonts w:ascii="宋体" w:hAnsi="宋体" w:cs="宋体" w:eastAsia="宋体" w:hint="default"/>
                <w:sz w:val="18"/>
                <w:szCs w:val="18"/>
              </w:rPr>
              <w:t>、 </w:t>
            </w:r>
            <w:r>
              <w:rPr>
                <w:rFonts w:ascii="宋体" w:hAnsi="宋体" w:cs="宋体" w:eastAsia="宋体" w:hint="default"/>
                <w:sz w:val="18"/>
                <w:szCs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2019/3/27</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关于对外捐赠的公告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636"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2019-032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pacing w:val="-11"/>
                <w:sz w:val="18"/>
                <w:szCs w:val="18"/>
              </w:rPr>
              <w:t>关于《股东大会议事规则》、《董事会议事规则》、《独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立董事工作规则》的修订案</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2019/3/27</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第九届监事会第十次会议决议公告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2019/3/27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sz w:val="18"/>
              </w:rPr>
              <w:t>2019-035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关于部分限售股份上市流通的提示性公告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sz w:val="18"/>
              </w:rPr>
              <w:t>2019/4/2</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关于控股股东承诺不减持公司股份的公告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B112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关于股东减持股票的预披露公告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B112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B74</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2019/4/4</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2019-039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2019/4/13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2019/4/17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B88</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2019/4/17</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年年度权益分派实施公告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312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2019/4/18</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B222</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150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第九届董事会第十二次会议决议公告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B157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2019/4/29</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年第一季度报告正文</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B157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B157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第九届监事会第十一次会议决议公告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B157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2019/4/29</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关于计提减值准备的公告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B248</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216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2019/4/29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2019-049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B70</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278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2019/4/30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3"/>
                <w:sz w:val="18"/>
                <w:szCs w:val="18"/>
              </w:rPr>
              <w:t> </w:t>
            </w:r>
            <w:r>
              <w:rPr>
                <w:rFonts w:ascii="宋体" w:hAnsi="宋体" w:cs="宋体" w:eastAsia="宋体" w:hint="default"/>
                <w:sz w:val="18"/>
                <w:szCs w:val="18"/>
              </w:rPr>
              <w:t>B9</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2019/5/6</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B119</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2019/5/10</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5" w:right="0"/>
              <w:jc w:val="left"/>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B73</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110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2019/5/14</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2019/5/16</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2019-054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年股票期权与限制性股票激励计划内幕信息 知情人及激励对象买卖公司股票情况的自查报告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2019/5/16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2019/5/16</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B113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2019/5/21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2019/5/24</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关于独立董事辞任的公告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B95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2019/5/25</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2019-059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2019/5/28</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B55</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2019/6/19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第九届董事会第十三次会议决议公告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2019/6/20</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2019-062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关于调整</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年股票期权与限制性股票激励计划激励 对象名单及授予权益数量的公告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2019/6/20</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2019-063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04"/>
              <w:jc w:val="left"/>
              <w:rPr>
                <w:rFonts w:ascii="宋体" w:hAnsi="宋体" w:cs="宋体" w:eastAsia="宋体" w:hint="default"/>
                <w:sz w:val="18"/>
                <w:szCs w:val="18"/>
              </w:rPr>
            </w:pPr>
            <w:r>
              <w:rPr>
                <w:rFonts w:ascii="宋体" w:hAnsi="宋体" w:cs="宋体" w:eastAsia="宋体" w:hint="default"/>
                <w:sz w:val="18"/>
                <w:szCs w:val="18"/>
              </w:rPr>
              <w:t>关于向激励对象首次授予股票期权与限制性股票的公 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2019/6/20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关于为子公司提供担保的公告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2019/6/20</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第九届监事会第十二次会议决议公告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2019/6/20</w:t>
            </w:r>
          </w:p>
        </w:tc>
      </w:tr>
      <w:tr>
        <w:trPr>
          <w:trHeight w:val="636"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2019-066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监事会关于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年股票期权与限制性股票激励计划首 次授予日激励对象名单的核实意见</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2019/6/20</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3"/>
                <w:sz w:val="18"/>
                <w:szCs w:val="18"/>
              </w:rPr>
              <w:t> </w:t>
            </w:r>
            <w:r>
              <w:rPr>
                <w:rFonts w:ascii="宋体" w:hAnsi="宋体" w:cs="宋体" w:eastAsia="宋体" w:hint="default"/>
                <w:sz w:val="18"/>
                <w:szCs w:val="18"/>
              </w:rPr>
              <w:t>B4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关于公司副总裁辞任的公告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2019-069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B114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2019/6/28</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第九届董事会第十四次会议决议公告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2019/7/4</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关于出售参股公司股权的公告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2019/7/4</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2019-072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年股票期权与限制性股票激励计划首次授予 登记完成的公告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2019/7/6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2019/7/11</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B42</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2019/7/16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2019/7/17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A11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2019/7/18</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第九届董事会第十五次会议决议公告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2019-079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关于股东减持计划时间过半的进展公告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2019/7/25</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年半年度业绩快报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关于向银行申请授信并提供抵押担保的公告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2019-082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年第三次临时股东大会增加临时提案暨召开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年第三次临时股东大会补充通知的公告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2019/8/3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关于公司控股股东部分股票解除质押的公告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3"/>
                <w:sz w:val="18"/>
                <w:szCs w:val="18"/>
              </w:rPr>
              <w:t> </w:t>
            </w:r>
            <w:r>
              <w:rPr>
                <w:rFonts w:ascii="宋体" w:hAnsi="宋体" w:cs="宋体" w:eastAsia="宋体" w:hint="default"/>
                <w:sz w:val="18"/>
                <w:szCs w:val="18"/>
              </w:rPr>
              <w:t>B6</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2019/8/6</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B37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2019/8/13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关于大股东股份质押展期的公告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B104</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2019/8/13</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B12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2019/8/21</w:t>
            </w:r>
          </w:p>
        </w:tc>
      </w:tr>
      <w:tr>
        <w:trPr>
          <w:trHeight w:val="636"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2019-088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pacing w:val="-4"/>
                <w:sz w:val="18"/>
                <w:szCs w:val="18"/>
              </w:rPr>
              <w:t>关于“广州证券</w:t>
            </w:r>
            <w:r>
              <w:rPr>
                <w:rFonts w:ascii="宋体" w:hAnsi="宋体" w:cs="宋体" w:eastAsia="宋体" w:hint="default"/>
                <w:spacing w:val="-4"/>
                <w:sz w:val="18"/>
                <w:szCs w:val="18"/>
              </w:rPr>
              <w:t>-</w:t>
            </w:r>
            <w:r>
              <w:rPr>
                <w:rFonts w:ascii="宋体" w:hAnsi="宋体" w:cs="宋体" w:eastAsia="宋体" w:hint="default"/>
                <w:spacing w:val="-4"/>
                <w:sz w:val="18"/>
                <w:szCs w:val="18"/>
              </w:rPr>
              <w:t>神州数码应收账款资产支持专项计划”</w:t>
            </w:r>
            <w:r>
              <w:rPr>
                <w:rFonts w:ascii="宋体" w:hAnsi="宋体" w:cs="宋体" w:eastAsia="宋体" w:hint="default"/>
                <w:spacing w:val="-69"/>
                <w:sz w:val="18"/>
                <w:szCs w:val="18"/>
              </w:rPr>
              <w:t> </w:t>
            </w:r>
            <w:r>
              <w:rPr>
                <w:rFonts w:ascii="宋体" w:hAnsi="宋体" w:cs="宋体" w:eastAsia="宋体" w:hint="default"/>
                <w:sz w:val="18"/>
                <w:szCs w:val="18"/>
              </w:rPr>
              <w:t>设立的公告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B84</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137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2019/8/29</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2019-089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第九届董事会第十六次会议决议公告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关于新增关联方及预计</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年度日常关联交易的公告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年度日常关联交易额度的公告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第九届监事会第十三次会议决议公告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关于公司控股股东股份质押的公告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B10</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206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2019/8/31</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2019/9/3</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重大诉讼进展的公告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3"/>
                <w:sz w:val="18"/>
                <w:szCs w:val="18"/>
              </w:rPr>
              <w:t> </w:t>
            </w:r>
            <w:r>
              <w:rPr>
                <w:rFonts w:ascii="宋体" w:hAnsi="宋体" w:cs="宋体" w:eastAsia="宋体" w:hint="default"/>
                <w:sz w:val="18"/>
                <w:szCs w:val="18"/>
              </w:rPr>
              <w:t>B1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2019/9/16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第九届董事会第十七次会议决议公告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2019/9/18</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2019/9/18</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2019-099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B54</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2019/9/20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B63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2019/9/26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B118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86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2019/9/28</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B34</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2019/9/30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B38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2019/10/10</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B56</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2019/10/11</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关于股东减持股票的预披露公告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B73</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2019/10/15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第九届董事会第十八次会议决议公告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B23</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2019/10/22</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年第三季度报告正文</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B110</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104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2019/10/23</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关于股东减持计划期限届满暨实施情况的公告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B120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2019/10/25</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2019-109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B4</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2019/10/25</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2019-110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
              <w:jc w:val="left"/>
              <w:rPr>
                <w:rFonts w:ascii="宋体" w:hAnsi="宋体" w:cs="宋体" w:eastAsia="宋体" w:hint="default"/>
                <w:sz w:val="18"/>
                <w:szCs w:val="18"/>
              </w:rPr>
            </w:pPr>
            <w:r>
              <w:rPr>
                <w:rFonts w:ascii="宋体" w:hAnsi="宋体" w:cs="宋体" w:eastAsia="宋体" w:hint="default"/>
                <w:spacing w:val="-4"/>
                <w:sz w:val="18"/>
                <w:szCs w:val="18"/>
              </w:rPr>
              <w:t>关于“广州证券</w:t>
            </w:r>
            <w:r>
              <w:rPr>
                <w:rFonts w:ascii="宋体" w:hAnsi="宋体" w:cs="宋体" w:eastAsia="宋体" w:hint="default"/>
                <w:spacing w:val="-4"/>
                <w:sz w:val="18"/>
                <w:szCs w:val="18"/>
              </w:rPr>
              <w:t>-</w:t>
            </w:r>
            <w:r>
              <w:rPr>
                <w:rFonts w:ascii="宋体" w:hAnsi="宋体" w:cs="宋体" w:eastAsia="宋体" w:hint="default"/>
                <w:spacing w:val="-4"/>
                <w:sz w:val="18"/>
                <w:szCs w:val="18"/>
              </w:rPr>
              <w:t>神州数码应收账款资产支持专项计划”</w:t>
            </w:r>
            <w:r>
              <w:rPr>
                <w:rFonts w:ascii="宋体" w:hAnsi="宋体" w:cs="宋体" w:eastAsia="宋体" w:hint="default"/>
                <w:spacing w:val="-69"/>
                <w:sz w:val="18"/>
                <w:szCs w:val="18"/>
              </w:rPr>
              <w:t> </w:t>
            </w:r>
            <w:r>
              <w:rPr>
                <w:rFonts w:ascii="宋体" w:hAnsi="宋体" w:cs="宋体" w:eastAsia="宋体" w:hint="default"/>
                <w:sz w:val="18"/>
                <w:szCs w:val="18"/>
              </w:rPr>
              <w:t>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B117</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131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2019/10/26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B165</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320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2019/10/29</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关于签署合作备忘录的自愿性信息披露公告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5"/>
                <w:sz w:val="18"/>
                <w:szCs w:val="18"/>
              </w:rPr>
              <w:t> </w:t>
            </w:r>
            <w:r>
              <w:rPr>
                <w:rFonts w:ascii="宋体" w:hAnsi="宋体" w:cs="宋体" w:eastAsia="宋体" w:hint="default"/>
                <w:sz w:val="18"/>
                <w:szCs w:val="18"/>
              </w:rPr>
              <w:t>B222</w:t>
            </w:r>
            <w:r>
              <w:rPr>
                <w:rFonts w:ascii="宋体" w:hAnsi="宋体" w:cs="宋体" w:eastAsia="宋体" w:hint="default"/>
                <w:sz w:val="18"/>
                <w:szCs w:val="18"/>
              </w:rPr>
              <w:t>、上海证券报</w:t>
            </w:r>
            <w:r>
              <w:rPr>
                <w:rFonts w:ascii="宋体" w:hAnsi="宋体" w:cs="宋体" w:eastAsia="宋体" w:hint="default"/>
                <w:spacing w:val="-47"/>
                <w:sz w:val="18"/>
                <w:szCs w:val="18"/>
              </w:rPr>
              <w:t> </w:t>
            </w:r>
            <w:r>
              <w:rPr>
                <w:rFonts w:ascii="宋体" w:hAnsi="宋体" w:cs="宋体" w:eastAsia="宋体" w:hint="default"/>
                <w:sz w:val="18"/>
                <w:szCs w:val="18"/>
              </w:rPr>
              <w:t>320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2019/10/29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2019/11/9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关于公司股东部分股票解除质押的公告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B71</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2019/11/12</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关于签署战略合作框架协议的自愿性信息披露公告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B47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2019/11/16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关于签署战略合作框架协议的自愿性信息披露公告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B65</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2019/11/19</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关于公司股东部分股票解除质押的公告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B75</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2019/12/3</w:t>
            </w:r>
          </w:p>
        </w:tc>
      </w:tr>
    </w:tbl>
    <w:p>
      <w:pPr>
        <w:spacing w:after="0" w:line="240" w:lineRule="auto"/>
        <w:jc w:val="center"/>
        <w:rPr>
          <w:rFonts w:ascii="宋体" w:hAnsi="宋体" w:cs="宋体" w:eastAsia="宋体" w:hint="default"/>
          <w:sz w:val="18"/>
          <w:szCs w:val="18"/>
        </w:rPr>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095"/>
        <w:gridCol w:w="4458"/>
        <w:gridCol w:w="2967"/>
        <w:gridCol w:w="1337"/>
      </w:tblGrid>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5" w:right="0"/>
              <w:jc w:val="left"/>
              <w:rPr>
                <w:rFonts w:ascii="宋体" w:hAnsi="宋体" w:cs="宋体" w:eastAsia="宋体" w:hint="default"/>
                <w:sz w:val="18"/>
                <w:szCs w:val="18"/>
              </w:rPr>
            </w:pPr>
            <w:r>
              <w:rPr>
                <w:rFonts w:ascii="宋体" w:hAnsi="宋体" w:cs="宋体" w:eastAsia="宋体" w:hint="default"/>
                <w:b/>
                <w:bCs/>
                <w:sz w:val="18"/>
                <w:szCs w:val="18"/>
              </w:rPr>
              <w:t>刊登的报刊名称及版面</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3"/>
                <w:sz w:val="18"/>
                <w:szCs w:val="18"/>
              </w:rPr>
              <w:t> </w:t>
            </w:r>
            <w:r>
              <w:rPr>
                <w:rFonts w:ascii="宋体" w:hAnsi="宋体" w:cs="宋体" w:eastAsia="宋体" w:hint="default"/>
                <w:sz w:val="18"/>
                <w:szCs w:val="18"/>
              </w:rPr>
              <w:t>B8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2019/12/3</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2019-119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2019/12/4</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关于公司股东部分股票解除质押暨再质押的公告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关于董事会秘书辞任的公告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2019-122</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第九届董事会第二十次会议决议公告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63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2019-123</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04"/>
              <w:jc w:val="left"/>
              <w:rPr>
                <w:rFonts w:ascii="宋体" w:hAnsi="宋体" w:cs="宋体" w:eastAsia="宋体" w:hint="default"/>
                <w:sz w:val="18"/>
                <w:szCs w:val="18"/>
              </w:rPr>
            </w:pPr>
            <w:r>
              <w:rPr>
                <w:rFonts w:ascii="宋体" w:hAnsi="宋体" w:cs="宋体" w:eastAsia="宋体" w:hint="default"/>
                <w:sz w:val="18"/>
                <w:szCs w:val="18"/>
              </w:rPr>
              <w:t>关于为北京神州数码置业发展有限公司提供财务资助 暨关联交易的公告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2019/12/11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2019-124</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关于聘任公司董事会秘书的公告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2019-125</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年第五次临时股东大会的通知</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2019-126</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第九届监事会第十五次会议决议公告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B80</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2019-127</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关于公司股东部分股票解除质押的公告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A33</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2019/12/17</w:t>
            </w:r>
          </w:p>
        </w:tc>
      </w:tr>
      <w:tr>
        <w:trPr>
          <w:trHeight w:val="57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2019-128</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B102</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72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2019/12/21</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2019-129</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关于为子公司担保的进展公告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7"/>
                <w:sz w:val="18"/>
                <w:szCs w:val="18"/>
              </w:rPr>
              <w:t> </w:t>
            </w:r>
            <w:r>
              <w:rPr>
                <w:rFonts w:ascii="宋体" w:hAnsi="宋体" w:cs="宋体" w:eastAsia="宋体" w:hint="default"/>
                <w:sz w:val="18"/>
                <w:szCs w:val="18"/>
              </w:rPr>
              <w:t>B78</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99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2019/12/26</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2019-130</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年第五次临时股东大会的提示性公告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4"/>
                <w:sz w:val="18"/>
                <w:szCs w:val="18"/>
              </w:rPr>
              <w:t> </w:t>
            </w:r>
            <w:r>
              <w:rPr>
                <w:rFonts w:ascii="宋体" w:hAnsi="宋体" w:cs="宋体" w:eastAsia="宋体" w:hint="default"/>
                <w:sz w:val="18"/>
                <w:szCs w:val="18"/>
              </w:rPr>
              <w:t>B107</w:t>
            </w:r>
            <w:r>
              <w:rPr>
                <w:rFonts w:ascii="宋体" w:hAnsi="宋体" w:cs="宋体" w:eastAsia="宋体" w:hint="default"/>
                <w:sz w:val="18"/>
                <w:szCs w:val="18"/>
              </w:rPr>
              <w:t>、上海证券报</w:t>
            </w:r>
            <w:r>
              <w:rPr>
                <w:rFonts w:ascii="宋体" w:hAnsi="宋体" w:cs="宋体" w:eastAsia="宋体" w:hint="default"/>
                <w:spacing w:val="-46"/>
                <w:sz w:val="18"/>
                <w:szCs w:val="18"/>
              </w:rPr>
              <w:t> </w:t>
            </w:r>
            <w:r>
              <w:rPr>
                <w:rFonts w:ascii="宋体" w:hAnsi="宋体" w:cs="宋体" w:eastAsia="宋体" w:hint="default"/>
                <w:sz w:val="18"/>
                <w:szCs w:val="18"/>
              </w:rPr>
              <w:t>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2019/12/27</w:t>
            </w:r>
          </w:p>
        </w:tc>
      </w:tr>
      <w:tr>
        <w:trPr>
          <w:trHeight w:val="5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2019-131</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年第五次临时股东大会决议公告</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B57</w:t>
            </w:r>
            <w:r>
              <w:rPr>
                <w:rFonts w:ascii="宋体" w:hAnsi="宋体" w:cs="宋体" w:eastAsia="宋体" w:hint="default"/>
                <w:sz w:val="18"/>
                <w:szCs w:val="18"/>
              </w:rPr>
              <w:t>、上海证券报</w:t>
            </w:r>
            <w:r>
              <w:rPr>
                <w:rFonts w:ascii="宋体" w:hAnsi="宋体" w:cs="宋体" w:eastAsia="宋体" w:hint="default"/>
                <w:spacing w:val="-45"/>
                <w:sz w:val="18"/>
                <w:szCs w:val="18"/>
              </w:rPr>
              <w:t> </w:t>
            </w:r>
            <w:r>
              <w:rPr>
                <w:rFonts w:ascii="宋体" w:hAnsi="宋体" w:cs="宋体" w:eastAsia="宋体" w:hint="default"/>
                <w:sz w:val="18"/>
                <w:szCs w:val="18"/>
              </w:rPr>
              <w:t>148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2019/12/31</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left="212" w:right="0"/>
        <w:jc w:val="both"/>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10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日，公司披露了《关于全资子公司开展应收账款资产证券化的公告》（公告编号</w:t>
      </w:r>
      <w:r>
        <w:rPr>
          <w:rFonts w:ascii="Times New Roman" w:hAnsi="Times New Roman" w:cs="Times New Roman" w:eastAsia="Times New Roman" w:hint="default"/>
        </w:rPr>
        <w:t>2018-127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p>
    <w:p>
      <w:pPr>
        <w:pStyle w:val="BodyText"/>
        <w:spacing w:line="285" w:lineRule="auto" w:before="14"/>
        <w:ind w:left="212" w:right="1129"/>
        <w:jc w:val="both"/>
      </w:pPr>
      <w:r>
        <w:rPr>
          <w:rFonts w:ascii="Times New Roman" w:hAnsi="Times New Roman" w:cs="Times New Roman" w:eastAsia="Times New Roman" w:hint="default"/>
          <w:spacing w:val="-1"/>
        </w:rPr>
        <w:t>16</w:t>
      </w:r>
      <w:r>
        <w:rPr>
          <w:spacing w:val="-1"/>
        </w:rPr>
        <w:t>日，公司披露了《关于全资子公司开展应收账款资产证券化的进展公告》（公告编号</w:t>
      </w:r>
      <w:r>
        <w:rPr>
          <w:rFonts w:ascii="Times New Roman" w:hAnsi="Times New Roman" w:cs="Times New Roman" w:eastAsia="Times New Roman" w:hint="default"/>
          <w:spacing w:val="-1"/>
        </w:rPr>
        <w:t>2019-023</w:t>
      </w:r>
      <w:r>
        <w:rPr>
          <w:spacing w:val="-1"/>
        </w:rPr>
        <w:t>）</w:t>
      </w:r>
      <w:r>
        <w:rPr>
          <w:spacing w:val="-1"/>
          <w:sz w:val="24"/>
          <w:szCs w:val="24"/>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日，公司</w:t>
      </w:r>
      <w:r>
        <w:rPr>
          <w:spacing w:val="-59"/>
        </w:rPr>
        <w:t> </w:t>
      </w:r>
      <w:r>
        <w:rPr/>
        <w:t>披露了《关于</w:t>
      </w:r>
      <w:r>
        <w:rPr>
          <w:rFonts w:ascii="Times New Roman" w:hAnsi="Times New Roman" w:cs="Times New Roman" w:eastAsia="Times New Roman" w:hint="default"/>
        </w:rPr>
        <w:t>“</w:t>
      </w:r>
      <w:r>
        <w:rPr/>
        <w:t>广州证券</w:t>
      </w:r>
      <w:r>
        <w:rPr>
          <w:rFonts w:ascii="Times New Roman" w:hAnsi="Times New Roman" w:cs="Times New Roman" w:eastAsia="Times New Roman" w:hint="default"/>
        </w:rPr>
        <w:t>-</w:t>
      </w:r>
      <w:r>
        <w:rPr/>
        <w:t>神州数码应收账款资产支持专项计划</w:t>
      </w:r>
      <w:r>
        <w:rPr>
          <w:rFonts w:ascii="Times New Roman" w:hAnsi="Times New Roman" w:cs="Times New Roman" w:eastAsia="Times New Roman" w:hint="default"/>
        </w:rPr>
        <w:t>”</w:t>
      </w:r>
      <w:r>
        <w:rPr/>
        <w:t>设立的公告》（公告编号</w:t>
      </w:r>
      <w:r>
        <w:rPr>
          <w:rFonts w:ascii="Times New Roman" w:hAnsi="Times New Roman" w:cs="Times New Roman" w:eastAsia="Times New Roman" w:hint="default"/>
        </w:rPr>
        <w:t>2019-088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w:t>
      </w:r>
      <w:r>
        <w:rPr>
          <w:spacing w:val="-17"/>
        </w:rPr>
        <w:t> </w:t>
      </w:r>
      <w:r>
        <w:rPr>
          <w:spacing w:val="-17"/>
        </w:rPr>
      </w:r>
      <w:r>
        <w:rPr/>
        <w:t>司披露了《关于</w:t>
      </w:r>
      <w:r>
        <w:rPr>
          <w:rFonts w:ascii="Times New Roman" w:hAnsi="Times New Roman" w:cs="Times New Roman" w:eastAsia="Times New Roman" w:hint="default"/>
        </w:rPr>
        <w:t>“</w:t>
      </w:r>
      <w:r>
        <w:rPr/>
        <w:t>广州证券</w:t>
      </w:r>
      <w:r>
        <w:rPr>
          <w:rFonts w:ascii="Times New Roman" w:hAnsi="Times New Roman" w:cs="Times New Roman" w:eastAsia="Times New Roman" w:hint="default"/>
        </w:rPr>
        <w:t>-</w:t>
      </w:r>
      <w:r>
        <w:rPr/>
        <w:t>神州数码应收账款资产支持专项计划</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的进展公告》（公告编号</w:t>
      </w:r>
      <w:r>
        <w:rPr>
          <w:rFonts w:ascii="Times New Roman" w:hAnsi="Times New Roman" w:cs="Times New Roman" w:eastAsia="Times New Roman" w:hint="default"/>
        </w:rPr>
        <w:t>2019-110</w:t>
      </w:r>
      <w:r>
        <w:rPr/>
        <w:t>）。</w:t>
      </w:r>
    </w:p>
    <w:p>
      <w:pPr>
        <w:pStyle w:val="BodyText"/>
        <w:spacing w:line="300" w:lineRule="auto" w:before="65"/>
        <w:ind w:left="212" w:right="1134"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日，公司披露了《关于出售参股公司股权的公告》（公告编号</w:t>
      </w:r>
      <w:r>
        <w:rPr>
          <w:rFonts w:ascii="Times New Roman" w:hAnsi="Times New Roman" w:cs="Times New Roman" w:eastAsia="Times New Roman" w:hint="default"/>
          <w:spacing w:val="-1"/>
        </w:rPr>
        <w:t>2019-071</w:t>
      </w:r>
      <w:r>
        <w:rPr>
          <w:spacing w:val="-1"/>
        </w:rPr>
        <w:t>）。参见本报告</w:t>
      </w:r>
      <w:r>
        <w:rPr>
          <w:rFonts w:ascii="Times New Roman" w:hAnsi="Times New Roman" w:cs="Times New Roman" w:eastAsia="Times New Roman" w:hint="default"/>
          <w:spacing w:val="-1"/>
        </w:rPr>
        <w:t>“</w:t>
      </w:r>
      <w:r>
        <w:rPr>
          <w:spacing w:val="-1"/>
        </w:rPr>
        <w:t>第四节、六、</w:t>
      </w:r>
      <w:r>
        <w:rPr>
          <w:rFonts w:ascii="Times New Roman" w:hAnsi="Times New Roman" w:cs="Times New Roman" w:eastAsia="Times New Roman" w:hint="default"/>
          <w:spacing w:val="-1"/>
        </w:rPr>
        <w:t>2</w:t>
      </w:r>
      <w:r>
        <w:rPr>
          <w:spacing w:val="-1"/>
        </w:rPr>
        <w:t>、出</w:t>
      </w:r>
      <w:r>
        <w:rPr>
          <w:spacing w:val="-5"/>
        </w:rPr>
        <w:t> </w:t>
      </w:r>
      <w:r>
        <w:rPr/>
        <w:t>售重大股权情况</w:t>
      </w:r>
      <w:r>
        <w:rPr>
          <w:rFonts w:ascii="Times New Roman" w:hAnsi="Times New Roman" w:cs="Times New Roman" w:eastAsia="Times New Roman" w:hint="default"/>
        </w:rPr>
        <w:t>”</w:t>
      </w:r>
      <w:r>
        <w:rPr/>
        <w:t>。</w:t>
      </w:r>
    </w:p>
    <w:p>
      <w:pPr>
        <w:pStyle w:val="BodyText"/>
        <w:spacing w:line="240" w:lineRule="auto" w:before="51"/>
        <w:ind w:left="573" w:right="1033"/>
        <w:jc w:val="left"/>
      </w:pPr>
      <w:r>
        <w:rPr/>
        <w:t>上述公告详见巨潮资讯网。</w:t>
      </w:r>
    </w:p>
    <w:p>
      <w:pPr>
        <w:spacing w:after="0" w:line="240" w:lineRule="auto"/>
        <w:jc w:val="left"/>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03"/>
        <w:gridCol w:w="710"/>
        <w:gridCol w:w="566"/>
        <w:gridCol w:w="566"/>
        <w:gridCol w:w="711"/>
        <w:gridCol w:w="1133"/>
        <w:gridCol w:w="1136"/>
        <w:gridCol w:w="982"/>
        <w:gridCol w:w="792"/>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296,180,794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-123,229,551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-123,229,551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172,951,243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296,180,794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-123,229,551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-123,229,551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172,951,243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26.44%</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29,609,700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-29,609,700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-29,609,700</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266,571,094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-93,619,851</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-93,619,851</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172,951,243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26.44%</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357,889,640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123,229,551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123,229,551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481,119,191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73.56%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357,889,640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123,229,551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123,229,551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481,119,191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73.56%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654,070,434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654,070,434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both"/>
      </w:pPr>
      <w:r>
        <w:rPr/>
        <w:t>股份变动的原因</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4"/>
        <w:ind w:right="112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月，公司向郭为、王晓岩、中信建投基金（中信建投基金定增</w:t>
      </w:r>
      <w:r>
        <w:rPr>
          <w:rFonts w:ascii="Times New Roman" w:hAnsi="Times New Roman" w:cs="Times New Roman" w:eastAsia="Times New Roman" w:hint="default"/>
        </w:rPr>
        <w:t>16</w:t>
      </w:r>
      <w:r>
        <w:rPr/>
        <w:t>号资产管理计划）、王廷月、钱学宁、张明共 计</w:t>
      </w:r>
      <w:r>
        <w:rPr>
          <w:rFonts w:ascii="Times New Roman" w:hAnsi="Times New Roman" w:cs="Times New Roman" w:eastAsia="Times New Roman" w:hint="default"/>
        </w:rPr>
        <w:t>6</w:t>
      </w:r>
      <w:r>
        <w:rPr/>
        <w:t>名非公开发行认购对象共计发行</w:t>
      </w:r>
      <w:r>
        <w:rPr>
          <w:rFonts w:ascii="Times New Roman" w:hAnsi="Times New Roman" w:cs="Times New Roman" w:eastAsia="Times New Roman" w:hint="default"/>
        </w:rPr>
        <w:t>296,096,903</w:t>
      </w:r>
      <w:r>
        <w:rPr/>
        <w:t>股，上述股份已于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日解除限售上市流通。详见巨 </w:t>
      </w:r>
      <w:r>
        <w:rPr>
          <w:spacing w:val="-1"/>
        </w:rPr>
        <w:t>潮资讯网《关于部分限售股份上市流通的提示性公告》（公告编号</w:t>
      </w:r>
      <w:r>
        <w:rPr>
          <w:rFonts w:ascii="Times New Roman" w:hAnsi="Times New Roman" w:cs="Times New Roman" w:eastAsia="Times New Roman" w:hint="default"/>
          <w:spacing w:val="-1"/>
        </w:rPr>
        <w:t>2019-019</w:t>
      </w:r>
      <w:r>
        <w:rPr>
          <w:spacing w:val="-1"/>
        </w:rPr>
        <w:t>、</w:t>
      </w:r>
      <w:r>
        <w:rPr>
          <w:rFonts w:ascii="Times New Roman" w:hAnsi="Times New Roman" w:cs="Times New Roman" w:eastAsia="Times New Roman" w:hint="default"/>
          <w:spacing w:val="-1"/>
        </w:rPr>
        <w:t>2019-035</w:t>
      </w:r>
      <w:r>
        <w:rPr>
          <w:spacing w:val="-1"/>
        </w:rPr>
        <w:t>）。同时，按照《深圳证券交易所股</w:t>
      </w:r>
      <w:r>
        <w:rPr>
          <w:spacing w:val="-56"/>
        </w:rPr>
        <w:t> </w:t>
      </w:r>
      <w:r>
        <w:rPr>
          <w:spacing w:val="-56"/>
        </w:rPr>
      </w:r>
      <w:r>
        <w:rPr>
          <w:spacing w:val="-2"/>
        </w:rPr>
        <w:t>票上市规则》、《深圳证券交易所上市公司规范运作指引》、《深圳证券交易所上市公司股东及董事、监事、高级管理人员</w:t>
      </w:r>
      <w:r>
        <w:rPr>
          <w:spacing w:val="-65"/>
        </w:rPr>
        <w:t> </w:t>
      </w:r>
      <w:r>
        <w:rPr>
          <w:spacing w:val="-65"/>
        </w:rPr>
      </w:r>
      <w:r>
        <w:rPr/>
        <w:t>减持股份实施细则》等相关规定，郭为、王晓岩作为公司董事，其持有股份的</w:t>
      </w:r>
      <w:r>
        <w:rPr>
          <w:rFonts w:ascii="Times New Roman" w:hAnsi="Times New Roman" w:cs="Times New Roman" w:eastAsia="Times New Roman" w:hint="default"/>
        </w:rPr>
        <w:t>75%</w:t>
      </w:r>
      <w:r>
        <w:rPr/>
        <w:t>转为高管锁定股。</w:t>
      </w:r>
    </w:p>
    <w:p>
      <w:pPr>
        <w:pStyle w:val="BodyText"/>
        <w:spacing w:line="240" w:lineRule="auto" w:before="9"/>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
        </w:rPr>
        <w:t>年</w:t>
      </w:r>
      <w:r>
        <w:rPr>
          <w:rFonts w:ascii="Times New Roman" w:hAnsi="Times New Roman" w:cs="Times New Roman" w:eastAsia="Times New Roman" w:hint="default"/>
          <w:spacing w:val="1"/>
        </w:rPr>
        <w:t>4</w:t>
      </w:r>
      <w:r>
        <w:rPr>
          <w:spacing w:val="-3"/>
        </w:rPr>
        <w:t>月</w:t>
      </w:r>
      <w:r>
        <w:rPr>
          <w:rFonts w:ascii="Times New Roman" w:hAnsi="Times New Roman" w:cs="Times New Roman" w:eastAsia="Times New Roman" w:hint="default"/>
          <w:spacing w:val="1"/>
        </w:rPr>
        <w:t>26</w:t>
      </w:r>
      <w:r>
        <w:rPr/>
        <w:t>日公司第九届董</w:t>
      </w:r>
      <w:r>
        <w:rPr>
          <w:spacing w:val="-3"/>
        </w:rPr>
        <w:t>事</w:t>
      </w:r>
      <w:r>
        <w:rPr/>
        <w:t>会第十二次会议和</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spacing w:val="-3"/>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5</w:t>
      </w:r>
      <w:r>
        <w:rPr/>
        <w:t>日公司</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年第二次临时股</w:t>
      </w:r>
      <w:r>
        <w:rPr>
          <w:spacing w:val="-3"/>
        </w:rPr>
        <w:t>东</w:t>
      </w:r>
      <w:r>
        <w:rPr/>
        <w:t>大会审议通过</w:t>
      </w:r>
      <w:r>
        <w:rPr>
          <w:spacing w:val="-82"/>
        </w:rPr>
        <w:t>了</w:t>
      </w:r>
      <w:r>
        <w:rPr/>
        <w:t>《关于公司</w:t>
      </w:r>
    </w:p>
    <w:p>
      <w:pPr>
        <w:pStyle w:val="BodyText"/>
        <w:spacing w:line="300" w:lineRule="auto" w:before="63"/>
        <w:ind w:right="1128"/>
        <w:jc w:val="both"/>
      </w:pPr>
      <w:r>
        <w:rPr>
          <w:rFonts w:ascii="Times New Roman" w:hAnsi="Times New Roman" w:cs="Times New Roman" w:eastAsia="Times New Roman" w:hint="default"/>
          <w:spacing w:val="-1"/>
        </w:rPr>
        <w:t>&lt;2019</w:t>
      </w:r>
      <w:r>
        <w:rPr>
          <w:spacing w:val="-1"/>
        </w:rPr>
        <w:t>年股票期权与限制性股票激励计划（草案）</w:t>
      </w:r>
      <w:r>
        <w:rPr>
          <w:rFonts w:ascii="Times New Roman" w:hAnsi="Times New Roman" w:cs="Times New Roman" w:eastAsia="Times New Roman" w:hint="default"/>
          <w:spacing w:val="-1"/>
        </w:rPr>
        <w:t>&gt;</w:t>
      </w:r>
      <w:r>
        <w:rPr>
          <w:spacing w:val="-1"/>
        </w:rPr>
        <w:t>及其摘要的议案》等股权激励相关议案。</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日，公司第九届董</w:t>
      </w:r>
      <w:r>
        <w:rPr>
          <w:spacing w:val="-49"/>
        </w:rPr>
        <w:t> </w:t>
      </w:r>
      <w:r>
        <w:rPr>
          <w:spacing w:val="-49"/>
        </w:rPr>
      </w:r>
      <w:r>
        <w:rPr>
          <w:spacing w:val="-5"/>
        </w:rPr>
        <w:t>事会第十三次会议审议通过了《关于调整</w:t>
      </w:r>
      <w:r>
        <w:rPr>
          <w:rFonts w:ascii="Times New Roman" w:hAnsi="Times New Roman" w:cs="Times New Roman" w:eastAsia="Times New Roman" w:hint="default"/>
          <w:spacing w:val="-5"/>
        </w:rPr>
        <w:t>2019</w:t>
      </w:r>
      <w:r>
        <w:rPr>
          <w:spacing w:val="-5"/>
        </w:rPr>
        <w:t>年股票期权与限制性股票激励计划激励对象名单及授予权益数量的议案》、《关</w:t>
      </w:r>
      <w:r>
        <w:rPr>
          <w:spacing w:val="-69"/>
        </w:rPr>
        <w:t> </w:t>
      </w:r>
      <w:r>
        <w:rPr>
          <w:spacing w:val="-69"/>
        </w:rPr>
      </w:r>
      <w:r>
        <w:rPr>
          <w:spacing w:val="-2"/>
        </w:rPr>
        <w:t>于向激励对象首次授予股票期权与限制性股票的议案》。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日本次授予的限制性股票上市，限制性股票授予数量为</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left="513" w:right="1025" w:hanging="361"/>
        <w:jc w:val="left"/>
      </w:pP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75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t>股</w:t>
      </w:r>
      <w:r>
        <w:rPr>
          <w:spacing w:val="-82"/>
        </w:rPr>
        <w:t>，</w:t>
      </w:r>
      <w:r>
        <w:rPr/>
        <w:t>详见巨潮资讯</w:t>
      </w:r>
      <w:r>
        <w:rPr>
          <w:spacing w:val="-85"/>
        </w:rPr>
        <w:t>网</w:t>
      </w:r>
      <w:r>
        <w:rPr>
          <w:spacing w:val="-3"/>
        </w:rPr>
        <w:t>《</w:t>
      </w:r>
      <w:r>
        <w:rPr/>
        <w:t>关于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年股票期权与限制</w:t>
      </w:r>
      <w:r>
        <w:rPr>
          <w:spacing w:val="-3"/>
        </w:rPr>
        <w:t>性</w:t>
      </w:r>
      <w:r>
        <w:rPr/>
        <w:t>股票激励计划首次授予登记完成的公告</w:t>
      </w:r>
      <w:r>
        <w:rPr>
          <w:spacing w:val="-164"/>
        </w:rPr>
        <w:t>》</w:t>
      </w:r>
      <w:r>
        <w:rPr/>
        <w:t>（公告编</w:t>
      </w:r>
      <w:r>
        <w:rPr>
          <w:spacing w:val="1"/>
        </w:rPr>
        <w:t>号</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72</w:t>
      </w:r>
      <w:r>
        <w:rPr>
          <w:spacing w:val="-84"/>
        </w:rPr>
        <w:t>）。 </w:t>
      </w:r>
      <w:r>
        <w:rPr/>
        <w:t>中国证券登记结算有限责任公司于</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43"/>
        </w:rPr>
        <w:t> </w:t>
      </w:r>
      <w:r>
        <w:rPr/>
        <w:t>年发文通知将高管</w:t>
      </w:r>
      <w:r>
        <w:rPr>
          <w:spacing w:val="-3"/>
        </w:rPr>
        <w:t>锁</w:t>
      </w:r>
      <w:r>
        <w:rPr/>
        <w:t>定股调整为无限售流通股</w:t>
      </w:r>
      <w:r>
        <w:rPr>
          <w:spacing w:val="-82"/>
        </w:rPr>
        <w:t>，</w:t>
      </w:r>
      <w:r>
        <w:rPr/>
        <w:t>公司依照此次发文进行了调整，</w:t>
      </w:r>
    </w:p>
    <w:p>
      <w:pPr>
        <w:pStyle w:val="BodyText"/>
        <w:spacing w:line="316" w:lineRule="auto" w:before="1"/>
        <w:ind w:right="1118"/>
        <w:jc w:val="left"/>
      </w:pPr>
      <w:r>
        <w:rPr/>
        <w:t>但依据《深圳证券交易所上市公司股东及董事、监事、高级管理人员减持股份实施细则》等相关规定，将期初的</w:t>
      </w:r>
      <w:r>
        <w:rPr>
          <w:spacing w:val="-41"/>
        </w:rPr>
        <w:t> </w:t>
      </w:r>
      <w:r>
        <w:rPr>
          <w:rFonts w:ascii="宋体" w:hAnsi="宋体" w:cs="宋体" w:eastAsia="宋体" w:hint="default"/>
        </w:rPr>
        <w:t>80,293</w:t>
      </w:r>
      <w:r>
        <w:rPr>
          <w:rFonts w:ascii="宋体" w:hAnsi="宋体" w:cs="宋体" w:eastAsia="宋体" w:hint="default"/>
          <w:spacing w:val="-43"/>
        </w:rPr>
        <w:t> </w:t>
      </w:r>
      <w:r>
        <w:rPr/>
        <w:t>股 调整为限售股。</w:t>
      </w:r>
    </w:p>
    <w:p>
      <w:pPr>
        <w:pStyle w:val="BodyText"/>
        <w:spacing w:line="240" w:lineRule="auto" w:before="57"/>
        <w:ind w:right="0"/>
        <w:jc w:val="left"/>
      </w:pPr>
      <w:r>
        <w:rPr/>
        <w:t>股份变动的批准情况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日公司第九届董事会第九次会议和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2018</w:t>
      </w:r>
      <w:r>
        <w:rPr>
          <w:spacing w:val="-2"/>
        </w:rPr>
        <w:t>年第五次临时股东大会审议通过了《神州数码</w:t>
      </w:r>
      <w:r>
        <w:rPr/>
        <w:t> </w:t>
      </w:r>
      <w:r>
        <w:rPr>
          <w:spacing w:val="-2"/>
        </w:rPr>
        <w:t>集团股份有限公司以集中竞价交易方式回购公司股份的预案》等相关事项。股份回购的实施期限自公司股东大会审议通过本</w:t>
      </w:r>
      <w:r>
        <w:rPr>
          <w:spacing w:val="-64"/>
        </w:rPr>
        <w:t> </w:t>
      </w:r>
      <w:r>
        <w:rPr>
          <w:spacing w:val="-64"/>
        </w:rPr>
      </w:r>
      <w:r>
        <w:rPr/>
        <w:t>次回购股份预案之日起</w:t>
      </w:r>
      <w:r>
        <w:rPr>
          <w:rFonts w:ascii="Times New Roman" w:hAnsi="Times New Roman" w:cs="Times New Roman" w:eastAsia="Times New Roman" w:hint="default"/>
        </w:rPr>
        <w:t>6</w:t>
      </w:r>
      <w:r>
        <w:rPr/>
        <w:t>个月内，公司使用自有资金通过深圳证券交易所股票交易系统以集中竞价交易方式回购公司发行的</w:t>
      </w:r>
      <w:r>
        <w:rPr>
          <w:spacing w:val="-84"/>
        </w:rPr>
        <w:t> </w:t>
      </w:r>
      <w:r>
        <w:rPr>
          <w:spacing w:val="-84"/>
        </w:rPr>
      </w:r>
      <w:r>
        <w:rPr/>
        <w:t>人民币普通股（</w:t>
      </w:r>
      <w:r>
        <w:rPr>
          <w:rFonts w:ascii="Times New Roman" w:hAnsi="Times New Roman" w:cs="Times New Roman" w:eastAsia="Times New Roman" w:hint="default"/>
        </w:rPr>
        <w:t>A</w:t>
      </w:r>
      <w:r>
        <w:rPr/>
        <w:t>股）股票，回购总金额不低于人民币</w:t>
      </w:r>
      <w:r>
        <w:rPr>
          <w:rFonts w:ascii="Times New Roman" w:hAnsi="Times New Roman" w:cs="Times New Roman" w:eastAsia="Times New Roman" w:hint="default"/>
        </w:rPr>
        <w:t>0.5</w:t>
      </w:r>
      <w:r>
        <w:rPr/>
        <w:t>亿元（含）且不超过人民币</w:t>
      </w:r>
      <w:r>
        <w:rPr>
          <w:rFonts w:ascii="Times New Roman" w:hAnsi="Times New Roman" w:cs="Times New Roman" w:eastAsia="Times New Roman" w:hint="default"/>
        </w:rPr>
        <w:t>1</w:t>
      </w:r>
      <w:r>
        <w:rPr/>
        <w:t>亿元（含），回购股份价格不超过人</w:t>
      </w:r>
      <w:r>
        <w:rPr>
          <w:spacing w:val="-80"/>
        </w:rPr>
        <w:t> </w:t>
      </w:r>
      <w:r>
        <w:rPr>
          <w:spacing w:val="-80"/>
        </w:rPr>
      </w:r>
      <w:r>
        <w:rPr/>
        <w:t>民币</w:t>
      </w:r>
      <w:r>
        <w:rPr>
          <w:rFonts w:ascii="Times New Roman" w:hAnsi="Times New Roman" w:cs="Times New Roman" w:eastAsia="Times New Roman" w:hint="default"/>
        </w:rPr>
        <w:t>18</w:t>
      </w:r>
      <w:r>
        <w:rPr/>
        <w:t>元</w:t>
      </w:r>
      <w:r>
        <w:rPr>
          <w:rFonts w:ascii="Times New Roman" w:hAnsi="Times New Roman" w:cs="Times New Roman" w:eastAsia="Times New Roman" w:hint="default"/>
        </w:rPr>
        <w:t>/</w:t>
      </w:r>
      <w:r>
        <w:rPr/>
        <w:t>股（含）。</w:t>
      </w:r>
    </w:p>
    <w:p>
      <w:pPr>
        <w:pStyle w:val="BodyText"/>
        <w:spacing w:line="300" w:lineRule="auto" w:before="50"/>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日公司发布了《关于公司股份回购实施完成的公告》（公告编号</w:t>
      </w:r>
      <w:r>
        <w:rPr>
          <w:rFonts w:ascii="Times New Roman" w:hAnsi="Times New Roman" w:cs="Times New Roman" w:eastAsia="Times New Roman" w:hint="default"/>
        </w:rPr>
        <w:t>2019-021</w:t>
      </w:r>
      <w:r>
        <w:rPr/>
        <w:t>），公司通过回购专用证券账户 以集中竞价交易方式累计回购股份数</w:t>
      </w:r>
      <w:r>
        <w:rPr>
          <w:rFonts w:ascii="Times New Roman" w:hAnsi="Times New Roman" w:cs="Times New Roman" w:eastAsia="Times New Roman" w:hint="default"/>
        </w:rPr>
        <w:t>4,518,085</w:t>
      </w:r>
      <w:r>
        <w:rPr/>
        <w:t>股，占公司总股本的</w:t>
      </w:r>
      <w:r>
        <w:rPr>
          <w:rFonts w:ascii="Times New Roman" w:hAnsi="Times New Roman" w:cs="Times New Roman" w:eastAsia="Times New Roman" w:hint="default"/>
        </w:rPr>
        <w:t>0.69%</w:t>
      </w:r>
      <w:r>
        <w:rPr/>
        <w:t>，购买股份的最高成交价为</w:t>
      </w:r>
      <w:r>
        <w:rPr>
          <w:rFonts w:ascii="Times New Roman" w:hAnsi="Times New Roman" w:cs="Times New Roman" w:eastAsia="Times New Roman" w:hint="default"/>
        </w:rPr>
        <w:t>14.00</w:t>
      </w:r>
      <w:r>
        <w:rPr/>
        <w:t>元</w:t>
      </w:r>
      <w:r>
        <w:rPr>
          <w:rFonts w:ascii="Times New Roman" w:hAnsi="Times New Roman" w:cs="Times New Roman" w:eastAsia="Times New Roman" w:hint="default"/>
        </w:rPr>
        <w:t>/</w:t>
      </w:r>
      <w:r>
        <w:rPr/>
        <w:t>股，最低成交</w:t>
      </w:r>
      <w:r>
        <w:rPr>
          <w:spacing w:val="-25"/>
        </w:rPr>
        <w:t> </w:t>
      </w:r>
      <w:r>
        <w:rPr>
          <w:spacing w:val="-25"/>
        </w:rPr>
      </w:r>
      <w:r>
        <w:rPr/>
        <w:t>价为</w:t>
      </w:r>
      <w:r>
        <w:rPr>
          <w:rFonts w:ascii="Times New Roman" w:hAnsi="Times New Roman" w:cs="Times New Roman" w:eastAsia="Times New Roman" w:hint="default"/>
        </w:rPr>
        <w:t>10.47</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50,004,040.16</w:t>
      </w:r>
      <w:r>
        <w:rPr/>
        <w:t>元（不含交易费用</w:t>
      </w:r>
      <w:r>
        <w:rPr>
          <w:rFonts w:ascii="Times New Roman" w:hAnsi="Times New Roman" w:cs="Times New Roman" w:eastAsia="Times New Roman" w:hint="default"/>
        </w:rPr>
        <w:t>)</w:t>
      </w:r>
      <w:r>
        <w:rPr/>
        <w:t>。</w:t>
      </w:r>
    </w:p>
    <w:p>
      <w:pPr>
        <w:pStyle w:val="BodyText"/>
        <w:spacing w:line="240" w:lineRule="auto" w:before="53"/>
        <w:ind w:right="0"/>
        <w:jc w:val="left"/>
      </w:pPr>
      <w:r>
        <w:rPr/>
        <w:t>采用集中竞价方式减持回购股份的实施进展情况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136"/>
        <w:jc w:val="right"/>
      </w:pPr>
      <w:r>
        <w:rPr/>
        <w:pict>
          <v:shape style="position:absolute;margin-left:56.400002pt;margin-top:-36.488327pt;width:479.3pt;height:190.1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4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154,777,803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116,083,352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154,777,803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116,083,352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本期新增限售股 为高管锁定股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其期初持有的全 部限售股份解除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解除限售</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48,452,250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48,452,250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本期新增限售股 为高管锁定股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 其本期持有的全 部股份解除限售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136"/>
        <w:jc w:val="right"/>
      </w:pPr>
      <w:r>
        <w:rPr/>
        <w:t>，</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钱学宁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解除限售</w:t>
            </w:r>
          </w:p>
        </w:tc>
      </w:tr>
      <w:tr>
        <w:trPr>
          <w:trHeight w:val="133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 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 基金定增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29,609,700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29,609,700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解除限售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解除限售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4,456,750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4,456,750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高管锁定股和股 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陈振坤</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其他限制性股票 激励对象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按相关规定解除 限售</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持有人申请解除 时方可解除</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296,180,794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172,867,352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296,096,903</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172,951,243</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0"/>
        <w:gridCol w:w="1294"/>
        <w:gridCol w:w="1296"/>
        <w:gridCol w:w="1294"/>
        <w:gridCol w:w="1296"/>
        <w:gridCol w:w="1297"/>
        <w:gridCol w:w="1682"/>
      </w:tblGrid>
      <w:tr>
        <w:trPr>
          <w:trHeight w:val="713"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1025"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55"/>
              <w:jc w:val="left"/>
              <w:rPr>
                <w:rFonts w:ascii="宋体" w:hAnsi="宋体" w:cs="宋体" w:eastAsia="宋体" w:hint="default"/>
                <w:sz w:val="18"/>
                <w:szCs w:val="18"/>
              </w:rPr>
            </w:pPr>
            <w:r>
              <w:rPr>
                <w:rFonts w:ascii="宋体" w:hAnsi="宋体" w:cs="宋体" w:eastAsia="宋体" w:hint="default"/>
                <w:sz w:val="18"/>
                <w:szCs w:val="18"/>
              </w:rPr>
              <w:t>广州证券</w:t>
            </w:r>
            <w:r>
              <w:rPr>
                <w:rFonts w:ascii="Times New Roman" w:hAnsi="Times New Roman" w:cs="Times New Roman" w:eastAsia="Times New Roman" w:hint="default"/>
                <w:sz w:val="18"/>
                <w:szCs w:val="18"/>
              </w:rPr>
              <w:t>-</w:t>
            </w:r>
            <w:r>
              <w:rPr>
                <w:rFonts w:ascii="宋体" w:hAnsi="宋体" w:cs="宋体" w:eastAsia="宋体" w:hint="default"/>
                <w:sz w:val="18"/>
                <w:szCs w:val="18"/>
              </w:rPr>
              <w:t>神州数 码应收账款资产 支持专项计划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宋体" w:hAnsi="宋体" w:cs="宋体" w:eastAsia="宋体" w:hint="default"/>
                <w:sz w:val="18"/>
                <w:szCs w:val="18"/>
              </w:rPr>
              <w:t>（优先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1"/>
                <w:sz w:val="18"/>
                <w:szCs w:val="18"/>
              </w:rPr>
              <w:t>级）、</w:t>
            </w:r>
            <w:r>
              <w:rPr>
                <w:rFonts w:ascii="Times New Roman" w:hAnsi="Times New Roman" w:cs="Times New Roman" w:eastAsia="Times New Roman" w:hint="default"/>
                <w:spacing w:val="-11"/>
                <w:sz w:val="18"/>
                <w:szCs w:val="18"/>
              </w:rPr>
              <w:t>6.5%</w:t>
            </w:r>
            <w:r>
              <w:rPr>
                <w:rFonts w:ascii="宋体" w:hAnsi="宋体" w:cs="宋体" w:eastAsia="宋体" w:hint="default"/>
                <w:spacing w:val="-11"/>
                <w:sz w:val="18"/>
                <w:szCs w:val="18"/>
              </w:rPr>
              <w:t>（优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5,510,000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5,510,000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pStyle w:val="BodyText"/>
        <w:spacing w:line="240" w:lineRule="auto" w:before="49"/>
        <w:ind w:right="0"/>
        <w:jc w:val="left"/>
      </w:pPr>
      <w:r>
        <w:rPr/>
        <w:t>报告期内证券发行（不含优先股）情况的说明</w:t>
      </w:r>
    </w:p>
    <w:p>
      <w:pPr>
        <w:pStyle w:val="BodyText"/>
        <w:spacing w:line="300" w:lineRule="auto" w:before="117"/>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日，公司第九届董事会第六次会议审计通过了《关于全资子公司开展应收账款资产证券化的议案》，同意</w:t>
      </w:r>
      <w:r>
        <w:rPr/>
        <w:t> </w:t>
      </w:r>
      <w:r>
        <w:rPr>
          <w:spacing w:val="-1"/>
        </w:rPr>
        <w:t>全资子公司神码中国拟通过广州证券股份有限公司设立</w:t>
      </w:r>
      <w:r>
        <w:rPr>
          <w:rFonts w:ascii="Times New Roman" w:hAnsi="Times New Roman" w:cs="Times New Roman" w:eastAsia="Times New Roman" w:hint="default"/>
          <w:spacing w:val="-1"/>
        </w:rPr>
        <w:t>“</w:t>
      </w:r>
      <w:r>
        <w:rPr>
          <w:spacing w:val="-1"/>
        </w:rPr>
        <w:t>广州证券</w:t>
      </w:r>
      <w:r>
        <w:rPr>
          <w:rFonts w:ascii="Times New Roman" w:hAnsi="Times New Roman" w:cs="Times New Roman" w:eastAsia="Times New Roman" w:hint="default"/>
          <w:spacing w:val="-1"/>
        </w:rPr>
        <w:t>-</w:t>
      </w:r>
      <w:r>
        <w:rPr>
          <w:spacing w:val="-1"/>
        </w:rPr>
        <w:t>神州数码应收账款资产支持专项计划</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专项计</w:t>
      </w:r>
      <w:r>
        <w:rPr>
          <w:spacing w:val="-56"/>
        </w:rPr>
        <w:t> </w:t>
      </w:r>
      <w:r>
        <w:rPr>
          <w:spacing w:val="-56"/>
        </w:rPr>
      </w:r>
      <w:r>
        <w:rPr>
          <w:spacing w:val="-1"/>
        </w:rPr>
        <w:t>划</w:t>
      </w:r>
      <w:r>
        <w:rPr>
          <w:rFonts w:ascii="Times New Roman" w:hAnsi="Times New Roman" w:cs="Times New Roman" w:eastAsia="Times New Roman" w:hint="default"/>
          <w:spacing w:val="-1"/>
        </w:rPr>
        <w:t>”</w:t>
      </w:r>
      <w:r>
        <w:rPr>
          <w:spacing w:val="-1"/>
        </w:rPr>
        <w:t>）发行资产支持证券进行融资，发行总额不超过人民币</w:t>
      </w:r>
      <w:r>
        <w:rPr>
          <w:rFonts w:ascii="Times New Roman" w:hAnsi="Times New Roman" w:cs="Times New Roman" w:eastAsia="Times New Roman" w:hint="default"/>
          <w:spacing w:val="-1"/>
        </w:rPr>
        <w:t>6</w:t>
      </w:r>
      <w:r>
        <w:rPr>
          <w:spacing w:val="-1"/>
        </w:rPr>
        <w:t>亿元、期限不超过</w:t>
      </w:r>
      <w:r>
        <w:rPr>
          <w:rFonts w:ascii="Times New Roman" w:hAnsi="Times New Roman" w:cs="Times New Roman" w:eastAsia="Times New Roman" w:hint="default"/>
          <w:spacing w:val="-1"/>
        </w:rPr>
        <w:t>2.50</w:t>
      </w:r>
      <w:r>
        <w:rPr>
          <w:spacing w:val="-1"/>
        </w:rPr>
        <w:t>年的应收账款资产支持证券。具体内容详</w:t>
      </w:r>
      <w:r>
        <w:rPr>
          <w:spacing w:val="-63"/>
        </w:rPr>
        <w:t> </w:t>
      </w:r>
      <w:r>
        <w:rPr>
          <w:spacing w:val="-63"/>
        </w:rPr>
      </w:r>
      <w:r>
        <w:rPr/>
        <w:t>见巨潮资讯网上的相关公告。</w:t>
      </w:r>
    </w:p>
    <w:p>
      <w:pPr>
        <w:pStyle w:val="BodyText"/>
        <w:spacing w:line="300" w:lineRule="auto" w:before="70"/>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日，专项计划正式设立。该专项计划分为优先级资产支持证券和次级资产支持证券，发行总额为</w:t>
      </w:r>
      <w:r>
        <w:rPr>
          <w:rFonts w:ascii="Times New Roman" w:hAnsi="Times New Roman" w:cs="Times New Roman" w:eastAsia="Times New Roman" w:hint="default"/>
        </w:rPr>
        <w:t>5.51</w:t>
      </w:r>
      <w:r>
        <w:rPr/>
        <w:t>亿元 </w:t>
      </w:r>
      <w:r>
        <w:rPr>
          <w:spacing w:val="-1"/>
        </w:rPr>
        <w:t>人民币，其中优先级资产支持证券发行总额为</w:t>
      </w:r>
      <w:r>
        <w:rPr>
          <w:rFonts w:ascii="Times New Roman" w:hAnsi="Times New Roman" w:cs="Times New Roman" w:eastAsia="Times New Roman" w:hint="default"/>
          <w:spacing w:val="-1"/>
        </w:rPr>
        <w:t>4.41</w:t>
      </w:r>
      <w:r>
        <w:rPr>
          <w:spacing w:val="-1"/>
        </w:rPr>
        <w:t>亿元，占发行总额的</w:t>
      </w:r>
      <w:r>
        <w:rPr>
          <w:rFonts w:ascii="Times New Roman" w:hAnsi="Times New Roman" w:cs="Times New Roman" w:eastAsia="Times New Roman" w:hint="default"/>
          <w:spacing w:val="-1"/>
        </w:rPr>
        <w:t>80.04%</w:t>
      </w:r>
      <w:r>
        <w:rPr>
          <w:spacing w:val="-1"/>
        </w:rPr>
        <w:t>；次级资产支持证券发行总额为</w:t>
      </w:r>
      <w:r>
        <w:rPr>
          <w:rFonts w:ascii="Times New Roman" w:hAnsi="Times New Roman" w:cs="Times New Roman" w:eastAsia="Times New Roman" w:hint="default"/>
          <w:spacing w:val="-1"/>
        </w:rPr>
        <w:t>1.10</w:t>
      </w:r>
      <w:r>
        <w:rPr>
          <w:spacing w:val="-1"/>
        </w:rPr>
        <w:t>亿元，占</w:t>
      </w:r>
      <w:r>
        <w:rPr>
          <w:spacing w:val="-43"/>
        </w:rPr>
        <w:t> </w:t>
      </w:r>
      <w:r>
        <w:rPr>
          <w:spacing w:val="-43"/>
        </w:rPr>
      </w:r>
      <w:r>
        <w:rPr/>
        <w:t>发行总额的</w:t>
      </w:r>
      <w:r>
        <w:rPr>
          <w:rFonts w:ascii="Times New Roman" w:hAnsi="Times New Roman" w:cs="Times New Roman" w:eastAsia="Times New Roman" w:hint="default"/>
        </w:rPr>
        <w:t>19.96%</w:t>
      </w:r>
      <w:r>
        <w:rPr/>
        <w:t>，不设预期收益率。</w:t>
      </w:r>
    </w:p>
    <w:p>
      <w:pPr>
        <w:pStyle w:val="BodyText"/>
        <w:spacing w:line="240" w:lineRule="auto" w:before="53"/>
        <w:ind w:left="513" w:right="0"/>
        <w:jc w:val="left"/>
      </w:pP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日起，深圳证券交易所已在综合协议交易平台为该专项计划提供转让服务。</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8"/>
        <w:gridCol w:w="1210"/>
        <w:gridCol w:w="1305"/>
        <w:gridCol w:w="1086"/>
        <w:gridCol w:w="1569"/>
        <w:gridCol w:w="956"/>
        <w:gridCol w:w="1312"/>
        <w:gridCol w:w="1002"/>
      </w:tblGrid>
      <w:tr>
        <w:trPr>
          <w:trHeight w:val="161" w:hRule="exact"/>
        </w:trPr>
        <w:tc>
          <w:tcPr>
            <w:tcW w:w="1188"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37,920</w:t>
            </w: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44,488</w:t>
            </w:r>
          </w:p>
        </w:tc>
        <w:tc>
          <w:tcPr>
            <w:tcW w:w="1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02"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8"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86" w:type="dxa"/>
            <w:vMerge/>
            <w:tcBorders>
              <w:left w:val="single" w:sz="9" w:space="0" w:color="D2D2D2"/>
              <w:right w:val="single" w:sz="9" w:space="0" w:color="D2D2D2"/>
            </w:tcBorders>
          </w:tcPr>
          <w:p>
            <w:pPr/>
          </w:p>
        </w:tc>
        <w:tc>
          <w:tcPr>
            <w:tcW w:w="15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5"/>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数</w:t>
            </w:r>
          </w:p>
        </w:tc>
        <w:tc>
          <w:tcPr>
            <w:tcW w:w="956" w:type="dxa"/>
            <w:vMerge/>
            <w:tcBorders>
              <w:left w:val="single" w:sz="9" w:space="0" w:color="D2D2D2"/>
              <w:right w:val="single" w:sz="13" w:space="0" w:color="D2D2D2"/>
            </w:tcBorders>
          </w:tcPr>
          <w:p>
            <w:pPr/>
          </w:p>
        </w:tc>
        <w:tc>
          <w:tcPr>
            <w:tcW w:w="1312" w:type="dxa"/>
            <w:vMerge/>
            <w:tcBorders>
              <w:left w:val="single" w:sz="4" w:space="0" w:color="000000"/>
              <w:right w:val="single" w:sz="4" w:space="0" w:color="000000"/>
            </w:tcBorders>
            <w:shd w:val="clear" w:color="auto" w:fill="D2D2D2"/>
          </w:tcPr>
          <w:p>
            <w:pPr/>
          </w:p>
        </w:tc>
        <w:tc>
          <w:tcPr>
            <w:tcW w:w="1002" w:type="dxa"/>
            <w:vMerge/>
            <w:tcBorders>
              <w:left w:val="single" w:sz="12" w:space="0" w:color="D2D2D2"/>
              <w:right w:val="single" w:sz="4" w:space="0" w:color="000000"/>
            </w:tcBorders>
          </w:tcPr>
          <w:p>
            <w:pPr/>
          </w:p>
        </w:tc>
      </w:tr>
      <w:tr>
        <w:trPr>
          <w:trHeight w:val="703" w:hRule="exact"/>
        </w:trPr>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vMerge/>
            <w:tcBorders>
              <w:left w:val="single" w:sz="10" w:space="0" w:color="D2D2D2"/>
              <w:right w:val="single" w:sz="10" w:space="0" w:color="D2D2D2"/>
            </w:tcBorders>
          </w:tcPr>
          <w:p>
            <w:pPr/>
          </w:p>
        </w:tc>
        <w:tc>
          <w:tcPr>
            <w:tcW w:w="1305" w:type="dxa"/>
            <w:vMerge/>
            <w:tcBorders>
              <w:left w:val="single" w:sz="4" w:space="0" w:color="000000"/>
              <w:right w:val="single" w:sz="4" w:space="0" w:color="000000"/>
            </w:tcBorders>
            <w:shd w:val="clear" w:color="auto" w:fill="D2D2D2"/>
          </w:tcPr>
          <w:p>
            <w:pPr/>
          </w:p>
        </w:tc>
        <w:tc>
          <w:tcPr>
            <w:tcW w:w="1086" w:type="dxa"/>
            <w:vMerge/>
            <w:tcBorders>
              <w:left w:val="single" w:sz="9" w:space="0" w:color="D2D2D2"/>
              <w:right w:val="single" w:sz="9" w:space="0" w:color="D2D2D2"/>
            </w:tcBorders>
          </w:tcPr>
          <w:p>
            <w:pPr/>
          </w:p>
        </w:tc>
        <w:tc>
          <w:tcPr>
            <w:tcW w:w="1569" w:type="dxa"/>
            <w:vMerge/>
            <w:tcBorders>
              <w:left w:val="single" w:sz="4" w:space="0" w:color="000000"/>
              <w:right w:val="single" w:sz="4" w:space="0" w:color="000000"/>
            </w:tcBorders>
            <w:shd w:val="clear" w:color="auto" w:fill="D2D2D2"/>
          </w:tcPr>
          <w:p>
            <w:pPr/>
          </w:p>
        </w:tc>
        <w:tc>
          <w:tcPr>
            <w:tcW w:w="956" w:type="dxa"/>
            <w:vMerge/>
            <w:tcBorders>
              <w:left w:val="single" w:sz="9" w:space="0" w:color="D2D2D2"/>
              <w:right w:val="single" w:sz="13" w:space="0" w:color="D2D2D2"/>
            </w:tcBorders>
          </w:tcPr>
          <w:p>
            <w:pPr/>
          </w:p>
        </w:tc>
        <w:tc>
          <w:tcPr>
            <w:tcW w:w="1312" w:type="dxa"/>
            <w:vMerge/>
            <w:tcBorders>
              <w:left w:val="single" w:sz="4" w:space="0" w:color="000000"/>
              <w:right w:val="single" w:sz="4" w:space="0" w:color="000000"/>
            </w:tcBorders>
            <w:shd w:val="clear" w:color="auto" w:fill="D2D2D2"/>
          </w:tcPr>
          <w:p>
            <w:pPr/>
          </w:p>
        </w:tc>
        <w:tc>
          <w:tcPr>
            <w:tcW w:w="1002" w:type="dxa"/>
            <w:vMerge/>
            <w:tcBorders>
              <w:left w:val="single" w:sz="12" w:space="0" w:color="D2D2D2"/>
              <w:right w:val="single" w:sz="4" w:space="0" w:color="000000"/>
            </w:tcBorders>
          </w:tcPr>
          <w:p>
            <w:pPr/>
          </w:p>
        </w:tc>
      </w:tr>
      <w:tr>
        <w:trPr>
          <w:trHeight w:val="156" w:hRule="exact"/>
        </w:trPr>
        <w:tc>
          <w:tcPr>
            <w:tcW w:w="1188"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86" w:type="dxa"/>
            <w:vMerge/>
            <w:tcBorders>
              <w:left w:val="single" w:sz="9" w:space="0" w:color="D2D2D2"/>
              <w:right w:val="single" w:sz="9" w:space="0" w:color="D2D2D2"/>
            </w:tcBorders>
          </w:tcPr>
          <w:p>
            <w:pPr/>
          </w:p>
        </w:tc>
        <w:tc>
          <w:tcPr>
            <w:tcW w:w="156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9" w:space="0" w:color="D2D2D2"/>
              <w:right w:val="single" w:sz="13" w:space="0" w:color="D2D2D2"/>
            </w:tcBorders>
          </w:tcPr>
          <w:p>
            <w:pPr/>
          </w:p>
        </w:tc>
        <w:tc>
          <w:tcPr>
            <w:tcW w:w="1312" w:type="dxa"/>
            <w:vMerge/>
            <w:tcBorders>
              <w:left w:val="single" w:sz="4" w:space="0" w:color="000000"/>
              <w:right w:val="single" w:sz="4" w:space="0" w:color="000000"/>
            </w:tcBorders>
            <w:shd w:val="clear" w:color="auto" w:fill="D2D2D2"/>
          </w:tcPr>
          <w:p>
            <w:pPr/>
          </w:p>
        </w:tc>
        <w:tc>
          <w:tcPr>
            <w:tcW w:w="1002" w:type="dxa"/>
            <w:vMerge/>
            <w:tcBorders>
              <w:left w:val="single" w:sz="12" w:space="0" w:color="D2D2D2"/>
              <w:right w:val="single" w:sz="4" w:space="0" w:color="000000"/>
            </w:tcBorders>
          </w:tcPr>
          <w:p>
            <w:pPr/>
          </w:p>
        </w:tc>
      </w:tr>
      <w:tr>
        <w:trPr>
          <w:trHeight w:val="168" w:hRule="exact"/>
        </w:trPr>
        <w:tc>
          <w:tcPr>
            <w:tcW w:w="1188"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10" w:space="0" w:color="D2D2D2"/>
              <w:bottom w:val="single" w:sz="4" w:space="0" w:color="000000"/>
              <w:right w:val="single" w:sz="10" w:space="0" w:color="D2D2D2"/>
            </w:tcBorders>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vMerge/>
            <w:tcBorders>
              <w:left w:val="single" w:sz="9" w:space="0" w:color="D2D2D2"/>
              <w:bottom w:val="single" w:sz="4" w:space="0" w:color="000000"/>
              <w:right w:val="single" w:sz="9" w:space="0" w:color="D2D2D2"/>
            </w:tcBorders>
          </w:tcPr>
          <w:p>
            <w:pPr/>
          </w:p>
        </w:tc>
        <w:tc>
          <w:tcPr>
            <w:tcW w:w="1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9" w:space="0" w:color="D2D2D2"/>
              <w:bottom w:val="single" w:sz="4" w:space="0" w:color="000000"/>
              <w:right w:val="single" w:sz="13" w:space="0" w:color="D2D2D2"/>
            </w:tcBorders>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12" w:space="0" w:color="D2D2D2"/>
              <w:bottom w:val="single" w:sz="4" w:space="0" w:color="000000"/>
              <w:right w:val="single" w:sz="4" w:space="0" w:color="000000"/>
            </w:tcBorders>
          </w:tcPr>
          <w:p>
            <w:pPr/>
          </w:p>
        </w:tc>
      </w:tr>
      <w:tr>
        <w:trPr>
          <w:trHeight w:val="396" w:hRule="exact"/>
        </w:trPr>
        <w:tc>
          <w:tcPr>
            <w:tcW w:w="962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8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853"/>
        <w:gridCol w:w="991"/>
        <w:gridCol w:w="994"/>
        <w:gridCol w:w="991"/>
        <w:gridCol w:w="991"/>
        <w:gridCol w:w="1277"/>
        <w:gridCol w:w="991"/>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7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23.66%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154,777,803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0"/>
              <w:jc w:val="right"/>
              <w:rPr>
                <w:rFonts w:ascii="Times New Roman" w:hAnsi="Times New Roman" w:cs="Times New Roman" w:eastAsia="Times New Roman" w:hint="default"/>
                <w:sz w:val="18"/>
                <w:szCs w:val="18"/>
              </w:rPr>
            </w:pPr>
            <w:r>
              <w:rPr>
                <w:rFonts w:ascii="Times New Roman"/>
                <w:spacing w:val="-1"/>
                <w:sz w:val="18"/>
              </w:rPr>
              <w:t>116,083,352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38,694,451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Times New Roman" w:hAnsi="Times New Roman" w:cs="Times New Roman" w:eastAsia="Times New Roman" w:hint="default"/>
                <w:sz w:val="18"/>
                <w:szCs w:val="18"/>
              </w:rPr>
            </w:pPr>
            <w:r>
              <w:rPr>
                <w:rFonts w:ascii="Times New Roman"/>
                <w:spacing w:val="-1"/>
                <w:sz w:val="18"/>
              </w:rPr>
              <w:t>151,959,200</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中国希格玛有限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12.26%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80,185,746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80,185,746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
                <w:sz w:val="18"/>
              </w:rPr>
              <w:t>66,130,000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51,570,480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-13,032,520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1"/>
              <w:jc w:val="right"/>
              <w:rPr>
                <w:rFonts w:ascii="Times New Roman" w:hAnsi="Times New Roman" w:cs="Times New Roman" w:eastAsia="Times New Roman" w:hint="default"/>
                <w:sz w:val="18"/>
                <w:szCs w:val="18"/>
              </w:rPr>
            </w:pPr>
            <w:r>
              <w:rPr>
                <w:rFonts w:ascii="Times New Roman"/>
                <w:spacing w:val="-1"/>
                <w:sz w:val="18"/>
              </w:rPr>
              <w:t>48,452,250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3,118,230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1"/>
              <w:jc w:val="right"/>
              <w:rPr>
                <w:rFonts w:ascii="Times New Roman" w:hAnsi="Times New Roman" w:cs="Times New Roman" w:eastAsia="Times New Roman" w:hint="default"/>
                <w:sz w:val="18"/>
                <w:szCs w:val="18"/>
              </w:rPr>
            </w:pPr>
            <w:r>
              <w:rPr>
                <w:rFonts w:ascii="Times New Roman"/>
                <w:spacing w:val="-1"/>
                <w:sz w:val="18"/>
              </w:rPr>
              <w:t>45,247,092</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深圳市宝安建设 投资集团有限公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26,261,759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26,261,759</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 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 基金定增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87" w:right="0"/>
              <w:jc w:val="left"/>
              <w:rPr>
                <w:rFonts w:ascii="Times New Roman" w:hAnsi="Times New Roman" w:cs="Times New Roman" w:eastAsia="Times New Roman" w:hint="default"/>
                <w:sz w:val="18"/>
                <w:szCs w:val="18"/>
              </w:rPr>
            </w:pPr>
            <w:r>
              <w:rPr>
                <w:rFonts w:ascii="Times New Roman"/>
                <w:sz w:val="18"/>
              </w:rPr>
              <w:t>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15,602,723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-14,006,977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15,602,723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13,884,585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-13,033,315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13,884,585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1,285,300</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全国社保基金六 零三组合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7,432,118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7,432,118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7,432,118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6,930,855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6,182,488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6,930,855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0.90%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5,909,000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4,456,750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1,452,250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4,616,580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708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89" w:type="dxa"/>
            <w:gridSpan w:val="7"/>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王晓岩先生与中国希格玛有限公司之间根据《企业会计准则第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关联方披露》的规定</w:t>
            </w:r>
          </w:p>
          <w:p>
            <w:pPr>
              <w:pStyle w:val="TableParagraph"/>
              <w:spacing w:line="309" w:lineRule="auto" w:before="63"/>
              <w:ind w:left="16" w:right="17"/>
              <w:jc w:val="both"/>
              <w:rPr>
                <w:rFonts w:ascii="宋体" w:hAnsi="宋体" w:cs="宋体" w:eastAsia="宋体" w:hint="default"/>
                <w:sz w:val="18"/>
                <w:szCs w:val="18"/>
              </w:rPr>
            </w:pPr>
            <w:r>
              <w:rPr>
                <w:rFonts w:ascii="宋体" w:hAnsi="宋体" w:cs="宋体" w:eastAsia="宋体" w:hint="default"/>
                <w:spacing w:val="-3"/>
                <w:sz w:val="18"/>
                <w:szCs w:val="18"/>
              </w:rPr>
              <w:t>存在关联关系。中信建投基金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中信证券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中信建投基金定增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号资产管理计划与郭为先 生为一致行动人。未知其余股东之间是否存在关联关系或存在《上市公司收购管理办法》 规定的一致行动人的情形。</w:t>
            </w:r>
          </w:p>
        </w:tc>
      </w:tr>
      <w:tr>
        <w:trPr>
          <w:trHeight w:val="703"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89" w:type="dxa"/>
            <w:gridSpan w:val="7"/>
            <w:vMerge/>
            <w:tcBorders>
              <w:left w:val="single" w:sz="10" w:space="0" w:color="D2D2D2"/>
              <w:right w:val="single" w:sz="4" w:space="0" w:color="000000"/>
            </w:tcBorders>
          </w:tcPr>
          <w:p>
            <w:pPr/>
          </w:p>
        </w:tc>
      </w:tr>
      <w:tr>
        <w:trPr>
          <w:trHeight w:val="318"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89" w:type="dxa"/>
            <w:gridSpan w:val="7"/>
            <w:vMerge/>
            <w:tcBorders>
              <w:left w:val="single" w:sz="10" w:space="0" w:color="D2D2D2"/>
              <w:bottom w:val="single" w:sz="4" w:space="0" w:color="000000"/>
              <w:right w:val="single" w:sz="4" w:space="0" w:color="000000"/>
            </w:tcBorders>
          </w:tcPr>
          <w:p>
            <w:pPr/>
          </w:p>
        </w:tc>
      </w:tr>
      <w:tr>
        <w:trPr>
          <w:trHeight w:val="402" w:hRule="exact"/>
        </w:trPr>
        <w:tc>
          <w:tcPr>
            <w:tcW w:w="96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5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2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6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552" w:type="dxa"/>
            <w:gridSpan w:val="2"/>
            <w:vMerge/>
            <w:tcBorders>
              <w:left w:val="single" w:sz="4" w:space="0" w:color="000000"/>
              <w:bottom w:val="nil" w:sz="6" w:space="0" w:color="auto"/>
              <w:right w:val="single" w:sz="4" w:space="0" w:color="000000"/>
            </w:tcBorders>
            <w:shd w:val="clear" w:color="auto" w:fill="D2D2D2"/>
          </w:tcPr>
          <w:p>
            <w:pPr/>
          </w:p>
        </w:tc>
        <w:tc>
          <w:tcPr>
            <w:tcW w:w="4820"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80,185,746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80,185,746</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38,694,451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38,694,451</w:t>
            </w:r>
          </w:p>
        </w:tc>
      </w:tr>
      <w:tr>
        <w:trPr>
          <w:trHeight w:val="71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深圳市宝安建设投资集团有限 公司</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26,261,759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26,261,759</w:t>
            </w:r>
          </w:p>
        </w:tc>
      </w:tr>
      <w:tr>
        <w:trPr>
          <w:trHeight w:val="715"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 投基金定增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15,602,723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15,602,723</w:t>
            </w:r>
          </w:p>
        </w:tc>
      </w:tr>
      <w:tr>
        <w:trPr>
          <w:trHeight w:val="401"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王廷月</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13,884,585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13,884,585</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全国社保基金六零三组合</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7,432,118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7,432,118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552"/>
        <w:gridCol w:w="4820"/>
        <w:gridCol w:w="1277"/>
        <w:gridCol w:w="991"/>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6,930,855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陈实</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中国银行股份有限公司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嘉实逆 向策略股票型证券投资基金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4,884,520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4,884,520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4,675,096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4,675,096</w:t>
            </w:r>
          </w:p>
        </w:tc>
      </w:tr>
      <w:tr>
        <w:trPr>
          <w:trHeight w:val="1337" w:hRule="exact"/>
        </w:trPr>
        <w:tc>
          <w:tcPr>
            <w:tcW w:w="255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0" w:lineRule="auto" w:before="63"/>
              <w:ind w:left="24" w:right="69"/>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089" w:type="dxa"/>
            <w:gridSpan w:val="3"/>
            <w:tcBorders>
              <w:top w:val="single" w:sz="4" w:space="0" w:color="000000"/>
              <w:left w:val="single" w:sz="22" w:space="0" w:color="D2D2D2"/>
              <w:bottom w:val="single" w:sz="4" w:space="0" w:color="000000"/>
              <w:right w:val="single" w:sz="4" w:space="0" w:color="000000"/>
            </w:tcBorders>
          </w:tcPr>
          <w:p>
            <w:pPr>
              <w:pStyle w:val="TableParagraph"/>
              <w:spacing w:line="196" w:lineRule="exact" w:before="49"/>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 w:right="0"/>
              <w:jc w:val="left"/>
              <w:rPr>
                <w:rFonts w:ascii="宋体" w:hAnsi="宋体" w:cs="宋体" w:eastAsia="宋体" w:hint="default"/>
                <w:sz w:val="18"/>
                <w:szCs w:val="18"/>
              </w:rPr>
            </w:pPr>
            <w:r>
              <w:rPr>
                <w:rFonts w:ascii="宋体" w:hAnsi="宋体" w:cs="宋体" w:eastAsia="宋体" w:hint="default"/>
                <w:sz w:val="18"/>
                <w:szCs w:val="18"/>
              </w:rPr>
              <w:t>王晓岩先生与中国希格玛有限公司之间根据《企业会计准则第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关联方披露》的规定</w:t>
            </w:r>
          </w:p>
          <w:p>
            <w:pPr>
              <w:pStyle w:val="TableParagraph"/>
              <w:spacing w:line="316" w:lineRule="auto" w:before="63"/>
              <w:ind w:left="1" w:right="33"/>
              <w:jc w:val="left"/>
              <w:rPr>
                <w:rFonts w:ascii="宋体" w:hAnsi="宋体" w:cs="宋体" w:eastAsia="宋体" w:hint="default"/>
                <w:sz w:val="18"/>
                <w:szCs w:val="18"/>
              </w:rPr>
            </w:pPr>
            <w:r>
              <w:rPr>
                <w:rFonts w:ascii="宋体" w:hAnsi="宋体" w:cs="宋体" w:eastAsia="宋体" w:hint="default"/>
                <w:sz w:val="18"/>
                <w:szCs w:val="18"/>
              </w:rPr>
              <w:t>存在关联关系。未知其余股东之间是否存在关联关系或存在《上市公司收购管理办法》规 定的一致行动人的情形。</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 券业务情况说明</w:t>
            </w:r>
          </w:p>
        </w:tc>
        <w:tc>
          <w:tcPr>
            <w:tcW w:w="708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pict>
          <v:group style="position:absolute;margin-left:184.580002pt;margin-top:-102.628265pt;width:353.95pt;height:25.45pt;mso-position-horizontal-relative:page;mso-position-vertical-relative:paragraph;z-index:-1665520" coordorigin="3692,-2053" coordsize="7079,509">
            <v:group style="position:absolute;left:3692;top:-2053;width:7079;height:156" coordorigin="3692,-2053" coordsize="7079,156">
              <v:shape style="position:absolute;left:3692;top:-2053;width:7079;height:156" coordorigin="3692,-2053" coordsize="7079,156" path="m3692,-1897l10771,-1897,10771,-2053,3692,-2053,3692,-1897xe" filled="true" fillcolor="#ffffff" stroked="false">
                <v:path arrowok="t"/>
                <v:fill type="solid"/>
              </v:shape>
            </v:group>
            <v:group style="position:absolute;left:3713;top:-1897;width:7034;height:353" coordorigin="3713,-1897" coordsize="7034,353">
              <v:shape style="position:absolute;left:3713;top:-1897;width:7034;height:353" coordorigin="3713,-1897" coordsize="7034,353" path="m3713,-1544l10747,-1544,10747,-1897,3713,-1897,3713,-1544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170"/>
        <w:gridCol w:w="398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神州数码集团股份有限公司董事长、总裁</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郭为先生持有神州控股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5.65%</w:t>
            </w:r>
            <w:r>
              <w:rPr>
                <w:rFonts w:ascii="宋体" w:hAnsi="宋体" w:cs="宋体" w:eastAsia="宋体" w:hint="default"/>
                <w:sz w:val="18"/>
                <w:szCs w:val="18"/>
              </w:rPr>
              <w:t>的股份</w:t>
            </w:r>
          </w:p>
        </w:tc>
      </w:tr>
    </w:tbl>
    <w:p>
      <w:pPr>
        <w:pStyle w:val="BodyText"/>
        <w:spacing w:line="240" w:lineRule="auto" w:before="70"/>
        <w:ind w:right="0"/>
        <w:jc w:val="left"/>
      </w:pPr>
      <w:r>
        <w:rPr/>
        <w:t>控股股东报告期内变更</w:t>
      </w:r>
    </w:p>
    <w:p>
      <w:pPr>
        <w:pStyle w:val="BodyText"/>
        <w:spacing w:line="338"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756"/>
        <w:gridCol w:w="1649"/>
        <w:gridCol w:w="1652"/>
        <w:gridCol w:w="3512"/>
      </w:tblGrid>
      <w:tr>
        <w:trPr>
          <w:trHeight w:val="403"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中信建投基金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 基金定增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一致行动（含协议、 亲属、同一控制）</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神州数码集团股份有限公司董事长、总裁</w:t>
            </w:r>
          </w:p>
        </w:tc>
      </w:tr>
      <w:tr>
        <w:trPr>
          <w:trHeight w:val="715"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 司情况</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5"/>
          <w:szCs w:val="15"/>
        </w:rPr>
      </w:pPr>
    </w:p>
    <w:p>
      <w:pPr>
        <w:spacing w:line="1812" w:lineRule="exact"/>
        <w:ind w:left="207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3673620" cy="115062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3673620" cy="1150620"/>
                    </a:xfrm>
                    <a:prstGeom prst="rect">
                      <a:avLst/>
                    </a:prstGeom>
                  </pic:spPr>
                </pic:pic>
              </a:graphicData>
            </a:graphic>
          </wp:inline>
        </w:drawing>
      </w:r>
      <w:r>
        <w:rPr>
          <w:rFonts w:ascii="宋体" w:hAnsi="宋体" w:cs="宋体" w:eastAsia="宋体" w:hint="default"/>
          <w:position w:val="-35"/>
          <w:sz w:val="20"/>
          <w:szCs w:val="20"/>
        </w:rPr>
      </w:r>
    </w:p>
    <w:p>
      <w:pPr>
        <w:spacing w:line="240" w:lineRule="auto" w:before="2"/>
        <w:rPr>
          <w:rFonts w:ascii="宋体" w:hAnsi="宋体" w:cs="宋体" w:eastAsia="宋体" w:hint="default"/>
          <w:sz w:val="19"/>
          <w:szCs w:val="19"/>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00002pt;margin-top:-130.108307pt;width:479.3pt;height:149.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419"/>
                    <w:gridCol w:w="1700"/>
                    <w:gridCol w:w="1418"/>
                    <w:gridCol w:w="2907"/>
                  </w:tblGrid>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法人股东名称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34" w:right="48"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27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71"/>
                          <w:jc w:val="righ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10037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高新技术、新工艺、新产品的开发、 </w:t>
                        </w:r>
                        <w:r>
                          <w:rPr>
                            <w:rFonts w:ascii="宋体" w:hAnsi="宋体" w:cs="宋体" w:eastAsia="宋体" w:hint="default"/>
                            <w:spacing w:val="-3"/>
                            <w:sz w:val="18"/>
                            <w:szCs w:val="18"/>
                          </w:rPr>
                          <w:t>生产、销售；化工原材料（危险品除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外）、建筑材料、计算机软硬件、电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子电器设备、有线通讯设备、机械设</w:t>
                        </w:r>
                        <w:r>
                          <w:rPr>
                            <w:rFonts w:ascii="宋体" w:hAnsi="宋体" w:cs="宋体" w:eastAsia="宋体" w:hint="default"/>
                            <w:sz w:val="18"/>
                            <w:szCs w:val="18"/>
                          </w:rPr>
                          <w:t> 备、家用电器的开发、生产、销售； </w:t>
                        </w:r>
                        <w:r>
                          <w:rPr>
                            <w:rFonts w:ascii="宋体" w:hAnsi="宋体" w:cs="宋体" w:eastAsia="宋体" w:hint="default"/>
                            <w:spacing w:val="-2"/>
                            <w:sz w:val="18"/>
                            <w:szCs w:val="18"/>
                          </w:rPr>
                          <w:t>装饰装修工程；百货的销售；上述范</w:t>
                        </w:r>
                        <w:r>
                          <w:rPr>
                            <w:rFonts w:ascii="宋体" w:hAnsi="宋体" w:cs="宋体" w:eastAsia="宋体" w:hint="default"/>
                            <w:sz w:val="18"/>
                            <w:szCs w:val="18"/>
                          </w:rPr>
                          <w:t> </w:t>
                        </w:r>
                        <w:r>
                          <w:rPr>
                            <w:rFonts w:ascii="宋体" w:hAnsi="宋体" w:cs="宋体" w:eastAsia="宋体" w:hint="default"/>
                            <w:spacing w:val="-8"/>
                            <w:sz w:val="18"/>
                            <w:szCs w:val="18"/>
                          </w:rPr>
                          <w:t>围的项目承包、技术咨询、信息咨询</w:t>
                        </w:r>
                      </w:p>
                    </w:tc>
                  </w:tr>
                </w:tbl>
                <w:p>
                  <w:pPr/>
                </w:p>
              </w:txbxContent>
            </v:textbox>
            <w10:wrap type="none"/>
          </v:shape>
        </w:pict>
      </w:r>
      <w:r>
        <w:rPr/>
        <w:t>。</w:t>
      </w:r>
    </w:p>
    <w:p>
      <w:pPr>
        <w:spacing w:line="240" w:lineRule="auto" w:before="1"/>
        <w:rPr>
          <w:rFonts w:ascii="宋体" w:hAnsi="宋体" w:cs="宋体" w:eastAsia="宋体" w:hint="default"/>
          <w:sz w:val="28"/>
          <w:szCs w:val="28"/>
        </w:rPr>
      </w:pPr>
    </w:p>
    <w:p>
      <w:pPr>
        <w:pStyle w:val="Heading3"/>
        <w:spacing w:line="240" w:lineRule="auto" w:before="36"/>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0"/>
        <w:jc w:val="left"/>
        <w:rPr>
          <w:b w:val="0"/>
          <w:bCs w:val="0"/>
        </w:rPr>
      </w:pPr>
      <w:bookmarkStart w:name="第八节 可转换公司债券相关情况" w:id="121"/>
      <w:bookmarkEnd w:id="121"/>
      <w:r>
        <w:rPr>
          <w:b w:val="0"/>
          <w:bCs w:val="0"/>
        </w:rPr>
      </w:r>
      <w:bookmarkStart w:name="_bookmark6" w:id="122"/>
      <w:bookmarkEnd w:id="122"/>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0"/>
        <w:jc w:val="left"/>
        <w:rPr>
          <w:b w:val="0"/>
          <w:bCs w:val="0"/>
        </w:rPr>
      </w:pPr>
      <w:bookmarkStart w:name="第九节 董事、监事、高级管理人员和员工情况" w:id="123"/>
      <w:bookmarkEnd w:id="123"/>
      <w:r>
        <w:rPr>
          <w:b w:val="0"/>
          <w:bCs w:val="0"/>
        </w:rPr>
      </w:r>
      <w:bookmarkStart w:name="_bookmark7" w:id="124"/>
      <w:bookmarkEnd w:id="124"/>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14"/>
        <w:gridCol w:w="567"/>
        <w:gridCol w:w="569"/>
        <w:gridCol w:w="708"/>
        <w:gridCol w:w="710"/>
        <w:gridCol w:w="992"/>
        <w:gridCol w:w="850"/>
        <w:gridCol w:w="994"/>
        <w:gridCol w:w="708"/>
        <w:gridCol w:w="1066"/>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171"/>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154,777,803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154,777,803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13,032,520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51,570,480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17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14"/>
        <w:gridCol w:w="567"/>
        <w:gridCol w:w="569"/>
        <w:gridCol w:w="708"/>
        <w:gridCol w:w="710"/>
        <w:gridCol w:w="992"/>
        <w:gridCol w:w="850"/>
        <w:gridCol w:w="994"/>
        <w:gridCol w:w="708"/>
        <w:gridCol w:w="1066"/>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1"/>
              <w:jc w:val="right"/>
              <w:rPr>
                <w:rFonts w:ascii="宋体" w:hAnsi="宋体" w:cs="宋体" w:eastAsia="宋体" w:hint="default"/>
                <w:sz w:val="18"/>
                <w:szCs w:val="18"/>
              </w:rPr>
            </w:pPr>
            <w:r>
              <w:rPr>
                <w:rFonts w:ascii="宋体" w:hAnsi="宋体" w:cs="宋体" w:eastAsia="宋体" w:hint="default"/>
                <w:sz w:val="18"/>
                <w:szCs w:val="18"/>
              </w:rPr>
              <w:t>职务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3,072,121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2,647,121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407,058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刘风彦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陈振坤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陆明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潘春雷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1,480,485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591,105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889,380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沈旸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1,884,362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493,008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1,691,354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240" w:lineRule="auto"/>
        <w:ind w:left="0" w:right="1133"/>
        <w:jc w:val="right"/>
      </w:pPr>
      <w:r>
        <w:rPr/>
        <w:pict>
          <v:shape style="position:absolute;margin-left:56.400002pt;margin-top:-500.398285pt;width:479.4pt;height:564.9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797"/>
                    <w:gridCol w:w="814"/>
                    <w:gridCol w:w="567"/>
                    <w:gridCol w:w="569"/>
                    <w:gridCol w:w="708"/>
                    <w:gridCol w:w="710"/>
                    <w:gridCol w:w="992"/>
                    <w:gridCol w:w="850"/>
                    <w:gridCol w:w="994"/>
                    <w:gridCol w:w="708"/>
                    <w:gridCol w:w="1066"/>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汤凯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开发总监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5,909,000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2,522,121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1,884,362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493,008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1,391,354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240,231,436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16,733,644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226,157,792</w:t>
                        </w:r>
                      </w:p>
                    </w:tc>
                  </w:tr>
                  <w:tr>
                    <w:trPr>
                      <w:trHeight w:val="1652" w:hRule="exact"/>
                    </w:trPr>
                    <w:tc>
                      <w:tcPr>
                        <w:tcW w:w="95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年中信建投基金定增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号资产管理计划认购公司非公开发行的股份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29,609,700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股，股票发行价格为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股，此资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3"/>
                            <w:sz w:val="18"/>
                            <w:szCs w:val="18"/>
                          </w:rPr>
                          <w:t>管计划中，叶海强、张赐安、周立达各认购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23,999,808 </w:t>
                        </w:r>
                        <w:r>
                          <w:rPr>
                            <w:rFonts w:ascii="宋体" w:hAnsi="宋体" w:cs="宋体" w:eastAsia="宋体" w:hint="default"/>
                            <w:spacing w:val="-4"/>
                            <w:sz w:val="18"/>
                            <w:szCs w:val="18"/>
                          </w:rPr>
                          <w:t>元，韩玉华、李岩各认购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14,000,808 </w:t>
                        </w:r>
                        <w:r>
                          <w:rPr>
                            <w:rFonts w:ascii="宋体" w:hAnsi="宋体" w:cs="宋体" w:eastAsia="宋体" w:hint="default"/>
                            <w:spacing w:val="-3"/>
                            <w:sz w:val="18"/>
                            <w:szCs w:val="18"/>
                          </w:rPr>
                          <w:t>元，潘春雷认购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11,000,000 </w:t>
                        </w:r>
                        <w:r>
                          <w:rPr>
                            <w:rFonts w:ascii="宋体" w:hAnsi="宋体" w:cs="宋体" w:eastAsia="宋体" w:hint="default"/>
                            <w:sz w:val="18"/>
                            <w:szCs w:val="18"/>
                          </w:rPr>
                          <w:t>元</w:t>
                        </w:r>
                      </w:p>
                      <w:p>
                        <w:pPr>
                          <w:pStyle w:val="TableParagraph"/>
                          <w:spacing w:line="309" w:lineRule="auto" w:before="63"/>
                          <w:ind w:left="2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年中信建投基金定增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号资产管理计划减持公司股份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14,006,977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股，减持已根据《深圳证券交易所上市公司股东及 董事、监事、高级管理人员减持股份实施细则》的相关规定履行了信息披露义务，详见巨潮资讯网上的公告（公告编号： </w:t>
                        </w:r>
                        <w:r>
                          <w:rPr>
                            <w:rFonts w:ascii="Times New Roman" w:hAnsi="Times New Roman" w:cs="Times New Roman" w:eastAsia="Times New Roman" w:hint="default"/>
                            <w:spacing w:val="-5"/>
                            <w:sz w:val="18"/>
                            <w:szCs w:val="18"/>
                          </w:rPr>
                          <w:t>2019-037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2019-079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2019-105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2019-108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2020-016</w:t>
                        </w:r>
                        <w:r>
                          <w:rPr>
                            <w:rFonts w:ascii="宋体" w:hAnsi="宋体" w:cs="宋体" w:eastAsia="宋体" w:hint="default"/>
                            <w:spacing w:val="-5"/>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647"/>
        <w:gridCol w:w="392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647"/>
        <w:gridCol w:w="392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因工作原因辞职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16" w:lineRule="auto" w:before="115"/>
        <w:ind w:left="513" w:right="0"/>
        <w:jc w:val="left"/>
      </w:pPr>
      <w:r>
        <w:rPr/>
        <w:t>（一）董事会成员 </w:t>
      </w:r>
      <w:r>
        <w:rPr>
          <w:spacing w:val="-2"/>
        </w:rPr>
        <w:t>郭为，男，</w:t>
      </w:r>
      <w:r>
        <w:rPr>
          <w:rFonts w:ascii="宋体" w:hAnsi="宋体" w:cs="宋体" w:eastAsia="宋体" w:hint="default"/>
          <w:spacing w:val="-2"/>
        </w:rPr>
        <w:t>57</w:t>
      </w:r>
      <w:r>
        <w:rPr>
          <w:spacing w:val="-2"/>
        </w:rPr>
        <w:t>岁，</w:t>
      </w:r>
      <w:r>
        <w:rPr>
          <w:rFonts w:ascii="宋体" w:hAnsi="宋体" w:cs="宋体" w:eastAsia="宋体" w:hint="default"/>
          <w:spacing w:val="-2"/>
        </w:rPr>
        <w:t>1988</w:t>
      </w:r>
      <w:r>
        <w:rPr>
          <w:spacing w:val="-2"/>
        </w:rPr>
        <w:t>年毕业于中国科学技术大学，获工学硕士学位。曾任神州数码控股有限公司董事局主席兼首席执</w:t>
      </w:r>
    </w:p>
    <w:p>
      <w:pPr>
        <w:pStyle w:val="BodyText"/>
        <w:spacing w:line="319" w:lineRule="auto" w:before="19"/>
        <w:ind w:right="1129"/>
        <w:jc w:val="both"/>
      </w:pPr>
      <w:r>
        <w:rPr>
          <w:spacing w:val="-2"/>
        </w:rPr>
        <w:t>行官、泰康人寿保险股份有限公司独立董事、鼎捷软件股份有限公司董事、上海浦东发展银行股份有限公司独立董事、慧聪</w:t>
      </w:r>
      <w:r>
        <w:rPr>
          <w:spacing w:val="-65"/>
        </w:rPr>
        <w:t> </w:t>
      </w:r>
      <w:r>
        <w:rPr>
          <w:spacing w:val="-65"/>
        </w:rPr>
      </w:r>
      <w:r>
        <w:rPr>
          <w:spacing w:val="-2"/>
        </w:rPr>
        <w:t>集团有限公司非执行董事（前称慧聪网有限公司）、中国南方航空股份有限公司非执行独立董事等；现任神州数码控股有限</w:t>
      </w:r>
      <w:r>
        <w:rPr>
          <w:spacing w:val="-64"/>
        </w:rPr>
        <w:t> </w:t>
      </w:r>
      <w:r>
        <w:rPr>
          <w:spacing w:val="-64"/>
        </w:rPr>
      </w:r>
      <w:r>
        <w:rPr>
          <w:spacing w:val="-2"/>
        </w:rPr>
        <w:t>公司董事会主席兼首席执行官、神州数码信息服务股份有限公司董事长、神州数码集团股份有限公司董事长兼总裁，以及在</w:t>
      </w:r>
      <w:r>
        <w:rPr>
          <w:spacing w:val="-62"/>
        </w:rPr>
        <w:t> </w:t>
      </w:r>
      <w:r>
        <w:rPr>
          <w:spacing w:val="-62"/>
        </w:rPr>
      </w:r>
      <w:r>
        <w:rPr/>
        <w:t>上述公司的下属子公司任董事长或董事等职务、北京首钢基金有限公司董事等。</w:t>
      </w:r>
    </w:p>
    <w:p>
      <w:pPr>
        <w:pStyle w:val="BodyText"/>
        <w:spacing w:line="316" w:lineRule="auto" w:before="17"/>
        <w:ind w:right="1130" w:firstLine="360"/>
        <w:jc w:val="both"/>
      </w:pPr>
      <w:r>
        <w:rPr/>
        <w:t>王晓岩，男，</w:t>
      </w:r>
      <w:r>
        <w:rPr>
          <w:rFonts w:ascii="宋体" w:hAnsi="宋体" w:cs="宋体" w:eastAsia="宋体" w:hint="default"/>
        </w:rPr>
        <w:t>60</w:t>
      </w:r>
      <w:r>
        <w:rPr/>
        <w:t>岁，毕业于中国人民银行总行金融研究所，获硕士学位。</w:t>
      </w:r>
      <w:r>
        <w:rPr>
          <w:rFonts w:ascii="宋体" w:hAnsi="宋体" w:cs="宋体" w:eastAsia="宋体" w:hint="default"/>
        </w:rPr>
        <w:t>1993</w:t>
      </w:r>
      <w:r>
        <w:rPr/>
        <w:t>年</w:t>
      </w:r>
      <w:r>
        <w:rPr>
          <w:rFonts w:ascii="宋体" w:hAnsi="宋体" w:cs="宋体" w:eastAsia="宋体" w:hint="default"/>
        </w:rPr>
        <w:t>3</w:t>
      </w:r>
      <w:r>
        <w:rPr/>
        <w:t>月至今，任中国希格玛有限公司董事 </w:t>
      </w:r>
      <w:r>
        <w:rPr>
          <w:spacing w:val="-2"/>
        </w:rPr>
        <w:t>长、总裁，以及在上述公司的下属子公司任职；</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月任深圳市深信泰丰（集团）股份有限公司董事，</w:t>
      </w:r>
      <w:r>
        <w:rPr>
          <w:rFonts w:ascii="宋体" w:hAnsi="宋体" w:cs="宋体" w:eastAsia="宋体" w:hint="default"/>
          <w:spacing w:val="-2"/>
        </w:rPr>
        <w:t>2016</w:t>
      </w:r>
      <w:r>
        <w:rPr>
          <w:rFonts w:ascii="宋体" w:hAnsi="宋体" w:cs="宋体" w:eastAsia="宋体" w:hint="default"/>
          <w:spacing w:val="-56"/>
        </w:rPr>
        <w:t> </w:t>
      </w:r>
      <w:r>
        <w:rPr>
          <w:rFonts w:ascii="宋体" w:hAnsi="宋体" w:cs="宋体" w:eastAsia="宋体" w:hint="default"/>
          <w:spacing w:val="-56"/>
        </w:rPr>
      </w:r>
      <w:r>
        <w:rPr/>
        <w:t>年</w:t>
      </w:r>
      <w:r>
        <w:rPr>
          <w:rFonts w:ascii="宋体" w:hAnsi="宋体" w:cs="宋体" w:eastAsia="宋体" w:hint="default"/>
        </w:rPr>
        <w:t>4</w:t>
      </w:r>
      <w:r>
        <w:rPr/>
        <w:t>月至今任神州数码集团股份有限公司董事。</w:t>
      </w:r>
    </w:p>
    <w:p>
      <w:pPr>
        <w:pStyle w:val="BodyText"/>
        <w:spacing w:line="300" w:lineRule="auto" w:before="19"/>
        <w:ind w:right="1034" w:firstLine="360"/>
        <w:jc w:val="left"/>
      </w:pPr>
      <w:r>
        <w:rPr/>
        <w:t>辛昕，女，</w:t>
      </w:r>
      <w:r>
        <w:rPr>
          <w:rFonts w:ascii="Times New Roman" w:hAnsi="Times New Roman" w:cs="Times New Roman" w:eastAsia="Times New Roman" w:hint="default"/>
        </w:rPr>
        <w:t>44</w:t>
      </w:r>
      <w:r>
        <w:rPr/>
        <w:t>岁，</w:t>
      </w:r>
      <w:r>
        <w:rPr>
          <w:rFonts w:ascii="Times New Roman" w:hAnsi="Times New Roman" w:cs="Times New Roman" w:eastAsia="Times New Roman" w:hint="default"/>
        </w:rPr>
        <w:t>1998</w:t>
      </w:r>
      <w:r>
        <w:rPr/>
        <w:t>年毕业于东北大学会计学专业。曾任神州控股金融服务事业部副总经理、企业发展部副总经理， </w:t>
      </w:r>
      <w:r>
        <w:rPr>
          <w:spacing w:val="-5"/>
        </w:rPr>
        <w:t>神州信息董事会秘书、财务总监，神州控股副总裁、财务总监、高级副总裁，</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4</w:t>
      </w:r>
      <w:r>
        <w:rPr>
          <w:spacing w:val="-5"/>
        </w:rPr>
        <w:t>月至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月，任神州信息董事。</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12</w:t>
      </w:r>
      <w:r>
        <w:rPr/>
        <w:t>月至今，任神州数码集团股份有限公司财务总监。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月至今，任北京神州数码置业发展有限公司董事。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月，任嘉和美康董事。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月至今，任迪信通非执行董事。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月至今，任神州数码集团股份有限公司 董事。</w:t>
      </w:r>
    </w:p>
    <w:p>
      <w:pPr>
        <w:pStyle w:val="BodyText"/>
        <w:spacing w:line="300" w:lineRule="auto" w:before="32"/>
        <w:ind w:right="1034" w:firstLine="360"/>
        <w:jc w:val="left"/>
      </w:pPr>
      <w:r>
        <w:rPr/>
        <w:t>朱锦梅，女，</w:t>
      </w:r>
      <w:r>
        <w:rPr>
          <w:rFonts w:ascii="Times New Roman" w:hAnsi="Times New Roman" w:cs="Times New Roman" w:eastAsia="Times New Roman" w:hint="default"/>
        </w:rPr>
        <w:t>51</w:t>
      </w:r>
      <w:r>
        <w:rPr/>
        <w:t>岁，毕业于澳大利亚国立大学，获管理学硕士学位。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月至今，任立信会计师事务所北京分所合 伙人；</w:t>
      </w:r>
      <w:r>
        <w:rPr>
          <w:rFonts w:ascii="Times New Roman" w:hAnsi="Times New Roman" w:cs="Times New Roman" w:eastAsia="Times New Roman" w:hint="default"/>
        </w:rPr>
        <w:t>2011</w:t>
      </w:r>
      <w:r>
        <w:rPr/>
        <w:t>年至今，任国家开发银行审贷委独立委员；</w:t>
      </w:r>
      <w:r>
        <w:rPr>
          <w:rFonts w:ascii="Times New Roman" w:hAnsi="Times New Roman" w:cs="Times New Roman" w:eastAsia="Times New Roman" w:hint="default"/>
        </w:rPr>
        <w:t>2013</w:t>
      </w:r>
      <w:r>
        <w:rPr/>
        <w:t>年至今，任立信会计师事务所（特殊普通合伙）天津分所所长；</w:t>
      </w:r>
      <w:r>
        <w:rPr>
          <w:spacing w:val="-85"/>
        </w:rPr>
        <w:t> </w:t>
      </w:r>
      <w:r>
        <w:rPr>
          <w:spacing w:val="-85"/>
        </w:rPr>
      </w:r>
      <w:r>
        <w:rPr>
          <w:rFonts w:ascii="Times New Roman" w:hAnsi="Times New Roman" w:cs="Times New Roman" w:eastAsia="Times New Roman" w:hint="default"/>
        </w:rPr>
        <w:t>2015</w:t>
      </w:r>
      <w:r>
        <w:rPr/>
        <w:t>年至今，任华泰联合证券有限责任公司内核独立委员、任北京市地铁运营有限公司外部董事；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w:t>
      </w:r>
      <w:r>
        <w:rPr>
          <w:spacing w:val="-85"/>
        </w:rPr>
        <w:t> </w:t>
      </w:r>
      <w:r>
        <w:rPr>
          <w:spacing w:val="-85"/>
        </w:rPr>
      </w:r>
      <w:r>
        <w:rPr/>
        <w:t>数码集团股份有限公司独立董事。</w:t>
      </w:r>
    </w:p>
    <w:p>
      <w:pPr>
        <w:pStyle w:val="BodyText"/>
        <w:spacing w:line="300" w:lineRule="auto" w:before="31"/>
        <w:ind w:right="1129" w:firstLine="360"/>
        <w:jc w:val="both"/>
      </w:pPr>
      <w:r>
        <w:rPr>
          <w:spacing w:val="-2"/>
        </w:rPr>
        <w:t>张宏江，男，</w:t>
      </w:r>
      <w:r>
        <w:rPr>
          <w:rFonts w:ascii="Times New Roman" w:hAnsi="Times New Roman" w:cs="Times New Roman" w:eastAsia="Times New Roman" w:hint="default"/>
          <w:spacing w:val="-2"/>
        </w:rPr>
        <w:t>60</w:t>
      </w:r>
      <w:r>
        <w:rPr>
          <w:spacing w:val="-2"/>
        </w:rPr>
        <w:t>岁，毕业于丹麦科技大学，获博士学位。</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月，任微软亚洲研究院副院长；</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5"/>
        </w:rPr>
        <w:t>月至</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10</w:t>
      </w:r>
      <w:r>
        <w:rPr>
          <w:spacing w:val="-5"/>
        </w:rPr>
        <w:t>月，任微软亚洲工程院院长、微软亚洲研发集团</w:t>
      </w:r>
      <w:r>
        <w:rPr>
          <w:rFonts w:ascii="Times New Roman" w:hAnsi="Times New Roman" w:cs="Times New Roman" w:eastAsia="Times New Roman" w:hint="default"/>
          <w:spacing w:val="-5"/>
        </w:rPr>
        <w:t>CTO</w:t>
      </w:r>
      <w:r>
        <w:rPr>
          <w:spacing w:val="-5"/>
        </w:rPr>
        <w:t>；</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11</w:t>
      </w:r>
      <w:r>
        <w:rPr>
          <w:spacing w:val="-5"/>
        </w:rPr>
        <w:t>月，任金山软件</w:t>
      </w:r>
      <w:r>
        <w:rPr>
          <w:rFonts w:ascii="Times New Roman" w:hAnsi="Times New Roman" w:cs="Times New Roman" w:eastAsia="Times New Roman" w:hint="default"/>
          <w:spacing w:val="-5"/>
        </w:rPr>
        <w:t>CEO</w:t>
      </w:r>
      <w:r>
        <w:rPr>
          <w:spacing w:val="-5"/>
        </w:rPr>
        <w:t>、执行董事；</w:t>
      </w:r>
      <w:r>
        <w:rPr>
          <w:spacing w:val="-32"/>
        </w:rPr>
        <w:t> </w:t>
      </w:r>
      <w:r>
        <w:rPr>
          <w:spacing w:val="-32"/>
        </w:rPr>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w:t>
      </w:r>
      <w:r>
        <w:rPr>
          <w:spacing w:val="-5"/>
        </w:rPr>
        <w:t>月至今，任北京源码资本投资有限公司合伙人、今日头条有限公司顾问；</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月至今，任华米公司独立董事；</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5</w:t>
      </w:r>
      <w:r>
        <w:rPr>
          <w:spacing w:val="-2"/>
        </w:rPr>
        <w:t>月至今，任凯雷集团高级顾问；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月至今，任宝宝树集团独立非执行董事；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月至今，任北京人工智能研究</w:t>
      </w:r>
      <w:r>
        <w:rPr>
          <w:spacing w:val="-55"/>
        </w:rPr>
        <w:t> </w:t>
      </w:r>
      <w:r>
        <w:rPr>
          <w:spacing w:val="-55"/>
        </w:rPr>
      </w:r>
      <w:r>
        <w:rPr>
          <w:spacing w:val="-2"/>
        </w:rPr>
        <w:t>院理事长；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月至今，任瑞声科技控股有限公司独立非执行董事。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月至今，任神州数码集团股份有限公司独立</w:t>
      </w:r>
      <w:r>
        <w:rPr>
          <w:spacing w:val="-61"/>
        </w:rPr>
        <w:t> </w:t>
      </w:r>
      <w:r>
        <w:rPr>
          <w:spacing w:val="-61"/>
        </w:rPr>
      </w:r>
      <w:r>
        <w:rPr/>
        <w:t>董事。</w:t>
      </w:r>
    </w:p>
    <w:p>
      <w:pPr>
        <w:pStyle w:val="BodyText"/>
        <w:spacing w:line="307" w:lineRule="auto" w:before="31"/>
        <w:ind w:right="1128" w:firstLine="360"/>
        <w:jc w:val="both"/>
      </w:pPr>
      <w:r>
        <w:rPr>
          <w:spacing w:val="-5"/>
        </w:rPr>
        <w:t>张连起，男，</w:t>
      </w:r>
      <w:r>
        <w:rPr>
          <w:rFonts w:ascii="Times New Roman" w:hAnsi="Times New Roman" w:cs="Times New Roman" w:eastAsia="Times New Roman" w:hint="default"/>
          <w:spacing w:val="-5"/>
        </w:rPr>
        <w:t>57</w:t>
      </w:r>
      <w:r>
        <w:rPr>
          <w:spacing w:val="-5"/>
        </w:rPr>
        <w:t>岁，毕业于北京大学经济学院，获博士学位。</w:t>
      </w:r>
      <w:r>
        <w:rPr>
          <w:rFonts w:ascii="Times New Roman" w:hAnsi="Times New Roman" w:cs="Times New Roman" w:eastAsia="Times New Roman" w:hint="default"/>
          <w:spacing w:val="-5"/>
        </w:rPr>
        <w:t>1979</w:t>
      </w:r>
      <w:r>
        <w:rPr>
          <w:spacing w:val="-5"/>
        </w:rPr>
        <w:t>年至</w:t>
      </w:r>
      <w:r>
        <w:rPr>
          <w:rFonts w:ascii="Times New Roman" w:hAnsi="Times New Roman" w:cs="Times New Roman" w:eastAsia="Times New Roman" w:hint="default"/>
          <w:spacing w:val="-5"/>
        </w:rPr>
        <w:t>1987</w:t>
      </w:r>
      <w:r>
        <w:rPr>
          <w:spacing w:val="-5"/>
        </w:rPr>
        <w:t>年担任北京商业网点建筑公司会计主管；</w:t>
      </w:r>
      <w:r>
        <w:rPr>
          <w:rFonts w:ascii="Times New Roman" w:hAnsi="Times New Roman" w:cs="Times New Roman" w:eastAsia="Times New Roman" w:hint="default"/>
          <w:spacing w:val="-5"/>
        </w:rPr>
        <w:t>1987</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1996</w:t>
      </w:r>
      <w:r>
        <w:rPr>
          <w:spacing w:val="-2"/>
        </w:rPr>
        <w:t>年担任经济日报财务处长；</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年担任岳华会计师事务所副总经理；</w:t>
      </w:r>
      <w:r>
        <w:rPr>
          <w:rFonts w:ascii="Times New Roman" w:hAnsi="Times New Roman" w:cs="Times New Roman" w:eastAsia="Times New Roman" w:hint="default"/>
          <w:spacing w:val="-2"/>
        </w:rPr>
        <w:t>2001</w:t>
      </w:r>
      <w:r>
        <w:rPr>
          <w:spacing w:val="-2"/>
        </w:rPr>
        <w:t>年至今担任瑞华会计师事务所管</w:t>
      </w:r>
      <w:r>
        <w:rPr>
          <w:spacing w:val="-56"/>
        </w:rPr>
        <w:t> </w:t>
      </w:r>
      <w:r>
        <w:rPr>
          <w:spacing w:val="-2"/>
        </w:rPr>
        <w:t>理合伙人。目前兼任北京天坛生物制品股份有限公司独立董事、江苏连云港港口股份有限公司独立董事、国药集团药业股份</w:t>
      </w:r>
      <w:r>
        <w:rPr>
          <w:spacing w:val="-61"/>
        </w:rPr>
        <w:t> </w:t>
      </w:r>
      <w:r>
        <w:rPr>
          <w:spacing w:val="-61"/>
        </w:rPr>
      </w:r>
      <w:r>
        <w:rPr/>
        <w:t>有限公司独立董事、华融证券股份有限公司独立董事。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月至今，任神州数码集团股份有限公司独立董事。</w:t>
      </w:r>
    </w:p>
    <w:p>
      <w:pPr>
        <w:pStyle w:val="BodyText"/>
        <w:spacing w:line="300" w:lineRule="auto" w:before="7"/>
        <w:ind w:right="1128" w:firstLine="360"/>
        <w:jc w:val="both"/>
      </w:pPr>
      <w:r>
        <w:rPr>
          <w:spacing w:val="-2"/>
        </w:rPr>
        <w:t>凌震文，男，</w:t>
      </w:r>
      <w:r>
        <w:rPr>
          <w:rFonts w:ascii="Times New Roman" w:hAnsi="Times New Roman" w:cs="Times New Roman" w:eastAsia="Times New Roman" w:hint="default"/>
          <w:spacing w:val="-2"/>
        </w:rPr>
        <w:t>48</w:t>
      </w:r>
      <w:r>
        <w:rPr>
          <w:spacing w:val="-2"/>
        </w:rPr>
        <w:t>岁，毕业于上海大学，获学士学位。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月任顺丰速运有限公司集团副总裁；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月至</w:t>
      </w:r>
      <w:r>
        <w:rPr>
          <w:rFonts w:ascii="Times New Roman" w:hAnsi="Times New Roman" w:cs="Times New Roman" w:eastAsia="Times New Roman" w:hint="default"/>
        </w:rPr>
        <w:t>6</w:t>
      </w:r>
      <w:r>
        <w:rPr/>
        <w:t>月任中信资本控股有限公司运营合伙人；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月任大连万达集团股份有限公司人力资源总经理；</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月任山水文园投资集团有限责任公司高级副总裁；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月至今任鸥游酒店管理（上海）有限公司首席</w:t>
      </w:r>
      <w:r>
        <w:rPr>
          <w:spacing w:val="-87"/>
        </w:rPr>
        <w:t> </w:t>
      </w:r>
      <w:r>
        <w:rPr>
          <w:spacing w:val="-87"/>
        </w:rPr>
      </w:r>
      <w:r>
        <w:rPr/>
        <w:t>人力资源官。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月至今，任神州数码集团股份有限公司独立董事。</w:t>
      </w:r>
    </w:p>
    <w:p>
      <w:pPr>
        <w:spacing w:line="240" w:lineRule="auto" w:before="11"/>
        <w:rPr>
          <w:rFonts w:ascii="宋体" w:hAnsi="宋体" w:cs="宋体" w:eastAsia="宋体" w:hint="default"/>
          <w:sz w:val="24"/>
          <w:szCs w:val="24"/>
        </w:rPr>
      </w:pPr>
    </w:p>
    <w:p>
      <w:pPr>
        <w:pStyle w:val="BodyText"/>
        <w:spacing w:line="316" w:lineRule="auto"/>
        <w:ind w:left="513" w:right="0"/>
        <w:jc w:val="left"/>
      </w:pPr>
      <w:r>
        <w:rPr/>
        <w:t>（二）监事会成员 </w:t>
      </w:r>
      <w:r>
        <w:rPr>
          <w:spacing w:val="-2"/>
        </w:rPr>
        <w:t>张梅，女，</w:t>
      </w:r>
      <w:r>
        <w:rPr>
          <w:rFonts w:ascii="Times New Roman" w:hAnsi="Times New Roman" w:cs="Times New Roman" w:eastAsia="Times New Roman" w:hint="default"/>
          <w:spacing w:val="-2"/>
        </w:rPr>
        <w:t>51</w:t>
      </w:r>
      <w:r>
        <w:rPr>
          <w:spacing w:val="-2"/>
        </w:rPr>
        <w:t>岁，获中央民族大学法学学士学位。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月，任神州控股消费电子业务群副总裁、企划办</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8"/>
        <w:jc w:val="both"/>
      </w:pPr>
      <w:r>
        <w:rPr>
          <w:spacing w:val="-2"/>
        </w:rPr>
        <w:t>主任；</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月，任神州控股终端及移动技术集团副总裁、企划办主任；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月，任神州控</w:t>
      </w:r>
      <w:r>
        <w:rPr>
          <w:spacing w:val="-52"/>
        </w:rPr>
        <w:t> </w:t>
      </w:r>
      <w:r>
        <w:rPr>
          <w:spacing w:val="-52"/>
        </w:rPr>
      </w:r>
      <w:r>
        <w:rPr>
          <w:spacing w:val="-2"/>
        </w:rPr>
        <w:t>股副总裁；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月至今，任神码北京互联网运营部总经理；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月，任神州数码集团股份有限公司人力</w:t>
      </w:r>
      <w:r>
        <w:rPr>
          <w:spacing w:val="-59"/>
        </w:rPr>
        <w:t> </w:t>
      </w:r>
      <w:r>
        <w:rPr>
          <w:spacing w:val="-59"/>
        </w:rPr>
      </w:r>
      <w:r>
        <w:rPr>
          <w:spacing w:val="-2"/>
        </w:rPr>
        <w:t>资源部总经理；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月至今，任神州数码集团股份有限公司人力资源部常务副总经理；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月至今，任神州数码集团</w:t>
      </w:r>
      <w:r>
        <w:rPr>
          <w:spacing w:val="-56"/>
        </w:rPr>
        <w:t> </w:t>
      </w:r>
      <w:r>
        <w:rPr>
          <w:spacing w:val="-56"/>
        </w:rPr>
      </w:r>
      <w:r>
        <w:rPr/>
        <w:t>股份有限公司监事会主席。</w:t>
      </w:r>
    </w:p>
    <w:p>
      <w:pPr>
        <w:pStyle w:val="BodyText"/>
        <w:spacing w:line="300" w:lineRule="auto" w:before="31"/>
        <w:ind w:right="1130" w:firstLine="360"/>
        <w:jc w:val="both"/>
      </w:pPr>
      <w:r>
        <w:rPr>
          <w:spacing w:val="-2"/>
        </w:rPr>
        <w:t>孙丹梅，女，</w:t>
      </w:r>
      <w:r>
        <w:rPr>
          <w:rFonts w:ascii="Times New Roman" w:hAnsi="Times New Roman" w:cs="Times New Roman" w:eastAsia="Times New Roman" w:hint="default"/>
          <w:spacing w:val="-2"/>
        </w:rPr>
        <w:t>43</w:t>
      </w:r>
      <w:r>
        <w:rPr>
          <w:spacing w:val="-2"/>
        </w:rPr>
        <w:t>岁，获首都经济贸易大学会计学硕士学位。</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月，任神州控股财务部高级经理；</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月，任联想控股有限公司财务经理；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月，任北京群柏创联信息技术有限公司财务总 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月，任神码中国财务中心证券部高级经理；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月，任神码中国证券部副总经 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月至今，任神码中国证券部高级总监；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月至今，任神州数码集团股份有限公司监事及证券事务代表。</w:t>
      </w:r>
    </w:p>
    <w:p>
      <w:pPr>
        <w:pStyle w:val="BodyText"/>
        <w:spacing w:line="300" w:lineRule="auto" w:before="13"/>
        <w:ind w:right="1131" w:firstLine="360"/>
        <w:jc w:val="both"/>
      </w:pPr>
      <w:r>
        <w:rPr/>
        <w:t>刘烨，女，</w:t>
      </w:r>
      <w:r>
        <w:rPr>
          <w:rFonts w:ascii="Times New Roman" w:hAnsi="Times New Roman" w:cs="Times New Roman" w:eastAsia="Times New Roman" w:hint="default"/>
        </w:rPr>
        <w:t>34</w:t>
      </w:r>
      <w:r>
        <w:rPr/>
        <w:t>岁，获英国杜伦大学理学硕士学位。</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2016</w:t>
      </w:r>
      <w:r>
        <w:rPr/>
        <w:t>年，在神州信息负责投后管理工作；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 任神州数码集团股份有限公司投资部投资经理；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月至今，任神州数码集团股份有限公司职工监事。</w:t>
      </w:r>
    </w:p>
    <w:p>
      <w:pPr>
        <w:spacing w:line="240" w:lineRule="auto" w:before="11"/>
        <w:rPr>
          <w:rFonts w:ascii="宋体" w:hAnsi="宋体" w:cs="宋体" w:eastAsia="宋体" w:hint="default"/>
          <w:sz w:val="24"/>
          <w:szCs w:val="24"/>
        </w:rPr>
      </w:pPr>
    </w:p>
    <w:p>
      <w:pPr>
        <w:pStyle w:val="BodyText"/>
        <w:spacing w:line="319" w:lineRule="auto"/>
        <w:ind w:left="513" w:right="1033"/>
        <w:jc w:val="left"/>
      </w:pPr>
      <w:r>
        <w:rPr/>
        <w:t>（三）高级管理人员 叶海强，男，</w:t>
      </w:r>
      <w:r>
        <w:rPr>
          <w:rFonts w:ascii="Times New Roman" w:hAnsi="Times New Roman" w:cs="Times New Roman" w:eastAsia="Times New Roman" w:hint="default"/>
        </w:rPr>
        <w:t>47</w:t>
      </w:r>
      <w:r>
        <w:rPr/>
        <w:t>岁，获北京石油化工学院管理学学士学位，北京大学工商管理硕士学位。联想集团分拆后，</w:t>
      </w:r>
      <w:r>
        <w:rPr>
          <w:rFonts w:ascii="Times New Roman" w:hAnsi="Times New Roman" w:cs="Times New Roman" w:eastAsia="Times New Roman" w:hint="default"/>
        </w:rPr>
        <w:t>2003</w:t>
      </w:r>
      <w:r>
        <w:rPr/>
        <w:t>年后，</w:t>
      </w:r>
    </w:p>
    <w:p>
      <w:pPr>
        <w:pStyle w:val="BodyText"/>
        <w:spacing w:line="300" w:lineRule="auto"/>
        <w:ind w:right="1131"/>
        <w:jc w:val="both"/>
      </w:pPr>
      <w:r>
        <w:rPr/>
        <w:t>叶海强先生先后担任神码中国基础网络部副总经理、总经理、神码上海副总经理等职务。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w:t>
      </w:r>
      <w:r>
        <w:rPr>
          <w:spacing w:val="-84"/>
        </w:rPr>
        <w:t> </w:t>
      </w:r>
      <w:r>
        <w:rPr/>
        <w:t>股份有限公司副总裁。</w:t>
      </w:r>
    </w:p>
    <w:p>
      <w:pPr>
        <w:pStyle w:val="BodyText"/>
        <w:spacing w:line="300" w:lineRule="auto" w:before="31"/>
        <w:ind w:right="1128" w:firstLine="360"/>
        <w:jc w:val="both"/>
      </w:pPr>
      <w:r>
        <w:rPr>
          <w:spacing w:val="-2"/>
        </w:rPr>
        <w:t>周立达，男，</w:t>
      </w:r>
      <w:r>
        <w:rPr>
          <w:rFonts w:ascii="Times New Roman" w:hAnsi="Times New Roman" w:cs="Times New Roman" w:eastAsia="Times New Roman" w:hint="default"/>
          <w:spacing w:val="-2"/>
        </w:rPr>
        <w:t>52</w:t>
      </w:r>
      <w:r>
        <w:rPr>
          <w:spacing w:val="-2"/>
        </w:rPr>
        <w:t>岁，毕业于广州市人民警察学校。</w:t>
      </w:r>
      <w:r>
        <w:rPr>
          <w:rFonts w:ascii="Times New Roman" w:hAnsi="Times New Roman" w:cs="Times New Roman" w:eastAsia="Times New Roman" w:hint="default"/>
          <w:spacing w:val="-2"/>
        </w:rPr>
        <w:t>2003</w:t>
      </w:r>
      <w:r>
        <w:rPr>
          <w:spacing w:val="-2"/>
        </w:rPr>
        <w:t>年进入神码中国工作，历任通用软件事业部总经理、</w:t>
      </w:r>
      <w:r>
        <w:rPr>
          <w:rFonts w:ascii="Times New Roman" w:hAnsi="Times New Roman" w:cs="Times New Roman" w:eastAsia="Times New Roman" w:hint="default"/>
          <w:spacing w:val="-2"/>
        </w:rPr>
        <w:t>IBM</w:t>
      </w:r>
      <w:r>
        <w:rPr>
          <w:spacing w:val="-2"/>
        </w:rPr>
        <w:t>事业部</w:t>
      </w:r>
      <w:r>
        <w:rPr/>
        <w:t> 总经理、神码广州副总经理等职务。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月至今，任神州数码集团股份有限公司副总裁。</w:t>
      </w:r>
    </w:p>
    <w:p>
      <w:pPr>
        <w:pStyle w:val="BodyText"/>
        <w:spacing w:line="300" w:lineRule="auto" w:before="13"/>
        <w:ind w:right="1132" w:firstLine="360"/>
        <w:jc w:val="both"/>
      </w:pPr>
      <w:r>
        <w:rPr/>
        <w:t>韩智敏，男，</w:t>
      </w:r>
      <w:r>
        <w:rPr>
          <w:rFonts w:ascii="Times New Roman" w:hAnsi="Times New Roman" w:cs="Times New Roman" w:eastAsia="Times New Roman" w:hint="default"/>
        </w:rPr>
        <w:t>45</w:t>
      </w:r>
      <w:r>
        <w:rPr/>
        <w:t>岁，毕业于北京电子科技学院，北京大学市场营销专业研究生，美国北弗吉尼亚大学</w:t>
      </w:r>
      <w:r>
        <w:rPr>
          <w:rFonts w:ascii="Times New Roman" w:hAnsi="Times New Roman" w:cs="Times New Roman" w:eastAsia="Times New Roman" w:hint="default"/>
        </w:rPr>
        <w:t>MBA</w:t>
      </w:r>
      <w:r>
        <w:rPr/>
        <w:t>管理硕士。 自</w:t>
      </w:r>
      <w:r>
        <w:rPr>
          <w:rFonts w:ascii="Times New Roman" w:hAnsi="Times New Roman" w:cs="Times New Roman" w:eastAsia="Times New Roman" w:hint="default"/>
        </w:rPr>
        <w:t>2010</w:t>
      </w:r>
      <w:r>
        <w:rPr/>
        <w:t>年以来，历任公司华为事业部总经理、华为本部总经理、助理总裁等职务。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月至今，任神州数码集团股份有</w:t>
      </w:r>
      <w:r>
        <w:rPr>
          <w:spacing w:val="-85"/>
        </w:rPr>
        <w:t> </w:t>
      </w:r>
      <w:r>
        <w:rPr>
          <w:spacing w:val="-85"/>
        </w:rPr>
      </w:r>
      <w:r>
        <w:rPr/>
        <w:t>限公司副总裁。</w:t>
      </w:r>
    </w:p>
    <w:p>
      <w:pPr>
        <w:pStyle w:val="BodyText"/>
        <w:spacing w:line="300" w:lineRule="auto" w:before="31"/>
        <w:ind w:right="1131" w:firstLine="360"/>
        <w:jc w:val="both"/>
      </w:pPr>
      <w:r>
        <w:rPr>
          <w:spacing w:val="-5"/>
        </w:rPr>
        <w:t>吕敬，男，</w:t>
      </w:r>
      <w:r>
        <w:rPr>
          <w:rFonts w:ascii="Times New Roman" w:hAnsi="Times New Roman" w:cs="Times New Roman" w:eastAsia="Times New Roman" w:hint="default"/>
          <w:spacing w:val="-5"/>
        </w:rPr>
        <w:t>46</w:t>
      </w:r>
      <w:r>
        <w:rPr>
          <w:spacing w:val="-5"/>
        </w:rPr>
        <w:t>岁，获重庆建筑大学工学学士学位，中欧国际工商学院</w:t>
      </w:r>
      <w:r>
        <w:rPr>
          <w:rFonts w:ascii="Times New Roman" w:hAnsi="Times New Roman" w:cs="Times New Roman" w:eastAsia="Times New Roman" w:hint="default"/>
          <w:spacing w:val="-5"/>
        </w:rPr>
        <w:t>EMBA</w:t>
      </w:r>
      <w:r>
        <w:rPr>
          <w:spacing w:val="-5"/>
        </w:rPr>
        <w:t>。自</w:t>
      </w:r>
      <w:r>
        <w:rPr>
          <w:rFonts w:ascii="Times New Roman" w:hAnsi="Times New Roman" w:cs="Times New Roman" w:eastAsia="Times New Roman" w:hint="default"/>
          <w:spacing w:val="-5"/>
        </w:rPr>
        <w:t>2000</w:t>
      </w:r>
      <w:r>
        <w:rPr>
          <w:spacing w:val="-5"/>
        </w:rPr>
        <w:t>年以来，历任公司外设部销售经理，</w:t>
      </w:r>
      <w:r>
        <w:rPr/>
        <w:t> 大区总监，</w:t>
      </w:r>
      <w:r>
        <w:rPr>
          <w:rFonts w:ascii="Times New Roman" w:hAnsi="Times New Roman" w:cs="Times New Roman" w:eastAsia="Times New Roman" w:hint="default"/>
        </w:rPr>
        <w:t>dell</w:t>
      </w:r>
      <w:r>
        <w:rPr/>
        <w:t>事业部副总经理，总经理等职务。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月至今，任神州数码集团股份有限公司副总裁。</w:t>
      </w:r>
    </w:p>
    <w:p>
      <w:pPr>
        <w:pStyle w:val="BodyText"/>
        <w:spacing w:line="300" w:lineRule="auto" w:before="13"/>
        <w:ind w:right="1134" w:firstLine="360"/>
        <w:jc w:val="both"/>
      </w:pPr>
      <w:r>
        <w:rPr>
          <w:spacing w:val="-2"/>
        </w:rPr>
        <w:t>吴昊，男，</w:t>
      </w:r>
      <w:r>
        <w:rPr>
          <w:rFonts w:ascii="Times New Roman" w:hAnsi="Times New Roman" w:cs="Times New Roman" w:eastAsia="Times New Roman" w:hint="default"/>
          <w:spacing w:val="-2"/>
        </w:rPr>
        <w:t>42</w:t>
      </w:r>
      <w:r>
        <w:rPr>
          <w:spacing w:val="-2"/>
        </w:rPr>
        <w:t>岁，获北方交通大学学士学位。</w:t>
      </w:r>
      <w:r>
        <w:rPr>
          <w:rFonts w:ascii="Times New Roman" w:hAnsi="Times New Roman" w:cs="Times New Roman" w:eastAsia="Times New Roman" w:hint="default"/>
          <w:spacing w:val="-2"/>
        </w:rPr>
        <w:t>2001</w:t>
      </w:r>
      <w:r>
        <w:rPr>
          <w:spacing w:val="-2"/>
        </w:rPr>
        <w:t>年加入公司，历任神码中国存储事业部总经理，数据存储本部副总经</w:t>
      </w:r>
      <w:r>
        <w:rPr/>
        <w:t> 理，助理总裁，数据存储本部总经理等职务。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月至今，任神州数码集团股份有限公司副总裁。</w:t>
      </w:r>
    </w:p>
    <w:p>
      <w:pPr>
        <w:pStyle w:val="BodyText"/>
        <w:spacing w:line="300" w:lineRule="auto" w:before="13"/>
        <w:ind w:right="1136" w:firstLine="360"/>
        <w:jc w:val="both"/>
      </w:pPr>
      <w:r>
        <w:rPr/>
        <w:t>刘风彦，男，</w:t>
      </w:r>
      <w:r>
        <w:rPr>
          <w:rFonts w:ascii="Times New Roman" w:hAnsi="Times New Roman" w:cs="Times New Roman" w:eastAsia="Times New Roman" w:hint="default"/>
        </w:rPr>
        <w:t>47</w:t>
      </w:r>
      <w:r>
        <w:rPr/>
        <w:t>岁，澳大利亚莫道克大学</w:t>
      </w:r>
      <w:r>
        <w:rPr>
          <w:rFonts w:ascii="Times New Roman" w:hAnsi="Times New Roman" w:cs="Times New Roman" w:eastAsia="Times New Roman" w:hint="default"/>
        </w:rPr>
        <w:t>MBA</w:t>
      </w:r>
      <w:r>
        <w:rPr/>
        <w:t>。</w:t>
      </w:r>
      <w:r>
        <w:rPr>
          <w:rFonts w:ascii="Times New Roman" w:hAnsi="Times New Roman" w:cs="Times New Roman" w:eastAsia="Times New Roman" w:hint="default"/>
        </w:rPr>
        <w:t>2004</w:t>
      </w:r>
      <w:r>
        <w:rPr/>
        <w:t>年加入公司，历任神码中国系统产品事业部副总经理，系统产品 本部总经理，助理总裁等职务。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月至今，任神州数码集团股份有限公司副总裁。</w:t>
      </w:r>
    </w:p>
    <w:p>
      <w:pPr>
        <w:pStyle w:val="BodyText"/>
        <w:spacing w:line="300" w:lineRule="auto" w:before="13"/>
        <w:ind w:right="1124" w:firstLine="360"/>
        <w:jc w:val="both"/>
      </w:pPr>
      <w:r>
        <w:rPr/>
        <w:t>陈振坤，男，</w:t>
      </w:r>
      <w:r>
        <w:rPr>
          <w:rFonts w:ascii="Times New Roman" w:hAnsi="Times New Roman" w:cs="Times New Roman" w:eastAsia="Times New Roman" w:hint="default"/>
        </w:rPr>
        <w:t>38</w:t>
      </w:r>
      <w:r>
        <w:rPr/>
        <w:t>岁，获中国传媒大学管理学学士学位、清华大学</w:t>
      </w:r>
      <w:r>
        <w:rPr>
          <w:rFonts w:ascii="Times New Roman" w:hAnsi="Times New Roman" w:cs="Times New Roman" w:eastAsia="Times New Roman" w:hint="default"/>
        </w:rPr>
        <w:t>-</w:t>
      </w:r>
      <w:r>
        <w:rPr/>
        <w:t>香港中文大学</w:t>
      </w:r>
      <w:r>
        <w:rPr>
          <w:rFonts w:ascii="Times New Roman" w:hAnsi="Times New Roman" w:cs="Times New Roman" w:eastAsia="Times New Roman" w:hint="default"/>
        </w:rPr>
        <w:t>FMBA</w:t>
      </w:r>
      <w:r>
        <w:rPr/>
        <w:t>工商管理硕士学位。</w:t>
      </w:r>
      <w:r>
        <w:rPr>
          <w:rFonts w:ascii="Times New Roman" w:hAnsi="Times New Roman" w:cs="Times New Roman" w:eastAsia="Times New Roman" w:hint="default"/>
        </w:rPr>
        <w:t>2004</w:t>
      </w:r>
      <w:r>
        <w:rPr/>
        <w:t>年加入</w:t>
      </w:r>
      <w:r>
        <w:rPr>
          <w:spacing w:val="2"/>
        </w:rPr>
        <w:t> </w:t>
      </w:r>
      <w:r>
        <w:rPr>
          <w:spacing w:val="-3"/>
        </w:rPr>
        <w:t>公司，自</w:t>
      </w:r>
      <w:r>
        <w:rPr>
          <w:rFonts w:ascii="Times New Roman" w:hAnsi="Times New Roman" w:cs="Times New Roman" w:eastAsia="Times New Roman" w:hint="default"/>
          <w:spacing w:val="-3"/>
        </w:rPr>
        <w:t>2013</w:t>
      </w:r>
      <w:r>
        <w:rPr>
          <w:spacing w:val="-3"/>
        </w:rPr>
        <w:t>年以来历任公司财务部副总经理、运控中心副总经理、助理总裁、集团财务部总经理等职务。</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2</w:t>
      </w:r>
      <w:r>
        <w:rPr/>
        <w:t>月，任神州数码集团股份有限公司运营总监。</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月至今，任神州数码集团股份有限公司副总裁。</w:t>
      </w:r>
    </w:p>
    <w:p>
      <w:pPr>
        <w:pStyle w:val="BodyText"/>
        <w:spacing w:line="309" w:lineRule="auto" w:before="13"/>
        <w:ind w:right="1034" w:firstLine="360"/>
        <w:jc w:val="left"/>
      </w:pPr>
      <w:r>
        <w:rPr/>
        <w:t>李京，女，</w:t>
      </w:r>
      <w:r>
        <w:rPr>
          <w:rFonts w:ascii="Times New Roman" w:hAnsi="Times New Roman" w:cs="Times New Roman" w:eastAsia="Times New Roman" w:hint="default"/>
        </w:rPr>
        <w:t>39</w:t>
      </w:r>
      <w:r>
        <w:rPr/>
        <w:t>岁，获北京航空航天大学学士学位。</w:t>
      </w:r>
      <w:r>
        <w:rPr>
          <w:rFonts w:ascii="Times New Roman" w:hAnsi="Times New Roman" w:cs="Times New Roman" w:eastAsia="Times New Roman" w:hint="default"/>
        </w:rPr>
        <w:t>2003</w:t>
      </w:r>
      <w:r>
        <w:rPr/>
        <w:t>年加入公司，历任神码中国网络业务本部产品经理、产品总监、 </w:t>
      </w:r>
      <w:r>
        <w:rPr>
          <w:spacing w:val="-2"/>
        </w:rPr>
        <w:t>事业部总经理、本部副总经理等，神州云计算生态中心总经理，上海云角销售高级副总裁、北京分公司总经理，现任公司云</w:t>
      </w:r>
      <w:r>
        <w:rPr>
          <w:spacing w:val="-67"/>
        </w:rPr>
        <w:t> </w:t>
      </w:r>
      <w:r>
        <w:rPr>
          <w:spacing w:val="-67"/>
        </w:rPr>
      </w:r>
      <w:r>
        <w:rPr/>
        <w:t>业务集团副总裁。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月至今，任神州数码集团股份有限公司副总裁。</w:t>
      </w:r>
    </w:p>
    <w:p>
      <w:pPr>
        <w:pStyle w:val="BodyText"/>
        <w:spacing w:line="300" w:lineRule="auto" w:before="5"/>
        <w:ind w:right="0" w:firstLine="360"/>
        <w:jc w:val="left"/>
      </w:pPr>
      <w:r>
        <w:rPr>
          <w:spacing w:val="-5"/>
        </w:rPr>
        <w:t>陆明，男，</w:t>
      </w:r>
      <w:r>
        <w:rPr>
          <w:rFonts w:ascii="Times New Roman" w:hAnsi="Times New Roman" w:cs="Times New Roman" w:eastAsia="Times New Roman" w:hint="default"/>
          <w:spacing w:val="-5"/>
        </w:rPr>
        <w:t>44</w:t>
      </w:r>
      <w:r>
        <w:rPr>
          <w:spacing w:val="-5"/>
        </w:rPr>
        <w:t>岁，获西安交通大学工学学士学位。</w:t>
      </w:r>
      <w:r>
        <w:rPr>
          <w:rFonts w:ascii="Times New Roman" w:hAnsi="Times New Roman" w:cs="Times New Roman" w:eastAsia="Times New Roman" w:hint="default"/>
          <w:spacing w:val="-5"/>
        </w:rPr>
        <w:t>2006</w:t>
      </w:r>
      <w:r>
        <w:rPr>
          <w:spacing w:val="-5"/>
        </w:rPr>
        <w:t>年加入公司，历任配件事业部深圳平台销售经理、南区销售总监，</w:t>
      </w:r>
      <w:r>
        <w:rPr/>
        <w:t> </w:t>
      </w:r>
      <w:r>
        <w:rPr>
          <w:rFonts w:ascii="Times New Roman" w:hAnsi="Times New Roman" w:cs="Times New Roman" w:eastAsia="Times New Roman" w:hint="default"/>
        </w:rPr>
        <w:t>intel</w:t>
      </w:r>
      <w:r>
        <w:rPr/>
        <w:t>事业部产品总监、副总经理、总经理，配件事业一部总经理，配件本部总经理，现任公司微电子系统战略本部总经理。</w:t>
      </w:r>
      <w:r>
        <w:rPr>
          <w:spacing w:val="-52"/>
        </w:rPr>
        <w:t> </w:t>
      </w:r>
      <w:r>
        <w:rPr>
          <w:spacing w:val="-52"/>
        </w:rPr>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月至今，任神州数码集团股份有限公司副总裁。</w:t>
      </w:r>
    </w:p>
    <w:p>
      <w:pPr>
        <w:pStyle w:val="BodyText"/>
        <w:spacing w:line="300" w:lineRule="auto" w:before="13"/>
        <w:ind w:right="1131" w:firstLine="360"/>
        <w:jc w:val="both"/>
      </w:pPr>
      <w:r>
        <w:rPr/>
        <w:t>潘春雷，男，</w:t>
      </w:r>
      <w:r>
        <w:rPr>
          <w:rFonts w:ascii="Times New Roman" w:hAnsi="Times New Roman" w:cs="Times New Roman" w:eastAsia="Times New Roman" w:hint="default"/>
        </w:rPr>
        <w:t>50</w:t>
      </w:r>
      <w:r>
        <w:rPr/>
        <w:t>岁，获内蒙古大学学士学位、清华大学</w:t>
      </w:r>
      <w:r>
        <w:rPr>
          <w:rFonts w:ascii="Times New Roman" w:hAnsi="Times New Roman" w:cs="Times New Roman" w:eastAsia="Times New Roman" w:hint="default"/>
        </w:rPr>
        <w:t>-</w:t>
      </w:r>
      <w:r>
        <w:rPr/>
        <w:t>香港中文大学工商管理硕士学位。</w:t>
      </w:r>
      <w:r>
        <w:rPr>
          <w:rFonts w:ascii="Times New Roman" w:hAnsi="Times New Roman" w:cs="Times New Roman" w:eastAsia="Times New Roman" w:hint="default"/>
        </w:rPr>
        <w:t>2000</w:t>
      </w:r>
      <w:r>
        <w:rPr/>
        <w:t>年加入公司，历任神码 中国企划办副主任、业务发展部总经理、助理总裁等职务，现任公司云业务集团副总裁。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月至今，任神州数码集团</w:t>
      </w:r>
      <w:r>
        <w:rPr>
          <w:spacing w:val="-84"/>
        </w:rPr>
        <w:t> </w:t>
      </w:r>
      <w:r>
        <w:rPr/>
        <w:t>股份有限公司副总裁。</w:t>
      </w:r>
    </w:p>
    <w:p>
      <w:pPr>
        <w:pStyle w:val="BodyText"/>
        <w:spacing w:line="300" w:lineRule="auto" w:before="31"/>
        <w:ind w:right="1131" w:firstLine="360"/>
        <w:jc w:val="both"/>
      </w:pPr>
      <w:r>
        <w:rPr/>
        <w:t>沈旸，男，</w:t>
      </w:r>
      <w:r>
        <w:rPr>
          <w:rFonts w:ascii="Times New Roman" w:hAnsi="Times New Roman" w:cs="Times New Roman" w:eastAsia="Times New Roman" w:hint="default"/>
        </w:rPr>
        <w:t>37</w:t>
      </w:r>
      <w:r>
        <w:rPr/>
        <w:t>岁，获国防科学技术大学工学学士学位、上海交通大学工学硕士学位。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月，任</w:t>
      </w:r>
      <w:r>
        <w:rPr>
          <w:rFonts w:ascii="Times New Roman" w:hAnsi="Times New Roman" w:cs="Times New Roman" w:eastAsia="Times New Roman" w:hint="default"/>
        </w:rPr>
        <w:t>SAP</w:t>
      </w:r>
      <w:r>
        <w:rPr>
          <w:rFonts w:ascii="Times New Roman" w:hAnsi="Times New Roman" w:cs="Times New Roman" w:eastAsia="Times New Roman" w:hint="default"/>
          <w:w w:val="99"/>
        </w:rPr>
        <w:t> </w:t>
      </w:r>
      <w:r>
        <w:rPr>
          <w:spacing w:val="-1"/>
        </w:rPr>
        <w:t>中国全球支持中心咨询顾问；</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月，任</w:t>
      </w:r>
      <w:r>
        <w:rPr>
          <w:rFonts w:ascii="Times New Roman" w:hAnsi="Times New Roman" w:cs="Times New Roman" w:eastAsia="Times New Roman" w:hint="default"/>
          <w:spacing w:val="-1"/>
        </w:rPr>
        <w:t>SAP</w:t>
      </w:r>
      <w:r>
        <w:rPr>
          <w:spacing w:val="-1"/>
        </w:rPr>
        <w:t>美国数字转型服务部门技术架构师、企业规划与商业智能团</w:t>
      </w:r>
      <w:r>
        <w:rPr/>
        <w:t> </w:t>
      </w:r>
      <w:r>
        <w:rPr>
          <w:spacing w:val="-2"/>
        </w:rPr>
        <w:t>队负责人；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月，任神州控股首席信息官，现任公司云业务集团副总裁。</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月至今，任神州数码集</w:t>
      </w:r>
      <w:r>
        <w:rPr>
          <w:spacing w:val="-56"/>
        </w:rPr>
        <w:t> </w:t>
      </w:r>
      <w:r>
        <w:rPr>
          <w:spacing w:val="-56"/>
        </w:rPr>
      </w:r>
      <w:r>
        <w:rPr/>
        <w:t>团股份有限公司副总裁。</w:t>
      </w:r>
    </w:p>
    <w:p>
      <w:pPr>
        <w:pStyle w:val="BodyText"/>
        <w:spacing w:line="300" w:lineRule="auto" w:before="31"/>
        <w:ind w:right="1128" w:firstLine="360"/>
        <w:jc w:val="both"/>
        <w:rPr>
          <w:rFonts w:ascii="Times New Roman" w:hAnsi="Times New Roman" w:cs="Times New Roman" w:eastAsia="Times New Roman" w:hint="default"/>
        </w:rPr>
      </w:pPr>
      <w:r>
        <w:rPr>
          <w:spacing w:val="-2"/>
        </w:rPr>
        <w:t>李岩，女，</w:t>
      </w:r>
      <w:r>
        <w:rPr>
          <w:rFonts w:ascii="Times New Roman" w:hAnsi="Times New Roman" w:cs="Times New Roman" w:eastAsia="Times New Roman" w:hint="default"/>
          <w:spacing w:val="-2"/>
        </w:rPr>
        <w:t>47</w:t>
      </w:r>
      <w:r>
        <w:rPr>
          <w:spacing w:val="-2"/>
        </w:rPr>
        <w:t>岁，获中国社会科学院经济学硕士学位。</w:t>
      </w:r>
      <w:r>
        <w:rPr>
          <w:rFonts w:ascii="Times New Roman" w:hAnsi="Times New Roman" w:cs="Times New Roman" w:eastAsia="Times New Roman" w:hint="default"/>
          <w:spacing w:val="-2"/>
        </w:rPr>
        <w:t>2000</w:t>
      </w:r>
      <w:r>
        <w:rPr>
          <w:spacing w:val="-2"/>
        </w:rPr>
        <w:t>年，联想集团分拆后，李岩女士历任神码中国集团办常务副</w:t>
      </w:r>
      <w:r>
        <w:rPr/>
        <w:t> </w:t>
      </w:r>
      <w:r>
        <w:rPr>
          <w:spacing w:val="-2"/>
        </w:rPr>
        <w:t>总经理、品牌市场部和经营管理部总经理、神码中国副总经理、神码广州副总经理、神码上海董事兼副总经理等职务。</w:t>
      </w:r>
      <w:r>
        <w:rPr>
          <w:rFonts w:ascii="Times New Roman" w:hAnsi="Times New Roman" w:cs="Times New Roman" w:eastAsia="Times New Roman" w:hint="default"/>
          <w:spacing w:val="-2"/>
        </w:rPr>
        <w:t>2016</w:t>
      </w:r>
      <w:r>
        <w:rPr>
          <w:rFonts w:ascii="Times New Roman" w:hAnsi="Times New Roman" w:cs="Times New Roman" w:eastAsia="Times New Roman" w:hint="default"/>
        </w:rPr>
      </w:r>
    </w:p>
    <w:p>
      <w:pPr>
        <w:spacing w:after="0" w:line="300" w:lineRule="auto"/>
        <w:jc w:val="both"/>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9"/>
        <w:rPr>
          <w:rFonts w:ascii="Times New Roman" w:hAnsi="Times New Roman" w:cs="Times New Roman" w:eastAsia="Times New Roman" w:hint="default"/>
          <w:sz w:val="24"/>
          <w:szCs w:val="24"/>
        </w:rPr>
      </w:pPr>
    </w:p>
    <w:p>
      <w:pPr>
        <w:pStyle w:val="BodyText"/>
        <w:spacing w:line="307" w:lineRule="auto" w:before="44"/>
        <w:ind w:left="0" w:right="1131"/>
        <w:jc w:val="right"/>
      </w:pP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月，任神州数码集团股份有限公司副总裁。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月至今，任神州数码集团股份有限公司人力资源总监。</w:t>
      </w:r>
      <w:r>
        <w:rPr>
          <w:spacing w:val="-54"/>
        </w:rPr>
        <w:t> </w:t>
      </w:r>
      <w:r>
        <w:rPr>
          <w:spacing w:val="-54"/>
        </w:rPr>
      </w:r>
      <w:r>
        <w:rPr>
          <w:spacing w:val="-5"/>
        </w:rPr>
        <w:t>汤凯，男，</w:t>
      </w:r>
      <w:r>
        <w:rPr>
          <w:rFonts w:ascii="Times New Roman" w:hAnsi="Times New Roman" w:cs="Times New Roman" w:eastAsia="Times New Roman" w:hint="default"/>
          <w:spacing w:val="-5"/>
        </w:rPr>
        <w:t>45</w:t>
      </w:r>
      <w:r>
        <w:rPr>
          <w:spacing w:val="-5"/>
        </w:rPr>
        <w:t>岁，获清华大学理学学士学位。自</w:t>
      </w:r>
      <w:r>
        <w:rPr>
          <w:rFonts w:ascii="Times New Roman" w:hAnsi="Times New Roman" w:cs="Times New Roman" w:eastAsia="Times New Roman" w:hint="default"/>
          <w:spacing w:val="-5"/>
        </w:rPr>
        <w:t>2000</w:t>
      </w:r>
      <w:r>
        <w:rPr>
          <w:spacing w:val="-5"/>
        </w:rPr>
        <w:t>年以来，历任神码中国信息化管理部技术总监、副总经理、总经理、</w:t>
      </w:r>
      <w:r>
        <w:rPr/>
        <w:t> </w:t>
      </w:r>
      <w:r>
        <w:rPr>
          <w:spacing w:val="-2"/>
        </w:rPr>
        <w:t>神州数码集团信息化管理部总经理、神州云计算交付中心总经理等职务。目前汤凯先生担任神州云计算数字化转型业务部总</w:t>
      </w:r>
      <w:r>
        <w:rPr>
          <w:spacing w:val="-73"/>
        </w:rPr>
        <w:t> </w:t>
      </w:r>
      <w:r>
        <w:rPr>
          <w:spacing w:val="-73"/>
        </w:rPr>
      </w:r>
      <w:r>
        <w:rPr/>
        <w:t>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月，任神州数码集团股份有限公司技术总监。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月至今，任神州数码集团股份有限公司开</w:t>
      </w:r>
    </w:p>
    <w:p>
      <w:pPr>
        <w:pStyle w:val="BodyText"/>
        <w:spacing w:line="240" w:lineRule="auto" w:before="7"/>
        <w:ind w:right="0"/>
        <w:jc w:val="left"/>
      </w:pPr>
      <w:r>
        <w:rPr/>
        <w:t>发总监。</w:t>
      </w:r>
    </w:p>
    <w:p>
      <w:pPr>
        <w:pStyle w:val="BodyText"/>
        <w:spacing w:line="300" w:lineRule="auto" w:before="76"/>
        <w:ind w:right="1128" w:firstLine="360"/>
        <w:jc w:val="both"/>
      </w:pPr>
      <w:r>
        <w:rPr>
          <w:spacing w:val="-2"/>
        </w:rPr>
        <w:t>郝峻晟，男，</w:t>
      </w:r>
      <w:r>
        <w:rPr>
          <w:rFonts w:ascii="Times New Roman" w:hAnsi="Times New Roman" w:cs="Times New Roman" w:eastAsia="Times New Roman" w:hint="default"/>
          <w:spacing w:val="-2"/>
        </w:rPr>
        <w:t>40</w:t>
      </w:r>
      <w:r>
        <w:rPr>
          <w:spacing w:val="-2"/>
        </w:rPr>
        <w:t>岁，获上海交通大学硕士学位。</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月至今，任上海云角董事兼总经理。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月至今，任神州数</w:t>
      </w:r>
      <w:r>
        <w:rPr/>
        <w:t> 码集团股份有限公司技术总监。</w:t>
      </w:r>
    </w:p>
    <w:p>
      <w:pPr>
        <w:pStyle w:val="BodyText"/>
        <w:spacing w:line="300" w:lineRule="auto" w:before="72"/>
        <w:ind w:right="1131" w:firstLine="288"/>
        <w:jc w:val="both"/>
      </w:pPr>
      <w:r>
        <w:rPr>
          <w:spacing w:val="-1"/>
        </w:rPr>
        <w:t>刘昕，男，</w:t>
      </w:r>
      <w:r>
        <w:rPr>
          <w:rFonts w:ascii="Times New Roman" w:hAnsi="Times New Roman" w:cs="Times New Roman" w:eastAsia="Times New Roman" w:hint="default"/>
          <w:spacing w:val="-1"/>
        </w:rPr>
        <w:t>38</w:t>
      </w:r>
      <w:r>
        <w:rPr>
          <w:spacing w:val="-1"/>
        </w:rPr>
        <w:t>岁，</w:t>
      </w:r>
      <w:r>
        <w:rPr>
          <w:rFonts w:ascii="Times New Roman" w:hAnsi="Times New Roman" w:cs="Times New Roman" w:eastAsia="Times New Roman" w:hint="default"/>
          <w:spacing w:val="-1"/>
        </w:rPr>
        <w:t>2007</w:t>
      </w:r>
      <w:r>
        <w:rPr>
          <w:spacing w:val="-1"/>
        </w:rPr>
        <w:t>年获外交学院硕士学位。自</w:t>
      </w:r>
      <w:r>
        <w:rPr>
          <w:rFonts w:ascii="Times New Roman" w:hAnsi="Times New Roman" w:cs="Times New Roman" w:eastAsia="Times New Roman" w:hint="default"/>
          <w:spacing w:val="-1"/>
        </w:rPr>
        <w:t>2007</w:t>
      </w:r>
      <w:r>
        <w:rPr>
          <w:spacing w:val="-1"/>
        </w:rPr>
        <w:t>年以来，历任中国人寿保险股份有限公司董事会秘书局主管、高</w:t>
      </w:r>
      <w:r>
        <w:rPr/>
        <w:t> 级主管，万达商业地产股份有限公司证券部投资者关系总监。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月加入神州数码集团股份有限公司，曾任投资者关系</w:t>
      </w:r>
      <w:r>
        <w:rPr>
          <w:spacing w:val="-85"/>
        </w:rPr>
        <w:t> </w:t>
      </w:r>
      <w:r>
        <w:rPr>
          <w:spacing w:val="-85"/>
        </w:rPr>
      </w:r>
      <w:r>
        <w:rPr/>
        <w:t>总监、投资者关系高级总监。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月至今，任神州数码集团股份有限公司董事会秘书。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在股东单位任职情况</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2329"/>
        <w:gridCol w:w="1558"/>
        <w:gridCol w:w="1635"/>
        <w:gridCol w:w="1347"/>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0"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北京希之源投资有限公司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总裁，执行董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北京天地缘投资管理有限公司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北京深海鸿投资顾问有限公司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吉林省万隆置业有限公司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北京金英合投资咨询有限公司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pacing w:val="8"/>
                <w:sz w:val="18"/>
                <w:szCs w:val="18"/>
              </w:rPr>
              <w:t>北京世纪联合高尔夫俱乐部管理有限公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北京神州数码置业发展有限公司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嘉和美康（北京）科技股份有限公司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立信会计师事务所北京分所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立信会计师事务所天津分所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内核独立委 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北京市地铁运营有限公司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审贷委独立 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瑞声科技控股有限公司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北京人工智能研究院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宝宝树集团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凯雷集团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华米公司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北京源码资本投资有限公司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今日头条有限公司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北京天坛生物制品股份有限公司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华融证券股份有限公司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国药集团药业股份有限公司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江苏连云港港口股份有限公司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鸥游企业服务（上海）有限公司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鸥游（上海）投资有限公司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鸥游酒店管理（上海）有限公司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神州云盾信息安全有限公司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北京汉安科技中心（有限合伙）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热罐商务咨询（上海）有限公司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上海云简软件科技有限公司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咸宁云知云服务合伙企业（有限合伙）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正和烁宝文化创意（上海）有限公司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上述其他单位指公司下属控股子公司以外的其他公司主要任职情况，但如有该等公司所转投资的下属子公 司或参股公司的任职情况则不再逐一列示。</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98"/>
        <w:ind w:right="1130" w:firstLine="401"/>
        <w:jc w:val="both"/>
      </w:pPr>
      <w:r>
        <w:rPr>
          <w:rFonts w:ascii="Times New Roman" w:hAnsi="Times New Roman" w:cs="Times New Roman" w:eastAsia="Times New Roman" w:hint="default"/>
          <w:spacing w:val="-2"/>
          <w:sz w:val="20"/>
          <w:szCs w:val="20"/>
        </w:rPr>
        <w:t>1</w:t>
      </w:r>
      <w:r>
        <w:rPr>
          <w:spacing w:val="-2"/>
          <w:sz w:val="20"/>
          <w:szCs w:val="20"/>
        </w:rPr>
        <w:t>、</w:t>
      </w:r>
      <w:r>
        <w:rPr>
          <w:spacing w:val="-2"/>
        </w:rPr>
        <w:t>董事、监事、高级管理人员津贴（薪酬）根据公司战略、岗位职责、参考公司业绩、行业水平等综合确认：在公司</w:t>
      </w:r>
      <w:r>
        <w:rPr/>
        <w:t> 担任具体管理职务的董事、监事、高级管理人员依据公司战略及其在公司的任职岗位领取相应薪酬</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并经董事会薪酬与考核 </w:t>
      </w:r>
      <w:r>
        <w:rPr>
          <w:spacing w:val="-2"/>
        </w:rPr>
        <w:t>委员会考评；不在公司担任具体管理职务的董事、监事，不在本公司领取薪酬；独立董事依据公司董事会或股东大会决议中</w:t>
      </w:r>
      <w:r>
        <w:rPr>
          <w:spacing w:val="-64"/>
        </w:rPr>
        <w:t> </w:t>
      </w:r>
      <w:r>
        <w:rPr>
          <w:spacing w:val="-64"/>
        </w:rPr>
      </w:r>
      <w:r>
        <w:rPr/>
        <w:t>的相关规定领取独立董事津贴。</w:t>
      </w:r>
    </w:p>
    <w:p>
      <w:pPr>
        <w:pStyle w:val="BodyText"/>
        <w:spacing w:line="300" w:lineRule="auto" w:before="72"/>
        <w:ind w:right="1133" w:firstLine="360"/>
        <w:jc w:val="both"/>
      </w:pPr>
      <w:r>
        <w:rPr>
          <w:rFonts w:ascii="Times New Roman" w:hAnsi="Times New Roman" w:cs="Times New Roman" w:eastAsia="Times New Roman" w:hint="default"/>
        </w:rPr>
        <w:t>2</w:t>
      </w:r>
      <w:r>
        <w:rPr/>
        <w:t>、公司严格按照董事、监事、高级管理人员津贴（薪酬）的决策程序与确定依据支付津贴（薪酬），实际支付情况详 见下：</w:t>
      </w:r>
    </w:p>
    <w:p>
      <w:pPr>
        <w:spacing w:line="240" w:lineRule="auto" w:before="1"/>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孙丹梅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刘风彦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开发总监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陈振坤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许军利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1"/>
          <w:pgSz w:w="11910" w:h="16840"/>
          <w:pgMar w:footer="980"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张赐安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2,604.20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2"/>
          <w:pgSz w:w="11910" w:h="16840"/>
          <w:pgMar w:footer="980" w:header="877" w:top="1100" w:bottom="1160" w:left="980" w:right="0"/>
          <w:pgNumType w:start="101"/>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580" w:bottom="700" w:left="980" w:right="0"/>
          <w:cols w:num="2" w:equalWidth="0">
            <w:col w:w="4653" w:space="426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300" w:lineRule="atLeast" w:before="26"/>
              <w:ind w:left="45" w:right="43"/>
              <w:jc w:val="center"/>
              <w:rPr>
                <w:rFonts w:ascii="宋体" w:hAnsi="宋体" w:cs="宋体" w:eastAsia="宋体" w:hint="default"/>
                <w:sz w:val="18"/>
                <w:szCs w:val="18"/>
              </w:rPr>
            </w:pPr>
            <w:r>
              <w:rPr>
                <w:rFonts w:ascii="宋体" w:hAnsi="宋体" w:cs="宋体" w:eastAsia="宋体" w:hint="default"/>
                <w:sz w:val="18"/>
                <w:szCs w:val="18"/>
              </w:rPr>
              <w:t>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5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00" w:lineRule="auto" w:before="49"/>
              <w:ind w:left="26" w:right="6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叶海强</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周立达</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韩智敏</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吕敬</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陈振坤</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郝峻晟</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19.85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2,305,000</w:t>
            </w:r>
          </w:p>
        </w:tc>
      </w:tr>
      <w:tr>
        <w:trPr>
          <w:trHeight w:val="1025"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5" w:right="60"/>
              <w:jc w:val="both"/>
              <w:rPr>
                <w:rFonts w:ascii="宋体" w:hAnsi="宋体" w:cs="宋体" w:eastAsia="宋体" w:hint="default"/>
                <w:sz w:val="18"/>
                <w:szCs w:val="18"/>
              </w:rPr>
            </w:pPr>
            <w:r>
              <w:rPr>
                <w:rFonts w:ascii="宋体" w:hAnsi="宋体" w:cs="宋体" w:eastAsia="宋体" w:hint="default"/>
                <w:sz w:val="18"/>
                <w:szCs w:val="18"/>
              </w:rPr>
              <w:t>报告期内被授予的限制性股票，自首次授予登记完成之日起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 个交易日，按照公司层面业绩考核和个人层面业绩考核达标情况，可分别解锁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股 份。</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2,379</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1,182</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4,070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671</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根据公司的战略、岗位价值、业绩贡献及市场薪酬水平制定薪酬政策，将个人业绩与公司整体目标结合起来，调动员工</w:t>
      </w:r>
      <w:r>
        <w:rPr/>
        <w:t> 积极性，激发员工活力，鼓励多劳多得，共同分享发展所带来的收益。</w:t>
      </w:r>
    </w:p>
    <w:p>
      <w:pPr>
        <w:pStyle w:val="BodyText"/>
        <w:spacing w:line="240" w:lineRule="auto" w:before="59"/>
        <w:ind w:left="513" w:right="0"/>
        <w:jc w:val="left"/>
      </w:pPr>
      <w:r>
        <w:rPr/>
        <w:t>（</w:t>
      </w:r>
      <w:r>
        <w:rPr>
          <w:rFonts w:ascii="Times New Roman" w:hAnsi="Times New Roman" w:cs="Times New Roman" w:eastAsia="Times New Roman" w:hint="default"/>
        </w:rPr>
        <w:t>1</w:t>
      </w:r>
      <w:r>
        <w:rPr/>
        <w:t>）年初根据收入利润目标，制定整体的人力资源预算边界，经总裁室批准后执行；</w:t>
      </w:r>
    </w:p>
    <w:p>
      <w:pPr>
        <w:pStyle w:val="BodyText"/>
        <w:spacing w:line="240" w:lineRule="auto" w:before="103"/>
        <w:ind w:left="513" w:right="0"/>
        <w:jc w:val="left"/>
      </w:pPr>
      <w:r>
        <w:rPr/>
        <w:t>（</w:t>
      </w:r>
      <w:r>
        <w:rPr>
          <w:rFonts w:ascii="Times New Roman" w:hAnsi="Times New Roman" w:cs="Times New Roman" w:eastAsia="Times New Roman" w:hint="default"/>
        </w:rPr>
        <w:t>2</w:t>
      </w:r>
      <w:r>
        <w:rPr/>
        <w:t>）层层分解年度目标，确定团队及个人的绩效目标，签订业绩协议书，明确任务指标及考核激励方式；</w:t>
      </w:r>
    </w:p>
    <w:p>
      <w:pPr>
        <w:pStyle w:val="BodyText"/>
        <w:spacing w:line="240" w:lineRule="auto" w:before="101"/>
        <w:ind w:left="513" w:right="0"/>
        <w:jc w:val="left"/>
      </w:pPr>
      <w:r>
        <w:rPr/>
        <w:t>（</w:t>
      </w:r>
      <w:r>
        <w:rPr>
          <w:rFonts w:ascii="Times New Roman" w:hAnsi="Times New Roman" w:cs="Times New Roman" w:eastAsia="Times New Roman" w:hint="default"/>
        </w:rPr>
        <w:t>3</w:t>
      </w:r>
      <w:r>
        <w:rPr/>
        <w:t>）根据岗位性质和工作特点，实行不同的薪酬制度，包括年薪制、固定工薪制、绩效工薪制、底薪加提成制度等；</w:t>
      </w:r>
    </w:p>
    <w:p>
      <w:pPr>
        <w:pStyle w:val="BodyText"/>
        <w:spacing w:line="240" w:lineRule="auto" w:before="103"/>
        <w:ind w:left="513" w:right="0"/>
        <w:jc w:val="left"/>
      </w:pPr>
      <w:r>
        <w:rPr/>
        <w:t>（</w:t>
      </w:r>
      <w:r>
        <w:rPr>
          <w:rFonts w:ascii="Times New Roman" w:hAnsi="Times New Roman" w:cs="Times New Roman" w:eastAsia="Times New Roman" w:hint="default"/>
        </w:rPr>
        <w:t>4</w:t>
      </w:r>
      <w:r>
        <w:rPr/>
        <w:t>）按员工业绩达成及综合表现，确定调薪空间，激励优秀员工发挥更大空间；</w:t>
      </w:r>
    </w:p>
    <w:p>
      <w:pPr>
        <w:pStyle w:val="BodyText"/>
        <w:spacing w:line="240" w:lineRule="auto" w:before="103"/>
        <w:ind w:left="513" w:right="0"/>
        <w:jc w:val="left"/>
      </w:pPr>
      <w:r>
        <w:rPr/>
        <w:t>（</w:t>
      </w:r>
      <w:r>
        <w:rPr>
          <w:rFonts w:ascii="Times New Roman" w:hAnsi="Times New Roman" w:cs="Times New Roman" w:eastAsia="Times New Roman" w:hint="default"/>
        </w:rPr>
        <w:t>5</w:t>
      </w:r>
      <w:r>
        <w:rPr/>
        <w:t>）根据个人业绩达成，绩效表现，按月度、季度及年度给与激励兑现。</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9" w:firstLine="360"/>
        <w:jc w:val="left"/>
      </w:pPr>
      <w:r>
        <w:rPr>
          <w:spacing w:val="-5"/>
        </w:rPr>
        <w:t>神州数码集团根据公司的战略发展和员工个人发展需要，针对员工的不同类型、不同级别，设计和提供对应的企业文化、</w:t>
      </w:r>
      <w:r>
        <w:rPr/>
        <w:t> 业务专业和领导管理培训体系，具体如下图所示：</w:t>
      </w:r>
    </w:p>
    <w:p>
      <w:pPr>
        <w:spacing w:after="0" w:line="31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5076" w:lineRule="exact"/>
        <w:ind w:left="154"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5738432" cy="322326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3" cstate="print"/>
                    <a:stretch>
                      <a:fillRect/>
                    </a:stretch>
                  </pic:blipFill>
                  <pic:spPr>
                    <a:xfrm>
                      <a:off x="0" y="0"/>
                      <a:ext cx="5738432" cy="3223260"/>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12"/>
        <w:rPr>
          <w:rFonts w:ascii="宋体" w:hAnsi="宋体" w:cs="宋体" w:eastAsia="宋体" w:hint="default"/>
          <w:sz w:val="8"/>
          <w:szCs w:val="8"/>
        </w:rPr>
      </w:pPr>
    </w:p>
    <w:p>
      <w:pPr>
        <w:pStyle w:val="BodyText"/>
        <w:spacing w:line="300" w:lineRule="auto" w:before="44"/>
        <w:ind w:right="1127" w:firstLine="425"/>
        <w:jc w:val="left"/>
      </w:pPr>
      <w:r>
        <w:rPr>
          <w:spacing w:val="-2"/>
        </w:rPr>
        <w:t>（</w:t>
      </w:r>
      <w:r>
        <w:rPr>
          <w:rFonts w:ascii="Times New Roman" w:hAnsi="Times New Roman" w:cs="Times New Roman" w:eastAsia="Times New Roman" w:hint="default"/>
          <w:spacing w:val="-2"/>
        </w:rPr>
        <w:t>1</w:t>
      </w:r>
      <w:r>
        <w:rPr>
          <w:spacing w:val="-2"/>
        </w:rPr>
        <w:t>）人才梯队培养，根据集团对管理干部的要求以及岗位胜任需要的能力，覆盖总经理及以上、高级经理、经理，共</w:t>
      </w:r>
      <w:r>
        <w:rPr/>
        <w:t> 计</w:t>
      </w:r>
      <w:r>
        <w:rPr>
          <w:rFonts w:ascii="Times New Roman" w:hAnsi="Times New Roman" w:cs="Times New Roman" w:eastAsia="Times New Roman" w:hint="default"/>
        </w:rPr>
        <w:t>408</w:t>
      </w:r>
      <w:r>
        <w:rPr/>
        <w:t>人</w:t>
      </w:r>
    </w:p>
    <w:p>
      <w:pPr>
        <w:pStyle w:val="BodyText"/>
        <w:spacing w:line="300" w:lineRule="auto" w:before="51"/>
        <w:ind w:right="0" w:firstLine="425"/>
        <w:jc w:val="left"/>
      </w:pPr>
      <w:r>
        <w:rPr>
          <w:spacing w:val="-2"/>
        </w:rPr>
        <w:t>（</w:t>
      </w:r>
      <w:r>
        <w:rPr>
          <w:rFonts w:ascii="Times New Roman" w:hAnsi="Times New Roman" w:cs="Times New Roman" w:eastAsia="Times New Roman" w:hint="default"/>
          <w:spacing w:val="-2"/>
        </w:rPr>
        <w:t>2</w:t>
      </w:r>
      <w:r>
        <w:rPr>
          <w:spacing w:val="-2"/>
        </w:rPr>
        <w:t>）设立专业技能类培训，给员工赋能，更好的胜任本岗位工作，尤其基于云转型的战略，集团内部也开展了面向全</w:t>
      </w:r>
      <w:r>
        <w:rPr/>
        <w:t> 员的云知识普及培训，鼓励员工考取云厂商技术认证。全年专业培训实施共计覆盖</w:t>
      </w:r>
      <w:r>
        <w:rPr>
          <w:rFonts w:ascii="Times New Roman" w:hAnsi="Times New Roman" w:cs="Times New Roman" w:eastAsia="Times New Roman" w:hint="default"/>
        </w:rPr>
        <w:t>2756</w:t>
      </w:r>
      <w:r>
        <w:rPr/>
        <w:t>人。</w:t>
      </w:r>
    </w:p>
    <w:p>
      <w:pPr>
        <w:spacing w:line="240" w:lineRule="auto" w:before="6"/>
        <w:rPr>
          <w:rFonts w:ascii="宋体" w:hAnsi="宋体" w:cs="宋体" w:eastAsia="宋体" w:hint="default"/>
          <w:sz w:val="3"/>
          <w:szCs w:val="3"/>
        </w:rPr>
      </w:pPr>
    </w:p>
    <w:tbl>
      <w:tblPr>
        <w:tblW w:w="0" w:type="auto"/>
        <w:jc w:val="left"/>
        <w:tblInd w:w="1343" w:type="dxa"/>
        <w:tblLayout w:type="fixed"/>
        <w:tblCellMar>
          <w:top w:w="0" w:type="dxa"/>
          <w:left w:w="0" w:type="dxa"/>
          <w:bottom w:w="0" w:type="dxa"/>
          <w:right w:w="0" w:type="dxa"/>
        </w:tblCellMar>
        <w:tblLook w:val="01E0"/>
      </w:tblPr>
      <w:tblGrid>
        <w:gridCol w:w="1726"/>
        <w:gridCol w:w="2969"/>
        <w:gridCol w:w="2540"/>
      </w:tblGrid>
      <w:tr>
        <w:trPr>
          <w:trHeight w:val="362" w:hRule="exact"/>
        </w:trPr>
        <w:tc>
          <w:tcPr>
            <w:tcW w:w="1726" w:type="dxa"/>
            <w:tcBorders>
              <w:top w:val="single" w:sz="12" w:space="0" w:color="000000"/>
              <w:left w:val="nil" w:sz="6" w:space="0" w:color="auto"/>
              <w:bottom w:val="single" w:sz="12" w:space="0" w:color="000000"/>
              <w:right w:val="single" w:sz="8" w:space="0" w:color="000000"/>
            </w:tcBorders>
            <w:shd w:val="clear" w:color="auto" w:fill="4F81BC"/>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b/>
                <w:bCs/>
                <w:color w:val="FFFFFF"/>
                <w:sz w:val="18"/>
                <w:szCs w:val="18"/>
              </w:rPr>
              <w:t>分类</w:t>
            </w:r>
            <w:r>
              <w:rPr>
                <w:rFonts w:ascii="宋体" w:hAnsi="宋体" w:cs="宋体" w:eastAsia="宋体" w:hint="default"/>
                <w:sz w:val="18"/>
                <w:szCs w:val="18"/>
              </w:rPr>
            </w:r>
          </w:p>
        </w:tc>
        <w:tc>
          <w:tcPr>
            <w:tcW w:w="2969" w:type="dxa"/>
            <w:tcBorders>
              <w:top w:val="single" w:sz="12" w:space="0" w:color="000000"/>
              <w:left w:val="single" w:sz="8" w:space="0" w:color="000000"/>
              <w:bottom w:val="single" w:sz="12" w:space="0" w:color="000000"/>
              <w:right w:val="single" w:sz="8" w:space="0" w:color="000000"/>
            </w:tcBorders>
            <w:shd w:val="clear" w:color="auto" w:fill="4F81B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培训人数</w:t>
            </w:r>
            <w:r>
              <w:rPr>
                <w:rFonts w:ascii="宋体" w:hAnsi="宋体" w:cs="宋体" w:eastAsia="宋体" w:hint="default"/>
                <w:sz w:val="18"/>
                <w:szCs w:val="18"/>
              </w:rPr>
            </w:r>
          </w:p>
        </w:tc>
        <w:tc>
          <w:tcPr>
            <w:tcW w:w="2540" w:type="dxa"/>
            <w:tcBorders>
              <w:top w:val="single" w:sz="12" w:space="0" w:color="000000"/>
              <w:left w:val="single" w:sz="8" w:space="0" w:color="000000"/>
              <w:bottom w:val="single" w:sz="12" w:space="0" w:color="000000"/>
              <w:right w:val="single" w:sz="8" w:space="0" w:color="000000"/>
            </w:tcBorders>
            <w:shd w:val="clear" w:color="auto" w:fill="4F81B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总学时</w:t>
            </w:r>
            <w:r>
              <w:rPr>
                <w:rFonts w:ascii="宋体" w:hAnsi="宋体" w:cs="宋体" w:eastAsia="宋体" w:hint="default"/>
                <w:sz w:val="18"/>
                <w:szCs w:val="18"/>
              </w:rPr>
            </w:r>
          </w:p>
        </w:tc>
      </w:tr>
      <w:tr>
        <w:trPr>
          <w:trHeight w:val="362" w:hRule="exact"/>
        </w:trPr>
        <w:tc>
          <w:tcPr>
            <w:tcW w:w="1726" w:type="dxa"/>
            <w:tcBorders>
              <w:top w:val="single" w:sz="12" w:space="0" w:color="000000"/>
              <w:left w:val="nil" w:sz="6" w:space="0" w:color="auto"/>
              <w:bottom w:val="single" w:sz="12" w:space="0" w:color="000000"/>
              <w:right w:val="single" w:sz="8" w:space="0" w:color="000000"/>
            </w:tcBorders>
            <w:shd w:val="clear" w:color="auto" w:fill="D0D7E8"/>
          </w:tcPr>
          <w:p>
            <w:pPr>
              <w:pStyle w:val="TableParagraph"/>
              <w:spacing w:line="240" w:lineRule="auto" w:before="17"/>
              <w:ind w:left="6" w:right="0"/>
              <w:jc w:val="center"/>
              <w:rPr>
                <w:rFonts w:ascii="宋体" w:hAnsi="宋体" w:cs="宋体" w:eastAsia="宋体" w:hint="default"/>
                <w:sz w:val="18"/>
                <w:szCs w:val="18"/>
              </w:rPr>
            </w:pPr>
            <w:r>
              <w:rPr>
                <w:rFonts w:ascii="宋体" w:hAnsi="宋体" w:cs="宋体" w:eastAsia="宋体" w:hint="default"/>
                <w:sz w:val="18"/>
                <w:szCs w:val="18"/>
              </w:rPr>
              <w:t>领导管理</w:t>
            </w:r>
          </w:p>
        </w:tc>
        <w:tc>
          <w:tcPr>
            <w:tcW w:w="2969" w:type="dxa"/>
            <w:tcBorders>
              <w:top w:val="single" w:sz="12" w:space="0" w:color="000000"/>
              <w:left w:val="single" w:sz="8" w:space="0" w:color="000000"/>
              <w:bottom w:val="single" w:sz="12" w:space="0" w:color="000000"/>
              <w:right w:val="single" w:sz="8" w:space="0" w:color="000000"/>
            </w:tcBorders>
            <w:shd w:val="clear" w:color="auto" w:fill="D0D7E8"/>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408</w:t>
            </w:r>
          </w:p>
        </w:tc>
        <w:tc>
          <w:tcPr>
            <w:tcW w:w="2540" w:type="dxa"/>
            <w:tcBorders>
              <w:top w:val="single" w:sz="12" w:space="0" w:color="000000"/>
              <w:left w:val="single" w:sz="8" w:space="0" w:color="000000"/>
              <w:bottom w:val="single" w:sz="12" w:space="0" w:color="000000"/>
              <w:right w:val="single" w:sz="8" w:space="0" w:color="000000"/>
            </w:tcBorders>
            <w:shd w:val="clear" w:color="auto" w:fill="D0D7E8"/>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4690</w:t>
            </w:r>
          </w:p>
        </w:tc>
      </w:tr>
      <w:tr>
        <w:trPr>
          <w:trHeight w:val="360" w:hRule="exact"/>
        </w:trPr>
        <w:tc>
          <w:tcPr>
            <w:tcW w:w="1726" w:type="dxa"/>
            <w:tcBorders>
              <w:top w:val="single" w:sz="12" w:space="0" w:color="000000"/>
              <w:left w:val="nil" w:sz="6" w:space="0" w:color="auto"/>
              <w:bottom w:val="single" w:sz="16" w:space="0" w:color="000000"/>
              <w:right w:val="single" w:sz="8" w:space="0" w:color="000000"/>
            </w:tcBorders>
            <w:shd w:val="clear" w:color="auto" w:fill="D0D7E8"/>
          </w:tcPr>
          <w:p>
            <w:pPr>
              <w:pStyle w:val="TableParagraph"/>
              <w:spacing w:line="240" w:lineRule="auto" w:before="18"/>
              <w:ind w:left="6" w:right="0"/>
              <w:jc w:val="center"/>
              <w:rPr>
                <w:rFonts w:ascii="宋体" w:hAnsi="宋体" w:cs="宋体" w:eastAsia="宋体" w:hint="default"/>
                <w:sz w:val="18"/>
                <w:szCs w:val="18"/>
              </w:rPr>
            </w:pPr>
            <w:r>
              <w:rPr>
                <w:rFonts w:ascii="宋体" w:hAnsi="宋体" w:cs="宋体" w:eastAsia="宋体" w:hint="default"/>
                <w:sz w:val="18"/>
                <w:szCs w:val="18"/>
              </w:rPr>
              <w:t>专业培训</w:t>
            </w:r>
          </w:p>
        </w:tc>
        <w:tc>
          <w:tcPr>
            <w:tcW w:w="2969" w:type="dxa"/>
            <w:tcBorders>
              <w:top w:val="single" w:sz="12" w:space="0" w:color="000000"/>
              <w:left w:val="single" w:sz="8" w:space="0" w:color="000000"/>
              <w:bottom w:val="single" w:sz="12" w:space="0" w:color="000000"/>
              <w:right w:val="single" w:sz="8" w:space="0" w:color="000000"/>
            </w:tcBorders>
            <w:shd w:val="clear" w:color="auto" w:fill="D0D7E8"/>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1432</w:t>
            </w:r>
          </w:p>
        </w:tc>
        <w:tc>
          <w:tcPr>
            <w:tcW w:w="2540" w:type="dxa"/>
            <w:tcBorders>
              <w:top w:val="single" w:sz="12" w:space="0" w:color="000000"/>
              <w:left w:val="single" w:sz="8" w:space="0" w:color="000000"/>
              <w:bottom w:val="single" w:sz="12" w:space="0" w:color="000000"/>
              <w:right w:val="single" w:sz="8" w:space="0" w:color="000000"/>
            </w:tcBorders>
            <w:shd w:val="clear" w:color="auto" w:fill="D0D7E8"/>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138143</w:t>
            </w:r>
          </w:p>
        </w:tc>
      </w:tr>
      <w:tr>
        <w:trPr>
          <w:trHeight w:val="362" w:hRule="exact"/>
        </w:trPr>
        <w:tc>
          <w:tcPr>
            <w:tcW w:w="1726" w:type="dxa"/>
            <w:tcBorders>
              <w:top w:val="single" w:sz="12" w:space="0" w:color="000000"/>
              <w:left w:val="nil" w:sz="6" w:space="0" w:color="auto"/>
              <w:bottom w:val="single" w:sz="16" w:space="0" w:color="000000"/>
              <w:right w:val="single" w:sz="8" w:space="0" w:color="000000"/>
            </w:tcBorders>
            <w:shd w:val="clear" w:color="auto" w:fill="E9ECF4"/>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新人培养</w:t>
            </w:r>
          </w:p>
        </w:tc>
        <w:tc>
          <w:tcPr>
            <w:tcW w:w="2969" w:type="dxa"/>
            <w:tcBorders>
              <w:top w:val="single" w:sz="12" w:space="0" w:color="000000"/>
              <w:left w:val="single" w:sz="8" w:space="0" w:color="000000"/>
              <w:bottom w:val="single" w:sz="12" w:space="0" w:color="000000"/>
              <w:right w:val="single" w:sz="8" w:space="0" w:color="000000"/>
            </w:tcBorders>
            <w:shd w:val="clear" w:color="auto" w:fill="E9ECF4"/>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916</w:t>
            </w:r>
          </w:p>
        </w:tc>
        <w:tc>
          <w:tcPr>
            <w:tcW w:w="2540" w:type="dxa"/>
            <w:tcBorders>
              <w:top w:val="single" w:sz="12" w:space="0" w:color="000000"/>
              <w:left w:val="single" w:sz="8" w:space="0" w:color="000000"/>
              <w:bottom w:val="single" w:sz="12" w:space="0" w:color="000000"/>
              <w:right w:val="single" w:sz="8" w:space="0" w:color="000000"/>
            </w:tcBorders>
            <w:shd w:val="clear" w:color="auto" w:fill="E9ECF4"/>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23156</w:t>
            </w:r>
          </w:p>
        </w:tc>
      </w:tr>
      <w:tr>
        <w:trPr>
          <w:trHeight w:val="358" w:hRule="exact"/>
        </w:trPr>
        <w:tc>
          <w:tcPr>
            <w:tcW w:w="1726" w:type="dxa"/>
            <w:tcBorders>
              <w:top w:val="single" w:sz="12" w:space="0" w:color="000000"/>
              <w:left w:val="nil" w:sz="6" w:space="0" w:color="auto"/>
              <w:bottom w:val="single" w:sz="8" w:space="0" w:color="000000"/>
              <w:right w:val="single" w:sz="8" w:space="0" w:color="000000"/>
            </w:tcBorders>
            <w:shd w:val="clear" w:color="auto" w:fill="4F81BC"/>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c>
          <w:tcPr>
            <w:tcW w:w="2969" w:type="dxa"/>
            <w:tcBorders>
              <w:top w:val="single" w:sz="12" w:space="0" w:color="000000"/>
              <w:left w:val="single" w:sz="8" w:space="0" w:color="000000"/>
              <w:bottom w:val="single" w:sz="8" w:space="0" w:color="000000"/>
              <w:right w:val="single" w:sz="8" w:space="0" w:color="000000"/>
            </w:tcBorders>
            <w:shd w:val="clear" w:color="auto" w:fill="4F81BC"/>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b/>
                <w:color w:val="FFFFFF"/>
                <w:sz w:val="18"/>
              </w:rPr>
              <w:t>2756</w:t>
            </w:r>
            <w:r>
              <w:rPr>
                <w:rFonts w:ascii="Times New Roman"/>
                <w:sz w:val="18"/>
              </w:rPr>
            </w:r>
          </w:p>
        </w:tc>
        <w:tc>
          <w:tcPr>
            <w:tcW w:w="2540" w:type="dxa"/>
            <w:tcBorders>
              <w:top w:val="single" w:sz="12" w:space="0" w:color="000000"/>
              <w:left w:val="single" w:sz="8" w:space="0" w:color="000000"/>
              <w:bottom w:val="single" w:sz="8" w:space="0" w:color="000000"/>
              <w:right w:val="single" w:sz="8" w:space="0" w:color="000000"/>
            </w:tcBorders>
            <w:shd w:val="clear" w:color="auto" w:fill="4F81BC"/>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color w:val="FFFFFF"/>
                <w:sz w:val="18"/>
              </w:rPr>
              <w:t>165989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51" w:right="4727"/>
        <w:jc w:val="center"/>
        <w:rPr>
          <w:b w:val="0"/>
          <w:bCs w:val="0"/>
        </w:rPr>
      </w:pPr>
      <w:bookmarkStart w:name="第十节 公司治理" w:id="134"/>
      <w:bookmarkEnd w:id="134"/>
      <w:r>
        <w:rPr>
          <w:b w:val="0"/>
          <w:bCs w:val="0"/>
        </w:rPr>
      </w:r>
      <w:bookmarkStart w:name="_bookmark8" w:id="135"/>
      <w:bookmarkEnd w:id="135"/>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72"/>
        <w:jc w:val="left"/>
      </w:pPr>
      <w:r>
        <w:rPr/>
        <w:t>报告期内，公司按照《公司法》、《证券法》、《上市公司治理准则》及《深圳证券交易所上市公司规范运作指引》 </w:t>
      </w:r>
      <w:r>
        <w:rPr>
          <w:spacing w:val="-2"/>
        </w:rPr>
        <w:t>等法律法规及规范性文件的要求，立足于全体股东的利益，不断提高公司经营管理水平、公司诚信度和透明度，不断完善符</w:t>
      </w:r>
      <w:r>
        <w:rPr>
          <w:spacing w:val="-64"/>
        </w:rPr>
        <w:t> </w:t>
      </w:r>
      <w:r>
        <w:rPr>
          <w:spacing w:val="-64"/>
        </w:rPr>
      </w:r>
      <w:r>
        <w:rPr>
          <w:spacing w:val="-2"/>
        </w:rPr>
        <w:t>合现代企业制度要求的法人治理结构，健全公司内部控制制度，构建了与公司发展战略相匹配的内部管控体系，提高了公司</w:t>
      </w:r>
      <w:r>
        <w:rPr>
          <w:spacing w:val="-63"/>
        </w:rPr>
        <w:t> </w:t>
      </w:r>
      <w:r>
        <w:rPr>
          <w:spacing w:val="-63"/>
        </w:rPr>
      </w:r>
      <w:r>
        <w:rPr/>
        <w:t>规范运作水平。</w:t>
      </w:r>
    </w:p>
    <w:p>
      <w:pPr>
        <w:pStyle w:val="BodyText"/>
        <w:spacing w:line="312" w:lineRule="auto" w:before="139"/>
        <w:ind w:right="1130" w:firstLine="372"/>
        <w:jc w:val="both"/>
      </w:pPr>
      <w:r>
        <w:rPr>
          <w:rFonts w:ascii="Times New Roman" w:hAnsi="Times New Roman" w:cs="Times New Roman" w:eastAsia="Times New Roman" w:hint="default"/>
        </w:rPr>
        <w:t>1</w:t>
      </w:r>
      <w:r>
        <w:rPr/>
        <w:t>、报告期内，公司修订了《股东大会议事规则》、《董事会议事规则》、《独立董事工作规则》、《董事会审计委员 </w:t>
      </w:r>
      <w:r>
        <w:rPr>
          <w:spacing w:val="-2"/>
        </w:rPr>
        <w:t>会工作规则》、《资产减值管理制度》等内部管理制度。公司不断完善内部控制体系，进一步提高了公司治理水平，促进公</w:t>
      </w:r>
      <w:r>
        <w:rPr>
          <w:spacing w:val="-71"/>
        </w:rPr>
        <w:t> </w:t>
      </w:r>
      <w:r>
        <w:rPr>
          <w:spacing w:val="-71"/>
        </w:rPr>
      </w:r>
      <w:r>
        <w:rPr>
          <w:spacing w:val="-2"/>
        </w:rPr>
        <w:t>司规范运作。截至报告期末，公司已建立了较为完善的法人治理结构，公司法人治理的实际状况与中国证监会发布的有关上</w:t>
      </w:r>
      <w:r>
        <w:rPr>
          <w:spacing w:val="-64"/>
        </w:rPr>
        <w:t> </w:t>
      </w:r>
      <w:r>
        <w:rPr>
          <w:spacing w:val="-64"/>
        </w:rPr>
      </w:r>
      <w:r>
        <w:rPr/>
        <w:t>市公司治理的规范性文件的要求基本一致。</w:t>
      </w:r>
    </w:p>
    <w:p>
      <w:pPr>
        <w:pStyle w:val="BodyText"/>
        <w:spacing w:line="415" w:lineRule="auto" w:before="142"/>
        <w:ind w:left="525" w:right="1125"/>
        <w:jc w:val="left"/>
      </w:pPr>
      <w:r>
        <w:rPr>
          <w:rFonts w:ascii="Times New Roman" w:hAnsi="Times New Roman" w:cs="Times New Roman" w:eastAsia="Times New Roman" w:hint="default"/>
        </w:rPr>
        <w:t>2</w:t>
      </w:r>
      <w:r>
        <w:rPr/>
        <w:t>、关于股东与股东大会 </w:t>
      </w:r>
      <w:r>
        <w:rPr>
          <w:spacing w:val="-2"/>
        </w:rPr>
        <w:t>公司严格按照《股东大会议事规则》的要求召集、召开股东大会，并由律师出席见证：公司与股东保持了有效的沟通，</w:t>
      </w:r>
    </w:p>
    <w:p>
      <w:pPr>
        <w:pStyle w:val="BodyText"/>
        <w:spacing w:line="194" w:lineRule="exact"/>
        <w:ind w:right="0"/>
        <w:jc w:val="both"/>
      </w:pPr>
      <w:r>
        <w:rPr/>
        <w:t>确保所有股东平等、充分地行使权利。报告期内，公司召开了</w:t>
      </w:r>
      <w:r>
        <w:rPr>
          <w:rFonts w:ascii="Times New Roman" w:hAnsi="Times New Roman" w:cs="Times New Roman" w:eastAsia="Times New Roman" w:hint="default"/>
        </w:rPr>
        <w:t>2018</w:t>
      </w:r>
      <w:r>
        <w:rPr/>
        <w:t>年度股东大会和五次临时股东大会。</w:t>
      </w:r>
    </w:p>
    <w:p>
      <w:pPr>
        <w:pStyle w:val="BodyText"/>
        <w:spacing w:line="420" w:lineRule="atLeast" w:before="12"/>
        <w:ind w:left="525" w:right="1201"/>
        <w:jc w:val="left"/>
      </w:pPr>
      <w:r>
        <w:rPr>
          <w:rFonts w:ascii="Times New Roman" w:hAnsi="Times New Roman" w:cs="Times New Roman" w:eastAsia="Times New Roman" w:hint="default"/>
        </w:rPr>
        <w:t>3</w:t>
      </w:r>
      <w:r>
        <w:rPr/>
        <w:t>、关于控股股东与公司的关系 公司与控股股东在资产、人员、机构等方面保持独立，控股股东没有超越股东大会直接或间接干预公司的决策和经营</w:t>
      </w:r>
    </w:p>
    <w:p>
      <w:pPr>
        <w:pStyle w:val="BodyText"/>
        <w:spacing w:line="240" w:lineRule="auto" w:before="76"/>
        <w:ind w:right="0"/>
        <w:jc w:val="both"/>
      </w:pPr>
      <w:r>
        <w:rPr/>
        <w:t>活动，不存在控股股东及其关联方占用公司资金或资产的情况。</w:t>
      </w:r>
    </w:p>
    <w:p>
      <w:pPr>
        <w:spacing w:line="240" w:lineRule="auto" w:before="0"/>
        <w:rPr>
          <w:rFonts w:ascii="宋体" w:hAnsi="宋体" w:cs="宋体" w:eastAsia="宋体" w:hint="default"/>
          <w:sz w:val="15"/>
          <w:szCs w:val="15"/>
        </w:rPr>
      </w:pPr>
    </w:p>
    <w:p>
      <w:pPr>
        <w:pStyle w:val="BodyText"/>
        <w:spacing w:line="300" w:lineRule="auto"/>
        <w:ind w:left="513" w:right="0" w:firstLine="12"/>
        <w:jc w:val="left"/>
      </w:pPr>
      <w:r>
        <w:rPr>
          <w:rFonts w:ascii="Times New Roman" w:hAnsi="Times New Roman" w:cs="Times New Roman" w:eastAsia="Times New Roman" w:hint="default"/>
        </w:rPr>
        <w:t>4</w:t>
      </w:r>
      <w:r>
        <w:rPr/>
        <w:t>、关于董事与董事会 </w:t>
      </w:r>
      <w:r>
        <w:rPr>
          <w:spacing w:val="-2"/>
        </w:rPr>
        <w:t>报告期内，公司董事会严格按照《公司章程》和《董事会议事规则》的规定和要求选举董事，报告期内公司董事会的人</w:t>
      </w:r>
    </w:p>
    <w:p>
      <w:pPr>
        <w:pStyle w:val="BodyText"/>
        <w:spacing w:line="316" w:lineRule="auto" w:before="31"/>
        <w:ind w:right="1131"/>
        <w:jc w:val="both"/>
      </w:pPr>
      <w:r>
        <w:rPr>
          <w:spacing w:val="-2"/>
        </w:rPr>
        <w:t>数及人员构成符合法律、法规和《公司章程》的要求，现有四名独立董事，占董事会总人数的三分之一以上。公司董事会能</w:t>
      </w:r>
      <w:r>
        <w:rPr>
          <w:spacing w:val="-70"/>
        </w:rPr>
        <w:t> </w:t>
      </w:r>
      <w:r>
        <w:rPr>
          <w:spacing w:val="-70"/>
        </w:rPr>
      </w:r>
      <w:r>
        <w:rPr>
          <w:spacing w:val="-5"/>
        </w:rPr>
        <w:t>够严格按照相关法律法规及《公司章程》的规定召开董事会会议、召集股东大会，各位董事能够严格按照《董事会议事规则》</w:t>
      </w:r>
      <w:r>
        <w:rPr>
          <w:spacing w:val="-80"/>
        </w:rPr>
        <w:t> </w:t>
      </w:r>
      <w:r>
        <w:rPr>
          <w:spacing w:val="-80"/>
        </w:rPr>
      </w:r>
      <w:r>
        <w:rPr>
          <w:spacing w:val="-5"/>
        </w:rPr>
        <w:t>的要求，以认真负责的态度出席会议，积极参加中国证监会深圳监管局举办的董事培训，学习有关法律法规，以诚信、勤勉、</w:t>
      </w:r>
      <w:r>
        <w:rPr>
          <w:spacing w:val="-80"/>
        </w:rPr>
        <w:t> </w:t>
      </w:r>
      <w:r>
        <w:rPr>
          <w:spacing w:val="-80"/>
        </w:rPr>
      </w:r>
      <w:r>
        <w:rPr>
          <w:spacing w:val="-2"/>
        </w:rPr>
        <w:t>尽责的态度认真履行董事职责。公司董事会下设的战略委员会、薪酬与考核委员会、审计委员会、提名委员会四个专门委员</w:t>
      </w:r>
      <w:r>
        <w:rPr>
          <w:spacing w:val="-64"/>
        </w:rPr>
        <w:t> </w:t>
      </w:r>
      <w:r>
        <w:rPr>
          <w:spacing w:val="-64"/>
        </w:rPr>
      </w:r>
      <w:r>
        <w:rPr/>
        <w:t>会，在促进公司规范运作、健康持续发展等方面发挥了重要的作用。报告期内，公司董事会召开了十一次董事会。</w:t>
      </w:r>
    </w:p>
    <w:p>
      <w:pPr>
        <w:pStyle w:val="BodyText"/>
        <w:spacing w:line="432" w:lineRule="exact" w:before="3"/>
        <w:ind w:left="525" w:right="1201"/>
        <w:jc w:val="left"/>
      </w:pPr>
      <w:r>
        <w:rPr>
          <w:rFonts w:ascii="Times New Roman" w:hAnsi="Times New Roman" w:cs="Times New Roman" w:eastAsia="Times New Roman" w:hint="default"/>
        </w:rPr>
        <w:t>5</w:t>
      </w:r>
      <w:r>
        <w:rPr/>
        <w:t>、关于监事和监事会 报告期内，公司监事会严格按照《公司章程》和《监事会议事规则》的规定认真履行相应职责，报告期内公司监事会</w:t>
      </w:r>
    </w:p>
    <w:p>
      <w:pPr>
        <w:pStyle w:val="BodyText"/>
        <w:spacing w:line="319" w:lineRule="auto" w:before="15"/>
        <w:ind w:right="1133"/>
        <w:jc w:val="both"/>
      </w:pPr>
      <w:r>
        <w:rPr>
          <w:spacing w:val="-2"/>
        </w:rPr>
        <w:t>的人数及人员构成符合法律、法规和《公司章程》的要求，现有三名监事，其中职工代表监事一人。公司严格按照相关法律</w:t>
      </w:r>
      <w:r>
        <w:rPr>
          <w:spacing w:val="-69"/>
        </w:rPr>
        <w:t> </w:t>
      </w:r>
      <w:r>
        <w:rPr>
          <w:spacing w:val="-69"/>
        </w:rPr>
      </w:r>
      <w:r>
        <w:rPr>
          <w:spacing w:val="-2"/>
        </w:rPr>
        <w:t>法规及《公司章程》的规定召开监事会会议。公司全体监事能够按照法律、法规以及公司《监事会议事规则》的要求，积极</w:t>
      </w:r>
      <w:r>
        <w:rPr>
          <w:spacing w:val="-73"/>
        </w:rPr>
        <w:t> </w:t>
      </w:r>
      <w:r>
        <w:rPr>
          <w:spacing w:val="-73"/>
        </w:rPr>
      </w:r>
      <w:r>
        <w:rPr>
          <w:spacing w:val="-2"/>
        </w:rPr>
        <w:t>参加中国证监会深圳监管局举办的监事培训，从保护股东利益出发，勤勉履职，对公司经营情况以及董事和高级管理人员履</w:t>
      </w:r>
      <w:r>
        <w:rPr>
          <w:spacing w:val="-66"/>
        </w:rPr>
        <w:t> </w:t>
      </w:r>
      <w:r>
        <w:rPr>
          <w:spacing w:val="-66"/>
        </w:rPr>
      </w:r>
      <w:r>
        <w:rPr/>
        <w:t>行职责的合法性进行监督，并独立发表意见。报告期内，公司监事会召开了七次监事会。</w:t>
      </w:r>
    </w:p>
    <w:p>
      <w:pPr>
        <w:pStyle w:val="BodyText"/>
        <w:spacing w:line="340" w:lineRule="auto" w:before="137"/>
        <w:ind w:left="441" w:right="0" w:firstLine="84"/>
        <w:jc w:val="left"/>
      </w:pPr>
      <w:r>
        <w:rPr>
          <w:rFonts w:ascii="Times New Roman" w:hAnsi="Times New Roman" w:cs="Times New Roman" w:eastAsia="Times New Roman" w:hint="default"/>
        </w:rPr>
        <w:t>6</w:t>
      </w:r>
      <w:r>
        <w:rPr/>
        <w:t>、关于信息披露与透明度 </w:t>
      </w:r>
      <w:r>
        <w:rPr>
          <w:spacing w:val="-1"/>
        </w:rPr>
        <w:t>公司董事会秘书是公司信息披露的直接责任人，证券事务代表协助董事会秘书工作，指定专业部门负责信息披露、接待</w:t>
      </w:r>
    </w:p>
    <w:p>
      <w:pPr>
        <w:pStyle w:val="BodyText"/>
        <w:spacing w:line="316" w:lineRule="auto" w:before="1"/>
        <w:ind w:right="1132"/>
        <w:jc w:val="both"/>
      </w:pPr>
      <w:r>
        <w:rPr>
          <w:spacing w:val="-2"/>
        </w:rPr>
        <w:t>投资者来访和咨询等事务，指定《证券时报》、《上海证券报》和巨潮资讯网为公司信息披露的报纸和网站。公司高度重视</w:t>
      </w:r>
      <w:r>
        <w:rPr>
          <w:spacing w:val="-68"/>
        </w:rPr>
        <w:t> </w:t>
      </w:r>
      <w:r>
        <w:rPr>
          <w:spacing w:val="-68"/>
        </w:rPr>
      </w:r>
      <w:r>
        <w:rPr>
          <w:spacing w:val="-2"/>
        </w:rPr>
        <w:t>投资者关系管理工作，通过电话、电子邮件、实地调研等方式接待来访者和机构，认真做好投资者来电的接听、答复以及传</w:t>
      </w:r>
      <w:r>
        <w:rPr>
          <w:spacing w:val="-67"/>
        </w:rPr>
        <w:t> </w:t>
      </w:r>
      <w:r>
        <w:rPr>
          <w:spacing w:val="-67"/>
        </w:rPr>
      </w:r>
      <w:r>
        <w:rPr>
          <w:spacing w:val="-2"/>
        </w:rPr>
        <w:t>真、电子信箱的接收和回复；通过公司网站，使广大投资者了解公司治理情况、信息披露情况和生产经营情况等；积极参与</w:t>
      </w:r>
      <w:r>
        <w:rPr>
          <w:spacing w:val="-67"/>
        </w:rPr>
        <w:t> </w:t>
      </w:r>
      <w:r>
        <w:rPr>
          <w:spacing w:val="-67"/>
        </w:rPr>
      </w:r>
      <w:r>
        <w:rPr>
          <w:spacing w:val="-2"/>
        </w:rPr>
        <w:t>投资者网上交流互动活动，及时回复投资者的咨询；来访接待工作坚持公平、公正、公开的原则，有利地保障了所有投资者</w:t>
      </w:r>
      <w:r>
        <w:rPr>
          <w:spacing w:val="-67"/>
        </w:rPr>
        <w:t> </w:t>
      </w:r>
      <w:r>
        <w:rPr>
          <w:spacing w:val="-67"/>
        </w:rPr>
      </w:r>
      <w:r>
        <w:rPr>
          <w:spacing w:val="-2"/>
        </w:rPr>
        <w:t>平等地享有知情权及其他合法权益。公司根据《深圳证券交易所上市规则》、《深圳证券交易所上市公司规范运作指引》以</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7"/>
        <w:jc w:val="left"/>
      </w:pPr>
      <w:r>
        <w:rPr>
          <w:spacing w:val="-2"/>
        </w:rPr>
        <w:t>及《公司章程》、《信息披露制度》等规范的要求，真实、准确、完整、及时地披露有关信息，确保投资者公平地获取公司</w:t>
      </w:r>
      <w:r>
        <w:rPr>
          <w:spacing w:val="-71"/>
        </w:rPr>
        <w:t> </w:t>
      </w:r>
      <w:r>
        <w:rPr>
          <w:spacing w:val="-71"/>
        </w:rPr>
      </w:r>
      <w:r>
        <w:rPr/>
        <w:t>公开信息。</w:t>
      </w:r>
    </w:p>
    <w:p>
      <w:pPr>
        <w:pStyle w:val="BodyText"/>
        <w:spacing w:line="240" w:lineRule="auto" w:before="58"/>
        <w:ind w:right="0"/>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4" w:firstLine="360"/>
        <w:jc w:val="both"/>
      </w:pPr>
      <w:r>
        <w:rPr>
          <w:spacing w:val="-2"/>
        </w:rPr>
        <w:t>本公司法人治理结构比较健全，公司与控股股东在业务、人员、资产、机构和财务上完全独立，具有较为独立完整的业</w:t>
      </w:r>
      <w:r>
        <w:rPr/>
        <w:t> 务及自主经营能力。具体情况如下：</w:t>
      </w:r>
    </w:p>
    <w:p>
      <w:pPr>
        <w:pStyle w:val="BodyText"/>
        <w:spacing w:line="300" w:lineRule="auto" w:before="139"/>
        <w:ind w:right="1132" w:firstLine="360"/>
        <w:jc w:val="both"/>
      </w:pPr>
      <w:r>
        <w:rPr>
          <w:rFonts w:ascii="Times New Roman" w:hAnsi="Times New Roman" w:cs="Times New Roman" w:eastAsia="Times New Roman" w:hint="default"/>
        </w:rPr>
        <w:t>1</w:t>
      </w:r>
      <w:r>
        <w:rPr/>
        <w:t>、业务方面：公司拥有自身独立的业务和自主经营权，公司业务独立于控股股东及其控制的其他企业，与控股股东及 其控制的其他企业不存在同业竞争或显失公允的关联交易。；</w:t>
      </w:r>
    </w:p>
    <w:p>
      <w:pPr>
        <w:pStyle w:val="BodyText"/>
        <w:spacing w:line="312" w:lineRule="auto" w:before="152"/>
        <w:ind w:right="1129" w:firstLine="360"/>
        <w:jc w:val="both"/>
      </w:pPr>
      <w:r>
        <w:rPr>
          <w:rFonts w:ascii="Times New Roman" w:hAnsi="Times New Roman" w:cs="Times New Roman" w:eastAsia="Times New Roman" w:hint="default"/>
        </w:rPr>
        <w:t>2</w:t>
      </w:r>
      <w:r>
        <w:rPr/>
        <w:t>、人员方面：公司人员独立于控股股东，具有独立的劳动人事管理部门，制定独立的劳动、人事及薪酬管理制度。公 </w:t>
      </w:r>
      <w:r>
        <w:rPr>
          <w:spacing w:val="-2"/>
        </w:rPr>
        <w:t>司总裁、副总裁、人力资源总监、技术总监、开发总监、财务负责人、董事会秘书等高级管理人员未在控股股东及其控制的</w:t>
      </w:r>
      <w:r>
        <w:rPr>
          <w:spacing w:val="-67"/>
        </w:rPr>
        <w:t> </w:t>
      </w:r>
      <w:r>
        <w:rPr>
          <w:spacing w:val="-67"/>
        </w:rPr>
      </w:r>
      <w:r>
        <w:rPr>
          <w:spacing w:val="-2"/>
        </w:rPr>
        <w:t>其他企业中担任除董事外的其他职务，没有在控股股东及其控制的其他企业中领取报酬。公司的董事、监事及高级管理人员</w:t>
      </w:r>
      <w:r>
        <w:rPr>
          <w:spacing w:val="-63"/>
        </w:rPr>
        <w:t> </w:t>
      </w:r>
      <w:r>
        <w:rPr>
          <w:spacing w:val="-63"/>
        </w:rPr>
      </w:r>
      <w:r>
        <w:rPr/>
        <w:t>均通过合法程序选聘，不存在控股股东干预公司董事会和股东大会已做出的人事任免决定的情况；</w:t>
      </w:r>
    </w:p>
    <w:p>
      <w:pPr>
        <w:pStyle w:val="BodyText"/>
        <w:spacing w:line="300" w:lineRule="auto" w:before="142"/>
        <w:ind w:right="1133" w:firstLine="360"/>
        <w:jc w:val="both"/>
      </w:pPr>
      <w:r>
        <w:rPr>
          <w:rFonts w:ascii="Times New Roman" w:hAnsi="Times New Roman" w:cs="Times New Roman" w:eastAsia="Times New Roman" w:hint="default"/>
        </w:rPr>
        <w:t>3</w:t>
      </w:r>
      <w:r>
        <w:rPr/>
        <w:t>、资产方面：公司主要资产产权清晰，对与生产经营相关的厂房、土地、设备以及商标、非专利技术等资产均合法拥 有所有权。公司不存在控股股东占用公司资金的情形，也未向控股股东提供任何担保；</w:t>
      </w:r>
    </w:p>
    <w:p>
      <w:pPr>
        <w:pStyle w:val="BodyText"/>
        <w:spacing w:line="309" w:lineRule="auto" w:before="151"/>
        <w:ind w:right="1130" w:firstLine="360"/>
        <w:jc w:val="both"/>
      </w:pPr>
      <w:r>
        <w:rPr>
          <w:rFonts w:ascii="Times New Roman" w:hAnsi="Times New Roman" w:cs="Times New Roman" w:eastAsia="Times New Roman" w:hint="default"/>
        </w:rPr>
        <w:t>4</w:t>
      </w:r>
      <w:r>
        <w:rPr/>
        <w:t>、机构方面：公司设立了完全独立于控股股东的组织机构，公司董事会、监事会及其他内部机构独立运作，不存在与 </w:t>
      </w:r>
      <w:r>
        <w:rPr>
          <w:spacing w:val="-2"/>
        </w:rPr>
        <w:t>控股股东及其控制的其他企业之间的从属关系。公司具有独立的办公机构，所有职能部门均独立行使职权，独立开展经营活</w:t>
      </w:r>
      <w:r>
        <w:rPr>
          <w:spacing w:val="-64"/>
        </w:rPr>
        <w:t> </w:t>
      </w:r>
      <w:r>
        <w:rPr>
          <w:spacing w:val="-64"/>
        </w:rPr>
      </w:r>
      <w:r>
        <w:rPr/>
        <w:t>动，不存在混合经营、合署办公情形；</w:t>
      </w:r>
    </w:p>
    <w:p>
      <w:pPr>
        <w:pStyle w:val="BodyText"/>
        <w:spacing w:line="300" w:lineRule="auto" w:before="62"/>
        <w:ind w:right="1136" w:firstLine="288"/>
        <w:jc w:val="both"/>
      </w:pPr>
      <w:r>
        <w:rPr>
          <w:rFonts w:ascii="Times New Roman" w:hAnsi="Times New Roman" w:cs="Times New Roman" w:eastAsia="Times New Roman" w:hint="default"/>
        </w:rPr>
        <w:t>5</w:t>
      </w:r>
      <w:r>
        <w:rPr/>
        <w:t>、财务方面：公司设有独立的财务管理部门和财务人员，建立了独立的会计核算体系和财务管理制度，独立进行财务 决策；独立在银行开户，没有与控股股东共用一个银行账户；独立进行税务登记，独立依法纳税。</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419"/>
        <w:gridCol w:w="955"/>
        <w:gridCol w:w="1738"/>
        <w:gridCol w:w="1702"/>
        <w:gridCol w:w="1344"/>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19"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朱锦梅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张宏江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凌震文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41"/>
        <w:ind w:right="1034" w:firstLine="288"/>
        <w:jc w:val="left"/>
      </w:pPr>
      <w:r>
        <w:rPr/>
        <w:t>报告期内，公司独立董事本着独立、客观和公正的原则，严格按照《公司法》、《证券法》、《公司章程》、《独立董 事工作制度》等有关法律法规及规章制度的要求，尽职尽责地开展工作，及时了解、关注公司的经营发展与内部控制情况，</w:t>
      </w:r>
      <w:r>
        <w:rPr>
          <w:spacing w:val="-86"/>
        </w:rPr>
        <w:t> </w:t>
      </w:r>
      <w:r>
        <w:rPr>
          <w:spacing w:val="-86"/>
        </w:rPr>
      </w:r>
      <w:r>
        <w:rPr>
          <w:spacing w:val="-2"/>
        </w:rPr>
        <w:t>积极出席公司相关会议，认真审议公司各项议案，对公司关联交易、对外担保、股权激励等相关事项发表独立意见，有效保</w:t>
      </w:r>
      <w:r>
        <w:rPr>
          <w:spacing w:val="-67"/>
        </w:rPr>
        <w:t> </w:t>
      </w:r>
      <w:r>
        <w:rPr>
          <w:spacing w:val="-67"/>
        </w:rPr>
      </w:r>
      <w:r>
        <w:rPr>
          <w:spacing w:val="-2"/>
        </w:rPr>
        <w:t>证公司规范运作，切实维护公司和全体股东尤其是中小股东的合法利益。公司结合自身实际情况，对独立董事的意见与建议</w:t>
      </w:r>
      <w:r>
        <w:rPr>
          <w:spacing w:val="-63"/>
        </w:rPr>
        <w:t> </w:t>
      </w:r>
      <w:r>
        <w:rPr>
          <w:spacing w:val="-63"/>
        </w:rPr>
      </w:r>
      <w:r>
        <w:rPr/>
        <w:t>予以采纳。</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（一）审计委员会履职情况</w:t>
      </w:r>
    </w:p>
    <w:p>
      <w:pPr>
        <w:pStyle w:val="BodyText"/>
        <w:spacing w:line="240" w:lineRule="auto" w:before="76"/>
        <w:ind w:left="513" w:right="0"/>
        <w:jc w:val="left"/>
      </w:pPr>
      <w:r>
        <w:rPr>
          <w:rFonts w:ascii="Times New Roman" w:hAnsi="Times New Roman" w:cs="Times New Roman" w:eastAsia="Times New Roman" w:hint="default"/>
        </w:rPr>
        <w:t>1</w:t>
      </w:r>
      <w:r>
        <w:rPr/>
        <w:t>、报告期内，董事会审计委员会共召开</w:t>
      </w:r>
      <w:r>
        <w:rPr>
          <w:rFonts w:ascii="Times New Roman" w:hAnsi="Times New Roman" w:cs="Times New Roman" w:eastAsia="Times New Roman" w:hint="default"/>
        </w:rPr>
        <w:t>7</w:t>
      </w:r>
      <w:r>
        <w:rPr/>
        <w:t>次会议，主要工作情况如下：</w:t>
      </w:r>
    </w:p>
    <w:p>
      <w:pPr>
        <w:pStyle w:val="BodyText"/>
        <w:spacing w:line="240" w:lineRule="auto" w:before="63"/>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日，审计委员会召开第九届第四次会议，会议听取了信永中和会计师事务所</w:t>
      </w:r>
      <w:r>
        <w:rPr>
          <w:rFonts w:ascii="Times New Roman" w:hAnsi="Times New Roman" w:cs="Times New Roman" w:eastAsia="Times New Roman" w:hint="default"/>
        </w:rPr>
        <w:t>2018</w:t>
      </w:r>
      <w:r>
        <w:rPr/>
        <w:t>年年审工作计划。</w:t>
      </w:r>
    </w:p>
    <w:p>
      <w:pPr>
        <w:pStyle w:val="BodyText"/>
        <w:spacing w:line="300" w:lineRule="auto" w:before="62"/>
        <w:ind w:right="1202" w:firstLine="37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日，审计委员会召开第九届第五次会议，会议听取了信永中和会计师事务所年审工作总结，听取了 审计部的内审工作报告。</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1"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日，审计委员会召开第九届第六次会议，会议听取了审计委员会</w:t>
      </w:r>
      <w:r>
        <w:rPr>
          <w:rFonts w:ascii="Times New Roman" w:hAnsi="Times New Roman" w:cs="Times New Roman" w:eastAsia="Times New Roman" w:hint="default"/>
          <w:spacing w:val="-2"/>
        </w:rPr>
        <w:t>2018</w:t>
      </w:r>
      <w:r>
        <w:rPr>
          <w:spacing w:val="-2"/>
        </w:rPr>
        <w:t>年的工作情况汇报，重点介绍关</w:t>
      </w:r>
      <w:r>
        <w:rPr/>
        <w:t> </w:t>
      </w:r>
      <w:r>
        <w:rPr>
          <w:spacing w:val="-1"/>
        </w:rPr>
        <w:t>于</w:t>
      </w:r>
      <w:r>
        <w:rPr>
          <w:rFonts w:ascii="Times New Roman" w:hAnsi="Times New Roman" w:cs="Times New Roman" w:eastAsia="Times New Roman" w:hint="default"/>
          <w:spacing w:val="-1"/>
        </w:rPr>
        <w:t>2018</w:t>
      </w:r>
      <w:r>
        <w:rPr>
          <w:spacing w:val="-1"/>
        </w:rPr>
        <w:t>年年报、内部审计工作指导和评估内部控制有效性的情况，并且审议通过了《关于</w:t>
      </w:r>
      <w:r>
        <w:rPr>
          <w:rFonts w:ascii="Times New Roman" w:hAnsi="Times New Roman" w:cs="Times New Roman" w:eastAsia="Times New Roman" w:hint="default"/>
          <w:spacing w:val="-1"/>
        </w:rPr>
        <w:t>&lt;2018</w:t>
      </w:r>
      <w:r>
        <w:rPr>
          <w:spacing w:val="-1"/>
        </w:rPr>
        <w:t>年年度报告</w:t>
      </w:r>
      <w:r>
        <w:rPr>
          <w:rFonts w:ascii="Times New Roman" w:hAnsi="Times New Roman" w:cs="Times New Roman" w:eastAsia="Times New Roman" w:hint="default"/>
          <w:spacing w:val="-1"/>
        </w:rPr>
        <w:t>&gt;</w:t>
      </w:r>
      <w:r>
        <w:rPr>
          <w:spacing w:val="-1"/>
        </w:rPr>
        <w:t>及</w:t>
      </w:r>
      <w:r>
        <w:rPr>
          <w:rFonts w:ascii="Times New Roman" w:hAnsi="Times New Roman" w:cs="Times New Roman" w:eastAsia="Times New Roman" w:hint="default"/>
          <w:spacing w:val="-1"/>
        </w:rPr>
        <w:t>&lt;2018</w:t>
      </w:r>
      <w:r>
        <w:rPr>
          <w:spacing w:val="-1"/>
        </w:rPr>
        <w:t>年年度</w:t>
      </w:r>
      <w:r>
        <w:rPr>
          <w:spacing w:val="-63"/>
        </w:rPr>
        <w:t> </w:t>
      </w:r>
      <w:r>
        <w:rPr>
          <w:spacing w:val="-63"/>
        </w:rPr>
      </w:r>
      <w:r>
        <w:rPr/>
        <w:t>报告摘要</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&lt;2018</w:t>
      </w:r>
      <w:r>
        <w:rPr/>
        <w:t>年度财务决算报告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&lt;2018</w:t>
      </w:r>
      <w:r>
        <w:rPr/>
        <w:t>年度利润分配预案</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审计</w:t>
      </w:r>
      <w:r>
        <w:rPr>
          <w:spacing w:val="-70"/>
        </w:rPr>
        <w:t> </w:t>
      </w:r>
      <w:r>
        <w:rPr>
          <w:spacing w:val="-1"/>
        </w:rPr>
        <w:t>委员会履职情况报告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神州数码集团股份有限公司</w:t>
      </w:r>
      <w:r>
        <w:rPr>
          <w:rFonts w:ascii="Times New Roman" w:hAnsi="Times New Roman" w:cs="Times New Roman" w:eastAsia="Times New Roman" w:hint="default"/>
          <w:spacing w:val="-1"/>
        </w:rPr>
        <w:t>2018</w:t>
      </w:r>
      <w:r>
        <w:rPr>
          <w:spacing w:val="-1"/>
        </w:rPr>
        <w:t>年度内部控制自我评价报告</w:t>
      </w:r>
      <w:r>
        <w:rPr>
          <w:rFonts w:ascii="Times New Roman" w:hAnsi="Times New Roman" w:cs="Times New Roman" w:eastAsia="Times New Roman" w:hint="default"/>
          <w:spacing w:val="-1"/>
        </w:rPr>
        <w:t>&gt;</w:t>
      </w:r>
      <w:r>
        <w:rPr>
          <w:spacing w:val="-1"/>
        </w:rPr>
        <w:t>的议案》、《关于续</w:t>
      </w:r>
      <w:r>
        <w:rPr>
          <w:spacing w:val="-64"/>
        </w:rPr>
        <w:t> </w:t>
      </w:r>
      <w:r>
        <w:rPr>
          <w:spacing w:val="-64"/>
        </w:rPr>
      </w:r>
      <w:r>
        <w:rPr/>
        <w:t>聘公司</w:t>
      </w:r>
      <w:r>
        <w:rPr>
          <w:rFonts w:ascii="Times New Roman" w:hAnsi="Times New Roman" w:cs="Times New Roman" w:eastAsia="Times New Roman" w:hint="default"/>
        </w:rPr>
        <w:t>2019</w:t>
      </w:r>
      <w:r>
        <w:rPr/>
        <w:t>年度审计机构的议案》、《关于预计衍生品投资额度的议案》、《关于预计证券投资额度的议案》。</w:t>
      </w:r>
    </w:p>
    <w:p>
      <w:pPr>
        <w:pStyle w:val="BodyText"/>
        <w:spacing w:line="240" w:lineRule="auto" w:before="13"/>
        <w:ind w:left="51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日，审计委员会召开第九届第七次会议，审议通过了《关于修订</w:t>
      </w:r>
      <w:r>
        <w:rPr>
          <w:rFonts w:ascii="Times New Roman" w:hAnsi="Times New Roman" w:cs="Times New Roman" w:eastAsia="Times New Roman" w:hint="default"/>
        </w:rPr>
        <w:t>&lt;</w:t>
      </w:r>
      <w:r>
        <w:rPr/>
        <w:t>资产减值管理制度</w:t>
      </w:r>
      <w:r>
        <w:rPr>
          <w:rFonts w:ascii="Times New Roman" w:hAnsi="Times New Roman" w:cs="Times New Roman" w:eastAsia="Times New Roman" w:hint="default"/>
        </w:rPr>
        <w:t>&gt;</w:t>
      </w:r>
      <w:r>
        <w:rPr/>
        <w:t>的议案》。</w:t>
      </w:r>
    </w:p>
    <w:p>
      <w:pPr>
        <w:pStyle w:val="BodyText"/>
        <w:spacing w:line="300" w:lineRule="auto" w:before="63"/>
        <w:ind w:right="1126" w:firstLine="360"/>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日，审计委员会召开第九届第八次会议，审议通过了《关于</w:t>
      </w:r>
      <w:r>
        <w:rPr>
          <w:rFonts w:ascii="Times New Roman" w:hAnsi="Times New Roman" w:cs="Times New Roman" w:eastAsia="Times New Roman" w:hint="default"/>
          <w:spacing w:val="-1"/>
        </w:rPr>
        <w:t>&lt;2019</w:t>
      </w:r>
      <w:r>
        <w:rPr>
          <w:spacing w:val="-1"/>
        </w:rPr>
        <w:t>年半年度报告</w:t>
      </w:r>
      <w:r>
        <w:rPr>
          <w:rFonts w:ascii="Times New Roman" w:hAnsi="Times New Roman" w:cs="Times New Roman" w:eastAsia="Times New Roman" w:hint="default"/>
          <w:spacing w:val="-1"/>
        </w:rPr>
        <w:t>&gt;</w:t>
      </w:r>
      <w:r>
        <w:rPr>
          <w:spacing w:val="-1"/>
        </w:rPr>
        <w:t>及</w:t>
      </w:r>
      <w:r>
        <w:rPr>
          <w:rFonts w:ascii="Times New Roman" w:hAnsi="Times New Roman" w:cs="Times New Roman" w:eastAsia="Times New Roman" w:hint="default"/>
          <w:spacing w:val="-1"/>
        </w:rPr>
        <w:t>&lt;2019</w:t>
      </w:r>
      <w:r>
        <w:rPr>
          <w:spacing w:val="-1"/>
        </w:rPr>
        <w:t>年半年度报</w:t>
      </w:r>
      <w:r>
        <w:rPr/>
        <w:t> 告摘要</w:t>
      </w:r>
      <w:r>
        <w:rPr>
          <w:rFonts w:ascii="Times New Roman" w:hAnsi="Times New Roman" w:cs="Times New Roman" w:eastAsia="Times New Roman" w:hint="default"/>
        </w:rPr>
        <w:t>&gt;</w:t>
      </w:r>
      <w:r>
        <w:rPr/>
        <w:t>的议案》。</w:t>
      </w:r>
    </w:p>
    <w:p>
      <w:pPr>
        <w:pStyle w:val="BodyText"/>
        <w:spacing w:line="300" w:lineRule="auto" w:before="13"/>
        <w:ind w:right="1129"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日，审计委员会召开第九届第九次会议，审议通过了《关于</w:t>
      </w:r>
      <w:r>
        <w:rPr>
          <w:rFonts w:ascii="Times New Roman" w:hAnsi="Times New Roman" w:cs="Times New Roman" w:eastAsia="Times New Roman" w:hint="default"/>
        </w:rPr>
        <w:t>&lt;2019</w:t>
      </w:r>
      <w:r>
        <w:rPr/>
        <w:t>年第三季度报告</w:t>
      </w:r>
      <w:r>
        <w:rPr>
          <w:rFonts w:ascii="Times New Roman" w:hAnsi="Times New Roman" w:cs="Times New Roman" w:eastAsia="Times New Roman" w:hint="default"/>
        </w:rPr>
        <w:t>&gt;</w:t>
      </w:r>
      <w:r>
        <w:rPr/>
        <w:t>及</w:t>
      </w:r>
      <w:r>
        <w:rPr>
          <w:rFonts w:ascii="Times New Roman" w:hAnsi="Times New Roman" w:cs="Times New Roman" w:eastAsia="Times New Roman" w:hint="default"/>
        </w:rPr>
        <w:t>&lt;2019</w:t>
      </w:r>
      <w:r>
        <w:rPr/>
        <w:t>年第三 季度报告正文</w:t>
      </w:r>
      <w:r>
        <w:rPr>
          <w:rFonts w:ascii="Times New Roman" w:hAnsi="Times New Roman" w:cs="Times New Roman" w:eastAsia="Times New Roman" w:hint="default"/>
        </w:rPr>
        <w:t>&gt;</w:t>
      </w:r>
      <w:r>
        <w:rPr/>
        <w:t>的议案》。</w:t>
      </w:r>
    </w:p>
    <w:p>
      <w:pPr>
        <w:pStyle w:val="BodyText"/>
        <w:spacing w:line="240" w:lineRule="auto" w:before="13"/>
        <w:ind w:left="513"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日，审计委员会召开第九届第十次会议，会议听取了信永中和会计师事务所</w:t>
      </w:r>
      <w:r>
        <w:rPr>
          <w:rFonts w:ascii="Times New Roman" w:hAnsi="Times New Roman" w:cs="Times New Roman" w:eastAsia="Times New Roman" w:hint="default"/>
        </w:rPr>
        <w:t>2019</w:t>
      </w:r>
      <w:r>
        <w:rPr/>
        <w:t>年年审工作计划。</w:t>
      </w:r>
    </w:p>
    <w:p>
      <w:pPr>
        <w:pStyle w:val="BodyText"/>
        <w:spacing w:line="240" w:lineRule="auto" w:before="63"/>
        <w:ind w:left="513" w:right="0"/>
        <w:jc w:val="left"/>
      </w:pPr>
      <w:r>
        <w:rPr>
          <w:rFonts w:ascii="Times New Roman" w:hAnsi="Times New Roman" w:cs="Times New Roman" w:eastAsia="Times New Roman" w:hint="default"/>
        </w:rPr>
        <w:t>2</w:t>
      </w:r>
      <w:r>
        <w:rPr/>
        <w:t>、审计委员会在公司</w:t>
      </w:r>
      <w:r>
        <w:rPr>
          <w:rFonts w:ascii="Times New Roman" w:hAnsi="Times New Roman" w:cs="Times New Roman" w:eastAsia="Times New Roman" w:hint="default"/>
        </w:rPr>
        <w:t>2019</w:t>
      </w:r>
      <w:r>
        <w:rPr/>
        <w:t>年度财务报告编制过程中，主要履行了以下工作职责：</w:t>
      </w:r>
    </w:p>
    <w:p>
      <w:pPr>
        <w:pStyle w:val="BodyText"/>
        <w:spacing w:line="309" w:lineRule="auto" w:before="63"/>
        <w:ind w:right="1132" w:firstLine="360"/>
        <w:jc w:val="both"/>
      </w:pPr>
      <w:r>
        <w:rPr/>
        <w:t>（</w:t>
      </w:r>
      <w:r>
        <w:rPr>
          <w:rFonts w:ascii="Times New Roman" w:hAnsi="Times New Roman" w:cs="Times New Roman" w:eastAsia="Times New Roman" w:hint="default"/>
        </w:rPr>
        <w:t>1</w:t>
      </w:r>
      <w:r>
        <w:rPr/>
        <w:t>）与负责公司的年审注册会计师协商确定了</w:t>
      </w:r>
      <w:r>
        <w:rPr>
          <w:rFonts w:ascii="Times New Roman" w:hAnsi="Times New Roman" w:cs="Times New Roman" w:eastAsia="Times New Roman" w:hint="default"/>
        </w:rPr>
        <w:t>2019</w:t>
      </w:r>
      <w:r>
        <w:rPr/>
        <w:t>年度财务报告审计工作的时间安排。在年审注册会计师进场前，审 </w:t>
      </w:r>
      <w:r>
        <w:rPr>
          <w:spacing w:val="-2"/>
        </w:rPr>
        <w:t>计委员会和会计师就审计目标、审计团队、审计计划、风险判断、风险及舞弊的测试和评价方法、本年度关键审计事项进行</w:t>
      </w:r>
      <w:r>
        <w:rPr>
          <w:spacing w:val="-65"/>
        </w:rPr>
        <w:t> </w:t>
      </w:r>
      <w:r>
        <w:rPr>
          <w:spacing w:val="-65"/>
        </w:rPr>
      </w:r>
      <w:r>
        <w:rPr/>
        <w:t>沟通，同意以此为基础开展</w:t>
      </w:r>
      <w:r>
        <w:rPr>
          <w:rFonts w:ascii="Times New Roman" w:hAnsi="Times New Roman" w:cs="Times New Roman" w:eastAsia="Times New Roman" w:hint="default"/>
        </w:rPr>
        <w:t>2019</w:t>
      </w:r>
      <w:r>
        <w:rPr/>
        <w:t>年度的财务审计工作。</w:t>
      </w:r>
    </w:p>
    <w:p>
      <w:pPr>
        <w:pStyle w:val="BodyText"/>
        <w:spacing w:line="304" w:lineRule="auto" w:before="5"/>
        <w:ind w:right="1128" w:firstLine="360"/>
        <w:jc w:val="both"/>
      </w:pPr>
      <w:r>
        <w:rPr/>
        <w:t>（</w:t>
      </w:r>
      <w:r>
        <w:rPr>
          <w:rFonts w:ascii="Times New Roman" w:hAnsi="Times New Roman" w:cs="Times New Roman" w:eastAsia="Times New Roman" w:hint="default"/>
        </w:rPr>
        <w:t>2</w:t>
      </w:r>
      <w:r>
        <w:rPr/>
        <w:t>）年审注册会计师进场后，加强与年审注册会计师的沟通。审计委员会认为，初步审计的</w:t>
      </w:r>
      <w:r>
        <w:rPr>
          <w:rFonts w:ascii="Times New Roman" w:hAnsi="Times New Roman" w:cs="Times New Roman" w:eastAsia="Times New Roman" w:hint="default"/>
        </w:rPr>
        <w:t>2019</w:t>
      </w:r>
      <w:r>
        <w:rPr/>
        <w:t>年度财务报告已经按 </w:t>
      </w:r>
      <w:r>
        <w:rPr>
          <w:spacing w:val="-2"/>
        </w:rPr>
        <w:t>照新企业会计准则及公司有关财务制度进行编制，财务报告的编制基础、依据、原则和方法符合相关法律、法规和《公司章</w:t>
      </w:r>
      <w:r>
        <w:rPr>
          <w:spacing w:val="-66"/>
        </w:rPr>
        <w:t> </w:t>
      </w:r>
      <w:r>
        <w:rPr>
          <w:spacing w:val="-66"/>
        </w:rPr>
      </w:r>
      <w:r>
        <w:rPr>
          <w:spacing w:val="-2"/>
        </w:rPr>
        <w:t>程》，所包含的信息在重大方面公允地反映了公司截至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2019</w:t>
      </w:r>
      <w:r>
        <w:rPr>
          <w:spacing w:val="-2"/>
        </w:rPr>
        <w:t>年度的经营成果和现金流量，并</w:t>
      </w:r>
      <w:r>
        <w:rPr>
          <w:spacing w:val="-57"/>
        </w:rPr>
        <w:t> </w:t>
      </w:r>
      <w:r>
        <w:rPr>
          <w:spacing w:val="-57"/>
        </w:rPr>
      </w:r>
      <w:r>
        <w:rPr>
          <w:spacing w:val="-2"/>
        </w:rPr>
        <w:t>同意以此数据为基础编制</w:t>
      </w:r>
      <w:r>
        <w:rPr>
          <w:rFonts w:ascii="Times New Roman" w:hAnsi="Times New Roman" w:cs="Times New Roman" w:eastAsia="Times New Roman" w:hint="default"/>
          <w:spacing w:val="-2"/>
        </w:rPr>
        <w:t>2019</w:t>
      </w:r>
      <w:r>
        <w:rPr>
          <w:spacing w:val="-2"/>
        </w:rPr>
        <w:t>年年度报告及摘要，并提交公司董事会进行审议。同时，要求会计师事务所按照计划尽快完成</w:t>
      </w:r>
      <w:r>
        <w:rPr>
          <w:spacing w:val="-63"/>
        </w:rPr>
        <w:t> </w:t>
      </w:r>
      <w:r>
        <w:rPr>
          <w:spacing w:val="-63"/>
        </w:rPr>
      </w:r>
      <w:r>
        <w:rPr/>
        <w:t>审计工作，以保证公司如期披露</w:t>
      </w:r>
      <w:r>
        <w:rPr>
          <w:rFonts w:ascii="Times New Roman" w:hAnsi="Times New Roman" w:cs="Times New Roman" w:eastAsia="Times New Roman" w:hint="default"/>
        </w:rPr>
        <w:t>2019</w:t>
      </w:r>
      <w:r>
        <w:rPr/>
        <w:t>年年度报告及摘要。</w:t>
      </w:r>
    </w:p>
    <w:p>
      <w:pPr>
        <w:pStyle w:val="BodyText"/>
        <w:spacing w:line="300" w:lineRule="auto" w:before="9"/>
        <w:ind w:right="1129" w:firstLine="360"/>
        <w:jc w:val="both"/>
      </w:pPr>
      <w:r>
        <w:rPr/>
        <w:t>（</w:t>
      </w:r>
      <w:r>
        <w:rPr>
          <w:rFonts w:ascii="Times New Roman" w:hAnsi="Times New Roman" w:cs="Times New Roman" w:eastAsia="Times New Roman" w:hint="default"/>
        </w:rPr>
        <w:t>3</w:t>
      </w:r>
      <w:r>
        <w:rPr/>
        <w:t>）年审注册会计师出具审计报告后，审计委员会召开会议对公司</w:t>
      </w:r>
      <w:r>
        <w:rPr>
          <w:rFonts w:ascii="Times New Roman" w:hAnsi="Times New Roman" w:cs="Times New Roman" w:eastAsia="Times New Roman" w:hint="default"/>
        </w:rPr>
        <w:t>2019</w:t>
      </w:r>
      <w:r>
        <w:rPr/>
        <w:t>年度财务报告、董事会审计委员会履职情况报 </w:t>
      </w:r>
      <w:r>
        <w:rPr>
          <w:spacing w:val="-2"/>
        </w:rPr>
        <w:t>告、关于会计师事务所</w:t>
      </w:r>
      <w:r>
        <w:rPr>
          <w:rFonts w:ascii="Times New Roman" w:hAnsi="Times New Roman" w:cs="Times New Roman" w:eastAsia="Times New Roman" w:hint="default"/>
          <w:spacing w:val="-2"/>
        </w:rPr>
        <w:t>2019</w:t>
      </w:r>
      <w:r>
        <w:rPr>
          <w:spacing w:val="-2"/>
        </w:rPr>
        <w:t>年度审计工作的总结，以及续聘公司</w:t>
      </w:r>
      <w:r>
        <w:rPr>
          <w:rFonts w:ascii="Times New Roman" w:hAnsi="Times New Roman" w:cs="Times New Roman" w:eastAsia="Times New Roman" w:hint="default"/>
          <w:spacing w:val="-2"/>
        </w:rPr>
        <w:t>2020</w:t>
      </w:r>
      <w:r>
        <w:rPr>
          <w:spacing w:val="-2"/>
        </w:rPr>
        <w:t>年度会计师事务所等事项进行了审议，形成相关决议后</w:t>
      </w:r>
      <w:r>
        <w:rPr>
          <w:spacing w:val="-60"/>
        </w:rPr>
        <w:t> </w:t>
      </w:r>
      <w:r>
        <w:rPr>
          <w:spacing w:val="-60"/>
        </w:rPr>
      </w:r>
      <w:r>
        <w:rPr/>
        <w:t>提交董事会进行审核。</w:t>
      </w:r>
    </w:p>
    <w:p>
      <w:pPr>
        <w:pStyle w:val="BodyText"/>
        <w:spacing w:line="300" w:lineRule="auto" w:before="31"/>
        <w:ind w:left="513" w:right="0"/>
        <w:jc w:val="left"/>
      </w:pPr>
      <w:r>
        <w:rPr>
          <w:rFonts w:ascii="Times New Roman" w:hAnsi="Times New Roman" w:cs="Times New Roman" w:eastAsia="Times New Roman" w:hint="default"/>
        </w:rPr>
        <w:t>3</w:t>
      </w:r>
      <w:r>
        <w:rPr/>
        <w:t>、审计委员会对于年审注册会计师从事</w:t>
      </w:r>
      <w:r>
        <w:rPr>
          <w:rFonts w:ascii="Times New Roman" w:hAnsi="Times New Roman" w:cs="Times New Roman" w:eastAsia="Times New Roman" w:hint="default"/>
        </w:rPr>
        <w:t>2019</w:t>
      </w:r>
      <w:r>
        <w:rPr/>
        <w:t>年度审计工作的总结 </w:t>
      </w:r>
      <w:r>
        <w:rPr>
          <w:spacing w:val="-2"/>
        </w:rPr>
        <w:t>审计委员会对</w:t>
      </w:r>
      <w:r>
        <w:rPr>
          <w:rFonts w:ascii="Times New Roman" w:hAnsi="Times New Roman" w:cs="Times New Roman" w:eastAsia="Times New Roman" w:hint="default"/>
          <w:spacing w:val="-2"/>
        </w:rPr>
        <w:t>2019</w:t>
      </w:r>
      <w:r>
        <w:rPr>
          <w:spacing w:val="-2"/>
        </w:rPr>
        <w:t>年度会计师事务所的审计工作进行了总结报告，认为年审注册会计师已按照中国注册会计师审计准则</w:t>
      </w:r>
    </w:p>
    <w:p>
      <w:pPr>
        <w:pStyle w:val="BodyText"/>
        <w:spacing w:line="309" w:lineRule="auto" w:before="13"/>
        <w:ind w:right="1034"/>
        <w:jc w:val="left"/>
      </w:pPr>
      <w:r>
        <w:rPr/>
        <w:t>的规定执行了审计工作，恪尽职守，遵循独立、客观、公正的执业准则，勤勉、审慎、尽责地完成了公司委托的各项工作，</w:t>
      </w:r>
      <w:r>
        <w:rPr>
          <w:spacing w:val="-83"/>
        </w:rPr>
        <w:t> </w:t>
      </w:r>
      <w:r>
        <w:rPr>
          <w:spacing w:val="-83"/>
        </w:rPr>
      </w:r>
      <w:r>
        <w:rPr>
          <w:spacing w:val="-2"/>
        </w:rPr>
        <w:t>审计时间充分，审计人员配置合理、执业能力胜任，出具的审计报告从重大方面公允地反映了公司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spacing w:val="-60"/>
        </w:rPr>
        <w:t> </w:t>
      </w:r>
      <w:r>
        <w:rPr>
          <w:spacing w:val="-60"/>
        </w:rPr>
      </w:r>
      <w:r>
        <w:rPr/>
        <w:t>况以及</w:t>
      </w:r>
      <w:r>
        <w:rPr>
          <w:rFonts w:ascii="Times New Roman" w:hAnsi="Times New Roman" w:cs="Times New Roman" w:eastAsia="Times New Roman" w:hint="default"/>
        </w:rPr>
        <w:t>2019</w:t>
      </w:r>
      <w:r>
        <w:rPr/>
        <w:t>年度的经营成果和现金流量，出具的审计结论符合公司的实际情况。</w:t>
      </w:r>
    </w:p>
    <w:p>
      <w:pPr>
        <w:spacing w:line="240" w:lineRule="auto" w:before="3"/>
        <w:rPr>
          <w:rFonts w:ascii="宋体" w:hAnsi="宋体" w:cs="宋体" w:eastAsia="宋体" w:hint="default"/>
          <w:sz w:val="24"/>
          <w:szCs w:val="24"/>
        </w:rPr>
      </w:pPr>
    </w:p>
    <w:p>
      <w:pPr>
        <w:pStyle w:val="BodyText"/>
        <w:spacing w:line="316" w:lineRule="auto"/>
        <w:ind w:left="513" w:right="4543"/>
        <w:jc w:val="left"/>
      </w:pPr>
      <w:r>
        <w:rPr/>
        <w:t>（二）薪酬与考核委员会履职情况 报告期内，董事会薪酬与考核委员会共召开</w:t>
      </w:r>
      <w:r>
        <w:rPr>
          <w:rFonts w:ascii="Times New Roman" w:hAnsi="Times New Roman" w:cs="Times New Roman" w:eastAsia="Times New Roman" w:hint="default"/>
        </w:rPr>
        <w:t>4</w:t>
      </w:r>
      <w:r>
        <w:rPr/>
        <w:t>次会议，主要工作情况如下：</w:t>
      </w:r>
    </w:p>
    <w:p>
      <w:pPr>
        <w:pStyle w:val="BodyText"/>
        <w:spacing w:line="300"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日，薪酬与考核委员会召开第九届第二次会议，会议形成决议：同意</w:t>
      </w:r>
      <w:r>
        <w:rPr>
          <w:rFonts w:ascii="Times New Roman" w:hAnsi="Times New Roman" w:cs="Times New Roman" w:eastAsia="Times New Roman" w:hint="default"/>
          <w:spacing w:val="-2"/>
        </w:rPr>
        <w:t>2018</w:t>
      </w:r>
      <w:r>
        <w:rPr>
          <w:spacing w:val="-2"/>
        </w:rPr>
        <w:t>年管理层按照考核结果确定薪</w:t>
      </w:r>
      <w:r>
        <w:rPr/>
        <w:t> 酬；同意公司</w:t>
      </w:r>
      <w:r>
        <w:rPr>
          <w:rFonts w:ascii="Times New Roman" w:hAnsi="Times New Roman" w:cs="Times New Roman" w:eastAsia="Times New Roman" w:hint="default"/>
        </w:rPr>
        <w:t>2019</w:t>
      </w:r>
      <w:r>
        <w:rPr/>
        <w:t>年管理层薪酬原则。</w:t>
      </w:r>
    </w:p>
    <w:p>
      <w:pPr>
        <w:pStyle w:val="BodyText"/>
        <w:spacing w:line="300" w:lineRule="auto" w:before="13"/>
        <w:ind w:right="104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日，薪酬与考核委员会召开第九届第三次会议，审议通过了《关于公司</w:t>
      </w:r>
      <w:r>
        <w:rPr>
          <w:rFonts w:ascii="Times New Roman" w:hAnsi="Times New Roman" w:cs="Times New Roman" w:eastAsia="Times New Roman" w:hint="default"/>
        </w:rPr>
        <w:t>&lt;2019</w:t>
      </w:r>
      <w:r>
        <w:rPr/>
        <w:t>年股票期权与限制性股票 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&lt;2019</w:t>
      </w:r>
      <w:r>
        <w:rPr/>
        <w:t>年股票期权与限制性股票激励计划实施考核管理办法</w:t>
      </w:r>
      <w:r>
        <w:rPr>
          <w:rFonts w:ascii="Times New Roman" w:hAnsi="Times New Roman" w:cs="Times New Roman" w:eastAsia="Times New Roman" w:hint="default"/>
        </w:rPr>
        <w:t>&gt;</w:t>
      </w:r>
      <w:r>
        <w:rPr/>
        <w:t>的议案》。</w:t>
      </w:r>
    </w:p>
    <w:p>
      <w:pPr>
        <w:pStyle w:val="BodyText"/>
        <w:spacing w:line="300" w:lineRule="auto" w:before="13"/>
        <w:ind w:right="1133"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日，薪酬与考核委员会召开第九届第四次会议，会议形成决议：同意选举朱锦梅女士为第九届董事会薪</w:t>
      </w:r>
      <w:r>
        <w:rPr/>
        <w:t> 酬与考核委员会主任委员。</w:t>
      </w:r>
    </w:p>
    <w:p>
      <w:pPr>
        <w:pStyle w:val="BodyText"/>
        <w:spacing w:line="300" w:lineRule="auto" w:before="31"/>
        <w:ind w:right="1135"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日，薪酬与考核委员会召开第九届第五次会议，会议形成决议：同意调整选举凌震文先生为第九届董 事会薪酬与考核委员会主任委员。</w:t>
      </w:r>
    </w:p>
    <w:p>
      <w:pPr>
        <w:spacing w:line="240" w:lineRule="auto" w:before="3"/>
        <w:rPr>
          <w:rFonts w:ascii="宋体" w:hAnsi="宋体" w:cs="宋体" w:eastAsia="宋体" w:hint="default"/>
          <w:sz w:val="26"/>
          <w:szCs w:val="26"/>
        </w:rPr>
      </w:pPr>
    </w:p>
    <w:p>
      <w:pPr>
        <w:pStyle w:val="BodyText"/>
        <w:spacing w:line="316" w:lineRule="auto"/>
        <w:ind w:left="513" w:right="5083"/>
        <w:jc w:val="left"/>
      </w:pPr>
      <w:r>
        <w:rPr/>
        <w:t>（三）提名委员会履职情况 报告期内，董事会提名委员会共召开</w:t>
      </w:r>
      <w:r>
        <w:rPr>
          <w:rFonts w:ascii="Times New Roman" w:hAnsi="Times New Roman" w:cs="Times New Roman" w:eastAsia="Times New Roman" w:hint="default"/>
        </w:rPr>
        <w:t>4</w:t>
      </w:r>
      <w:r>
        <w:rPr/>
        <w:t>次会议，主要工作情况如下：</w:t>
      </w:r>
    </w:p>
    <w:p>
      <w:pPr>
        <w:pStyle w:val="BodyText"/>
        <w:spacing w:line="248" w:lineRule="exact"/>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日，提名委员会召开第九届第二次会议，会议形成决议：同意提名陈振坤先生为公司运营总监。</w:t>
      </w:r>
    </w:p>
    <w:p>
      <w:pPr>
        <w:pStyle w:val="BodyText"/>
        <w:spacing w:line="240" w:lineRule="auto" w:before="62"/>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日，提名委员会召开第九届第三次会议，会议形成决议：同意提名汤凯先生为公司开发总监，提名郝峻</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晟先生为公司技术总监，提名吴昊先生、刘风彦先生为公司副总裁。</w:t>
      </w:r>
    </w:p>
    <w:p>
      <w:pPr>
        <w:pStyle w:val="BodyText"/>
        <w:spacing w:line="300" w:lineRule="auto" w:before="77"/>
        <w:ind w:right="1137" w:firstLine="37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日，提名委员会召开第九届第四次会议，会议形成决议：同意提名凌震文先生为公司第九届董事会独 立董事候选人。</w:t>
      </w:r>
    </w:p>
    <w:p>
      <w:pPr>
        <w:pStyle w:val="BodyText"/>
        <w:spacing w:line="240" w:lineRule="auto" w:before="31"/>
        <w:ind w:left="532" w:right="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日，提名委员会召开第九届第五次会议，会议形成决议：同意提名刘昕先生为公司第九届董事会秘书。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0" w:firstLine="360"/>
        <w:jc w:val="both"/>
      </w:pPr>
      <w:r>
        <w:rPr>
          <w:spacing w:val="-2"/>
        </w:rPr>
        <w:t>报告期内，公司高级管理人员严格按照公司章程认真履职，积极落实公司董事会各项决议。根据公司的战略发展目标和</w:t>
      </w:r>
      <w:r>
        <w:rPr/>
        <w:t> </w:t>
      </w:r>
      <w:r>
        <w:rPr>
          <w:spacing w:val="-2"/>
        </w:rPr>
        <w:t>年度经营目标，公司薪酬与考核委员会，综合考虑高级管理人员的岗位贡献、增量贡献、相关行业的薪酬水平等因素，确定</w:t>
      </w:r>
      <w:r>
        <w:rPr>
          <w:spacing w:val="-67"/>
        </w:rPr>
        <w:t> </w:t>
      </w:r>
      <w:r>
        <w:rPr>
          <w:spacing w:val="-67"/>
        </w:rPr>
      </w:r>
      <w:r>
        <w:rPr>
          <w:spacing w:val="-2"/>
        </w:rPr>
        <w:t>高级管理人员的考核内容和薪酬；考核期内，按照高级管理人员岗位职责的履职情况、业绩达成情况、工作绩效的完成情况</w:t>
      </w:r>
      <w:r>
        <w:rPr>
          <w:spacing w:val="-64"/>
        </w:rPr>
        <w:t> </w:t>
      </w:r>
      <w:r>
        <w:rPr>
          <w:spacing w:val="-64"/>
        </w:rPr>
      </w:r>
      <w:r>
        <w:rPr/>
        <w:t>进行考评和优胜劣汰；同时为进一步让高级管理人员与公司利益一致，与公司共同成长，公司于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月实施了限制性股</w:t>
      </w:r>
      <w:r>
        <w:rPr>
          <w:spacing w:val="-84"/>
        </w:rPr>
        <w:t> </w:t>
      </w:r>
      <w:r>
        <w:rPr>
          <w:spacing w:val="-84"/>
        </w:rPr>
      </w:r>
      <w:r>
        <w:rPr/>
        <w:t>票激励计划。</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九、内部控制情况" w:id="149"/>
      <w:bookmarkEnd w:id="149"/>
      <w:r>
        <w:rPr>
          <w:b w:val="0"/>
          <w:bCs w:val="0"/>
        </w:rPr>
      </w:r>
      <w:r>
        <w:rPr/>
        <w:t>九、内部控制情况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819"/>
        <w:gridCol w:w="3410"/>
        <w:gridCol w:w="3331"/>
      </w:tblGrid>
      <w:tr>
        <w:trPr>
          <w:trHeight w:val="403"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巨潮资讯网《内部控制自我评价报告》</w:t>
            </w:r>
          </w:p>
        </w:tc>
      </w:tr>
      <w:tr>
        <w:trPr>
          <w:trHeight w:val="715"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9"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before="44"/>
        <w:ind w:left="0" w:right="1139"/>
        <w:jc w:val="right"/>
      </w:pPr>
      <w:r>
        <w:rPr/>
        <w:pict>
          <v:shape style="position:absolute;margin-left:56.459999pt;margin-top:-133.348297pt;width:479.2pt;height:464.3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3416"/>
                    <w:gridCol w:w="3320"/>
                  </w:tblGrid>
                  <w:tr>
                    <w:trPr>
                      <w:trHeight w:val="695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16"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4"/>
                            <w:sz w:val="18"/>
                            <w:szCs w:val="18"/>
                          </w:rPr>
                          <w:t>定性标准如下：存在下列情形之一时，认定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为财务报告的重大缺陷：（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）重述以前年度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的财务报告以纠正重大错报，该错报因财务</w:t>
                        </w:r>
                        <w:r>
                          <w:rPr>
                            <w:rFonts w:ascii="宋体" w:hAnsi="宋体" w:cs="宋体" w:eastAsia="宋体" w:hint="default"/>
                            <w:sz w:val="18"/>
                            <w:szCs w:val="18"/>
                          </w:rPr>
                          <w:t> </w:t>
                        </w:r>
                        <w:r>
                          <w:rPr>
                            <w:rFonts w:ascii="宋体" w:hAnsi="宋体" w:cs="宋体" w:eastAsia="宋体" w:hint="default"/>
                            <w:spacing w:val="-9"/>
                            <w:sz w:val="18"/>
                            <w:szCs w:val="18"/>
                          </w:rPr>
                          <w:t>报告内部控制缺陷导致；（</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）审计师在当期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审计中发现了财务报告中的重大错报，该错</w:t>
                        </w:r>
                        <w:r>
                          <w:rPr>
                            <w:rFonts w:ascii="宋体" w:hAnsi="宋体" w:cs="宋体" w:eastAsia="宋体" w:hint="default"/>
                            <w:sz w:val="18"/>
                            <w:szCs w:val="18"/>
                          </w:rPr>
                          <w:t> </w:t>
                        </w:r>
                        <w:r>
                          <w:rPr>
                            <w:rFonts w:ascii="宋体" w:hAnsi="宋体" w:cs="宋体" w:eastAsia="宋体" w:hint="default"/>
                            <w:spacing w:val="-9"/>
                            <w:sz w:val="18"/>
                            <w:szCs w:val="18"/>
                          </w:rPr>
                          <w:t>报并未被公司的内部控制所发现；（</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）审计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委员会对财务报告和相关内部控制缺乏有 </w:t>
                        </w:r>
                        <w:r>
                          <w:rPr>
                            <w:rFonts w:ascii="宋体" w:hAnsi="宋体" w:cs="宋体" w:eastAsia="宋体" w:hint="default"/>
                            <w:spacing w:val="-9"/>
                            <w:sz w:val="18"/>
                            <w:szCs w:val="18"/>
                          </w:rPr>
                          <w:t>效的监督；（</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）基本无效的内部审计和风险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评估职能；（</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）发现高级管理人员的重大舞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弊行为。存在下列情形之一时，认定为财务</w:t>
                        </w:r>
                        <w:r>
                          <w:rPr>
                            <w:rFonts w:ascii="宋体" w:hAnsi="宋体" w:cs="宋体" w:eastAsia="宋体" w:hint="default"/>
                            <w:sz w:val="18"/>
                            <w:szCs w:val="18"/>
                          </w:rPr>
                          <w:t> </w:t>
                        </w:r>
                        <w:r>
                          <w:rPr>
                            <w:rFonts w:ascii="宋体" w:hAnsi="宋体" w:cs="宋体" w:eastAsia="宋体" w:hint="default"/>
                            <w:spacing w:val="-9"/>
                            <w:sz w:val="18"/>
                            <w:szCs w:val="18"/>
                          </w:rPr>
                          <w:t>报告的重要缺陷：（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）在选择和实施与《企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业会计准则》相一致的会计政策方面存在内</w:t>
                        </w:r>
                        <w:r>
                          <w:rPr>
                            <w:rFonts w:ascii="宋体" w:hAnsi="宋体" w:cs="宋体" w:eastAsia="宋体" w:hint="default"/>
                            <w:sz w:val="18"/>
                            <w:szCs w:val="18"/>
                          </w:rPr>
                          <w:t> </w:t>
                        </w:r>
                        <w:r>
                          <w:rPr>
                            <w:rFonts w:ascii="宋体" w:hAnsi="宋体" w:cs="宋体" w:eastAsia="宋体" w:hint="default"/>
                            <w:spacing w:val="-9"/>
                            <w:sz w:val="18"/>
                            <w:szCs w:val="18"/>
                          </w:rPr>
                          <w:t>部控制缺陷；（</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）与财务报告相关的反舞弊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程序和控制受到干预；（</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）对于期末财务报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告过程的控制存在一项或多项缺陷且不能 </w:t>
                        </w:r>
                        <w:r>
                          <w:rPr>
                            <w:rFonts w:ascii="宋体" w:hAnsi="宋体" w:cs="宋体" w:eastAsia="宋体" w:hint="default"/>
                            <w:spacing w:val="-4"/>
                            <w:sz w:val="18"/>
                            <w:szCs w:val="18"/>
                          </w:rPr>
                          <w:t>合理保证编制的财务报表达到真实、准确的</w:t>
                        </w:r>
                        <w:r>
                          <w:rPr>
                            <w:rFonts w:ascii="宋体" w:hAnsi="宋体" w:cs="宋体" w:eastAsia="宋体" w:hint="default"/>
                            <w:sz w:val="18"/>
                            <w:szCs w:val="18"/>
                          </w:rPr>
                          <w:t> </w:t>
                        </w:r>
                        <w:r>
                          <w:rPr>
                            <w:rFonts w:ascii="宋体" w:hAnsi="宋体" w:cs="宋体" w:eastAsia="宋体" w:hint="default"/>
                            <w:spacing w:val="-5"/>
                            <w:sz w:val="18"/>
                            <w:szCs w:val="18"/>
                          </w:rPr>
                          <w:t>目标；（</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）货币资金、存货、收入、成本、</w:t>
                        </w:r>
                        <w:r>
                          <w:rPr>
                            <w:rFonts w:ascii="宋体" w:hAnsi="宋体" w:cs="宋体" w:eastAsia="宋体" w:hint="default"/>
                            <w:spacing w:val="-81"/>
                            <w:sz w:val="18"/>
                            <w:szCs w:val="18"/>
                          </w:rPr>
                          <w:t> </w:t>
                        </w:r>
                        <w:r>
                          <w:rPr>
                            <w:rFonts w:ascii="宋体" w:hAnsi="宋体" w:cs="宋体" w:eastAsia="宋体" w:hint="default"/>
                            <w:spacing w:val="-4"/>
                            <w:sz w:val="18"/>
                            <w:szCs w:val="18"/>
                          </w:rPr>
                          <w:t>在建工程、固定资产等重要会计科目的关键</w:t>
                        </w:r>
                        <w:r>
                          <w:rPr>
                            <w:rFonts w:ascii="宋体" w:hAnsi="宋体" w:cs="宋体" w:eastAsia="宋体" w:hint="default"/>
                            <w:sz w:val="18"/>
                            <w:szCs w:val="18"/>
                          </w:rPr>
                          <w:t> </w:t>
                        </w:r>
                        <w:r>
                          <w:rPr>
                            <w:rFonts w:ascii="宋体" w:hAnsi="宋体" w:cs="宋体" w:eastAsia="宋体" w:hint="default"/>
                            <w:spacing w:val="-4"/>
                            <w:sz w:val="18"/>
                            <w:szCs w:val="18"/>
                          </w:rPr>
                          <w:t>控制点在设计或执行方面存在明显缺陷，且</w:t>
                        </w:r>
                        <w:r>
                          <w:rPr>
                            <w:rFonts w:ascii="宋体" w:hAnsi="宋体" w:cs="宋体" w:eastAsia="宋体" w:hint="default"/>
                            <w:sz w:val="18"/>
                            <w:szCs w:val="18"/>
                          </w:rPr>
                          <w:t> </w:t>
                        </w:r>
                        <w:r>
                          <w:rPr>
                            <w:rFonts w:ascii="宋体" w:hAnsi="宋体" w:cs="宋体" w:eastAsia="宋体" w:hint="default"/>
                            <w:spacing w:val="-4"/>
                            <w:sz w:val="18"/>
                            <w:szCs w:val="18"/>
                          </w:rPr>
                          <w:t>缺乏补偿性控制程序替代。除重大缺陷、重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要缺陷之外的其他缺陷被认定为一般缺陷。</w:t>
                        </w:r>
                      </w:p>
                    </w:tc>
                    <w:tc>
                      <w:tcPr>
                        <w:tcW w:w="332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2"/>
                          <w:ind w:left="4" w:right="53"/>
                          <w:jc w:val="left"/>
                          <w:rPr>
                            <w:rFonts w:ascii="宋体" w:hAnsi="宋体" w:cs="宋体" w:eastAsia="宋体" w:hint="default"/>
                            <w:sz w:val="18"/>
                            <w:szCs w:val="18"/>
                          </w:rPr>
                        </w:pPr>
                        <w:r>
                          <w:rPr>
                            <w:rFonts w:ascii="宋体" w:hAnsi="宋体" w:cs="宋体" w:eastAsia="宋体" w:hint="default"/>
                            <w:sz w:val="18"/>
                            <w:szCs w:val="18"/>
                          </w:rPr>
                          <w:t>存在下列情形之一时，认定为非财务报告 </w:t>
                        </w:r>
                        <w:r>
                          <w:rPr>
                            <w:rFonts w:ascii="宋体" w:hAnsi="宋体" w:cs="宋体" w:eastAsia="宋体" w:hint="default"/>
                            <w:spacing w:val="-5"/>
                            <w:sz w:val="18"/>
                            <w:szCs w:val="18"/>
                          </w:rPr>
                          <w:t>的重大缺陷：（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）公司在税务管理、生产</w:t>
                        </w:r>
                        <w:r>
                          <w:rPr>
                            <w:rFonts w:ascii="宋体" w:hAnsi="宋体" w:cs="宋体" w:eastAsia="宋体" w:hint="default"/>
                            <w:spacing w:val="-86"/>
                            <w:sz w:val="18"/>
                            <w:szCs w:val="18"/>
                          </w:rPr>
                          <w:t> </w:t>
                        </w:r>
                        <w:r>
                          <w:rPr>
                            <w:rFonts w:ascii="宋体" w:hAnsi="宋体" w:cs="宋体" w:eastAsia="宋体" w:hint="default"/>
                            <w:sz w:val="18"/>
                            <w:szCs w:val="18"/>
                          </w:rPr>
                          <w:t>经营、社会责任等方面发生重大违法违规 事件和责任事故，给公司造成重要损失和 不利影响，或者遭受重大行政监管处罚， </w:t>
                        </w:r>
                        <w:r>
                          <w:rPr>
                            <w:rFonts w:ascii="宋体" w:hAnsi="宋体" w:cs="宋体" w:eastAsia="宋体" w:hint="default"/>
                            <w:spacing w:val="-5"/>
                            <w:sz w:val="18"/>
                            <w:szCs w:val="18"/>
                          </w:rPr>
                          <w:t>严重影响经营合规目标的实现；（</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pacing w:val="-83"/>
                            <w:sz w:val="18"/>
                            <w:szCs w:val="18"/>
                          </w:rPr>
                          <w:t> </w:t>
                        </w:r>
                        <w:r>
                          <w:rPr>
                            <w:rFonts w:ascii="宋体" w:hAnsi="宋体" w:cs="宋体" w:eastAsia="宋体" w:hint="default"/>
                            <w:spacing w:val="-4"/>
                            <w:sz w:val="18"/>
                            <w:szCs w:val="18"/>
                          </w:rPr>
                          <w:t>因资产安全管理失当，发生重大资产损失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存在下列情形之一时，认定为非财务报告 </w:t>
                        </w:r>
                        <w:r>
                          <w:rPr>
                            <w:rFonts w:ascii="宋体" w:hAnsi="宋体" w:cs="宋体" w:eastAsia="宋体" w:hint="default"/>
                            <w:spacing w:val="-5"/>
                            <w:sz w:val="18"/>
                            <w:szCs w:val="18"/>
                          </w:rPr>
                          <w:t>的重要缺陷：（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）招标采购、业务分包等</w:t>
                        </w:r>
                        <w:r>
                          <w:rPr>
                            <w:rFonts w:ascii="宋体" w:hAnsi="宋体" w:cs="宋体" w:eastAsia="宋体" w:hint="default"/>
                            <w:spacing w:val="-86"/>
                            <w:sz w:val="18"/>
                            <w:szCs w:val="18"/>
                          </w:rPr>
                          <w:t> </w:t>
                        </w:r>
                        <w:r>
                          <w:rPr>
                            <w:rFonts w:ascii="宋体" w:hAnsi="宋体" w:cs="宋体" w:eastAsia="宋体" w:hint="default"/>
                            <w:sz w:val="18"/>
                            <w:szCs w:val="18"/>
                          </w:rPr>
                          <w:t>生产运营环节存在明显违规，导致成本明 </w:t>
                        </w:r>
                        <w:r>
                          <w:rPr>
                            <w:rFonts w:ascii="宋体" w:hAnsi="宋体" w:cs="宋体" w:eastAsia="宋体" w:hint="default"/>
                            <w:spacing w:val="-5"/>
                            <w:sz w:val="18"/>
                            <w:szCs w:val="18"/>
                          </w:rPr>
                          <w:t>显上升或存在较大舞弊风险；（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）因管理</w:t>
                        </w:r>
                        <w:r>
                          <w:rPr>
                            <w:rFonts w:ascii="宋体" w:hAnsi="宋体" w:cs="宋体" w:eastAsia="宋体" w:hint="default"/>
                            <w:spacing w:val="-83"/>
                            <w:sz w:val="18"/>
                            <w:szCs w:val="18"/>
                          </w:rPr>
                          <w:t> </w:t>
                        </w:r>
                        <w:r>
                          <w:rPr>
                            <w:rFonts w:ascii="宋体" w:hAnsi="宋体" w:cs="宋体" w:eastAsia="宋体" w:hint="default"/>
                            <w:spacing w:val="-5"/>
                            <w:sz w:val="18"/>
                            <w:szCs w:val="18"/>
                          </w:rPr>
                          <w:t>不善存在较为明显的资产安全隐患；（</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投资论证不到位或不充分，投资实际情况 与投资目标严重偏离，造成投资决策较为 严重的失误或投资减值。除重大缺陷、重 要缺陷之外的其他缺陷被认定为一般缺 陷。</w:t>
                        </w:r>
                      </w:p>
                    </w:tc>
                  </w:tr>
                  <w:tr>
                    <w:trPr>
                      <w:trHeight w:val="716"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详见第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缺陷认定 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详见第 </w:t>
                        </w:r>
                        <w:r>
                          <w:rPr>
                            <w:rFonts w:ascii="Times New Roman" w:hAnsi="Times New Roman" w:cs="Times New Roman" w:eastAsia="Times New Roman" w:hint="default"/>
                            <w:sz w:val="18"/>
                            <w:szCs w:val="18"/>
                          </w:rPr>
                          <w:t>3 </w:t>
                        </w:r>
                        <w:r>
                          <w:rPr>
                            <w:rFonts w:ascii="宋体" w:hAnsi="宋体" w:cs="宋体" w:eastAsia="宋体" w:hint="default"/>
                            <w:sz w:val="18"/>
                            <w:szCs w:val="18"/>
                          </w:rPr>
                          <w:t>部分内控自我评价报告</w:t>
                        </w:r>
                        <w:r>
                          <w:rPr>
                            <w:rFonts w:ascii="Times New Roman" w:hAnsi="Times New Roman" w:cs="Times New Roman" w:eastAsia="Times New Roman" w:hint="default"/>
                            <w:sz w:val="18"/>
                            <w:szCs w:val="18"/>
                          </w:rPr>
                          <w:t>-</w:t>
                        </w:r>
                        <w:r>
                          <w:rPr>
                            <w:rFonts w:ascii="宋体" w:hAnsi="宋体" w:cs="宋体" w:eastAsia="宋体" w:hint="default"/>
                            <w:sz w:val="18"/>
                            <w:szCs w:val="18"/>
                          </w:rPr>
                          <w:t>缺陷认 定标准</w:t>
                        </w:r>
                        <w:r>
                          <w:rPr>
                            <w:rFonts w:ascii="Times New Roman" w:hAnsi="Times New Roman" w:cs="Times New Roman" w:eastAsia="Times New Roman" w:hint="default"/>
                            <w:sz w:val="18"/>
                            <w:szCs w:val="18"/>
                          </w:rPr>
                          <w:t>-</w:t>
                        </w:r>
                        <w:r>
                          <w:rPr>
                            <w:rFonts w:ascii="宋体" w:hAnsi="宋体" w:cs="宋体" w:eastAsia="宋体" w:hint="default"/>
                            <w:sz w:val="18"/>
                            <w:szCs w:val="18"/>
                          </w:rPr>
                          <w:t>定量标准</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780" w:lineRule="exact"/>
        <w:ind w:left="639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66.1pt;height:39pt;mso-position-horizontal-relative:char;mso-position-vertical-relative:line" coordorigin="0,0" coordsize="3322,780">
            <v:group style="position:absolute;left:0;top:0;width:3322;height:780" coordorigin="0,0" coordsize="3322,780">
              <v:shape style="position:absolute;left:0;top:0;width:3322;height:780" coordorigin="0,0" coordsize="3322,780" path="m0,780l3322,780,3322,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bookmarkStart w:name="3、 内控自我评价报告-缺陷认定标准-定量标准" w:id="152"/>
      <w:bookmarkEnd w:id="152"/>
      <w:r>
        <w:rPr>
          <w:b w:val="0"/>
          <w:bCs w:val="0"/>
        </w:rPr>
      </w:r>
      <w:r>
        <w:rPr>
          <w:rFonts w:ascii="Times New Roman" w:hAnsi="Times New Roman" w:cs="Times New Roman" w:eastAsia="Times New Roman" w:hint="default"/>
        </w:rPr>
        <w:t>3</w:t>
      </w:r>
      <w:r>
        <w:rPr/>
        <w:t>、</w:t>
      </w:r>
      <w:r>
        <w:rPr>
          <w:spacing w:val="-4"/>
        </w:rPr>
        <w:t> </w:t>
      </w:r>
      <w:r>
        <w:rPr/>
        <w:t>内控自我评价报告</w:t>
      </w:r>
      <w:r>
        <w:rPr>
          <w:rFonts w:ascii="Times New Roman" w:hAnsi="Times New Roman" w:cs="Times New Roman" w:eastAsia="Times New Roman" w:hint="default"/>
        </w:rPr>
        <w:t>-</w:t>
      </w:r>
      <w:r>
        <w:rPr/>
        <w:t>缺陷认定标准</w:t>
      </w:r>
      <w:r>
        <w:rPr>
          <w:rFonts w:ascii="Times New Roman" w:hAnsi="Times New Roman" w:cs="Times New Roman" w:eastAsia="Times New Roman" w:hint="default"/>
        </w:rPr>
        <w:t>-</w:t>
      </w:r>
      <w:r>
        <w:rPr/>
        <w:t>定量标准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）财务报告内部控制缺陷认定标准</w:t>
      </w:r>
      <w:r>
        <w:rPr>
          <w:b w:val="0"/>
          <w:bCs w:val="0"/>
        </w:rPr>
      </w:r>
    </w:p>
    <w:p>
      <w:pPr>
        <w:spacing w:line="240" w:lineRule="auto" w:before="10"/>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2415"/>
        <w:gridCol w:w="2415"/>
        <w:gridCol w:w="2415"/>
        <w:gridCol w:w="2415"/>
      </w:tblGrid>
      <w:tr>
        <w:trPr>
          <w:trHeight w:val="411" w:hRule="exact"/>
        </w:trPr>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指标名称</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1049" w:hRule="exact"/>
        </w:trPr>
        <w:tc>
          <w:tcPr>
            <w:tcW w:w="24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营业收入错报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营业收入错报金额＞合并会计 报表营业收入的</w:t>
            </w:r>
            <w:r>
              <w:rPr>
                <w:rFonts w:ascii="Times New Roman" w:hAnsi="Times New Roman" w:cs="Times New Roman" w:eastAsia="Times New Roman" w:hint="default"/>
                <w:sz w:val="18"/>
                <w:szCs w:val="18"/>
              </w:rPr>
              <w:t>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合并会计报表营业收入的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 会计报表营业收入的</w:t>
            </w:r>
            <w:r>
              <w:rPr>
                <w:rFonts w:ascii="Times New Roman" w:hAnsi="Times New Roman" w:cs="Times New Roman" w:eastAsia="Times New Roman" w:hint="default"/>
                <w:sz w:val="18"/>
                <w:szCs w:val="18"/>
              </w:rPr>
              <w:t>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5"/>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营业收入错报金额＜合并会计 </w:t>
            </w:r>
            <w:r>
              <w:rPr>
                <w:rFonts w:ascii="宋体" w:hAnsi="宋体" w:cs="宋体" w:eastAsia="宋体" w:hint="default"/>
                <w:sz w:val="18"/>
                <w:szCs w:val="18"/>
              </w:rPr>
              <w:t>报表营业收入的</w:t>
            </w:r>
            <w:r>
              <w:rPr>
                <w:rFonts w:ascii="Times New Roman" w:hAnsi="Times New Roman" w:cs="Times New Roman" w:eastAsia="Times New Roman" w:hint="default"/>
                <w:sz w:val="18"/>
                <w:szCs w:val="18"/>
              </w:rPr>
              <w:t>0.5%</w:t>
            </w:r>
          </w:p>
        </w:tc>
      </w:tr>
      <w:tr>
        <w:trPr>
          <w:trHeight w:val="1051"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利润总额错报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利润总额错报金额＞合并会计 报表利润总额的</w:t>
            </w:r>
            <w:r>
              <w:rPr>
                <w:rFonts w:ascii="Times New Roman" w:hAnsi="Times New Roman" w:cs="Times New Roman" w:eastAsia="Times New Roman" w:hint="default"/>
                <w:sz w:val="18"/>
                <w:szCs w:val="18"/>
              </w:rPr>
              <w:t>10%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6"/>
              <w:jc w:val="both"/>
              <w:rPr>
                <w:rFonts w:ascii="Times New Roman" w:hAnsi="Times New Roman" w:cs="Times New Roman" w:eastAsia="Times New Roman" w:hint="default"/>
                <w:sz w:val="18"/>
                <w:szCs w:val="18"/>
              </w:rPr>
            </w:pPr>
            <w:r>
              <w:rPr>
                <w:rFonts w:ascii="宋体" w:hAnsi="宋体" w:cs="宋体" w:eastAsia="宋体" w:hint="default"/>
                <w:sz w:val="18"/>
                <w:szCs w:val="18"/>
              </w:rPr>
              <w:t>合并会计报表利润总额的</w:t>
            </w:r>
            <w:r>
              <w:rPr>
                <w:rFonts w:ascii="Times New Roman" w:hAnsi="Times New Roman" w:cs="Times New Roman" w:eastAsia="Times New Roman" w:hint="default"/>
                <w:sz w:val="18"/>
                <w:szCs w:val="18"/>
              </w:rPr>
              <w:t>6%≤</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利润总额错报金额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 报表利润总额的</w:t>
            </w:r>
            <w:r>
              <w:rPr>
                <w:rFonts w:ascii="Times New Roman" w:hAnsi="Times New Roman" w:cs="Times New Roman" w:eastAsia="Times New Roman" w:hint="default"/>
                <w:sz w:val="18"/>
                <w:szCs w:val="18"/>
              </w:rPr>
              <w:t>10%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利润总额错报金额＜合并会计 报表利润总额的</w:t>
            </w:r>
            <w:r>
              <w:rPr>
                <w:rFonts w:ascii="Times New Roman" w:hAnsi="Times New Roman" w:cs="Times New Roman" w:eastAsia="Times New Roman" w:hint="default"/>
                <w:sz w:val="18"/>
                <w:szCs w:val="18"/>
              </w:rPr>
              <w:t>6%</w:t>
            </w:r>
          </w:p>
        </w:tc>
      </w:tr>
      <w:tr>
        <w:trPr>
          <w:trHeight w:val="430"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资产错报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3"/>
              <w:jc w:val="center"/>
              <w:rPr>
                <w:rFonts w:ascii="宋体" w:hAnsi="宋体" w:cs="宋体" w:eastAsia="宋体" w:hint="default"/>
                <w:sz w:val="18"/>
                <w:szCs w:val="18"/>
              </w:rPr>
            </w:pPr>
            <w:r>
              <w:rPr>
                <w:rFonts w:ascii="宋体" w:hAnsi="宋体" w:cs="宋体" w:eastAsia="宋体" w:hint="default"/>
                <w:sz w:val="18"/>
                <w:szCs w:val="18"/>
              </w:rPr>
              <w:t>资产总额错报金额＞合并会计</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合并会计报表资产总额的</w:t>
            </w:r>
            <w:r>
              <w:rPr>
                <w:rFonts w:ascii="Times New Roman" w:hAnsi="Times New Roman" w:cs="Times New Roman" w:eastAsia="Times New Roman" w:hint="default"/>
                <w:sz w:val="18"/>
                <w:szCs w:val="18"/>
              </w:rPr>
              <w:t>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3"/>
              <w:jc w:val="center"/>
              <w:rPr>
                <w:rFonts w:ascii="宋体" w:hAnsi="宋体" w:cs="宋体" w:eastAsia="宋体" w:hint="default"/>
                <w:sz w:val="18"/>
                <w:szCs w:val="18"/>
              </w:rPr>
            </w:pPr>
            <w:r>
              <w:rPr>
                <w:rFonts w:ascii="宋体" w:hAnsi="宋体" w:cs="宋体" w:eastAsia="宋体" w:hint="default"/>
                <w:sz w:val="18"/>
                <w:szCs w:val="18"/>
              </w:rPr>
              <w:t>资产总额错报金额＜合并会计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36" w:type="dxa"/>
        <w:tblLayout w:type="fixed"/>
        <w:tblCellMar>
          <w:top w:w="0" w:type="dxa"/>
          <w:left w:w="0" w:type="dxa"/>
          <w:bottom w:w="0" w:type="dxa"/>
          <w:right w:w="0" w:type="dxa"/>
        </w:tblCellMar>
        <w:tblLook w:val="01E0"/>
      </w:tblPr>
      <w:tblGrid>
        <w:gridCol w:w="2415"/>
        <w:gridCol w:w="2415"/>
        <w:gridCol w:w="2415"/>
        <w:gridCol w:w="2415"/>
      </w:tblGrid>
      <w:tr>
        <w:trPr>
          <w:trHeight w:val="428" w:hRule="exact"/>
        </w:trPr>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指标名称</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78"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80"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80"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698" w:hRule="exact"/>
        </w:trPr>
        <w:tc>
          <w:tcPr>
            <w:tcW w:w="2415"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报表资产总额的</w:t>
            </w:r>
            <w:r>
              <w:rPr>
                <w:rFonts w:ascii="Times New Roman" w:hAnsi="Times New Roman" w:cs="Times New Roman" w:eastAsia="Times New Roman" w:hint="default"/>
                <w:sz w:val="18"/>
                <w:szCs w:val="18"/>
              </w:rPr>
              <w:t>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 报表资产总额的</w:t>
            </w:r>
            <w:r>
              <w:rPr>
                <w:rFonts w:ascii="Times New Roman" w:hAnsi="Times New Roman" w:cs="Times New Roman" w:eastAsia="Times New Roman" w:hint="default"/>
                <w:sz w:val="18"/>
                <w:szCs w:val="18"/>
              </w:rPr>
              <w:t>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报表资产总额的</w:t>
            </w:r>
            <w:r>
              <w:rPr>
                <w:rFonts w:ascii="Times New Roman" w:hAnsi="Times New Roman" w:cs="Times New Roman" w:eastAsia="Times New Roman" w:hint="default"/>
                <w:sz w:val="18"/>
                <w:szCs w:val="18"/>
              </w:rPr>
              <w:t>2%</w:t>
            </w:r>
          </w:p>
        </w:tc>
      </w:tr>
      <w:tr>
        <w:trPr>
          <w:trHeight w:val="1051"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负债错报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负债总额错报金额＞合并会计 报表负债总额的</w:t>
            </w:r>
            <w:r>
              <w:rPr>
                <w:rFonts w:ascii="Times New Roman" w:hAnsi="Times New Roman" w:cs="Times New Roman" w:eastAsia="Times New Roman" w:hint="default"/>
                <w:sz w:val="18"/>
                <w:szCs w:val="18"/>
              </w:rPr>
              <w:t>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6"/>
              <w:jc w:val="both"/>
              <w:rPr>
                <w:rFonts w:ascii="Times New Roman" w:hAnsi="Times New Roman" w:cs="Times New Roman" w:eastAsia="Times New Roman" w:hint="default"/>
                <w:sz w:val="18"/>
                <w:szCs w:val="18"/>
              </w:rPr>
            </w:pPr>
            <w:r>
              <w:rPr>
                <w:rFonts w:ascii="宋体" w:hAnsi="宋体" w:cs="宋体" w:eastAsia="宋体" w:hint="default"/>
                <w:sz w:val="18"/>
                <w:szCs w:val="18"/>
              </w:rPr>
              <w:t>合并会计报表负债总额的</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负债总额错报金额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 报表负债总额的</w:t>
            </w:r>
            <w:r>
              <w:rPr>
                <w:rFonts w:ascii="Times New Roman" w:hAnsi="Times New Roman" w:cs="Times New Roman" w:eastAsia="Times New Roman" w:hint="default"/>
                <w:sz w:val="18"/>
                <w:szCs w:val="18"/>
              </w:rPr>
              <w:t>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负债总额错报金额＜合并会计 报表负债总额的</w:t>
            </w:r>
            <w:r>
              <w:rPr>
                <w:rFonts w:ascii="Times New Roman" w:hAnsi="Times New Roman" w:cs="Times New Roman" w:eastAsia="Times New Roman" w:hint="default"/>
                <w:sz w:val="18"/>
                <w:szCs w:val="18"/>
              </w:rPr>
              <w:t>2%</w:t>
            </w:r>
          </w:p>
        </w:tc>
      </w:tr>
      <w:tr>
        <w:trPr>
          <w:trHeight w:val="1363"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所有者权益错报</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2"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所有者权益总额错报金额＞合 并会计报表所有者权益总额的 </w:t>
            </w:r>
            <w:r>
              <w:rPr>
                <w:rFonts w:ascii="Times New Roman" w:hAnsi="Times New Roman" w:cs="Times New Roman" w:eastAsia="Times New Roman" w:hint="default"/>
                <w:sz w:val="18"/>
                <w:szCs w:val="18"/>
              </w:rPr>
              <w:t>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8"/>
              <w:ind w:left="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合并会计报表所有者权益总额 的</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所有者权益总额错报金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合并会计报表所有者权益 总额的</w:t>
            </w:r>
            <w:r>
              <w:rPr>
                <w:rFonts w:ascii="Times New Roman" w:hAnsi="Times New Roman" w:cs="Times New Roman" w:eastAsia="Times New Roman" w:hint="default"/>
                <w:sz w:val="18"/>
                <w:szCs w:val="18"/>
              </w:rPr>
              <w:t>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2"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所有者权益总额错报金额＜合 并会计报表所有者权益总额的 </w:t>
            </w:r>
            <w:r>
              <w:rPr>
                <w:rFonts w:ascii="Times New Roman" w:hAnsi="Times New Roman" w:cs="Times New Roman" w:eastAsia="Times New Roman" w:hint="default"/>
                <w:sz w:val="18"/>
                <w:szCs w:val="18"/>
              </w:rPr>
              <w:t>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）非财务报告内部控制缺陷认定标准</w:t>
      </w:r>
      <w:r>
        <w:rPr>
          <w:b w:val="0"/>
          <w:bCs w:val="0"/>
        </w:rPr>
      </w:r>
    </w:p>
    <w:p>
      <w:pPr>
        <w:spacing w:line="240" w:lineRule="auto" w:before="13"/>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2415"/>
        <w:gridCol w:w="2415"/>
        <w:gridCol w:w="2415"/>
        <w:gridCol w:w="2415"/>
      </w:tblGrid>
      <w:tr>
        <w:trPr>
          <w:trHeight w:val="391" w:hRule="exact"/>
        </w:trPr>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指标名称</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left="478" w:right="0"/>
              <w:jc w:val="left"/>
              <w:rPr>
                <w:rFonts w:ascii="宋体" w:hAnsi="宋体" w:cs="宋体" w:eastAsia="宋体" w:hint="default"/>
                <w:sz w:val="18"/>
                <w:szCs w:val="18"/>
              </w:rPr>
            </w:pPr>
            <w:r>
              <w:rPr>
                <w:rFonts w:ascii="宋体" w:hAnsi="宋体" w:cs="宋体" w:eastAsia="宋体" w:hint="default"/>
                <w:sz w:val="18"/>
                <w:szCs w:val="18"/>
              </w:rPr>
              <w:t>重大缺陷定量标准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left="480" w:right="0"/>
              <w:jc w:val="left"/>
              <w:rPr>
                <w:rFonts w:ascii="宋体" w:hAnsi="宋体" w:cs="宋体" w:eastAsia="宋体" w:hint="default"/>
                <w:sz w:val="18"/>
                <w:szCs w:val="18"/>
              </w:rPr>
            </w:pPr>
            <w:r>
              <w:rPr>
                <w:rFonts w:ascii="宋体" w:hAnsi="宋体" w:cs="宋体" w:eastAsia="宋体" w:hint="default"/>
                <w:sz w:val="18"/>
                <w:szCs w:val="18"/>
              </w:rPr>
              <w:t>重要缺陷定量标准</w:t>
            </w:r>
          </w:p>
        </w:tc>
        <w:tc>
          <w:tcPr>
            <w:tcW w:w="241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1"/>
              <w:ind w:left="480" w:right="0"/>
              <w:jc w:val="left"/>
              <w:rPr>
                <w:rFonts w:ascii="宋体" w:hAnsi="宋体" w:cs="宋体" w:eastAsia="宋体" w:hint="default"/>
                <w:sz w:val="18"/>
                <w:szCs w:val="18"/>
              </w:rPr>
            </w:pPr>
            <w:r>
              <w:rPr>
                <w:rFonts w:ascii="宋体" w:hAnsi="宋体" w:cs="宋体" w:eastAsia="宋体" w:hint="default"/>
                <w:sz w:val="18"/>
                <w:szCs w:val="18"/>
              </w:rPr>
              <w:t>一般缺陷定量标准</w:t>
            </w:r>
          </w:p>
        </w:tc>
      </w:tr>
      <w:tr>
        <w:trPr>
          <w:trHeight w:val="1068" w:hRule="exact"/>
        </w:trPr>
        <w:tc>
          <w:tcPr>
            <w:tcW w:w="2415"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73"/>
              <w:ind w:left="2" w:right="57"/>
              <w:jc w:val="both"/>
              <w:rPr>
                <w:rFonts w:ascii="宋体" w:hAnsi="宋体" w:cs="宋体" w:eastAsia="宋体" w:hint="default"/>
                <w:sz w:val="18"/>
                <w:szCs w:val="18"/>
              </w:rPr>
            </w:pPr>
            <w:r>
              <w:rPr>
                <w:rFonts w:ascii="宋体" w:hAnsi="宋体" w:cs="宋体" w:eastAsia="宋体" w:hint="default"/>
                <w:sz w:val="18"/>
                <w:szCs w:val="18"/>
              </w:rPr>
              <w:t>因存货损失、固定资产损失、 坏账损失或资产处置价值过低 等造成的资产损失金额</w:t>
            </w:r>
          </w:p>
        </w:tc>
        <w:tc>
          <w:tcPr>
            <w:tcW w:w="2415" w:type="dxa"/>
            <w:tcBorders>
              <w:top w:val="single" w:sz="10" w:space="0" w:color="000000"/>
              <w:left w:val="single" w:sz="6" w:space="0" w:color="000000"/>
              <w:bottom w:val="single" w:sz="6" w:space="0" w:color="000000"/>
              <w:right w:val="single" w:sz="6" w:space="0" w:color="000000"/>
            </w:tcBorders>
          </w:tcPr>
          <w:p>
            <w:pPr>
              <w:pStyle w:val="TableParagraph"/>
              <w:spacing w:line="314" w:lineRule="auto" w:before="73"/>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资产损失金额＞合并会计报表 所有者权益总额的</w:t>
            </w:r>
            <w:r>
              <w:rPr>
                <w:rFonts w:ascii="Times New Roman" w:hAnsi="Times New Roman" w:cs="Times New Roman" w:eastAsia="Times New Roman" w:hint="default"/>
                <w:sz w:val="18"/>
                <w:szCs w:val="18"/>
              </w:rPr>
              <w:t>10%</w:t>
            </w:r>
          </w:p>
        </w:tc>
        <w:tc>
          <w:tcPr>
            <w:tcW w:w="2415" w:type="dxa"/>
            <w:tcBorders>
              <w:top w:val="single" w:sz="10" w:space="0" w:color="000000"/>
              <w:left w:val="single" w:sz="6" w:space="0" w:color="000000"/>
              <w:bottom w:val="single" w:sz="6" w:space="0" w:color="000000"/>
              <w:right w:val="single" w:sz="6" w:space="0" w:color="000000"/>
            </w:tcBorders>
          </w:tcPr>
          <w:p>
            <w:pPr>
              <w:pStyle w:val="TableParagraph"/>
              <w:spacing w:line="307" w:lineRule="auto" w:before="73"/>
              <w:ind w:left="2" w:right="57"/>
              <w:jc w:val="both"/>
              <w:rPr>
                <w:rFonts w:ascii="Times New Roman" w:hAnsi="Times New Roman" w:cs="Times New Roman" w:eastAsia="Times New Roman" w:hint="default"/>
                <w:sz w:val="18"/>
                <w:szCs w:val="18"/>
              </w:rPr>
            </w:pPr>
            <w:r>
              <w:rPr>
                <w:rFonts w:ascii="宋体" w:hAnsi="宋体" w:cs="宋体" w:eastAsia="宋体" w:hint="default"/>
                <w:sz w:val="18"/>
                <w:szCs w:val="18"/>
              </w:rPr>
              <w:t>合并会计报表所有者权益总额 的</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资产损失金额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 计报表所有者权益总额的</w:t>
            </w:r>
            <w:r>
              <w:rPr>
                <w:rFonts w:ascii="Times New Roman" w:hAnsi="Times New Roman" w:cs="Times New Roman" w:eastAsia="Times New Roman" w:hint="default"/>
                <w:sz w:val="18"/>
                <w:szCs w:val="18"/>
              </w:rPr>
              <w:t>10%</w:t>
            </w:r>
          </w:p>
        </w:tc>
        <w:tc>
          <w:tcPr>
            <w:tcW w:w="2415" w:type="dxa"/>
            <w:tcBorders>
              <w:top w:val="single" w:sz="10" w:space="0" w:color="000000"/>
              <w:left w:val="single" w:sz="6" w:space="0" w:color="000000"/>
              <w:bottom w:val="single" w:sz="6" w:space="0" w:color="000000"/>
              <w:right w:val="single" w:sz="6" w:space="0" w:color="000000"/>
            </w:tcBorders>
          </w:tcPr>
          <w:p>
            <w:pPr>
              <w:pStyle w:val="TableParagraph"/>
              <w:spacing w:line="314" w:lineRule="auto" w:before="73"/>
              <w:ind w:left="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资产损失金额＜合并会计报表 所有者权益总额的</w:t>
            </w:r>
            <w:r>
              <w:rPr>
                <w:rFonts w:ascii="Times New Roman" w:hAnsi="Times New Roman" w:cs="Times New Roman" w:eastAsia="Times New Roman" w:hint="default"/>
                <w:sz w:val="18"/>
                <w:szCs w:val="18"/>
              </w:rPr>
              <w:t>5%</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155"/>
        <w:jc w:val="right"/>
      </w:pPr>
      <w:r>
        <w:rPr/>
        <w:pict>
          <v:shape style="position:absolute;margin-left:56.400002pt;margin-top:-49.948246pt;width:479.3pt;height:184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25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根据《企业内部控制审计指引》及中国注册会计师执业准则的相关要求，信永中和会计师事务所（特殊普通合伙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（以下</w:t>
                        </w:r>
                        <w:r>
                          <w:rPr>
                            <w:rFonts w:ascii="宋体" w:hAnsi="宋体" w:cs="宋体" w:eastAsia="宋体" w:hint="default"/>
                            <w:sz w:val="18"/>
                            <w:szCs w:val="18"/>
                          </w:rPr>
                          <w:t> 简称</w:t>
                        </w:r>
                        <w:r>
                          <w:rPr>
                            <w:rFonts w:ascii="宋体" w:hAnsi="宋体" w:cs="宋体" w:eastAsia="宋体" w:hint="default"/>
                            <w:spacing w:val="-92"/>
                            <w:sz w:val="18"/>
                            <w:szCs w:val="18"/>
                          </w:rPr>
                          <w:t>：</w:t>
                        </w:r>
                        <w:r>
                          <w:rPr>
                            <w:rFonts w:ascii="宋体" w:hAnsi="宋体" w:cs="宋体" w:eastAsia="宋体" w:hint="default"/>
                            <w:sz w:val="18"/>
                            <w:szCs w:val="18"/>
                          </w:rPr>
                          <w:t>“信永中和</w:t>
                        </w:r>
                        <w:r>
                          <w:rPr>
                            <w:rFonts w:ascii="宋体" w:hAnsi="宋体" w:cs="宋体" w:eastAsia="宋体" w:hint="default"/>
                            <w:spacing w:val="-92"/>
                            <w:sz w:val="18"/>
                            <w:szCs w:val="18"/>
                          </w:rPr>
                          <w:t>”</w:t>
                        </w:r>
                        <w:r>
                          <w:rPr>
                            <w:rFonts w:ascii="宋体" w:hAnsi="宋体" w:cs="宋体" w:eastAsia="宋体" w:hint="default"/>
                            <w:sz w:val="18"/>
                            <w:szCs w:val="18"/>
                          </w:rPr>
                          <w:t>）对公司</w:t>
                        </w:r>
                        <w:r>
                          <w:rPr>
                            <w:rFonts w:ascii="宋体" w:hAnsi="宋体" w:cs="宋体" w:eastAsia="宋体" w:hint="default"/>
                            <w:spacing w:val="2"/>
                            <w:sz w:val="18"/>
                            <w:szCs w:val="18"/>
                          </w:rPr>
                          <w:t>截</w:t>
                        </w:r>
                        <w:r>
                          <w:rPr>
                            <w:rFonts w:ascii="宋体" w:hAnsi="宋体" w:cs="宋体" w:eastAsia="宋体" w:hint="default"/>
                            <w:sz w:val="18"/>
                            <w:szCs w:val="18"/>
                          </w:rPr>
                          <w:t>止</w:t>
                        </w:r>
                        <w:r>
                          <w:rPr>
                            <w:rFonts w:ascii="宋体" w:hAnsi="宋体" w:cs="宋体" w:eastAsia="宋体" w:hint="default"/>
                            <w:spacing w:val="1"/>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日的财</w:t>
                        </w:r>
                        <w:r>
                          <w:rPr>
                            <w:rFonts w:ascii="宋体" w:hAnsi="宋体" w:cs="宋体" w:eastAsia="宋体" w:hint="default"/>
                            <w:spacing w:val="-3"/>
                            <w:sz w:val="18"/>
                            <w:szCs w:val="18"/>
                          </w:rPr>
                          <w:t>务</w:t>
                        </w:r>
                        <w:r>
                          <w:rPr>
                            <w:rFonts w:ascii="宋体" w:hAnsi="宋体" w:cs="宋体" w:eastAsia="宋体" w:hint="default"/>
                            <w:sz w:val="18"/>
                            <w:szCs w:val="18"/>
                          </w:rPr>
                          <w:t>报告内部控制的有效性进行了审计，出具了《内部控制审计报</w:t>
                        </w:r>
                      </w:p>
                      <w:p>
                        <w:pPr>
                          <w:pStyle w:val="TableParagraph"/>
                          <w:spacing w:line="316" w:lineRule="auto" w:before="19"/>
                          <w:ind w:left="24" w:right="128"/>
                          <w:jc w:val="left"/>
                          <w:rPr>
                            <w:rFonts w:ascii="宋体" w:hAnsi="宋体" w:cs="宋体" w:eastAsia="宋体" w:hint="default"/>
                            <w:sz w:val="18"/>
                            <w:szCs w:val="18"/>
                          </w:rPr>
                        </w:pPr>
                        <w:r>
                          <w:rPr>
                            <w:rFonts w:ascii="宋体" w:hAnsi="宋体" w:cs="宋体" w:eastAsia="宋体" w:hint="default"/>
                            <w:spacing w:val="-3"/>
                            <w:sz w:val="18"/>
                            <w:szCs w:val="18"/>
                          </w:rPr>
                          <w:t>告》，并发表如下意见：信永中和认为，神州数码集团股份有限公司于</w:t>
                        </w:r>
                        <w:r>
                          <w:rPr>
                            <w:rFonts w:ascii="宋体" w:hAnsi="宋体" w:cs="宋体" w:eastAsia="宋体" w:hint="default"/>
                            <w:spacing w:val="6"/>
                            <w:sz w:val="18"/>
                            <w:szCs w:val="18"/>
                          </w:rPr>
                          <w:t> </w:t>
                        </w:r>
                        <w:r>
                          <w:rPr>
                            <w:rFonts w:ascii="宋体" w:hAnsi="宋体" w:cs="宋体" w:eastAsia="宋体" w:hint="default"/>
                            <w:spacing w:val="-1"/>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pacing w:val="-1"/>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31</w:t>
                        </w:r>
                        <w:r>
                          <w:rPr>
                            <w:rFonts w:ascii="宋体" w:hAnsi="宋体" w:cs="宋体" w:eastAsia="宋体" w:hint="default"/>
                            <w:spacing w:val="-42"/>
                            <w:sz w:val="18"/>
                            <w:szCs w:val="18"/>
                          </w:rPr>
                          <w:t> </w:t>
                        </w:r>
                        <w:r>
                          <w:rPr>
                            <w:rFonts w:ascii="宋体" w:hAnsi="宋体" w:cs="宋体" w:eastAsia="宋体" w:hint="default"/>
                            <w:spacing w:val="-1"/>
                            <w:sz w:val="18"/>
                            <w:szCs w:val="18"/>
                          </w:rPr>
                          <w:t>日按照《企业内部控制基本规范</w:t>
                        </w:r>
                        <w:r>
                          <w:rPr>
                            <w:rFonts w:ascii="宋体" w:hAnsi="宋体" w:cs="宋体" w:eastAsia="宋体" w:hint="default"/>
                            <w:sz w:val="18"/>
                            <w:szCs w:val="18"/>
                          </w:rPr>
                          <w:t> 和相关规定在所有重大方面保持了有效的财务报告内部控制。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巨潮资讯网《内部控制审计报告》</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right="0"/>
        <w:jc w:val="left"/>
      </w:pPr>
      <w:r>
        <w:rPr/>
        <w:t>会计师事务所是否出具非标准意见的内部控制审计报告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footerReference w:type="default" r:id="rId24"/>
          <w:pgSz w:w="11910" w:h="16840"/>
          <w:pgMar w:footer="980" w:header="877" w:top="1100" w:bottom="1160" w:left="98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0"/>
        <w:jc w:val="left"/>
        <w:rPr>
          <w:b w:val="0"/>
          <w:bCs w:val="0"/>
        </w:rPr>
      </w:pPr>
      <w:bookmarkStart w:name="第十一节 公司债券相关情况" w:id="154"/>
      <w:bookmarkEnd w:id="154"/>
      <w:r>
        <w:rPr>
          <w:b w:val="0"/>
          <w:bCs w:val="0"/>
        </w:rPr>
      </w:r>
      <w:bookmarkStart w:name="_bookmark9" w:id="155"/>
      <w:bookmarkEnd w:id="155"/>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0"/>
        <w:jc w:val="left"/>
        <w:rPr>
          <w:b w:val="0"/>
          <w:bCs w:val="0"/>
        </w:rPr>
      </w:pPr>
      <w:bookmarkStart w:name="第十二节 财务报告" w:id="156"/>
      <w:bookmarkEnd w:id="156"/>
      <w:r>
        <w:rPr>
          <w:b w:val="0"/>
          <w:bCs w:val="0"/>
        </w:rPr>
      </w:r>
      <w:bookmarkStart w:name="_bookmark10" w:id="157"/>
      <w:bookmarkEnd w:id="157"/>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XYZH/2020BJA11009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561" w:lineRule="auto"/>
        <w:ind w:left="152" w:right="0"/>
        <w:jc w:val="left"/>
        <w:rPr>
          <w:b w:val="0"/>
          <w:bCs w:val="0"/>
        </w:rPr>
      </w:pPr>
      <w:r>
        <w:rPr>
          <w:w w:val="95"/>
        </w:rPr>
        <w:t>神州数码集团股份有限公司全体股东：</w:t>
      </w:r>
      <w:r>
        <w:rPr>
          <w:spacing w:val="65"/>
          <w:w w:val="95"/>
        </w:rPr>
        <w:t> </w:t>
      </w:r>
      <w:r>
        <w:rPr>
          <w:spacing w:val="65"/>
          <w:w w:val="95"/>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580" w:bottom="700" w:left="980" w:right="0"/>
          <w:cols w:num="2" w:equalWidth="0">
            <w:col w:w="3224" w:space="1056"/>
            <w:col w:w="6650"/>
          </w:cols>
        </w:sectPr>
      </w:pPr>
    </w:p>
    <w:p>
      <w:pPr>
        <w:pStyle w:val="BodyText"/>
        <w:spacing w:line="300" w:lineRule="auto" w:before="75"/>
        <w:ind w:right="0" w:firstLine="360"/>
        <w:jc w:val="left"/>
      </w:pPr>
      <w:r>
        <w:rPr>
          <w:spacing w:val="-2"/>
        </w:rPr>
        <w:t>我们审计了神州数码集团股份有限公司（以下简称神州数码）财务报表，包括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我们认为，后附的财务报表在所有重大方面按照企业会计准则的规定编制，公允反映了神州数码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552" w:lineRule="exact" w:before="21"/>
        <w:ind w:left="513" w:right="0" w:hanging="36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阐述了我们在这些准则下的责任。按照中国注册会计师职业道德守则，我们独立于神州数码，并履行了职业道德方面的其他</w:t>
      </w:r>
      <w:r>
        <w:rPr>
          <w:spacing w:val="-63"/>
        </w:rPr>
        <w:t> </w:t>
      </w:r>
      <w:r>
        <w:rPr>
          <w:spacing w:val="-63"/>
        </w:rPr>
      </w:r>
      <w:r>
        <w:rPr/>
        <w:t>责任。我们相信，我们获取的审计证据是充分、适当的，为发表审计意见提供了基础。</w:t>
      </w:r>
    </w:p>
    <w:p>
      <w:pPr>
        <w:pStyle w:val="BodyText"/>
        <w:spacing w:line="552" w:lineRule="exact" w:before="27"/>
        <w:ind w:left="513" w:right="1127" w:hanging="36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7" w:lineRule="exact"/>
        <w:ind w:right="0"/>
        <w:jc w:val="left"/>
      </w:pPr>
      <w:r>
        <w:rPr/>
        <w:t>审计并形成审计意见为背景，我们不对这些事项单独发表意见。</w:t>
      </w:r>
    </w:p>
    <w:p>
      <w:pPr>
        <w:spacing w:line="240" w:lineRule="auto" w:before="7"/>
        <w:rPr>
          <w:rFonts w:ascii="宋体" w:hAnsi="宋体" w:cs="宋体" w:eastAsia="宋体" w:hint="default"/>
          <w:sz w:val="23"/>
          <w:szCs w:val="23"/>
        </w:rPr>
      </w:pPr>
    </w:p>
    <w:tbl>
      <w:tblPr>
        <w:tblW w:w="0" w:type="auto"/>
        <w:jc w:val="left"/>
        <w:tblInd w:w="136" w:type="dxa"/>
        <w:tblLayout w:type="fixed"/>
        <w:tblCellMar>
          <w:top w:w="0" w:type="dxa"/>
          <w:left w:w="0" w:type="dxa"/>
          <w:bottom w:w="0" w:type="dxa"/>
          <w:right w:w="0" w:type="dxa"/>
        </w:tblCellMar>
        <w:tblLook w:val="01E0"/>
      </w:tblPr>
      <w:tblGrid>
        <w:gridCol w:w="4979"/>
        <w:gridCol w:w="4681"/>
      </w:tblGrid>
      <w:tr>
        <w:trPr>
          <w:trHeight w:val="348"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应收账款坏账准备事项</w:t>
            </w:r>
            <w:r>
              <w:rPr>
                <w:rFonts w:ascii="宋体" w:hAnsi="宋体" w:cs="宋体" w:eastAsia="宋体" w:hint="default"/>
                <w:sz w:val="18"/>
                <w:szCs w:val="18"/>
              </w:rPr>
            </w:r>
          </w:p>
        </w:tc>
      </w:tr>
      <w:tr>
        <w:trPr>
          <w:trHeight w:val="346" w:hRule="exact"/>
        </w:trPr>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845" w:hRule="exact"/>
        </w:trPr>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20" w:firstLine="307"/>
              <w:jc w:val="both"/>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4</w:t>
            </w:r>
            <w:r>
              <w:rPr>
                <w:rFonts w:ascii="宋体" w:hAnsi="宋体" w:cs="宋体" w:eastAsia="宋体" w:hint="default"/>
                <w:sz w:val="18"/>
                <w:szCs w:val="18"/>
              </w:rPr>
              <w:t>所述，应收账款于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日的账面价值</w:t>
            </w:r>
            <w:r>
              <w:rPr>
                <w:rFonts w:ascii="宋体" w:hAnsi="宋体" w:cs="宋体" w:eastAsia="宋体" w:hint="default"/>
                <w:spacing w:val="2"/>
                <w:sz w:val="18"/>
                <w:szCs w:val="18"/>
              </w:rPr>
              <w:t> </w:t>
            </w:r>
            <w:r>
              <w:rPr>
                <w:rFonts w:ascii="宋体" w:hAnsi="宋体" w:cs="宋体" w:eastAsia="宋体" w:hint="default"/>
                <w:spacing w:val="-3"/>
                <w:sz w:val="18"/>
                <w:szCs w:val="18"/>
              </w:rPr>
              <w:t>为人民币</w:t>
            </w:r>
            <w:r>
              <w:rPr>
                <w:rFonts w:ascii="Times New Roman" w:hAnsi="Times New Roman" w:cs="Times New Roman" w:eastAsia="Times New Roman" w:hint="default"/>
                <w:spacing w:val="-3"/>
                <w:sz w:val="18"/>
                <w:szCs w:val="18"/>
              </w:rPr>
              <w:t>7,038,877,340.76</w:t>
            </w:r>
            <w:r>
              <w:rPr>
                <w:rFonts w:ascii="宋体" w:hAnsi="宋体" w:cs="宋体" w:eastAsia="宋体" w:hint="default"/>
                <w:spacing w:val="-3"/>
                <w:sz w:val="18"/>
                <w:szCs w:val="18"/>
              </w:rPr>
              <w:t>元，占合并财务报表资产总额</w:t>
            </w:r>
            <w:r>
              <w:rPr>
                <w:rFonts w:ascii="Times New Roman" w:hAnsi="Times New Roman" w:cs="Times New Roman" w:eastAsia="Times New Roman" w:hint="default"/>
                <w:spacing w:val="-3"/>
                <w:sz w:val="18"/>
                <w:szCs w:val="18"/>
              </w:rPr>
              <w:t>23.92%</w:t>
            </w:r>
            <w:r>
              <w:rPr>
                <w:rFonts w:ascii="宋体" w:hAnsi="宋体" w:cs="宋体" w:eastAsia="宋体" w:hint="default"/>
                <w:spacing w:val="-3"/>
                <w:sz w:val="18"/>
                <w:szCs w:val="18"/>
              </w:rPr>
              <w:t>。</w:t>
            </w:r>
            <w:r>
              <w:rPr>
                <w:rFonts w:ascii="宋体" w:hAnsi="宋体" w:cs="宋体" w:eastAsia="宋体" w:hint="default"/>
                <w:spacing w:val="-53"/>
                <w:sz w:val="18"/>
                <w:szCs w:val="18"/>
              </w:rPr>
              <w:t> </w:t>
            </w:r>
            <w:r>
              <w:rPr>
                <w:rFonts w:ascii="宋体" w:hAnsi="宋体" w:cs="宋体" w:eastAsia="宋体" w:hint="default"/>
                <w:spacing w:val="2"/>
                <w:sz w:val="18"/>
                <w:szCs w:val="18"/>
              </w:rPr>
              <w:t>管理层依据账期及业务类型等信用风险特征将应收款项划分为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若干组合，在组合基础上计算预期信用损失。对于划分为组合的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应收款项，管理层参考历史信用损失经验，结合当前状况以及对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未来经济状况的预测，编制应收账款账期与整个存续期预期信用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损失率对照表，计算预期信用损失。因此，我们将应收账款坏账</w:t>
            </w:r>
            <w:r>
              <w:rPr>
                <w:rFonts w:ascii="宋体" w:hAnsi="宋体" w:cs="宋体" w:eastAsia="宋体" w:hint="default"/>
                <w:sz w:val="18"/>
                <w:szCs w:val="18"/>
              </w:rPr>
              <w:t> 准备事项作为关键审计事项。</w:t>
            </w:r>
          </w:p>
        </w:tc>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）了解计提坏账准备的流程并评价其内部控制；</w:t>
            </w:r>
          </w:p>
          <w:p>
            <w:pPr>
              <w:pStyle w:val="TableParagraph"/>
              <w:spacing w:line="309"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）了解管理层评估应收账款坏账准备时的判断及考虑因 </w:t>
            </w:r>
            <w:r>
              <w:rPr>
                <w:rFonts w:ascii="宋体" w:hAnsi="宋体" w:cs="宋体" w:eastAsia="宋体" w:hint="default"/>
                <w:spacing w:val="-1"/>
                <w:sz w:val="18"/>
                <w:szCs w:val="18"/>
              </w:rPr>
              <w:t>素，并考虑是否存在对应收账款可回收性产生任何影响的情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p>
            <w:pPr>
              <w:pStyle w:val="TableParagraph"/>
              <w:spacing w:line="300" w:lineRule="auto" w:before="24"/>
              <w:ind w:left="4" w:right="6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）对预期信用损失率的计算过程进行复核；对坏账准备 金额进行重新计算；</w:t>
            </w:r>
          </w:p>
          <w:p>
            <w:pPr>
              <w:pStyle w:val="TableParagraph"/>
              <w:spacing w:line="309" w:lineRule="auto" w:before="31"/>
              <w:ind w:left="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）了解并检查表明应收款项发生减值的相关客观证据； 查看与应收账款坏账准备计提及核销相关的审批文件；了解 并检查是否存在客观证据表明应收款项价值已恢复的情况；</w:t>
            </w:r>
          </w:p>
        </w:tc>
      </w:tr>
    </w:tbl>
    <w:p>
      <w:pPr>
        <w:spacing w:after="0" w:line="309"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4979"/>
        <w:gridCol w:w="4681"/>
      </w:tblGrid>
      <w:tr>
        <w:trPr>
          <w:trHeight w:val="1596" w:hRule="exact"/>
        </w:trPr>
        <w:tc>
          <w:tcPr>
            <w:tcW w:w="4979" w:type="dxa"/>
            <w:tcBorders>
              <w:top w:val="single" w:sz="6" w:space="0" w:color="000000"/>
              <w:left w:val="single" w:sz="6" w:space="0" w:color="000000"/>
              <w:bottom w:val="single" w:sz="6" w:space="0" w:color="000000"/>
              <w:right w:val="single" w:sz="6" w:space="0" w:color="000000"/>
            </w:tcBorders>
          </w:tcPr>
          <w:p>
            <w:pPr/>
          </w:p>
        </w:tc>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检查资产负债表日后是否收回款项；</w:t>
            </w:r>
          </w:p>
          <w:p>
            <w:pPr>
              <w:pStyle w:val="TableParagraph"/>
              <w:spacing w:line="312" w:lineRule="auto" w:before="77"/>
              <w:ind w:left="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）通过检查销售合同、客户明细账及验收证据测试应收 账款账期划分的准确性；检查长账龄应收账款的回款情况； 测试资产负债表日后收到的回款；选择样本发送应收账款函 证；以及分析无法收回而需要核销的应收账款金额。</w:t>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存货跌价准备事项</w:t>
            </w:r>
            <w:r>
              <w:rPr>
                <w:rFonts w:ascii="宋体" w:hAnsi="宋体" w:cs="宋体" w:eastAsia="宋体" w:hint="default"/>
                <w:sz w:val="18"/>
                <w:szCs w:val="18"/>
              </w:rPr>
            </w:r>
          </w:p>
        </w:tc>
      </w:tr>
      <w:tr>
        <w:trPr>
          <w:trHeight w:val="348" w:hRule="exact"/>
        </w:trPr>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221" w:hRule="exact"/>
        </w:trPr>
        <w:tc>
          <w:tcPr>
            <w:tcW w:w="497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0" w:firstLine="216"/>
              <w:jc w:val="left"/>
              <w:rPr>
                <w:rFonts w:ascii="宋体" w:hAnsi="宋体" w:cs="宋体" w:eastAsia="宋体" w:hint="default"/>
                <w:sz w:val="18"/>
                <w:szCs w:val="18"/>
              </w:rPr>
            </w:pPr>
            <w:r>
              <w:rPr>
                <w:rFonts w:ascii="宋体" w:hAnsi="宋体" w:cs="宋体" w:eastAsia="宋体" w:hint="default"/>
                <w:spacing w:val="-2"/>
                <w:sz w:val="18"/>
                <w:szCs w:val="18"/>
              </w:rPr>
              <w:t>如附注七、</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所示，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日，存货账面价值为人民币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9,198,835,216.66</w:t>
            </w:r>
            <w:r>
              <w:rPr>
                <w:rFonts w:ascii="宋体" w:hAnsi="宋体" w:cs="宋体" w:eastAsia="宋体" w:hint="default"/>
                <w:sz w:val="18"/>
                <w:szCs w:val="18"/>
              </w:rPr>
              <w:t>元，占合并财务报表资产总额</w:t>
            </w:r>
            <w:r>
              <w:rPr>
                <w:rFonts w:ascii="Times New Roman" w:hAnsi="Times New Roman" w:cs="Times New Roman" w:eastAsia="Times New Roman" w:hint="default"/>
                <w:sz w:val="18"/>
                <w:szCs w:val="18"/>
              </w:rPr>
              <w:t>31.27%</w:t>
            </w:r>
            <w:r>
              <w:rPr>
                <w:rFonts w:ascii="宋体" w:hAnsi="宋体" w:cs="宋体" w:eastAsia="宋体" w:hint="default"/>
                <w:sz w:val="18"/>
                <w:szCs w:val="18"/>
              </w:rPr>
              <w:t>。存货跌 </w:t>
            </w:r>
            <w:r>
              <w:rPr>
                <w:rFonts w:ascii="宋体" w:hAnsi="宋体" w:cs="宋体" w:eastAsia="宋体" w:hint="default"/>
                <w:spacing w:val="-3"/>
                <w:sz w:val="18"/>
                <w:szCs w:val="18"/>
              </w:rPr>
              <w:t>价准备的提取，取决于对存货可变现净值的估计。存货的可变现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净值的确定，要求管理层对存货的售价，至销售时将要发生的销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售费用以及相关税费的金额进行估计。因此，我们将存货跌价准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备事项作为关键审计事项。</w:t>
            </w:r>
          </w:p>
        </w:tc>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）了解计提存货跌价准备的流程并评价其内部控制；</w:t>
            </w:r>
          </w:p>
          <w:p>
            <w:pPr>
              <w:pStyle w:val="TableParagraph"/>
              <w:spacing w:line="300" w:lineRule="auto" w:before="63"/>
              <w:ind w:left="4" w:right="6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）对存货盘点进行监盘并关注残次冷背的存货是否被识 别；</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）通过检查原始凭证对于存货库龄的划分进行测试；</w:t>
            </w:r>
          </w:p>
          <w:p>
            <w:pPr>
              <w:pStyle w:val="TableParagraph"/>
              <w:spacing w:line="309"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）对管理层计算的可变现净值所涉及的重要假设进行评 </w:t>
            </w:r>
            <w:r>
              <w:rPr>
                <w:rFonts w:ascii="宋体" w:hAnsi="宋体" w:cs="宋体" w:eastAsia="宋体" w:hint="default"/>
                <w:spacing w:val="-1"/>
                <w:sz w:val="18"/>
                <w:szCs w:val="18"/>
              </w:rPr>
              <w:t>价，例如检查销售价格和至销售时发生的销售费用以及相关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税金。</w:t>
            </w:r>
          </w:p>
        </w:tc>
      </w:tr>
    </w:tbl>
    <w:p>
      <w:pPr>
        <w:spacing w:line="240" w:lineRule="auto" w:before="7"/>
        <w:rPr>
          <w:rFonts w:ascii="宋体" w:hAnsi="宋体" w:cs="宋体" w:eastAsia="宋体" w:hint="default"/>
          <w:sz w:val="15"/>
          <w:szCs w:val="15"/>
        </w:rPr>
      </w:pPr>
    </w:p>
    <w:p>
      <w:pPr>
        <w:pStyle w:val="Heading4"/>
        <w:spacing w:line="240" w:lineRule="auto" w:before="44"/>
        <w:ind w:left="152" w:right="0"/>
        <w:jc w:val="left"/>
        <w:rPr>
          <w:b w:val="0"/>
          <w:bCs w:val="0"/>
        </w:rPr>
      </w:pPr>
      <w:r>
        <w:rPr/>
        <w:t>四、其他信息</w:t>
      </w:r>
      <w:r>
        <w:rPr>
          <w:b w:val="0"/>
          <w:bCs w:val="0"/>
        </w:rPr>
      </w:r>
    </w:p>
    <w:p>
      <w:pPr>
        <w:spacing w:line="240" w:lineRule="auto" w:before="2"/>
        <w:rPr>
          <w:rFonts w:ascii="宋体" w:hAnsi="宋体" w:cs="宋体" w:eastAsia="宋体" w:hint="default"/>
          <w:b/>
          <w:bCs/>
          <w:sz w:val="24"/>
          <w:szCs w:val="24"/>
        </w:rPr>
      </w:pPr>
    </w:p>
    <w:p>
      <w:pPr>
        <w:pStyle w:val="BodyText"/>
        <w:spacing w:line="300" w:lineRule="auto"/>
        <w:ind w:right="0" w:firstLine="360"/>
        <w:jc w:val="left"/>
      </w:pPr>
      <w:r>
        <w:rPr/>
        <w:t>神州数码管理层（以下简称管理层</w:t>
      </w:r>
      <w:r>
        <w:rPr>
          <w:rFonts w:ascii="Times New Roman" w:hAnsi="Times New Roman" w:cs="Times New Roman" w:eastAsia="Times New Roman" w:hint="default"/>
        </w:rPr>
        <w:t>)</w:t>
      </w:r>
      <w:r>
        <w:rPr/>
        <w:t>对其他信息负责。其他信息包括神州数码</w:t>
      </w:r>
      <w:r>
        <w:rPr>
          <w:rFonts w:ascii="Times New Roman" w:hAnsi="Times New Roman" w:cs="Times New Roman" w:eastAsia="Times New Roman" w:hint="default"/>
        </w:rPr>
        <w:t>2019</w:t>
      </w:r>
      <w:r>
        <w:rPr/>
        <w:t>年年度报告中涵盖的信息，但不包括 财务报表和我们的审计报告。</w:t>
      </w:r>
    </w:p>
    <w:p>
      <w:pPr>
        <w:pStyle w:val="BodyText"/>
        <w:spacing w:line="316" w:lineRule="auto" w:before="31"/>
        <w:ind w:left="441" w:right="0" w:firstLine="72"/>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结合我们对财务报表的审计，我们的责任是阅读其他信息，在此过程中，考虑其他信息是否与财务报表或我们在审计过</w:t>
      </w:r>
    </w:p>
    <w:p>
      <w:pPr>
        <w:pStyle w:val="BodyText"/>
        <w:spacing w:line="316" w:lineRule="auto" w:before="19"/>
        <w:ind w:left="441" w:right="0" w:hanging="289"/>
        <w:jc w:val="left"/>
      </w:pPr>
      <w:r>
        <w:rPr/>
        <w:t>程中了解到的情况存在重大不一致或者似乎存在重大错报。 </w:t>
      </w:r>
      <w:r>
        <w:rPr>
          <w:spacing w:val="-1"/>
        </w:rPr>
        <w:t>基于我们已执行的工作，如果我们确定其他信息存在重大错报，我们应当报告该事实。在这方面，我们无任何事项需要</w:t>
      </w:r>
    </w:p>
    <w:p>
      <w:pPr>
        <w:pStyle w:val="Heading4"/>
        <w:spacing w:line="564" w:lineRule="auto" w:before="19"/>
        <w:ind w:left="152" w:right="7682"/>
        <w:jc w:val="left"/>
        <w:rPr>
          <w:b w:val="0"/>
          <w:bCs w:val="0"/>
        </w:rPr>
      </w:pPr>
      <w:r>
        <w:rPr>
          <w:rFonts w:ascii="宋体" w:hAnsi="宋体" w:cs="宋体" w:eastAsia="宋体" w:hint="default"/>
          <w:b w:val="0"/>
          <w:bCs w:val="0"/>
        </w:rPr>
        <w:t>报告。 </w:t>
      </w:r>
      <w:r>
        <w:rPr/>
        <w:t>五、管理层和治理层对财务报表的责任</w:t>
      </w:r>
      <w:r>
        <w:rPr>
          <w:b w:val="0"/>
          <w:bCs w:val="0"/>
        </w:rPr>
      </w:r>
    </w:p>
    <w:p>
      <w:pPr>
        <w:pStyle w:val="BodyText"/>
        <w:spacing w:line="316" w:lineRule="auto" w:before="73"/>
        <w:ind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19"/>
        <w:ind w:right="0" w:firstLine="360"/>
        <w:jc w:val="left"/>
      </w:pPr>
      <w:r>
        <w:rPr>
          <w:spacing w:val="-2"/>
        </w:rPr>
        <w:t>在编制财务报表时，管理层负责评估神州数码的持续经营能力，披露与持续经营相关的事项（如适用），并运用持续经</w:t>
      </w:r>
      <w:r>
        <w:rPr/>
        <w:t> 营假设，除非管理层计划清算神州数码、终止运营或别无其他现实的选择。</w:t>
      </w:r>
    </w:p>
    <w:p>
      <w:pPr>
        <w:spacing w:line="561" w:lineRule="auto" w:before="19"/>
        <w:ind w:left="152" w:right="6974" w:firstLine="360"/>
        <w:jc w:val="left"/>
        <w:rPr>
          <w:rFonts w:ascii="宋体" w:hAnsi="宋体" w:cs="宋体" w:eastAsia="宋体" w:hint="default"/>
          <w:sz w:val="18"/>
          <w:szCs w:val="18"/>
        </w:rPr>
      </w:pPr>
      <w:r>
        <w:rPr>
          <w:rFonts w:ascii="宋体" w:hAnsi="宋体" w:cs="宋体" w:eastAsia="宋体" w:hint="default"/>
          <w:sz w:val="18"/>
          <w:szCs w:val="18"/>
        </w:rPr>
        <w:t>治理层负责监督神州数码的财务报告过程。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75"/>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0"/>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pStyle w:val="BodyText"/>
        <w:spacing w:line="240" w:lineRule="auto" w:before="24"/>
        <w:ind w:left="513"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2"/>
        <w:ind w:left="51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2" w:lineRule="auto" w:before="44"/>
        <w:ind w:left="292"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）对管理层使用持续经营假设的恰当性得出结论。同时，根据获取的审计证据，就可能导致对神州数码持续经营能 </w:t>
      </w:r>
      <w:r>
        <w:rPr>
          <w:spacing w:val="-2"/>
        </w:rPr>
        <w:t>力产生重大疑虑的事项或情况是否存在重大不确定性得出结论。如果我们得出结论认为存在重大不确定性，审计准则要求我</w:t>
      </w:r>
      <w:r>
        <w:rPr>
          <w:spacing w:val="-63"/>
        </w:rPr>
        <w:t> </w:t>
      </w:r>
      <w:r>
        <w:rPr>
          <w:spacing w:val="-63"/>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于截至审计报告日可获得的信息。然而，未来的事项或情况可能导致神州数码不能持续经营。</w:t>
      </w:r>
    </w:p>
    <w:p>
      <w:pPr>
        <w:pStyle w:val="BodyText"/>
        <w:spacing w:line="240" w:lineRule="auto" w:before="22"/>
        <w:ind w:left="653"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left="292" w:right="1133" w:firstLine="360"/>
        <w:jc w:val="both"/>
      </w:pPr>
      <w:r>
        <w:rPr/>
        <w:t>（</w:t>
      </w:r>
      <w:r>
        <w:rPr>
          <w:rFonts w:ascii="Times New Roman" w:hAnsi="Times New Roman" w:cs="Times New Roman" w:eastAsia="Times New Roman" w:hint="default"/>
        </w:rPr>
        <w:t>6</w:t>
      </w:r>
      <w:r>
        <w:rPr/>
        <w:t>）就神州数码中实体或业务活动的财务信息获取充分、适当的审计证据，以对财务报表发表审计意见。我们负责指 导、监督和执行集团审计，并对审计意见承担全部责任。</w:t>
      </w:r>
    </w:p>
    <w:p>
      <w:pPr>
        <w:pStyle w:val="BodyText"/>
        <w:spacing w:line="316" w:lineRule="auto" w:before="31"/>
        <w:ind w:left="292"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left="292"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9" w:lineRule="auto"/>
        <w:ind w:left="292"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097"/>
        <w:gridCol w:w="3041"/>
      </w:tblGrid>
      <w:tr>
        <w:trPr>
          <w:trHeight w:val="261" w:hRule="exact"/>
        </w:trPr>
        <w:tc>
          <w:tcPr>
            <w:tcW w:w="4097"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041" w:type="dxa"/>
            <w:tcBorders>
              <w:top w:val="nil" w:sz="6" w:space="0" w:color="auto"/>
              <w:left w:val="nil" w:sz="6" w:space="0" w:color="auto"/>
              <w:bottom w:val="nil" w:sz="6" w:space="0" w:color="auto"/>
              <w:right w:val="nil" w:sz="6" w:space="0" w:color="auto"/>
            </w:tcBorders>
          </w:tcPr>
          <w:p>
            <w:pPr>
              <w:pStyle w:val="TableParagraph"/>
              <w:spacing w:line="180" w:lineRule="exact"/>
              <w:ind w:left="896"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88" w:hRule="exact"/>
        </w:trPr>
        <w:tc>
          <w:tcPr>
            <w:tcW w:w="4097" w:type="dxa"/>
            <w:tcBorders>
              <w:top w:val="nil" w:sz="6" w:space="0" w:color="auto"/>
              <w:left w:val="nil" w:sz="6" w:space="0" w:color="auto"/>
              <w:bottom w:val="nil" w:sz="6" w:space="0" w:color="auto"/>
              <w:right w:val="nil" w:sz="6" w:space="0" w:color="auto"/>
            </w:tcBorders>
          </w:tcPr>
          <w:p>
            <w:pP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9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t>)</w:t>
            </w:r>
          </w:p>
        </w:tc>
      </w:tr>
      <w:tr>
        <w:trPr>
          <w:trHeight w:val="649" w:hRule="exact"/>
        </w:trPr>
        <w:tc>
          <w:tcPr>
            <w:tcW w:w="4097" w:type="dxa"/>
            <w:tcBorders>
              <w:top w:val="nil" w:sz="6" w:space="0" w:color="auto"/>
              <w:left w:val="nil" w:sz="6" w:space="0" w:color="auto"/>
              <w:bottom w:val="nil" w:sz="6" w:space="0" w:color="auto"/>
              <w:right w:val="nil" w:sz="6" w:space="0" w:color="auto"/>
            </w:tcBorders>
          </w:tcPr>
          <w:p>
            <w:pP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4"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31" w:hRule="exact"/>
        </w:trPr>
        <w:tc>
          <w:tcPr>
            <w:tcW w:w="40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468" w:val="left" w:leader="none"/>
              </w:tabs>
              <w:spacing w:line="240" w:lineRule="auto"/>
              <w:ind w:left="1628" w:right="0"/>
              <w:jc w:val="left"/>
              <w:rPr>
                <w:rFonts w:ascii="宋体" w:hAnsi="宋体" w:cs="宋体" w:eastAsia="宋体" w:hint="default"/>
                <w:sz w:val="18"/>
                <w:szCs w:val="18"/>
              </w:rPr>
            </w:pPr>
            <w:r>
              <w:rPr>
                <w:rFonts w:ascii="宋体" w:hAnsi="宋体" w:cs="宋体" w:eastAsia="宋体" w:hint="default"/>
                <w:sz w:val="18"/>
                <w:szCs w:val="18"/>
              </w:rPr>
              <w:t>中国</w:t>
              <w:tab/>
              <w:t>北京</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4"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年三月二十七日</w:t>
            </w:r>
          </w:p>
        </w:tc>
      </w:tr>
    </w:tbl>
    <w:p>
      <w:pPr>
        <w:spacing w:after="0" w:line="240" w:lineRule="auto"/>
        <w:jc w:val="left"/>
        <w:rPr>
          <w:rFonts w:ascii="宋体" w:hAnsi="宋体" w:cs="宋体" w:eastAsia="宋体" w:hint="default"/>
          <w:sz w:val="18"/>
          <w:szCs w:val="18"/>
        </w:rPr>
        <w:sectPr>
          <w:pgSz w:w="11910" w:h="16840"/>
          <w:pgMar w:header="877" w:footer="980" w:top="1100" w:bottom="1160" w:left="84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编制单位：神州数码集团股份有限公司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3" w:equalWidth="0">
            <w:col w:w="3213" w:space="86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4,000,033,909.38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1,618,156,211.49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6,193,221.28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397,002.56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340,819,332.24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1,203,934,982.01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7,038,877,340.76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8,604,664,663.56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391,954,244.02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1,801,675,988.15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1,732,054,977.57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183,110,885.61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219,791,926.88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9,198,835,216.66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6,507,068,213.06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203,640.19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1,532,681.81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393,791,821.14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413,690,918.38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23,355,495,599.43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20,301,291,577.32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85,545,074.50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3,771,033.79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3,574,146.34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1,135,055,094.45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1,054,524,805.32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27,085,995.00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171,886,206.38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177,623,847.23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152,024,086.54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170,344,840.12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730,146,171.91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314,493,973.34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2,450,600,309.82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2,546,113,647.63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931,286,825.05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931,286,825.05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11,045,015.60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14,868,225.61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357,748,473.68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284,548,528.97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90,317,630.76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101,236,458.63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6,065,406,842.98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5,684,160,372.74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29,420,902,442.41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25,985,451,950.06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9,691,753,164.15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8,819,165,410.43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22,085,412.30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3,558,687,083.68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2,573,972,176.18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5,825,871,423.34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6,044,742,292.99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1,323,390,053.02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1,136,098,409.12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427,695,627.41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350,588,626.06</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321,723,313.03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295,979,343.05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794,739,812.80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603,095,190.94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543,770,050.53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461,111,943.16</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1,212,125.60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7,076,120.61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22,510,928,065.86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20,312,921,453.39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2,102,378,244.54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1,713,570,416.67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310,007,671.47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29,277,180.46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107,321,370.62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69,375,436.71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2,535,107,286.63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1,826,040,246.93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25,046,035,352.49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22,138,961,700.32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654,070,434.00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654,070,434.00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2,376,124,753.80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2,380,341,533.95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37,090,317.03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17,607,673.34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6,267,874.72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99,533,275.62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84,202,949.86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1,261,899,895.70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716,563,287.65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4,372,145,715.43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3,841,446,080.18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2,721,374.49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5,044,169.56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4,374,867,089.92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3,846,490,249.74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29,420,902,442.41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25,985,451,950.06</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法定代表人：郭为</w:t>
        <w:tab/>
      </w:r>
      <w:r>
        <w:rPr>
          <w:spacing w:val="-1"/>
        </w:rPr>
        <w:t>主管会计工作负责人：辛昕</w:t>
        <w:tab/>
      </w:r>
      <w:r>
        <w:rPr/>
        <w:t>会计机构负责人：詹晓红</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9,751,835.77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1,732,955.04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11,011.14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355,060,654.92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1,265,461,867.01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1,111,278,251.43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24,032,835.63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9,859,772.87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1,664,318,204.47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1,122,928,631.82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5,702,470,586.51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5,691,270,383.44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27,085,995.00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605,001.88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730,146,171.91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304,062,813.53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2,398,708,741.72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2,486,199,638.07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89,818,348.62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98,890,909.09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8,948,755,406.67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8,604,823,820.51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10,613,073,611.14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9,727,752,452.33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212,114,166.64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2,509,209,516.65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22,569,977.32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6,845,506.40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250,107.47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456,172.69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1,148,274,130.14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320,638,620.88</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1,855,208,381.57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3,187,149,816.62</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5,424,256,918.32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3,157,367,083.29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5,424,256,918.32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3,157,367,083.29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7,279,465,299.89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6,344,516,899.91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654,070,434.00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654,070,434.00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0" w:header="877" w:top="1100" w:bottom="1160" w:left="980" w:right="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2,484,833,624.66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2,489,627,616.35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37,090,317.03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-7,553,734.57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-10,844,655.07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99,533,275.62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84,202,949.86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139,815,028.57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166,179,207.28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3,333,608,311.25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3,383,235,552.42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10,613,073,611.14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9,727,752,452.33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86,803,376,390.13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81,858,054,493.23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86,803,376,390.13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81,858,054,493.23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85,997,595,394.26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81,210,671,979.82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83,316,650,862.54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78,561,585,904.99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82,483,190.11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81,953,570.68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1,698,215,203.52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1,633,915,868.48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264,454,079.15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259,433,119.44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145,505,051.85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96,764,852.25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279.589996pt;width:158.9pt;height:20.65pt;mso-position-horizontal-relative:page;mso-position-vertical-relative:page;z-index:-1665376" coordorigin="4220,5592" coordsize="3178,413">
            <v:group style="position:absolute;left:4231;top:5603;width:2;height:392" coordorigin="4231,5603" coordsize="2,392">
              <v:shape style="position:absolute;left:4231;top:5603;width:2;height:392" coordorigin="4231,5603" coordsize="0,392" path="m4231,5603l4231,5994e" filled="false" stroked="true" strokeweight="1.08pt" strokecolor="#ffffff">
                <v:path arrowok="t"/>
              </v:shape>
            </v:group>
            <v:group style="position:absolute;left:4242;top:5603;width:3157;height:392" coordorigin="4242,5603" coordsize="3157,392">
              <v:shape style="position:absolute;left:4242;top:5603;width:3157;height:392" coordorigin="4242,5603" coordsize="3157,392" path="m4242,5994l7398,5994,7398,5603,4242,5603,4242,5994xe" filled="true" fillcolor="#ffffff" stroked="false">
                <v:path arrowok="t"/>
                <v:fill type="solid"/>
              </v:shape>
            </v:group>
            <w10:wrap type="none"/>
          </v:group>
        </w:pict>
      </w:r>
      <w:r>
        <w:rPr/>
        <w:pict>
          <v:group style="position:absolute;margin-left:211.009995pt;margin-top:538.570007pt;width:158.9pt;height:20.65pt;mso-position-horizontal-relative:page;mso-position-vertical-relative:page;z-index:-1665352" coordorigin="4220,10771" coordsize="3178,413">
            <v:group style="position:absolute;left:4231;top:10782;width:2;height:392" coordorigin="4231,10782" coordsize="2,392">
              <v:shape style="position:absolute;left:4231;top:10782;width:2;height:392" coordorigin="4231,10782" coordsize="0,392" path="m4231,10782l4231,11173e" filled="false" stroked="true" strokeweight="1.08pt" strokecolor="#ffffff">
                <v:path arrowok="t"/>
              </v:shape>
            </v:group>
            <v:group style="position:absolute;left:4242;top:10782;width:3157;height:392" coordorigin="4242,10782" coordsize="3157,392">
              <v:shape style="position:absolute;left:4242;top:10782;width:3157;height:392" coordorigin="4242,10782" coordsize="3157,392" path="m4242,11173l7398,11173,7398,10782,4242,10782,4242,1117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490,287,007.09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577,018,663.98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438,197,857.53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411,486,723.12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22,485,348.94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26,090,244.95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58,955,678.15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45,044,709.71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59,517,156.32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-38,098,863.74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59,517,314.09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76,936,699.85</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-72,193,825.52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-91,075,242.54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37,245,054.20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3,000,955.82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-63,728,905.38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19,934,952.66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-16,658,750.08</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2,546,957.87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694,540.29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920,251,889.69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641,365,105.41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16,441,524.56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28,420,841.95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5,204,436.99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8,278,416.43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931,488,977.26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661,507,530.93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229,831,669.75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145,481,028.38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701,657,307.51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516,026,502.55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701,657,307.51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516,026,502.55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701,410,697.57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512,408,008.06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246,609.94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3,618,494.49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14,200,597.52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4,119,897.61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14,200,597.52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4,119,897.61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2,207,301.98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-1,083,618.52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3,290,920.50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11,993,295.54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4,119,897.61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83,608.80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310,351.41</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-805,002.01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-9,777,002.25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12,714,688.75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13,586,548.45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715,857,905.03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520,146,400.16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715,611,295.09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516,527,905.67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3,618,494.49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0.7834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0.7834</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法定代表人：郭为</w:t>
        <w:tab/>
      </w:r>
      <w:r>
        <w:rPr>
          <w:spacing w:val="-1"/>
        </w:rPr>
        <w:t>主管会计工作负责人：辛昕</w:t>
        <w:tab/>
      </w:r>
      <w:r>
        <w:rPr/>
        <w:t>会计机构负责人：詹晓红</w:t>
      </w:r>
      <w:r>
        <w:rPr/>
        <w:t>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414,792.58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-1,554,571.90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1,974,278.20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48,166,487.98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24,636,370.55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111,077,692.74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113,062,531.99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109,785,817.49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111,163,811.80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707,685.74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3,421,423.31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72,286.64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307,670,831.00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1,234,104,256.40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4,104,256.40</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-155,805.70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153,303,314.37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1,094,503,362.30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9,746,922.25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153,303,257.56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1,104,249,701.47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153,303,257.56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1,104,249,701.47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153,303,257.56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1,104,249,701.47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3,290,920.50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-9,777,002.25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3,290,920.50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3,290,920.50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-9,777,002.25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-9,777,002.25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156,594,178.06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1,094,472,699.22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98,647,311,679.93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91,461,552,741.92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9,487,132.34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10,987,400.41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94,225,859.80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71,152,505.39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98,751,024,672.07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91,543,692,647.72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94,255,703,519.26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88,136,002,573.55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981,995,155.19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953,843,346.10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701,794,695.67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800,969,725.80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1,311,902,601.63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1,292,337,384.73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97,251,395,971.75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91,183,153,030.18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1,499,628,700.32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360,539,617.54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244,957,757.00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110,632,096.58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64,121,425.71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20,794,490.97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1,759,427.69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5,505,411.40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310,838,610.40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136,931,998.95</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131,629,023.78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1,430,792,211.31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37,893,397.30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213,700,712.10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201,122.25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199,522,421.08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1,644,694,045.66</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111,316,189.32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-1,507,762,046.71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31,084,500.10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20,344,849,093.49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17,040,458,676.91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20,375,933,593.59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17,040,458,676.91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18,892,078,473.77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15,653,265,713.43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927,793,740.00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703,729,511.06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69,367,075.04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21,358,777.95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19,889,239,288.81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16,378,354,002.44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486,694,304.78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662,104,674.47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-984,950.77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-7,005,504.32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2,096,654,243.65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-492,123,259.02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978,621,437.86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1,470,744,696.88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3,075,275,681.51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978,621,437.86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428,948.41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3,458,399.52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16,526,592.19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3,887,347.93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16,526,592.19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63,947,031.87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609,013,042.64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18,998,041.43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12,001,988.21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2,082,450.98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2,710,290.70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17,364,541.86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16,077,608.18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102,392,066.14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639,802,929.73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-98,504,718.21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-623,276,337.54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116,840,971.50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1,402,372,186.75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106,694,627.04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146,840,971.50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1,509,066,813.79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-146,630,140.50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-1,484,066,813.79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31,084,500.10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1,514,844,695.12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1,545,929,195.22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310,775,693.80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201,245,398.96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50,009,066.93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1,292,784,760.73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1,051,245,398.96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253,144,434.49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2,104,754,601.04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8,009,580.79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-2,588,539.31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1,732,955.04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4,321,494.35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9,742,535.83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1,732,955.04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9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960"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960" w:right="0"/>
        <w:jc w:val="left"/>
      </w:pPr>
      <w:r>
        <w:rPr/>
        <w:t>本期金额</w:t>
      </w:r>
    </w:p>
    <w:p>
      <w:pPr>
        <w:pStyle w:val="BodyText"/>
        <w:spacing w:line="240" w:lineRule="auto" w:before="117"/>
        <w:ind w:left="0" w:right="897"/>
        <w:jc w:val="right"/>
      </w:pPr>
      <w:r>
        <w:rPr/>
        <w:t>单位：元</w:t>
      </w:r>
    </w:p>
    <w:p>
      <w:pPr>
        <w:spacing w:line="240" w:lineRule="auto" w:before="3"/>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95"/>
        <w:gridCol w:w="1284"/>
        <w:gridCol w:w="420"/>
        <w:gridCol w:w="427"/>
        <w:gridCol w:w="427"/>
        <w:gridCol w:w="1419"/>
        <w:gridCol w:w="1279"/>
        <w:gridCol w:w="1135"/>
        <w:gridCol w:w="418"/>
        <w:gridCol w:w="1133"/>
        <w:gridCol w:w="564"/>
        <w:gridCol w:w="1274"/>
        <w:gridCol w:w="427"/>
        <w:gridCol w:w="1426"/>
        <w:gridCol w:w="1133"/>
        <w:gridCol w:w="1421"/>
      </w:tblGrid>
      <w:tr>
        <w:trPr>
          <w:trHeight w:val="402"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1418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6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4" w:type="dxa"/>
            <w:vMerge w:val="restart"/>
            <w:tcBorders>
              <w:top w:val="single" w:sz="4" w:space="0" w:color="000000"/>
              <w:left w:val="single" w:sz="4" w:space="0" w:color="000000"/>
              <w:right w:val="single" w:sz="4" w:space="0" w:color="000000"/>
            </w:tcBorders>
            <w:shd w:val="clear" w:color="auto" w:fill="D2D2D2"/>
          </w:tcPr>
          <w:p>
            <w:pP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9"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98" w:right="9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26"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21"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284" w:type="dxa"/>
            <w:vMerge/>
            <w:tcBorders>
              <w:left w:val="single" w:sz="4" w:space="0" w:color="000000"/>
              <w:bottom w:val="single" w:sz="4" w:space="0" w:color="FFFFFF"/>
              <w:right w:val="single" w:sz="4" w:space="0" w:color="000000"/>
            </w:tcBorders>
            <w:shd w:val="clear" w:color="auto" w:fill="D2D2D2"/>
          </w:tcPr>
          <w:p>
            <w:pPr/>
          </w:p>
        </w:tc>
        <w:tc>
          <w:tcPr>
            <w:tcW w:w="1274" w:type="dxa"/>
            <w:gridSpan w:val="3"/>
            <w:vMerge/>
            <w:tcBorders>
              <w:left w:val="single" w:sz="4" w:space="0" w:color="000000"/>
              <w:bottom w:val="single" w:sz="4" w:space="0" w:color="FFFFFF"/>
              <w:right w:val="single" w:sz="4" w:space="0" w:color="000000"/>
            </w:tcBorders>
            <w:shd w:val="clear" w:color="auto" w:fill="D2D2D2"/>
          </w:tcPr>
          <w:p>
            <w:pPr/>
          </w:p>
        </w:tc>
        <w:tc>
          <w:tcPr>
            <w:tcW w:w="1419" w:type="dxa"/>
            <w:vMerge/>
            <w:tcBorders>
              <w:left w:val="single" w:sz="4" w:space="0" w:color="000000"/>
              <w:bottom w:val="single" w:sz="4" w:space="0" w:color="FFFFFF"/>
              <w:right w:val="single" w:sz="4" w:space="0" w:color="000000"/>
            </w:tcBorders>
            <w:shd w:val="clear" w:color="auto" w:fill="D2D2D2"/>
          </w:tcPr>
          <w:p>
            <w:pPr/>
          </w:p>
        </w:tc>
        <w:tc>
          <w:tcPr>
            <w:tcW w:w="1279" w:type="dxa"/>
            <w:vMerge/>
            <w:tcBorders>
              <w:left w:val="single" w:sz="4" w:space="0" w:color="000000"/>
              <w:bottom w:val="single" w:sz="4" w:space="0" w:color="FFFFFF"/>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24" w:right="2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2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395" w:type="dxa"/>
            <w:vMerge w:val="restart"/>
            <w:tcBorders>
              <w:top w:val="single" w:sz="4" w:space="0" w:color="FFFFFF"/>
              <w:left w:val="single" w:sz="4" w:space="0" w:color="000000"/>
              <w:right w:val="single" w:sz="4" w:space="0" w:color="000000"/>
            </w:tcBorders>
            <w:shd w:val="clear" w:color="auto" w:fill="D2D2D2"/>
          </w:tcPr>
          <w:p>
            <w:pPr/>
          </w:p>
        </w:tc>
        <w:tc>
          <w:tcPr>
            <w:tcW w:w="128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2"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9" w:right="2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7" w:type="dxa"/>
            <w:tcBorders>
              <w:top w:val="single" w:sz="4" w:space="0" w:color="FFFFFF"/>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395"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9"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2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395" w:type="dxa"/>
            <w:vMerge/>
            <w:tcBorders>
              <w:left w:val="single" w:sz="4" w:space="0" w:color="000000"/>
              <w:right w:val="single" w:sz="4" w:space="0" w:color="000000"/>
            </w:tcBorders>
            <w:shd w:val="clear" w:color="auto" w:fill="D2D2D2"/>
          </w:tcPr>
          <w:p>
            <w:pPr/>
          </w:p>
        </w:tc>
        <w:tc>
          <w:tcPr>
            <w:tcW w:w="1284" w:type="dxa"/>
            <w:vMerge w:val="restart"/>
            <w:tcBorders>
              <w:top w:val="nil" w:sz="6" w:space="0" w:color="auto"/>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9"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418"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r>
      <w:tr>
        <w:trPr>
          <w:trHeight w:val="182"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4"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上年期末余额</w:t>
            </w:r>
          </w:p>
        </w:tc>
        <w:tc>
          <w:tcPr>
            <w:tcW w:w="1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654,070,434.00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2,380,341,533.95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6,267,874.72</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84,202,949.86</w:t>
            </w:r>
          </w:p>
        </w:tc>
        <w:tc>
          <w:tcPr>
            <w:tcW w:w="564" w:type="dxa"/>
            <w:tcBorders>
              <w:top w:val="single" w:sz="21" w:space="0" w:color="D2D2D2"/>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716,563,287.65</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3,841,446,080.18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5,044,169.56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3,846,490,249.74</w:t>
            </w: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4"/>
                <w:sz w:val="18"/>
                <w:szCs w:val="18"/>
              </w:rPr>
              <w:t>加：会计政策</w:t>
            </w:r>
            <w:r>
              <w:rPr>
                <w:rFonts w:ascii="宋体" w:hAnsi="宋体" w:cs="宋体" w:eastAsia="宋体" w:hint="default"/>
                <w:sz w:val="18"/>
                <w:szCs w:val="18"/>
              </w:rPr>
              <w:t> 变更</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-2,860,798.90</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23,593,058.49</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20,732,259.59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-23,744.20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20,708,515.39</w:t>
            </w: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本年期初余额</w:t>
            </w:r>
          </w:p>
        </w:tc>
        <w:tc>
          <w:tcPr>
            <w:tcW w:w="1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654,070,434.00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2,380,341,533.95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3,407,075.82</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84,202,949.86</w:t>
            </w: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740,156,346.14</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3,862,178,339.77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5,020,425.36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3,867,198,765.13</w:t>
            </w:r>
          </w:p>
        </w:tc>
      </w:tr>
      <w:tr>
        <w:trPr>
          <w:trHeight w:val="1027"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9"/>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z w:val="18"/>
                <w:szCs w:val="18"/>
              </w:rPr>
              <w:t> </w:t>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-4,216,780.15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37,090,317.03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14,200,597.52</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15,330,325.76</w:t>
            </w: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521,743,549.56</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509,967,375.66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-2,299,050.87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507,668,324.79</w:t>
            </w:r>
          </w:p>
        </w:tc>
      </w:tr>
      <w:tr>
        <w:trPr>
          <w:trHeight w:val="71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z w:val="18"/>
                <w:szCs w:val="18"/>
              </w:rPr>
              <w:t> 额</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14,200,597.52</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701,410,697.57</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715,611,295.09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246,609.94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715,857,905.03</w:t>
            </w: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z w:val="18"/>
                <w:szCs w:val="18"/>
              </w:rPr>
              <w:t> 和减少资本</w:t>
            </w:r>
          </w:p>
        </w:tc>
        <w:tc>
          <w:tcPr>
            <w:tcW w:w="1284"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-4,793,991.69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37,090,317.03</w:t>
            </w: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-41,884,308.72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-2,545,660.81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-44,429,969.53</w:t>
            </w:r>
          </w:p>
        </w:tc>
      </w:tr>
    </w:tbl>
    <w:p>
      <w:pPr>
        <w:spacing w:after="0" w:line="240" w:lineRule="auto"/>
        <w:jc w:val="right"/>
        <w:rPr>
          <w:rFonts w:ascii="Times New Roman" w:hAnsi="Times New Roman" w:cs="Times New Roman" w:eastAsia="Times New Roman" w:hint="default"/>
          <w:sz w:val="18"/>
          <w:szCs w:val="18"/>
        </w:rPr>
        <w:sectPr>
          <w:headerReference w:type="default" r:id="rId26"/>
          <w:footerReference w:type="default" r:id="rId27"/>
          <w:pgSz w:w="16840" w:h="11910" w:orient="landscape"/>
          <w:pgMar w:header="867" w:footer="980" w:top="1060" w:bottom="1160" w:left="480" w:right="540"/>
          <w:pgNumType w:start="13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19"/>
        <w:gridCol w:w="1272"/>
        <w:gridCol w:w="420"/>
        <w:gridCol w:w="427"/>
        <w:gridCol w:w="427"/>
        <w:gridCol w:w="1419"/>
        <w:gridCol w:w="1279"/>
        <w:gridCol w:w="1135"/>
        <w:gridCol w:w="418"/>
        <w:gridCol w:w="1133"/>
        <w:gridCol w:w="564"/>
        <w:gridCol w:w="1274"/>
        <w:gridCol w:w="427"/>
        <w:gridCol w:w="1426"/>
        <w:gridCol w:w="1133"/>
        <w:gridCol w:w="1421"/>
      </w:tblGrid>
      <w:tr>
        <w:trPr>
          <w:trHeight w:val="730" w:hRule="exact"/>
        </w:trPr>
        <w:tc>
          <w:tcPr>
            <w:tcW w:w="141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272"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81,093,567.03</w:t>
            </w:r>
          </w:p>
        </w:tc>
        <w:tc>
          <w:tcPr>
            <w:tcW w:w="1135" w:type="dxa"/>
            <w:tcBorders>
              <w:top w:val="single" w:sz="15" w:space="0" w:color="000000"/>
              <w:left w:val="single" w:sz="4" w:space="0" w:color="000000"/>
              <w:bottom w:val="single" w:sz="4" w:space="0" w:color="000000"/>
              <w:right w:val="single" w:sz="4" w:space="0" w:color="000000"/>
            </w:tcBorders>
          </w:tcPr>
          <w:p>
            <w:pPr/>
          </w:p>
        </w:tc>
        <w:tc>
          <w:tcPr>
            <w:tcW w:w="418"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-81,093,567.03</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-2,545,660.81</w:t>
            </w:r>
          </w:p>
        </w:tc>
        <w:tc>
          <w:tcPr>
            <w:tcW w:w="14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-83,639,227.84</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8,124,758.21</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8,124,758.21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8,124,758.21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-12,918,749.90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-44,003,250.00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31,084,500.10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31,084,500.10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15,330,325.76</w:t>
            </w: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-179,667,148.01</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-164,336,822.25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-164,336,822.25</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15,330,325.76</w:t>
            </w: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-15,330,325.76</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-164,336,822.25</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-164,336,822.25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-164,336,822.25</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z w:val="18"/>
                <w:szCs w:val="18"/>
              </w:rPr>
              <w:t> 内部结转</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480" w:right="54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19"/>
        <w:gridCol w:w="1272"/>
        <w:gridCol w:w="420"/>
        <w:gridCol w:w="427"/>
        <w:gridCol w:w="427"/>
        <w:gridCol w:w="1419"/>
        <w:gridCol w:w="1279"/>
        <w:gridCol w:w="1135"/>
        <w:gridCol w:w="418"/>
        <w:gridCol w:w="1133"/>
        <w:gridCol w:w="564"/>
        <w:gridCol w:w="1274"/>
        <w:gridCol w:w="427"/>
        <w:gridCol w:w="1426"/>
        <w:gridCol w:w="1133"/>
        <w:gridCol w:w="1421"/>
      </w:tblGrid>
      <w:tr>
        <w:trPr>
          <w:trHeight w:val="730" w:hRule="exact"/>
        </w:trPr>
        <w:tc>
          <w:tcPr>
            <w:tcW w:w="141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 结转留存收益</w:t>
            </w:r>
          </w:p>
        </w:tc>
        <w:tc>
          <w:tcPr>
            <w:tcW w:w="1272"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9"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418"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42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577,211.54</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577,211.54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577,211.54</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654,070,434.00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2,376,124,753.80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37,090,317.03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17,607,673.34</w:t>
            </w:r>
          </w:p>
        </w:tc>
        <w:tc>
          <w:tcPr>
            <w:tcW w:w="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99,533,275.62</w:t>
            </w:r>
          </w:p>
        </w:tc>
        <w:tc>
          <w:tcPr>
            <w:tcW w:w="56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1,261,899,895.7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4,372,145,715.43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2,721,374.49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4,374,867,089.92</w:t>
            </w:r>
          </w:p>
        </w:tc>
      </w:tr>
    </w:tbl>
    <w:p>
      <w:pPr>
        <w:pStyle w:val="BodyText"/>
        <w:spacing w:line="240" w:lineRule="auto" w:before="49"/>
        <w:ind w:left="960" w:right="0"/>
        <w:jc w:val="left"/>
      </w:pPr>
      <w:r>
        <w:rPr/>
        <w:t>上期金额</w:t>
      </w:r>
    </w:p>
    <w:p>
      <w:pPr>
        <w:pStyle w:val="BodyText"/>
        <w:spacing w:line="240" w:lineRule="auto" w:before="115"/>
        <w:ind w:left="0" w:right="897"/>
        <w:jc w:val="right"/>
      </w:pPr>
      <w:r>
        <w:rPr/>
        <w:t>单位：元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97"/>
        <w:gridCol w:w="1286"/>
        <w:gridCol w:w="427"/>
        <w:gridCol w:w="427"/>
        <w:gridCol w:w="425"/>
        <w:gridCol w:w="1419"/>
        <w:gridCol w:w="1274"/>
        <w:gridCol w:w="1104"/>
        <w:gridCol w:w="454"/>
        <w:gridCol w:w="1131"/>
        <w:gridCol w:w="569"/>
        <w:gridCol w:w="1274"/>
        <w:gridCol w:w="427"/>
        <w:gridCol w:w="1417"/>
        <w:gridCol w:w="1135"/>
        <w:gridCol w:w="1416"/>
      </w:tblGrid>
      <w:tr>
        <w:trPr>
          <w:trHeight w:val="403" w:hRule="exact"/>
        </w:trPr>
        <w:tc>
          <w:tcPr>
            <w:tcW w:w="1397" w:type="dxa"/>
            <w:vMerge w:val="restart"/>
            <w:tcBorders>
              <w:top w:val="single" w:sz="4" w:space="0" w:color="000000"/>
              <w:left w:val="single" w:sz="4" w:space="0" w:color="000000"/>
              <w:right w:val="single" w:sz="4" w:space="0" w:color="000000"/>
            </w:tcBorders>
            <w:shd w:val="clear" w:color="auto" w:fill="D2D2D2"/>
          </w:tcPr>
          <w:p>
            <w:pPr/>
          </w:p>
        </w:tc>
        <w:tc>
          <w:tcPr>
            <w:tcW w:w="1418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96"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116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89" w:hRule="exact"/>
        </w:trPr>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12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397" w:type="dxa"/>
            <w:vMerge/>
            <w:tcBorders>
              <w:left w:val="single" w:sz="4" w:space="0" w:color="000000"/>
              <w:bottom w:val="single" w:sz="4" w:space="0" w:color="FFFFFF"/>
              <w:right w:val="single" w:sz="4" w:space="0" w:color="000000"/>
            </w:tcBorders>
            <w:shd w:val="clear" w:color="auto" w:fill="D2D2D2"/>
          </w:tcPr>
          <w:p>
            <w:pPr/>
          </w:p>
        </w:tc>
        <w:tc>
          <w:tcPr>
            <w:tcW w:w="1286" w:type="dxa"/>
            <w:vMerge/>
            <w:tcBorders>
              <w:left w:val="single" w:sz="4" w:space="0" w:color="000000"/>
              <w:bottom w:val="single" w:sz="4" w:space="0" w:color="FFFFFF"/>
              <w:right w:val="single" w:sz="4" w:space="0" w:color="000000"/>
            </w:tcBorders>
            <w:shd w:val="clear" w:color="auto" w:fill="D2D2D2"/>
          </w:tcPr>
          <w:p>
            <w:pPr/>
          </w:p>
        </w:tc>
        <w:tc>
          <w:tcPr>
            <w:tcW w:w="1279" w:type="dxa"/>
            <w:gridSpan w:val="3"/>
            <w:vMerge/>
            <w:tcBorders>
              <w:left w:val="single" w:sz="4" w:space="0" w:color="000000"/>
              <w:bottom w:val="single" w:sz="4" w:space="0" w:color="FFFFFF"/>
              <w:right w:val="single" w:sz="4" w:space="0" w:color="000000"/>
            </w:tcBorders>
            <w:shd w:val="clear" w:color="auto" w:fill="D2D2D2"/>
          </w:tcPr>
          <w:p>
            <w:pPr/>
          </w:p>
        </w:tc>
        <w:tc>
          <w:tcPr>
            <w:tcW w:w="1419" w:type="dxa"/>
            <w:vMerge/>
            <w:tcBorders>
              <w:left w:val="single" w:sz="4" w:space="0" w:color="000000"/>
              <w:bottom w:val="single" w:sz="4" w:space="0" w:color="FFFFFF"/>
              <w:right w:val="single" w:sz="4" w:space="0" w:color="000000"/>
            </w:tcBorders>
            <w:shd w:val="clear" w:color="auto" w:fill="D2D2D2"/>
          </w:tcPr>
          <w:p>
            <w:pPr/>
          </w:p>
        </w:tc>
        <w:tc>
          <w:tcPr>
            <w:tcW w:w="1274" w:type="dxa"/>
            <w:vMerge/>
            <w:tcBorders>
              <w:left w:val="single" w:sz="4" w:space="0" w:color="000000"/>
              <w:bottom w:val="single" w:sz="4" w:space="0" w:color="FFFFFF"/>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458"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40" w:right="4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1"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397" w:type="dxa"/>
            <w:vMerge w:val="restart"/>
            <w:tcBorders>
              <w:top w:val="single" w:sz="4" w:space="0" w:color="FFFFFF"/>
              <w:left w:val="single" w:sz="4" w:space="0" w:color="000000"/>
              <w:right w:val="single" w:sz="4" w:space="0" w:color="000000"/>
            </w:tcBorders>
            <w:shd w:val="clear" w:color="auto" w:fill="D2D2D2"/>
          </w:tcPr>
          <w:p>
            <w:pPr/>
          </w:p>
        </w:tc>
        <w:tc>
          <w:tcPr>
            <w:tcW w:w="12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2"/>
              <w:ind w:left="119" w:right="2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2"/>
              <w:ind w:left="119" w:right="2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FFFFFF"/>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4" w:type="dxa"/>
            <w:vMerge/>
            <w:tcBorders>
              <w:left w:val="single" w:sz="4" w:space="0" w:color="000000"/>
              <w:right w:val="single" w:sz="4" w:space="0" w:color="000000"/>
            </w:tcBorders>
            <w:shd w:val="clear" w:color="auto" w:fill="D2D2D2"/>
          </w:tcPr>
          <w:p>
            <w:pPr/>
          </w:p>
        </w:tc>
        <w:tc>
          <w:tcPr>
            <w:tcW w:w="454" w:type="dxa"/>
            <w:vMerge/>
            <w:tcBorders>
              <w:left w:val="single" w:sz="4" w:space="0" w:color="000000"/>
              <w:right w:val="single" w:sz="4" w:space="0" w:color="000000"/>
            </w:tcBorders>
            <w:shd w:val="clear" w:color="auto" w:fill="D2D2D2"/>
          </w:tcPr>
          <w:p>
            <w:pPr/>
          </w:p>
        </w:tc>
        <w:tc>
          <w:tcPr>
            <w:tcW w:w="11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1397"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04" w:type="dxa"/>
            <w:vMerge/>
            <w:tcBorders>
              <w:left w:val="single" w:sz="4" w:space="0" w:color="000000"/>
              <w:right w:val="single" w:sz="4" w:space="0" w:color="000000"/>
            </w:tcBorders>
            <w:shd w:val="clear" w:color="auto" w:fill="D2D2D2"/>
          </w:tcPr>
          <w:p>
            <w:pPr/>
          </w:p>
        </w:tc>
        <w:tc>
          <w:tcPr>
            <w:tcW w:w="454"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397" w:type="dxa"/>
            <w:vMerge/>
            <w:tcBorders>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454" w:type="dxa"/>
            <w:vMerge/>
            <w:tcBorders>
              <w:left w:val="single" w:sz="4" w:space="0" w:color="000000"/>
              <w:bottom w:val="nil" w:sz="6" w:space="0" w:color="auto"/>
              <w:right w:val="single" w:sz="4" w:space="0" w:color="000000"/>
            </w:tcBorders>
            <w:shd w:val="clear" w:color="auto" w:fill="D2D2D2"/>
          </w:tcPr>
          <w:p>
            <w:pPr/>
          </w:p>
        </w:tc>
        <w:tc>
          <w:tcPr>
            <w:tcW w:w="1131"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184"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上年期末余额</w:t>
            </w:r>
          </w:p>
        </w:tc>
        <w:tc>
          <w:tcPr>
            <w:tcW w:w="12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2,380,627,616.35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2,147,977.11</w:t>
            </w: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65,738,593.50</w:t>
            </w:r>
          </w:p>
        </w:tc>
        <w:tc>
          <w:tcPr>
            <w:tcW w:w="569" w:type="dxa"/>
            <w:tcBorders>
              <w:top w:val="single" w:sz="18" w:space="0" w:color="D2D2D2"/>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247,474,296.03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3,350,058,916.99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7,773,724.11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3,357,832,641.10</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1286"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6"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1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86"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本年期初余额</w:t>
            </w:r>
          </w:p>
        </w:tc>
        <w:tc>
          <w:tcPr>
            <w:tcW w:w="12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2,380,627,616.35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2,147,977.11</w:t>
            </w: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65,738,593.50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247,474,296.03</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3,350,058,916.99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7,773,724.11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3,357,832,641.10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480" w:right="54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21"/>
        <w:gridCol w:w="1274"/>
        <w:gridCol w:w="427"/>
        <w:gridCol w:w="427"/>
        <w:gridCol w:w="425"/>
        <w:gridCol w:w="1419"/>
        <w:gridCol w:w="1274"/>
        <w:gridCol w:w="1104"/>
        <w:gridCol w:w="454"/>
        <w:gridCol w:w="1131"/>
        <w:gridCol w:w="569"/>
        <w:gridCol w:w="1274"/>
        <w:gridCol w:w="427"/>
        <w:gridCol w:w="1417"/>
        <w:gridCol w:w="1135"/>
        <w:gridCol w:w="1416"/>
      </w:tblGrid>
      <w:tr>
        <w:trPr>
          <w:trHeight w:val="1042" w:hRule="exact"/>
        </w:trPr>
        <w:tc>
          <w:tcPr>
            <w:tcW w:w="14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21"/>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-286,082.40</w:t>
            </w:r>
          </w:p>
        </w:tc>
        <w:tc>
          <w:tcPr>
            <w:tcW w:w="1274"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4,119,897.61</w:t>
            </w:r>
          </w:p>
        </w:tc>
        <w:tc>
          <w:tcPr>
            <w:tcW w:w="454" w:type="dxa"/>
            <w:tcBorders>
              <w:top w:val="single" w:sz="15" w:space="0" w:color="000000"/>
              <w:left w:val="single" w:sz="4" w:space="0" w:color="000000"/>
              <w:bottom w:val="single" w:sz="4" w:space="0" w:color="000000"/>
              <w:right w:val="single" w:sz="4" w:space="0" w:color="000000"/>
            </w:tcBorders>
          </w:tcPr>
          <w:p>
            <w:pPr/>
          </w:p>
        </w:tc>
        <w:tc>
          <w:tcPr>
            <w:tcW w:w="11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56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469,088,991.62</w:t>
            </w:r>
          </w:p>
        </w:tc>
        <w:tc>
          <w:tcPr>
            <w:tcW w:w="42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491,387,163.19</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-2,729,554.55</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488,657,608.64</w:t>
            </w: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4,119,897.61</w:t>
            </w: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512,408,008.06</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516,527,905.67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3,618,494.49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520,146,400.16</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-346,578.00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-346,578.00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-6,348,049.04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-6,694,627.04</w:t>
            </w: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-346,578.00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-346,578.00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-6,348,049.04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-6,694,627.04</w:t>
            </w: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-43,319,016.44</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-24,854,660.08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-18,464,356.36</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-24,854,660.08</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-24,854,660.08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480" w:right="54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21"/>
        <w:gridCol w:w="1274"/>
        <w:gridCol w:w="427"/>
        <w:gridCol w:w="427"/>
        <w:gridCol w:w="425"/>
        <w:gridCol w:w="1419"/>
        <w:gridCol w:w="1274"/>
        <w:gridCol w:w="1104"/>
        <w:gridCol w:w="454"/>
        <w:gridCol w:w="1131"/>
        <w:gridCol w:w="569"/>
        <w:gridCol w:w="1274"/>
        <w:gridCol w:w="427"/>
        <w:gridCol w:w="1417"/>
        <w:gridCol w:w="1135"/>
        <w:gridCol w:w="1416"/>
      </w:tblGrid>
      <w:tr>
        <w:trPr>
          <w:trHeight w:val="730" w:hRule="exact"/>
        </w:trPr>
        <w:tc>
          <w:tcPr>
            <w:tcW w:w="14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454" w:type="dxa"/>
            <w:tcBorders>
              <w:top w:val="single" w:sz="15" w:space="0" w:color="000000"/>
              <w:left w:val="single" w:sz="4" w:space="0" w:color="000000"/>
              <w:bottom w:val="single" w:sz="4" w:space="0" w:color="000000"/>
              <w:right w:val="single" w:sz="4" w:space="0" w:color="000000"/>
            </w:tcBorders>
          </w:tcPr>
          <w:p>
            <w:pPr/>
          </w:p>
        </w:tc>
        <w:tc>
          <w:tcPr>
            <w:tcW w:w="113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 结转留存收益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60,495.60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60,495.60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60,495.60</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654,070,434.00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2,380,341,533.95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6,267,874.72</w:t>
            </w:r>
          </w:p>
        </w:tc>
        <w:tc>
          <w:tcPr>
            <w:tcW w:w="4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84,202,949.86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716,563,287.65</w:t>
            </w: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3,841,446,080.18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5,044,169.56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3,846,490,249.74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960"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960" w:right="0"/>
        <w:jc w:val="left"/>
      </w:pPr>
      <w:r>
        <w:rPr/>
        <w:t>本期金额</w:t>
      </w:r>
    </w:p>
    <w:p>
      <w:pPr>
        <w:pStyle w:val="BodyText"/>
        <w:spacing w:line="240" w:lineRule="auto" w:before="117"/>
        <w:ind w:left="0" w:right="897"/>
        <w:jc w:val="right"/>
      </w:pPr>
      <w:r>
        <w:rPr/>
        <w:t>单位：元</w:t>
      </w:r>
    </w:p>
    <w:p>
      <w:pPr>
        <w:spacing w:line="240" w:lineRule="auto" w:before="4"/>
        <w:rPr>
          <w:rFonts w:ascii="宋体" w:hAnsi="宋体" w:cs="宋体" w:eastAsia="宋体" w:hint="default"/>
          <w:sz w:val="8"/>
          <w:szCs w:val="8"/>
        </w:rPr>
      </w:pPr>
    </w:p>
    <w:tbl>
      <w:tblPr>
        <w:tblW w:w="0" w:type="auto"/>
        <w:jc w:val="left"/>
        <w:tblInd w:w="938" w:type="dxa"/>
        <w:tblLayout w:type="fixed"/>
        <w:tblCellMar>
          <w:top w:w="0" w:type="dxa"/>
          <w:left w:w="0" w:type="dxa"/>
          <w:bottom w:w="0" w:type="dxa"/>
          <w:right w:w="0" w:type="dxa"/>
        </w:tblCellMar>
        <w:tblLook w:val="01E0"/>
      </w:tblPr>
      <w:tblGrid>
        <w:gridCol w:w="1707"/>
        <w:gridCol w:w="1193"/>
        <w:gridCol w:w="701"/>
        <w:gridCol w:w="701"/>
        <w:gridCol w:w="701"/>
        <w:gridCol w:w="1315"/>
        <w:gridCol w:w="1152"/>
        <w:gridCol w:w="1152"/>
        <w:gridCol w:w="878"/>
        <w:gridCol w:w="1092"/>
        <w:gridCol w:w="1241"/>
        <w:gridCol w:w="854"/>
        <w:gridCol w:w="1318"/>
      </w:tblGrid>
      <w:tr>
        <w:trPr>
          <w:trHeight w:val="401" w:hRule="exact"/>
        </w:trPr>
        <w:tc>
          <w:tcPr>
            <w:tcW w:w="17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7" w:hRule="exact"/>
        </w:trPr>
        <w:tc>
          <w:tcPr>
            <w:tcW w:w="17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07"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03" w:type="dxa"/>
            <w:gridSpan w:val="3"/>
            <w:vMerge/>
            <w:tcBorders>
              <w:left w:val="single" w:sz="4" w:space="0" w:color="000000"/>
              <w:bottom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707"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07"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654,070,434.00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2,489,627,616.35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-10,844,655.07</w:t>
            </w: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84,202,949.86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166,179,207.28</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3,383,235,552.42</w:t>
            </w:r>
          </w:p>
        </w:tc>
      </w:tr>
      <w:tr>
        <w:trPr>
          <w:trHeight w:val="713"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-288.26</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480" w:right="540"/>
        </w:sectPr>
      </w:pPr>
    </w:p>
    <w:p>
      <w:pPr>
        <w:spacing w:line="240" w:lineRule="auto" w:before="2"/>
        <w:rPr>
          <w:rFonts w:ascii="Times New Roman" w:hAnsi="Times New Roman" w:cs="Times New Roman" w:eastAsia="Times New Roman" w:hint="default"/>
          <w:sz w:val="3"/>
          <w:szCs w:val="3"/>
        </w:rPr>
      </w:pPr>
      <w:r>
        <w:rPr/>
        <w:pict>
          <v:group style="position:absolute;margin-left:157.339996pt;margin-top:407.710022pt;width:58.6pt;height:27.9pt;mso-position-horizontal-relative:page;mso-position-vertical-relative:page;z-index:-1665304" coordorigin="3147,8154" coordsize="1172,558">
            <v:group style="position:absolute;left:3147;top:8154;width:1172;height:156" coordorigin="3147,8154" coordsize="1172,156">
              <v:shape style="position:absolute;left:3147;top:8154;width:1172;height:156" coordorigin="3147,8154" coordsize="1172,156" path="m3147,8310l4318,8310,4318,8154,3147,8154,3147,8310xe" filled="true" fillcolor="#ffffff" stroked="false">
                <v:path arrowok="t"/>
                <v:fill type="solid"/>
              </v:shape>
            </v:group>
            <v:group style="position:absolute;left:3158;top:8310;width:2;height:392" coordorigin="3158,8310" coordsize="2,392">
              <v:shape style="position:absolute;left:3158;top:8310;width:2;height:392" coordorigin="3158,8310" coordsize="0,392" path="m3158,8310l3158,8701e" filled="false" stroked="true" strokeweight="1.08pt" strokecolor="#ffffff">
                <v:path arrowok="t"/>
              </v:shape>
            </v:group>
            <v:group style="position:absolute;left:3168;top:8310;width:1126;height:392" coordorigin="3168,8310" coordsize="1126,392">
              <v:shape style="position:absolute;left:3168;top:8310;width:1126;height:392" coordorigin="3168,8310" coordsize="1126,392" path="m3168,8701l4294,8701,4294,8310,3168,8310,3168,8701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31"/>
        <w:gridCol w:w="1181"/>
        <w:gridCol w:w="701"/>
        <w:gridCol w:w="701"/>
        <w:gridCol w:w="701"/>
        <w:gridCol w:w="1315"/>
        <w:gridCol w:w="1152"/>
        <w:gridCol w:w="1152"/>
        <w:gridCol w:w="878"/>
        <w:gridCol w:w="1092"/>
        <w:gridCol w:w="1241"/>
        <w:gridCol w:w="854"/>
        <w:gridCol w:w="1318"/>
      </w:tblGrid>
      <w:tr>
        <w:trPr>
          <w:trHeight w:val="730" w:hRule="exact"/>
        </w:trPr>
        <w:tc>
          <w:tcPr>
            <w:tcW w:w="17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85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654,070,434.00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2,489,627,616.35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-10,844,655.07</w:t>
            </w: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84,202,949.86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166,178,919.02</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3,383,235,264.16</w:t>
            </w:r>
          </w:p>
        </w:tc>
      </w:tr>
      <w:tr>
        <w:trPr>
          <w:trHeight w:val="102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75"/>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-4,793,991.69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37,090,317.03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3,290,920.50</w:t>
            </w: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15,330,325.76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-26,363,890.45</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-49,626,952.91</w:t>
            </w:r>
          </w:p>
        </w:tc>
      </w:tr>
      <w:tr>
        <w:trPr>
          <w:trHeight w:val="40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3,290,920.50</w:t>
            </w: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center"/>
              <w:rPr>
                <w:rFonts w:ascii="Times New Roman" w:hAnsi="Times New Roman" w:cs="Times New Roman" w:eastAsia="Times New Roman" w:hint="default"/>
                <w:sz w:val="18"/>
                <w:szCs w:val="18"/>
              </w:rPr>
            </w:pPr>
            <w:r>
              <w:rPr>
                <w:rFonts w:ascii="Times New Roman"/>
                <w:sz w:val="18"/>
              </w:rPr>
              <w:t>153,303,257.56</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156,594,178.06</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-4,793,991.69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37,090,317.03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-41,884,308.72</w:t>
            </w: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81,093,567.03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-81,093,567.03</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2,384,555.14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2,384,555.14</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-7,178,546.83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-44,003,250.00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36,824,703.17</w:t>
            </w: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15,330,325.76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-179,667,148.01</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-164,336,822.25</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15,330,325.76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-15,330,325.76</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8"/>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-164,336,822.25</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-164,336,822.25</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31"/>
        <w:gridCol w:w="1181"/>
        <w:gridCol w:w="701"/>
        <w:gridCol w:w="701"/>
        <w:gridCol w:w="701"/>
        <w:gridCol w:w="1315"/>
        <w:gridCol w:w="1152"/>
        <w:gridCol w:w="1152"/>
        <w:gridCol w:w="878"/>
        <w:gridCol w:w="1092"/>
        <w:gridCol w:w="1241"/>
        <w:gridCol w:w="854"/>
        <w:gridCol w:w="1318"/>
      </w:tblGrid>
      <w:tr>
        <w:trPr>
          <w:trHeight w:val="730" w:hRule="exact"/>
        </w:trPr>
        <w:tc>
          <w:tcPr>
            <w:tcW w:w="17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85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．其他综合收益结转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654,070,434.00</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2,484,833,624.66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37,090,317.03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-7,553,734.57</w:t>
            </w:r>
          </w:p>
        </w:tc>
        <w:tc>
          <w:tcPr>
            <w:tcW w:w="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99,533,275.62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139,815,028.57</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3,333,608,311.25</w:t>
            </w:r>
          </w:p>
        </w:tc>
      </w:tr>
    </w:tbl>
    <w:p>
      <w:pPr>
        <w:pStyle w:val="BodyText"/>
        <w:spacing w:line="240" w:lineRule="auto" w:before="49"/>
        <w:ind w:left="140" w:right="0"/>
        <w:jc w:val="left"/>
      </w:pPr>
      <w:r>
        <w:rPr/>
        <w:t>上期金额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37"/>
        <w:gridCol w:w="1193"/>
        <w:gridCol w:w="696"/>
        <w:gridCol w:w="697"/>
        <w:gridCol w:w="698"/>
        <w:gridCol w:w="1315"/>
        <w:gridCol w:w="864"/>
        <w:gridCol w:w="1150"/>
        <w:gridCol w:w="1006"/>
        <w:gridCol w:w="1090"/>
        <w:gridCol w:w="1318"/>
        <w:gridCol w:w="1025"/>
        <w:gridCol w:w="1318"/>
      </w:tblGrid>
      <w:tr>
        <w:trPr>
          <w:trHeight w:val="396" w:hRule="exact"/>
        </w:trPr>
        <w:tc>
          <w:tcPr>
            <w:tcW w:w="1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11"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35" w:right="65"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91" w:type="dxa"/>
            <w:gridSpan w:val="3"/>
            <w:vMerge/>
            <w:tcBorders>
              <w:left w:val="single" w:sz="4" w:space="0" w:color="000000"/>
              <w:bottom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4"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637"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006"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2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11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2,489,627,616.35</w:t>
            </w:r>
          </w:p>
        </w:tc>
        <w:tc>
          <w:tcPr>
            <w:tcW w:w="864" w:type="dxa"/>
            <w:tcBorders>
              <w:top w:val="single" w:sz="18" w:space="0" w:color="D2D2D2"/>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-1,067,652.82</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65,738,593.50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-894,751,477.75</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2,313,617,513.28</w:t>
            </w: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3"/>
                <w:sz w:val="18"/>
                <w:szCs w:val="18"/>
              </w:rPr>
              <w:t>加：会计政策变</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2,489,627,616.35</w:t>
            </w: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-1,067,652.82</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65,738,593.50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-894,751,477.75</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2,313,617,513.28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61"/>
        <w:gridCol w:w="1181"/>
        <w:gridCol w:w="696"/>
        <w:gridCol w:w="697"/>
        <w:gridCol w:w="698"/>
        <w:gridCol w:w="1315"/>
        <w:gridCol w:w="864"/>
        <w:gridCol w:w="1150"/>
        <w:gridCol w:w="1006"/>
        <w:gridCol w:w="1090"/>
        <w:gridCol w:w="1318"/>
        <w:gridCol w:w="1025"/>
        <w:gridCol w:w="1318"/>
      </w:tblGrid>
      <w:tr>
        <w:trPr>
          <w:trHeight w:val="1042" w:hRule="exact"/>
        </w:trPr>
        <w:tc>
          <w:tcPr>
            <w:tcW w:w="16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22"/>
              <w:jc w:val="both"/>
              <w:rPr>
                <w:rFonts w:ascii="宋体" w:hAnsi="宋体" w:cs="宋体" w:eastAsia="宋体" w:hint="default"/>
                <w:sz w:val="18"/>
                <w:szCs w:val="18"/>
              </w:rPr>
            </w:pPr>
            <w:r>
              <w:rPr>
                <w:rFonts w:ascii="宋体" w:hAnsi="宋体" w:cs="宋体" w:eastAsia="宋体" w:hint="default"/>
                <w:spacing w:val="-2"/>
                <w:sz w:val="18"/>
                <w:szCs w:val="18"/>
              </w:rPr>
              <w:t>三、本期增减变动金</w:t>
            </w:r>
            <w:r>
              <w:rPr>
                <w:rFonts w:ascii="宋体" w:hAnsi="宋体" w:cs="宋体" w:eastAsia="宋体" w:hint="default"/>
                <w:sz w:val="18"/>
                <w:szCs w:val="18"/>
              </w:rPr>
              <w:t>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96" w:type="dxa"/>
            <w:tcBorders>
              <w:top w:val="single" w:sz="15" w:space="0" w:color="000000"/>
              <w:left w:val="single" w:sz="4" w:space="0" w:color="000000"/>
              <w:bottom w:val="single" w:sz="4" w:space="0" w:color="000000"/>
              <w:right w:val="single" w:sz="4" w:space="0" w:color="000000"/>
            </w:tcBorders>
          </w:tcPr>
          <w:p>
            <w:pPr/>
          </w:p>
        </w:tc>
        <w:tc>
          <w:tcPr>
            <w:tcW w:w="697" w:type="dxa"/>
            <w:tcBorders>
              <w:top w:val="single" w:sz="15" w:space="0" w:color="000000"/>
              <w:left w:val="single" w:sz="4" w:space="0" w:color="000000"/>
              <w:bottom w:val="single" w:sz="4" w:space="0" w:color="000000"/>
              <w:right w:val="single" w:sz="4" w:space="0" w:color="000000"/>
            </w:tcBorders>
          </w:tcPr>
          <w:p>
            <w:pPr/>
          </w:p>
        </w:tc>
        <w:tc>
          <w:tcPr>
            <w:tcW w:w="69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-9,777,002.25</w:t>
            </w:r>
          </w:p>
        </w:tc>
        <w:tc>
          <w:tcPr>
            <w:tcW w:w="1006"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1,060,930,685.03</w:t>
            </w:r>
          </w:p>
        </w:tc>
        <w:tc>
          <w:tcPr>
            <w:tcW w:w="1025"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1,069,618,039.14</w:t>
            </w: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-9,777,002.25</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1,104,249,701.47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1,094,472,699.22</w:t>
            </w: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（二）所有者投入和</w:t>
            </w:r>
            <w:r>
              <w:rPr>
                <w:rFonts w:ascii="宋体" w:hAnsi="宋体" w:cs="宋体" w:eastAsia="宋体" w:hint="default"/>
                <w:sz w:val="18"/>
                <w:szCs w:val="18"/>
              </w:rPr>
              <w:t> 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 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-43,319,016.44</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404"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-18,464,356.36</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-24,854,660.08</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w:t>
            </w:r>
            <w:r>
              <w:rPr>
                <w:rFonts w:ascii="宋体" w:hAnsi="宋体" w:cs="宋体" w:eastAsia="宋体" w:hint="default"/>
                <w:sz w:val="18"/>
                <w:szCs w:val="18"/>
              </w:rPr>
              <w:t> 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61"/>
        <w:gridCol w:w="1181"/>
        <w:gridCol w:w="696"/>
        <w:gridCol w:w="697"/>
        <w:gridCol w:w="698"/>
        <w:gridCol w:w="1315"/>
        <w:gridCol w:w="864"/>
        <w:gridCol w:w="1150"/>
        <w:gridCol w:w="1006"/>
        <w:gridCol w:w="1090"/>
        <w:gridCol w:w="1318"/>
        <w:gridCol w:w="1025"/>
        <w:gridCol w:w="1318"/>
      </w:tblGrid>
      <w:tr>
        <w:trPr>
          <w:trHeight w:val="730" w:hRule="exact"/>
        </w:trPr>
        <w:tc>
          <w:tcPr>
            <w:tcW w:w="16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 动额结转留存收益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96" w:type="dxa"/>
            <w:tcBorders>
              <w:top w:val="single" w:sz="15" w:space="0" w:color="000000"/>
              <w:left w:val="single" w:sz="4" w:space="0" w:color="000000"/>
              <w:bottom w:val="single" w:sz="4" w:space="0" w:color="000000"/>
              <w:right w:val="single" w:sz="4" w:space="0" w:color="000000"/>
            </w:tcBorders>
          </w:tcPr>
          <w:p>
            <w:pPr/>
          </w:p>
        </w:tc>
        <w:tc>
          <w:tcPr>
            <w:tcW w:w="697" w:type="dxa"/>
            <w:tcBorders>
              <w:top w:val="single" w:sz="15" w:space="0" w:color="000000"/>
              <w:left w:val="single" w:sz="4" w:space="0" w:color="000000"/>
              <w:bottom w:val="single" w:sz="4" w:space="0" w:color="000000"/>
              <w:right w:val="single" w:sz="4" w:space="0" w:color="000000"/>
            </w:tcBorders>
          </w:tcPr>
          <w:p>
            <w:pPr/>
          </w:p>
        </w:tc>
        <w:tc>
          <w:tcPr>
            <w:tcW w:w="69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1150" w:type="dxa"/>
            <w:tcBorders>
              <w:top w:val="single" w:sz="15" w:space="0" w:color="000000"/>
              <w:left w:val="single" w:sz="4" w:space="0" w:color="000000"/>
              <w:bottom w:val="single" w:sz="4" w:space="0" w:color="000000"/>
              <w:right w:val="single" w:sz="4" w:space="0" w:color="000000"/>
            </w:tcBorders>
          </w:tcPr>
          <w:p>
            <w:pPr/>
          </w:p>
        </w:tc>
        <w:tc>
          <w:tcPr>
            <w:tcW w:w="1006"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025"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654,070,434.00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2,489,627,616.35</w:t>
            </w:r>
          </w:p>
        </w:tc>
        <w:tc>
          <w:tcPr>
            <w:tcW w:w="8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-10,844,655.07</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84,202,949.86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166,179,207.28</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3,383,235,552.42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11" w:firstLine="360"/>
        <w:jc w:val="both"/>
      </w:pPr>
      <w:r>
        <w:rPr/>
        <w:t>神州数码集团股份有限公司（以下简称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spacing w:val="33"/>
        </w:rPr>
        <w:t> </w:t>
      </w:r>
      <w:r>
        <w:rPr/>
        <w:t>在包含子公司时统称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）原名深圳市深信泰丰（集 团）股份有限公司，前身为深圳市华宝畜禽联合公司，</w:t>
      </w:r>
      <w:r>
        <w:rPr>
          <w:rFonts w:ascii="Times New Roman" w:hAnsi="Times New Roman" w:cs="Times New Roman" w:eastAsia="Times New Roman" w:hint="default"/>
        </w:rPr>
        <w:t>1981</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7"/>
        </w:rPr>
        <w:t> </w:t>
      </w:r>
      <w:r>
        <w:rPr/>
        <w:t>日经深圳市人民政府以市特府</w:t>
      </w:r>
      <w:r>
        <w:rPr>
          <w:rFonts w:ascii="Times New Roman" w:hAnsi="Times New Roman" w:cs="Times New Roman" w:eastAsia="Times New Roman" w:hint="default"/>
        </w:rPr>
        <w:t>[1981]20</w:t>
      </w:r>
      <w:r>
        <w:rPr>
          <w:rFonts w:ascii="Times New Roman" w:hAnsi="Times New Roman" w:cs="Times New Roman" w:eastAsia="Times New Roman" w:hint="default"/>
          <w:spacing w:val="38"/>
        </w:rPr>
        <w:t> </w:t>
      </w:r>
      <w:r>
        <w:rPr/>
        <w:t>号文批准成</w:t>
      </w:r>
      <w:r>
        <w:rPr>
          <w:spacing w:val="-87"/>
        </w:rPr>
        <w:t> </w:t>
      </w:r>
      <w:r>
        <w:rPr>
          <w:spacing w:val="-3"/>
        </w:rPr>
        <w:t>立，并于</w:t>
      </w:r>
      <w:r>
        <w:rPr>
          <w:rFonts w:ascii="Times New Roman" w:hAnsi="Times New Roman" w:cs="Times New Roman" w:eastAsia="Times New Roman" w:hint="default"/>
          <w:spacing w:val="-3"/>
        </w:rPr>
        <w:t>1983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31 </w:t>
      </w:r>
      <w:r>
        <w:rPr>
          <w:spacing w:val="-4"/>
        </w:rPr>
        <w:t>日经中国牧工商联合总公司以（</w:t>
      </w:r>
      <w:r>
        <w:rPr>
          <w:rFonts w:ascii="Times New Roman" w:hAnsi="Times New Roman" w:cs="Times New Roman" w:eastAsia="Times New Roman" w:hint="default"/>
          <w:spacing w:val="-4"/>
        </w:rPr>
        <w:t>83</w:t>
      </w:r>
      <w:r>
        <w:rPr>
          <w:spacing w:val="-4"/>
        </w:rPr>
        <w:t>）农牧（办）字第</w:t>
      </w:r>
      <w:r>
        <w:rPr>
          <w:rFonts w:ascii="Times New Roman" w:hAnsi="Times New Roman" w:cs="Times New Roman" w:eastAsia="Times New Roman" w:hint="default"/>
          <w:spacing w:val="-4"/>
        </w:rPr>
        <w:t>02</w:t>
      </w:r>
      <w:r>
        <w:rPr>
          <w:rFonts w:ascii="Times New Roman" w:hAnsi="Times New Roman" w:cs="Times New Roman" w:eastAsia="Times New Roman" w:hint="default"/>
          <w:spacing w:val="-7"/>
        </w:rPr>
        <w:t> </w:t>
      </w:r>
      <w:r>
        <w:rPr/>
        <w:t>号文批准更名为深圳华宝牧工商联合公司。 </w:t>
      </w:r>
      <w:r>
        <w:rPr>
          <w:rFonts w:ascii="Times New Roman" w:hAnsi="Times New Roman" w:cs="Times New Roman" w:eastAsia="Times New Roman" w:hint="default"/>
        </w:rPr>
        <w:t>1993</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5"/>
        </w:rPr>
        <w:t> </w:t>
      </w:r>
      <w:r>
        <w:rPr/>
        <w:t>日经深圳市人民政府以深府办复</w:t>
      </w:r>
      <w:r>
        <w:rPr>
          <w:rFonts w:ascii="Times New Roman" w:hAnsi="Times New Roman" w:cs="Times New Roman" w:eastAsia="Times New Roman" w:hint="default"/>
        </w:rPr>
        <w:t>[1993]855</w:t>
      </w:r>
      <w:r>
        <w:rPr>
          <w:rFonts w:ascii="Times New Roman" w:hAnsi="Times New Roman" w:cs="Times New Roman" w:eastAsia="Times New Roman" w:hint="default"/>
          <w:spacing w:val="36"/>
        </w:rPr>
        <w:t> </w:t>
      </w:r>
      <w:r>
        <w:rPr/>
        <w:t>号文批准，由中国牧工商总公司、深圳市宝安区投资管理公司、</w:t>
      </w:r>
      <w:r>
        <w:rPr>
          <w:spacing w:val="-88"/>
        </w:rPr>
        <w:t> </w:t>
      </w:r>
      <w:r>
        <w:rPr>
          <w:spacing w:val="-88"/>
        </w:rPr>
      </w:r>
      <w:r>
        <w:rPr>
          <w:spacing w:val="-2"/>
        </w:rPr>
        <w:t>深圳经济特区食品贸易（集团）公司三家为发起人，通过改组以社会募集方式设立深圳市华宝（集团）股份有限公司。</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日经深圳市工商行政管理局批准，公司名称变更为深圳市深信泰丰（集团）股份有限公司。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日经深圳 </w:t>
      </w:r>
      <w:r>
        <w:rPr>
          <w:spacing w:val="20"/>
        </w:rPr>
        <w:t>市工商行政管理局批准，公司名称变更为现名称神州数码集团股份有限公司。</w:t>
      </w:r>
      <w:r>
        <w:rPr>
          <w:spacing w:val="-69"/>
        </w:rPr>
        <w:t> </w:t>
      </w:r>
      <w:r>
        <w:rPr>
          <w:spacing w:val="19"/>
        </w:rPr>
        <w:t>本公司已领取统一社会信用代码</w:t>
      </w:r>
      <w:r>
        <w:rPr>
          <w:spacing w:val="-85"/>
        </w:rPr>
        <w:t> </w:t>
      </w:r>
      <w:r>
        <w:rPr>
          <w:rFonts w:ascii="Times New Roman" w:hAnsi="Times New Roman" w:cs="Times New Roman" w:eastAsia="Times New Roman" w:hint="default"/>
        </w:rPr>
        <w:t>9144030019218259X7</w:t>
      </w:r>
      <w:r>
        <w:rPr/>
        <w:t>号企业法人营业执照，注册资本为人民币</w:t>
      </w:r>
      <w:r>
        <w:rPr>
          <w:rFonts w:ascii="Times New Roman" w:hAnsi="Times New Roman" w:cs="Times New Roman" w:eastAsia="Times New Roman" w:hint="default"/>
        </w:rPr>
        <w:t>654,070,434.00</w:t>
      </w:r>
      <w:r>
        <w:rPr/>
        <w:t>元。</w:t>
      </w:r>
    </w:p>
    <w:p>
      <w:pPr>
        <w:spacing w:line="272" w:lineRule="exact"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股东所持公司的法人股发生的股权转让事宜</w:t>
      </w:r>
      <w:r>
        <w:rPr>
          <w:rFonts w:ascii="宋体" w:hAnsi="宋体" w:cs="宋体" w:eastAsia="宋体" w:hint="default"/>
          <w:sz w:val="20"/>
          <w:szCs w:val="20"/>
        </w:rPr>
      </w:r>
    </w:p>
    <w:p>
      <w:pPr>
        <w:pStyle w:val="BodyText"/>
        <w:spacing w:line="300" w:lineRule="auto" w:before="51"/>
        <w:ind w:right="1128" w:firstLine="360"/>
        <w:jc w:val="both"/>
      </w:pPr>
      <w:r>
        <w:rPr>
          <w:spacing w:val="-3"/>
        </w:rPr>
        <w:t>（</w:t>
      </w:r>
      <w:r>
        <w:rPr>
          <w:rFonts w:ascii="Times New Roman" w:hAnsi="Times New Roman" w:cs="Times New Roman" w:eastAsia="Times New Roman" w:hint="default"/>
          <w:spacing w:val="-3"/>
        </w:rPr>
        <w:t>1</w:t>
      </w:r>
      <w:r>
        <w:rPr>
          <w:spacing w:val="-3"/>
        </w:rPr>
        <w:t>）深圳市证券管理办公室于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日以深证办复</w:t>
      </w:r>
      <w:r>
        <w:rPr>
          <w:rFonts w:ascii="Times New Roman" w:hAnsi="Times New Roman" w:cs="Times New Roman" w:eastAsia="Times New Roman" w:hint="default"/>
        </w:rPr>
        <w:t>[1999]42 </w:t>
      </w:r>
      <w:r>
        <w:rPr>
          <w:spacing w:val="-3"/>
        </w:rPr>
        <w:t>号文批准，以及经财政部于</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38"/>
        </w:rPr>
        <w:t> </w:t>
      </w:r>
      <w:r>
        <w:rPr/>
        <w:t>日以财 管字</w:t>
      </w:r>
      <w:r>
        <w:rPr>
          <w:rFonts w:ascii="Times New Roman" w:hAnsi="Times New Roman" w:cs="Times New Roman" w:eastAsia="Times New Roman" w:hint="default"/>
        </w:rPr>
        <w:t>[1999]362</w:t>
      </w:r>
      <w:r>
        <w:rPr>
          <w:rFonts w:ascii="Times New Roman" w:hAnsi="Times New Roman" w:cs="Times New Roman" w:eastAsia="Times New Roman" w:hint="default"/>
          <w:spacing w:val="19"/>
        </w:rPr>
        <w:t> </w:t>
      </w:r>
      <w:r>
        <w:rPr/>
        <w:t>号文批准，由深圳国际信托投资有限责任公司受让本公司原股东</w:t>
      </w:r>
      <w:r>
        <w:rPr>
          <w:rFonts w:ascii="Times New Roman" w:hAnsi="Times New Roman" w:cs="Times New Roman" w:eastAsia="Times New Roman" w:hint="default"/>
        </w:rPr>
        <w:t>—</w:t>
      </w:r>
      <w:r>
        <w:rPr/>
        <w:t>中国牧工商（集团）总公司持有的本公司 法人股份</w:t>
      </w:r>
      <w:r>
        <w:rPr>
          <w:rFonts w:ascii="Times New Roman" w:hAnsi="Times New Roman" w:cs="Times New Roman" w:eastAsia="Times New Roman" w:hint="default"/>
        </w:rPr>
        <w:t>77,886,656</w:t>
      </w:r>
      <w:r>
        <w:rPr>
          <w:rFonts w:ascii="Times New Roman" w:hAnsi="Times New Roman" w:cs="Times New Roman" w:eastAsia="Times New Roman" w:hint="default"/>
          <w:spacing w:val="25"/>
        </w:rPr>
        <w:t> </w:t>
      </w:r>
      <w:r>
        <w:rPr/>
        <w:t>股，并办妥股权过户手续。转让完成后，中国牧工商（集团）总公司不再持有本公司股权。</w:t>
      </w:r>
    </w:p>
    <w:p>
      <w:pPr>
        <w:pStyle w:val="BodyText"/>
        <w:spacing w:line="300" w:lineRule="auto" w:before="13"/>
        <w:ind w:right="1129" w:firstLine="360"/>
        <w:jc w:val="both"/>
      </w:pPr>
      <w:r>
        <w:rPr/>
        <w:t>（</w:t>
      </w:r>
      <w:r>
        <w:rPr>
          <w:rFonts w:ascii="Times New Roman" w:hAnsi="Times New Roman" w:cs="Times New Roman" w:eastAsia="Times New Roman" w:hint="default"/>
        </w:rPr>
        <w:t>2</w:t>
      </w:r>
      <w:r>
        <w:rPr/>
        <w:t>）深圳市宝安区人民政府于</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日以深宝府函</w:t>
      </w:r>
      <w:r>
        <w:rPr>
          <w:rFonts w:ascii="Times New Roman" w:hAnsi="Times New Roman" w:cs="Times New Roman" w:eastAsia="Times New Roman" w:hint="default"/>
        </w:rPr>
        <w:t>[1999]29 </w:t>
      </w:r>
      <w:r>
        <w:rPr/>
        <w:t>号文批准、深圳市国有资产管理办公室于</w:t>
      </w:r>
      <w:r>
        <w:rPr>
          <w:rFonts w:ascii="Times New Roman" w:hAnsi="Times New Roman" w:cs="Times New Roman" w:eastAsia="Times New Roman" w:hint="default"/>
        </w:rPr>
        <w:t>1999</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日以</w:t>
      </w:r>
      <w:r>
        <w:rPr>
          <w:rFonts w:ascii="Times New Roman" w:hAnsi="Times New Roman" w:cs="Times New Roman" w:eastAsia="Times New Roman" w:hint="default"/>
        </w:rPr>
        <w:t>[1999]65 </w:t>
      </w:r>
      <w:r>
        <w:rPr/>
        <w:t>号文批准，以及深圳市证券管理办公室于</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9 </w:t>
      </w:r>
      <w:r>
        <w:rPr/>
        <w:t>日以深证办复</w:t>
      </w:r>
      <w:r>
        <w:rPr>
          <w:rFonts w:ascii="Times New Roman" w:hAnsi="Times New Roman" w:cs="Times New Roman" w:eastAsia="Times New Roman" w:hint="default"/>
        </w:rPr>
        <w:t>[1999]42</w:t>
      </w:r>
      <w:r>
        <w:rPr>
          <w:rFonts w:ascii="Times New Roman" w:hAnsi="Times New Roman" w:cs="Times New Roman" w:eastAsia="Times New Roman" w:hint="default"/>
          <w:spacing w:val="25"/>
        </w:rPr>
        <w:t> </w:t>
      </w:r>
      <w:r>
        <w:rPr/>
        <w:t>号文批准，以及经财政部 于</w:t>
      </w:r>
      <w:r>
        <w:rPr>
          <w:rFonts w:ascii="Times New Roman" w:hAnsi="Times New Roman" w:cs="Times New Roman" w:eastAsia="Times New Roman" w:hint="default"/>
        </w:rPr>
        <w:t>1999</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39"/>
        </w:rPr>
        <w:t> </w:t>
      </w:r>
      <w:r>
        <w:rPr/>
        <w:t>日以财管字</w:t>
      </w:r>
      <w:r>
        <w:rPr>
          <w:rFonts w:ascii="Times New Roman" w:hAnsi="Times New Roman" w:cs="Times New Roman" w:eastAsia="Times New Roman" w:hint="default"/>
        </w:rPr>
        <w:t>[1999]362</w:t>
      </w:r>
      <w:r>
        <w:rPr>
          <w:rFonts w:ascii="Times New Roman" w:hAnsi="Times New Roman" w:cs="Times New Roman" w:eastAsia="Times New Roman" w:hint="default"/>
          <w:spacing w:val="40"/>
        </w:rPr>
        <w:t> </w:t>
      </w:r>
      <w:r>
        <w:rPr>
          <w:spacing w:val="2"/>
        </w:rPr>
        <w:t>号文批准由深圳国际信托投资有限责任公司受让本公司原第一大股东</w:t>
      </w:r>
      <w:r>
        <w:rPr>
          <w:rFonts w:ascii="Times New Roman" w:hAnsi="Times New Roman" w:cs="Times New Roman" w:eastAsia="Times New Roman" w:hint="default"/>
          <w:spacing w:val="2"/>
        </w:rPr>
        <w:t>—</w:t>
      </w:r>
      <w:r>
        <w:rPr>
          <w:spacing w:val="2"/>
        </w:rPr>
        <w:t>深圳市宝</w:t>
      </w:r>
      <w:r>
        <w:rPr>
          <w:spacing w:val="-88"/>
        </w:rPr>
        <w:t> </w:t>
      </w:r>
      <w:r>
        <w:rPr>
          <w:spacing w:val="-88"/>
        </w:rPr>
      </w:r>
      <w:r>
        <w:rPr/>
        <w:t>安区投资管理公司持有的本公司国家股份</w:t>
      </w:r>
      <w:r>
        <w:rPr>
          <w:rFonts w:ascii="Times New Roman" w:hAnsi="Times New Roman" w:cs="Times New Roman" w:eastAsia="Times New Roman" w:hint="default"/>
        </w:rPr>
        <w:t>71,335,413</w:t>
      </w:r>
      <w:r>
        <w:rPr>
          <w:rFonts w:ascii="Times New Roman" w:hAnsi="Times New Roman" w:cs="Times New Roman" w:eastAsia="Times New Roman" w:hint="default"/>
          <w:spacing w:val="29"/>
        </w:rPr>
        <w:t> </w:t>
      </w:r>
      <w:r>
        <w:rPr/>
        <w:t>股。</w:t>
      </w:r>
    </w:p>
    <w:p>
      <w:pPr>
        <w:pStyle w:val="BodyText"/>
        <w:spacing w:line="300" w:lineRule="auto" w:before="13"/>
        <w:ind w:right="1128" w:firstLine="360"/>
        <w:jc w:val="both"/>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深圳市宝安区投资管理公司与深圳国际信托投资有限责任公司重新签定了《股权转让协议书》，根 据审计后本公司</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日净资产，上述股权转让价格为</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rFonts w:ascii="Times New Roman" w:hAnsi="Times New Roman" w:cs="Times New Roman" w:eastAsia="Times New Roman" w:hint="default"/>
        </w:rPr>
        <w:t>82,749,079.08</w:t>
      </w:r>
      <w:r>
        <w:rPr>
          <w:rFonts w:ascii="Times New Roman" w:hAnsi="Times New Roman" w:cs="Times New Roman" w:eastAsia="Times New Roman" w:hint="default"/>
          <w:spacing w:val="43"/>
        </w:rPr>
        <w:t> </w:t>
      </w:r>
      <w:r>
        <w:rPr/>
        <w:t>元。该事项已获财政部 财企</w:t>
      </w:r>
      <w:r>
        <w:rPr>
          <w:rFonts w:ascii="Times New Roman" w:hAnsi="Times New Roman" w:cs="Times New Roman" w:eastAsia="Times New Roman" w:hint="default"/>
        </w:rPr>
        <w:t>[2003]64  </w:t>
      </w:r>
      <w:r>
        <w:rPr/>
        <w:t>号文批复、中国证监会证监公司字</w:t>
      </w:r>
      <w:r>
        <w:rPr>
          <w:rFonts w:ascii="Times New Roman" w:hAnsi="Times New Roman" w:cs="Times New Roman" w:eastAsia="Times New Roman" w:hint="default"/>
        </w:rPr>
        <w:t>[2003]38</w:t>
      </w:r>
      <w:r>
        <w:rPr>
          <w:rFonts w:ascii="Times New Roman" w:hAnsi="Times New Roman" w:cs="Times New Roman" w:eastAsia="Times New Roman" w:hint="default"/>
          <w:spacing w:val="1"/>
        </w:rPr>
        <w:t> </w:t>
      </w:r>
      <w:r>
        <w:rPr/>
        <w:t>号文批复，并办妥股权过户手续。</w:t>
      </w:r>
    </w:p>
    <w:p>
      <w:pPr>
        <w:pStyle w:val="BodyText"/>
        <w:spacing w:line="300" w:lineRule="auto" w:before="13"/>
        <w:ind w:right="1131" w:firstLine="360"/>
        <w:jc w:val="both"/>
      </w:pPr>
      <w:r>
        <w:rPr/>
        <w:t>（</w:t>
      </w:r>
      <w:r>
        <w:rPr>
          <w:rFonts w:ascii="Times New Roman" w:hAnsi="Times New Roman" w:cs="Times New Roman" w:eastAsia="Times New Roman" w:hint="default"/>
        </w:rPr>
        <w:t>3</w:t>
      </w:r>
      <w:r>
        <w:rPr/>
        <w:t>）深圳市宝安区人民政府于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 </w:t>
      </w:r>
      <w:r>
        <w:rPr/>
        <w:t>日以深宝函</w:t>
      </w:r>
      <w:r>
        <w:rPr>
          <w:rFonts w:ascii="Times New Roman" w:hAnsi="Times New Roman" w:cs="Times New Roman" w:eastAsia="Times New Roman" w:hint="default"/>
        </w:rPr>
        <w:t>[2000]42</w:t>
      </w:r>
      <w:r>
        <w:rPr>
          <w:rFonts w:ascii="Times New Roman" w:hAnsi="Times New Roman" w:cs="Times New Roman" w:eastAsia="Times New Roman" w:hint="default"/>
          <w:spacing w:val="18"/>
        </w:rPr>
        <w:t> </w:t>
      </w:r>
      <w:r>
        <w:rPr/>
        <w:t>号文批准，由深圳泰丰电子有限公司受让本公司原 股东</w:t>
      </w:r>
      <w:r>
        <w:rPr>
          <w:rFonts w:ascii="Times New Roman" w:hAnsi="Times New Roman" w:cs="Times New Roman" w:eastAsia="Times New Roman" w:hint="default"/>
        </w:rPr>
        <w:t>—</w:t>
      </w:r>
      <w:r>
        <w:rPr/>
        <w:t>深圳市宝安区投资管理公司持有的公司国家股</w:t>
      </w:r>
      <w:r>
        <w:rPr>
          <w:rFonts w:ascii="Times New Roman" w:hAnsi="Times New Roman" w:cs="Times New Roman" w:eastAsia="Times New Roman" w:hint="default"/>
        </w:rPr>
        <w:t>24,891,152</w:t>
      </w:r>
      <w:r>
        <w:rPr>
          <w:rFonts w:ascii="Times New Roman" w:hAnsi="Times New Roman" w:cs="Times New Roman" w:eastAsia="Times New Roman" w:hint="default"/>
          <w:spacing w:val="28"/>
        </w:rPr>
        <w:t> </w:t>
      </w:r>
      <w:r>
        <w:rPr/>
        <w:t>股。</w:t>
      </w:r>
    </w:p>
    <w:p>
      <w:pPr>
        <w:pStyle w:val="BodyText"/>
        <w:spacing w:line="300" w:lineRule="auto" w:before="13"/>
        <w:ind w:right="1129" w:firstLine="360"/>
        <w:jc w:val="both"/>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37"/>
        </w:rPr>
        <w:t> </w:t>
      </w:r>
      <w:r>
        <w:rPr/>
        <w:t>日，深圳市宝安区投资管理公司与深圳泰丰电子有限公司重新签定了《股权转让协议书》，根据审计 后的本公司</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日净资产，上述股权转让价格为</w:t>
      </w:r>
      <w:r>
        <w:rPr>
          <w:rFonts w:ascii="Times New Roman" w:hAnsi="Times New Roman" w:cs="Times New Roman" w:eastAsia="Times New Roman" w:hint="default"/>
        </w:rPr>
        <w:t>1.16 </w:t>
      </w:r>
      <w:r>
        <w:rPr/>
        <w:t>元</w:t>
      </w:r>
      <w:r>
        <w:rPr>
          <w:rFonts w:ascii="Times New Roman" w:hAnsi="Times New Roman" w:cs="Times New Roman" w:eastAsia="Times New Roman" w:hint="default"/>
        </w:rPr>
        <w:t>/</w:t>
      </w:r>
      <w:r>
        <w:rPr/>
        <w:t>股，总价款为</w:t>
      </w:r>
      <w:r>
        <w:rPr>
          <w:rFonts w:ascii="Times New Roman" w:hAnsi="Times New Roman" w:cs="Times New Roman" w:eastAsia="Times New Roman" w:hint="default"/>
        </w:rPr>
        <w:t>28,873,736.32</w:t>
      </w:r>
      <w:r>
        <w:rPr>
          <w:rFonts w:ascii="Times New Roman" w:hAnsi="Times New Roman" w:cs="Times New Roman" w:eastAsia="Times New Roman" w:hint="default"/>
          <w:spacing w:val="42"/>
        </w:rPr>
        <w:t> </w:t>
      </w:r>
      <w:r>
        <w:rPr/>
        <w:t>元。该事项已获财政部财企 </w:t>
      </w:r>
      <w:r>
        <w:rPr>
          <w:rFonts w:ascii="Times New Roman" w:hAnsi="Times New Roman" w:cs="Times New Roman" w:eastAsia="Times New Roman" w:hint="default"/>
        </w:rPr>
        <w:t>[2003]64</w:t>
      </w:r>
      <w:r>
        <w:rPr>
          <w:rFonts w:ascii="Times New Roman" w:hAnsi="Times New Roman" w:cs="Times New Roman" w:eastAsia="Times New Roman" w:hint="default"/>
          <w:spacing w:val="25"/>
        </w:rPr>
        <w:t> </w:t>
      </w:r>
      <w:r>
        <w:rPr/>
        <w:t>号文批复，并办妥股权过户手续。</w:t>
      </w:r>
    </w:p>
    <w:p>
      <w:pPr>
        <w:pStyle w:val="BodyText"/>
        <w:spacing w:line="240" w:lineRule="auto" w:before="13"/>
        <w:ind w:left="513" w:right="0"/>
        <w:jc w:val="left"/>
      </w:pPr>
      <w:r>
        <w:rPr/>
        <w:t>此次股权转让后，深圳市宝安区投资管理公司尚持有本公司股份为</w:t>
      </w:r>
      <w:r>
        <w:rPr>
          <w:rFonts w:ascii="Times New Roman" w:hAnsi="Times New Roman" w:cs="Times New Roman" w:eastAsia="Times New Roman" w:hint="default"/>
        </w:rPr>
        <w:t>37,329,007</w:t>
      </w:r>
      <w:r>
        <w:rPr>
          <w:rFonts w:ascii="Times New Roman" w:hAnsi="Times New Roman" w:cs="Times New Roman" w:eastAsia="Times New Roman" w:hint="default"/>
          <w:spacing w:val="28"/>
        </w:rPr>
        <w:t> </w:t>
      </w:r>
      <w:r>
        <w:rPr/>
        <w:t>股。</w:t>
      </w:r>
    </w:p>
    <w:p>
      <w:pPr>
        <w:pStyle w:val="BodyText"/>
        <w:spacing w:line="300" w:lineRule="auto" w:before="63"/>
        <w:ind w:right="1133" w:firstLine="360"/>
        <w:jc w:val="both"/>
      </w:pPr>
      <w:r>
        <w:rPr/>
        <w:t>（</w:t>
      </w:r>
      <w:r>
        <w:rPr>
          <w:rFonts w:ascii="Times New Roman" w:hAnsi="Times New Roman" w:cs="Times New Roman" w:eastAsia="Times New Roman" w:hint="default"/>
        </w:rPr>
        <w:t>4</w:t>
      </w:r>
      <w:r>
        <w:rPr/>
        <w:t>）深圳市投资管理公司于</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日以深投</w:t>
      </w:r>
      <w:r>
        <w:rPr>
          <w:rFonts w:ascii="Times New Roman" w:hAnsi="Times New Roman" w:cs="Times New Roman" w:eastAsia="Times New Roman" w:hint="default"/>
        </w:rPr>
        <w:t>[2000]411</w:t>
      </w:r>
      <w:r>
        <w:rPr/>
        <w:t>号批准，由深圳泰丰电子有限公司受让公司原股东</w:t>
      </w:r>
      <w:r>
        <w:rPr>
          <w:rFonts w:ascii="Times New Roman" w:hAnsi="Times New Roman" w:cs="Times New Roman" w:eastAsia="Times New Roman" w:hint="default"/>
        </w:rPr>
        <w:t>—</w:t>
      </w:r>
      <w:r>
        <w:rPr/>
        <w:t>深 圳市国际信托投资有限责任公司持有的本公司法人股</w:t>
      </w:r>
      <w:r>
        <w:rPr>
          <w:rFonts w:ascii="Times New Roman" w:hAnsi="Times New Roman" w:cs="Times New Roman" w:eastAsia="Times New Roman" w:hint="default"/>
        </w:rPr>
        <w:t>57,560,789</w:t>
      </w:r>
      <w:r>
        <w:rPr>
          <w:rFonts w:ascii="Times New Roman" w:hAnsi="Times New Roman" w:cs="Times New Roman" w:eastAsia="Times New Roman" w:hint="default"/>
          <w:spacing w:val="26"/>
        </w:rPr>
        <w:t> </w:t>
      </w:r>
      <w:r>
        <w:rPr/>
        <w:t>股，因需政府其他部门批准，故未办理股权过户手续。</w:t>
      </w:r>
    </w:p>
    <w:p>
      <w:pPr>
        <w:pStyle w:val="BodyText"/>
        <w:spacing w:line="300" w:lineRule="auto" w:before="13"/>
        <w:ind w:right="1134" w:firstLine="360"/>
        <w:jc w:val="both"/>
      </w:pPr>
      <w:r>
        <w:rPr/>
        <w:t>（</w:t>
      </w:r>
      <w:r>
        <w:rPr>
          <w:rFonts w:ascii="Times New Roman" w:hAnsi="Times New Roman" w:cs="Times New Roman" w:eastAsia="Times New Roman" w:hint="default"/>
        </w:rPr>
        <w:t>5</w:t>
      </w:r>
      <w:r>
        <w:rPr/>
        <w:t>）国务院国有资产监督管理委员会于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日以国资产权</w:t>
      </w:r>
      <w:r>
        <w:rPr>
          <w:rFonts w:ascii="Times New Roman" w:hAnsi="Times New Roman" w:cs="Times New Roman" w:eastAsia="Times New Roman" w:hint="default"/>
        </w:rPr>
        <w:t>[2006]106</w:t>
      </w:r>
      <w:r>
        <w:rPr/>
        <w:t>号批准，由中国希格玛有限公司受让公司 原股东</w:t>
      </w:r>
      <w:r>
        <w:rPr>
          <w:rFonts w:ascii="Times New Roman" w:hAnsi="Times New Roman" w:cs="Times New Roman" w:eastAsia="Times New Roman" w:hint="default"/>
        </w:rPr>
        <w:t>—</w:t>
      </w:r>
      <w:r>
        <w:rPr/>
        <w:t>深圳市国际信托投资有限责任公司持有的本公司国有股</w:t>
      </w:r>
      <w:r>
        <w:rPr>
          <w:rFonts w:ascii="Times New Roman" w:hAnsi="Times New Roman" w:cs="Times New Roman" w:eastAsia="Times New Roman" w:hint="default"/>
        </w:rPr>
        <w:t>91,661,280</w:t>
      </w:r>
      <w:r>
        <w:rPr>
          <w:rFonts w:ascii="Times New Roman" w:hAnsi="Times New Roman" w:cs="Times New Roman" w:eastAsia="Times New Roman" w:hint="default"/>
          <w:spacing w:val="24"/>
        </w:rPr>
        <w:t> </w:t>
      </w:r>
      <w:r>
        <w:rPr/>
        <w:t>股，并办妥股权过户手续。</w:t>
      </w:r>
    </w:p>
    <w:p>
      <w:pPr>
        <w:pStyle w:val="BodyText"/>
        <w:spacing w:line="300" w:lineRule="auto" w:before="13"/>
        <w:ind w:right="1126" w:firstLine="360"/>
        <w:jc w:val="both"/>
      </w:pPr>
      <w:r>
        <w:rPr/>
        <w:t>（</w:t>
      </w:r>
      <w:r>
        <w:rPr>
          <w:rFonts w:ascii="Times New Roman" w:hAnsi="Times New Roman" w:cs="Times New Roman" w:eastAsia="Times New Roman" w:hint="default"/>
        </w:rPr>
        <w:t>6</w:t>
      </w:r>
      <w:r>
        <w:rPr/>
        <w:t>）由于深圳泰丰电子有限公司持有的本公司</w:t>
      </w:r>
      <w:r>
        <w:rPr>
          <w:rFonts w:ascii="Times New Roman" w:hAnsi="Times New Roman" w:cs="Times New Roman" w:eastAsia="Times New Roman" w:hint="default"/>
        </w:rPr>
        <w:t>24,891,152 </w:t>
      </w:r>
      <w:r>
        <w:rPr/>
        <w:t>股法人股被北京市第一中级人民法院于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42"/>
        </w:rPr>
        <w:t> </w:t>
      </w:r>
      <w:r>
        <w:rPr/>
        <w:t>日公</w:t>
      </w:r>
      <w:r>
        <w:rPr>
          <w:spacing w:val="2"/>
        </w:rPr>
        <w:t> </w:t>
      </w:r>
      <w:r>
        <w:rPr/>
        <w:t>开拍卖。上海灵竹投资咨询有限公司、上海美佳商贸有限公司以联合竞拍方式各得</w:t>
      </w:r>
      <w:r>
        <w:rPr>
          <w:rFonts w:ascii="Times New Roman" w:hAnsi="Times New Roman" w:cs="Times New Roman" w:eastAsia="Times New Roman" w:hint="default"/>
        </w:rPr>
        <w:t>12,445,576</w:t>
      </w:r>
      <w:r>
        <w:rPr>
          <w:rFonts w:ascii="Times New Roman" w:hAnsi="Times New Roman" w:cs="Times New Roman" w:eastAsia="Times New Roman" w:hint="default"/>
          <w:spacing w:val="43"/>
        </w:rPr>
        <w:t> </w:t>
      </w:r>
      <w:r>
        <w:rPr/>
        <w:t>股，并于</w:t>
      </w:r>
      <w:r>
        <w:rPr>
          <w:rFonts w:ascii="Times New Roman" w:hAnsi="Times New Roman" w:cs="Times New Roman" w:eastAsia="Times New Roman" w:hint="default"/>
        </w:rPr>
        <w:t>2007</w:t>
      </w:r>
      <w:r>
        <w:rPr>
          <w:rFonts w:ascii="Times New Roman" w:hAnsi="Times New Roman" w:cs="Times New Roman" w:eastAsia="Times New Roman" w:hint="default"/>
          <w:spacing w:val="42"/>
        </w:rPr>
        <w:t> </w:t>
      </w:r>
      <w:r>
        <w:rPr/>
        <w:t>年办妥股权过</w:t>
      </w:r>
      <w:r>
        <w:rPr>
          <w:spacing w:val="-86"/>
        </w:rPr>
        <w:t> </w:t>
      </w:r>
      <w:r>
        <w:rPr>
          <w:spacing w:val="-86"/>
        </w:rPr>
      </w:r>
      <w:r>
        <w:rPr/>
        <w:t>户手续。</w:t>
      </w:r>
    </w:p>
    <w:p>
      <w:pPr>
        <w:pStyle w:val="BodyText"/>
        <w:spacing w:line="300" w:lineRule="auto" w:before="31"/>
        <w:ind w:right="1128" w:firstLine="360"/>
        <w:jc w:val="both"/>
      </w:pPr>
      <w:r>
        <w:rPr>
          <w:spacing w:val="-2"/>
        </w:rPr>
        <w:t>（</w:t>
      </w:r>
      <w:r>
        <w:rPr>
          <w:rFonts w:ascii="Times New Roman" w:hAnsi="Times New Roman" w:cs="Times New Roman" w:eastAsia="Times New Roman" w:hint="default"/>
          <w:spacing w:val="-2"/>
        </w:rPr>
        <w:t>7</w:t>
      </w:r>
      <w:r>
        <w:rPr>
          <w:spacing w:val="-2"/>
        </w:rPr>
        <w:t>）由于深圳泰丰电子有限公司持有的本公司</w:t>
      </w:r>
      <w:r>
        <w:rPr>
          <w:rFonts w:ascii="Times New Roman" w:hAnsi="Times New Roman" w:cs="Times New Roman" w:eastAsia="Times New Roman" w:hint="default"/>
          <w:spacing w:val="-2"/>
        </w:rPr>
        <w:t>6,000,000</w:t>
      </w:r>
      <w:r>
        <w:rPr>
          <w:rFonts w:ascii="Times New Roman" w:hAnsi="Times New Roman" w:cs="Times New Roman" w:eastAsia="Times New Roman" w:hint="default"/>
          <w:spacing w:val="19"/>
        </w:rPr>
        <w:t> </w:t>
      </w:r>
      <w:r>
        <w:rPr>
          <w:spacing w:val="-2"/>
        </w:rPr>
        <w:t>股法人股被广东省河源市中级人民法院公开拍卖。竞买人杨跃</w:t>
      </w:r>
      <w:r>
        <w:rPr/>
        <w:t> 烽、郝琳、谢雯、张丽程以联合竞拍方式竞得。具体为：杨跃烽拥有</w:t>
      </w:r>
      <w:r>
        <w:rPr>
          <w:rFonts w:ascii="Times New Roman" w:hAnsi="Times New Roman" w:cs="Times New Roman" w:eastAsia="Times New Roman" w:hint="default"/>
        </w:rPr>
        <w:t>300 </w:t>
      </w:r>
      <w:r>
        <w:rPr/>
        <w:t>万股、郝琳拥有</w:t>
      </w:r>
      <w:r>
        <w:rPr>
          <w:rFonts w:ascii="Times New Roman" w:hAnsi="Times New Roman" w:cs="Times New Roman" w:eastAsia="Times New Roman" w:hint="default"/>
        </w:rPr>
        <w:t>100 </w:t>
      </w:r>
      <w:r>
        <w:rPr/>
        <w:t>万股、谢雯拥有</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万股、张 丽程拥有</w:t>
      </w:r>
      <w:r>
        <w:rPr>
          <w:rFonts w:ascii="Times New Roman" w:hAnsi="Times New Roman" w:cs="Times New Roman" w:eastAsia="Times New Roman" w:hint="default"/>
        </w:rPr>
        <w:t>100  </w:t>
      </w:r>
      <w:r>
        <w:rPr/>
        <w:t>万股，并于</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年办妥股权过户手续。</w:t>
      </w:r>
    </w:p>
    <w:p>
      <w:pPr>
        <w:pStyle w:val="BodyText"/>
        <w:spacing w:line="300" w:lineRule="auto" w:before="13"/>
        <w:ind w:right="1129" w:firstLine="36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15 </w:t>
      </w:r>
      <w:r>
        <w:rPr/>
        <w:t>日，深圳泰丰电子有限公司持有的公司</w:t>
      </w:r>
      <w:r>
        <w:rPr>
          <w:rFonts w:ascii="Times New Roman" w:hAnsi="Times New Roman" w:cs="Times New Roman" w:eastAsia="Times New Roman" w:hint="default"/>
        </w:rPr>
        <w:t>3050</w:t>
      </w:r>
      <w:r>
        <w:rPr>
          <w:rFonts w:ascii="Times New Roman" w:hAnsi="Times New Roman" w:cs="Times New Roman" w:eastAsia="Times New Roman" w:hint="default"/>
          <w:spacing w:val="4"/>
        </w:rPr>
        <w:t> </w:t>
      </w:r>
      <w:r>
        <w:rPr/>
        <w:t>万股股权被北京市第一中级人民法院公开拍卖，由重 庆润江基础设施投资有限公司竞得，并已办妥股权过户手续。</w:t>
      </w:r>
    </w:p>
    <w:p>
      <w:pPr>
        <w:pStyle w:val="BodyText"/>
        <w:spacing w:line="300" w:lineRule="auto" w:before="31"/>
        <w:ind w:right="1131" w:firstLine="360"/>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8</w:t>
      </w:r>
      <w:r>
        <w:rPr>
          <w:spacing w:val="-1"/>
        </w:rPr>
        <w:t>日，广东省高级人民法院以</w:t>
      </w:r>
      <w:r>
        <w:rPr>
          <w:rFonts w:ascii="Times New Roman" w:hAnsi="Times New Roman" w:cs="Times New Roman" w:eastAsia="Times New Roman" w:hint="default"/>
          <w:spacing w:val="-1"/>
        </w:rPr>
        <w:t>(2013)</w:t>
      </w:r>
      <w:r>
        <w:rPr>
          <w:spacing w:val="-1"/>
        </w:rPr>
        <w:t>粤高法民二终第</w:t>
      </w:r>
      <w:r>
        <w:rPr>
          <w:rFonts w:ascii="Times New Roman" w:hAnsi="Times New Roman" w:cs="Times New Roman" w:eastAsia="Times New Roman" w:hint="default"/>
          <w:spacing w:val="-1"/>
        </w:rPr>
        <w:t>41</w:t>
      </w:r>
      <w:r>
        <w:rPr>
          <w:spacing w:val="-1"/>
        </w:rPr>
        <w:t>号民事判决书确认华润深国投信托有限公司持有</w:t>
      </w:r>
      <w:r>
        <w:rPr/>
        <w:t> </w:t>
      </w:r>
      <w:r>
        <w:rPr>
          <w:spacing w:val="-2"/>
        </w:rPr>
        <w:t>的公司</w:t>
      </w:r>
      <w:r>
        <w:rPr>
          <w:rFonts w:ascii="Times New Roman" w:hAnsi="Times New Roman" w:cs="Times New Roman" w:eastAsia="Times New Roman" w:hint="default"/>
          <w:spacing w:val="-2"/>
        </w:rPr>
        <w:t>17,901,671</w:t>
      </w:r>
      <w:r>
        <w:rPr>
          <w:spacing w:val="-2"/>
        </w:rPr>
        <w:t>股股权为深圳泰丰电子有限公司所有。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日，深圳市中级人民法院裁定受理深圳泰丰电子有限公</w:t>
      </w:r>
      <w:r>
        <w:rPr>
          <w:spacing w:val="-52"/>
        </w:rPr>
        <w:t> </w:t>
      </w:r>
      <w:r>
        <w:rPr>
          <w:spacing w:val="-52"/>
        </w:rPr>
      </w:r>
      <w:r>
        <w:rPr/>
        <w:t>司破产清算。</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日，中国证券登记结算有限责任公司深圳分公司出具《证券过户登记确认书》，将华润深国投信</w:t>
      </w:r>
      <w:r>
        <w:rPr>
          <w:spacing w:val="-86"/>
        </w:rPr>
        <w:t> </w:t>
      </w:r>
      <w:r>
        <w:rPr>
          <w:spacing w:val="-86"/>
        </w:rPr>
      </w:r>
      <w:r>
        <w:rPr>
          <w:spacing w:val="-2"/>
        </w:rPr>
        <w:t>托有限公司名下的公司</w:t>
      </w:r>
      <w:r>
        <w:rPr>
          <w:rFonts w:ascii="Times New Roman" w:hAnsi="Times New Roman" w:cs="Times New Roman" w:eastAsia="Times New Roman" w:hint="default"/>
          <w:spacing w:val="-2"/>
        </w:rPr>
        <w:t>17,901,671</w:t>
      </w:r>
      <w:r>
        <w:rPr>
          <w:spacing w:val="-2"/>
        </w:rPr>
        <w:t>股过户至管理人开立的证券账户中，户名为</w:t>
      </w:r>
      <w:r>
        <w:rPr>
          <w:rFonts w:ascii="Times New Roman" w:hAnsi="Times New Roman" w:cs="Times New Roman" w:eastAsia="Times New Roman" w:hint="default"/>
          <w:spacing w:val="-2"/>
        </w:rPr>
        <w:t>“</w:t>
      </w:r>
      <w:r>
        <w:rPr>
          <w:spacing w:val="-2"/>
        </w:rPr>
        <w:t>深圳泰丰电子有限公司破产企业财产处置专用</w:t>
      </w:r>
      <w:r>
        <w:rPr>
          <w:spacing w:val="-45"/>
        </w:rPr>
        <w:t> </w:t>
      </w:r>
      <w:r>
        <w:rPr/>
        <w:t>账户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月，将股权分置改革后遗留的限售流通股</w:t>
      </w:r>
      <w:r>
        <w:rPr>
          <w:rFonts w:ascii="Times New Roman" w:hAnsi="Times New Roman" w:cs="Times New Roman" w:eastAsia="Times New Roman" w:hint="default"/>
        </w:rPr>
        <w:t>17,901,671</w:t>
      </w:r>
      <w:r>
        <w:rPr/>
        <w:t>股依法办理解除限售，并于</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日上市流通。</w:t>
      </w:r>
    </w:p>
    <w:p>
      <w:pPr>
        <w:spacing w:after="0" w:line="300" w:lineRule="auto"/>
        <w:jc w:val="both"/>
        <w:sectPr>
          <w:headerReference w:type="default" r:id="rId28"/>
          <w:footerReference w:type="default" r:id="rId29"/>
          <w:pgSz w:w="11910" w:h="16840"/>
          <w:pgMar w:header="877" w:footer="980" w:top="1100" w:bottom="1160" w:left="980" w:right="0"/>
          <w:pgNumType w:start="139"/>
        </w:sectPr>
      </w:pPr>
    </w:p>
    <w:p>
      <w:pPr>
        <w:spacing w:line="240" w:lineRule="auto" w:before="11"/>
        <w:rPr>
          <w:rFonts w:ascii="宋体" w:hAnsi="宋体" w:cs="宋体" w:eastAsia="宋体" w:hint="default"/>
          <w:sz w:val="20"/>
          <w:szCs w:val="20"/>
        </w:rPr>
      </w:pPr>
    </w:p>
    <w:p>
      <w:pPr>
        <w:pStyle w:val="Heading3"/>
        <w:spacing w:line="240" w:lineRule="auto" w:before="36"/>
        <w:ind w:left="575" w:right="0"/>
        <w:jc w:val="left"/>
        <w:rPr>
          <w:b w:val="0"/>
          <w:bCs w:val="0"/>
        </w:rPr>
      </w:pPr>
      <w:r>
        <w:rPr>
          <w:rFonts w:ascii="Times New Roman" w:hAnsi="Times New Roman" w:cs="Times New Roman" w:eastAsia="Times New Roman" w:hint="default"/>
        </w:rPr>
        <w:t>2</w:t>
      </w:r>
      <w:r>
        <w:rPr/>
        <w:t>．股权分置改革情况</w:t>
      </w:r>
      <w:r>
        <w:rPr>
          <w:b w:val="0"/>
          <w:bCs w:val="0"/>
        </w:rPr>
      </w:r>
    </w:p>
    <w:p>
      <w:pPr>
        <w:pStyle w:val="BodyText"/>
        <w:spacing w:line="300" w:lineRule="auto" w:before="42"/>
        <w:ind w:right="1131" w:firstLine="360"/>
        <w:jc w:val="both"/>
      </w:pPr>
      <w:r>
        <w:rPr/>
        <w:t>本公司于</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日召开股权分置改革相关股东会议，审议通过《深圳市深信泰丰（集团）股份有限公司股权分 置改革方案》。根据股权分置改革方案，公司申请增加注册资本人民币</w:t>
      </w:r>
      <w:r>
        <w:rPr>
          <w:rFonts w:ascii="Times New Roman" w:hAnsi="Times New Roman" w:cs="Times New Roman" w:eastAsia="Times New Roman" w:hint="default"/>
        </w:rPr>
        <w:t>46,834,131.00 </w:t>
      </w:r>
      <w:r>
        <w:rPr/>
        <w:t>元，以截止</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日的可流通 股本</w:t>
      </w:r>
      <w:r>
        <w:rPr>
          <w:rFonts w:ascii="Times New Roman" w:hAnsi="Times New Roman" w:cs="Times New Roman" w:eastAsia="Times New Roman" w:hint="default"/>
        </w:rPr>
        <w:t>84,658,866 </w:t>
      </w:r>
      <w:r>
        <w:rPr>
          <w:spacing w:val="-3"/>
        </w:rPr>
        <w:t>股为基数，用资本公积金向截止</w:t>
      </w:r>
      <w:r>
        <w:rPr>
          <w:rFonts w:ascii="Times New Roman" w:hAnsi="Times New Roman" w:cs="Times New Roman" w:eastAsia="Times New Roman" w:hint="default"/>
          <w:spacing w:val="-3"/>
        </w:rPr>
        <w:t>2008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11 </w:t>
      </w:r>
      <w:r>
        <w:rPr/>
        <w:t>日在册的全体流通股股东转增股本，流通股股东获得每</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 转增</w:t>
      </w:r>
      <w:r>
        <w:rPr>
          <w:rFonts w:ascii="Times New Roman" w:hAnsi="Times New Roman" w:cs="Times New Roman" w:eastAsia="Times New Roman" w:hint="default"/>
        </w:rPr>
        <w:t>5.5321 </w:t>
      </w:r>
      <w:r>
        <w:rPr/>
        <w:t>股的股份，即</w:t>
      </w:r>
      <w:r>
        <w:rPr>
          <w:rFonts w:ascii="Times New Roman" w:hAnsi="Times New Roman" w:cs="Times New Roman" w:eastAsia="Times New Roman" w:hint="default"/>
        </w:rPr>
        <w:t>46,834,131 </w:t>
      </w:r>
      <w:r>
        <w:rPr/>
        <w:t>股，面值每股人民币</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元；上述对价水平换算为非流通股股东送股方案，相当于流通股 股东每</w:t>
      </w:r>
      <w:r>
        <w:rPr>
          <w:rFonts w:ascii="Times New Roman" w:hAnsi="Times New Roman" w:cs="Times New Roman" w:eastAsia="Times New Roman" w:hint="default"/>
        </w:rPr>
        <w:t>10</w:t>
      </w:r>
      <w:r>
        <w:rPr/>
        <w:t>股获送</w:t>
      </w:r>
      <w:r>
        <w:rPr>
          <w:rFonts w:ascii="Times New Roman" w:hAnsi="Times New Roman" w:cs="Times New Roman" w:eastAsia="Times New Roman" w:hint="default"/>
        </w:rPr>
        <w:t>3.5</w:t>
      </w:r>
      <w:r>
        <w:rPr>
          <w:rFonts w:ascii="Times New Roman" w:hAnsi="Times New Roman" w:cs="Times New Roman" w:eastAsia="Times New Roman" w:hint="default"/>
          <w:spacing w:val="39"/>
        </w:rPr>
        <w:t> </w:t>
      </w:r>
      <w:r>
        <w:rPr/>
        <w:t>股，公司总股本增加至</w:t>
      </w:r>
      <w:r>
        <w:rPr>
          <w:rFonts w:ascii="Times New Roman" w:hAnsi="Times New Roman" w:cs="Times New Roman" w:eastAsia="Times New Roman" w:hint="default"/>
        </w:rPr>
        <w:t>357,973,531</w:t>
      </w:r>
      <w:r>
        <w:rPr>
          <w:rFonts w:ascii="Times New Roman" w:hAnsi="Times New Roman" w:cs="Times New Roman" w:eastAsia="Times New Roman" w:hint="default"/>
          <w:spacing w:val="40"/>
        </w:rPr>
        <w:t> </w:t>
      </w:r>
      <w:r>
        <w:rPr/>
        <w:t>股。转增完成后，公司的注册资本增加人民币</w:t>
      </w:r>
      <w:r>
        <w:rPr>
          <w:rFonts w:ascii="Times New Roman" w:hAnsi="Times New Roman" w:cs="Times New Roman" w:eastAsia="Times New Roman" w:hint="default"/>
        </w:rPr>
        <w:t>46,834,131.00</w:t>
      </w:r>
      <w:r>
        <w:rPr>
          <w:rFonts w:ascii="Times New Roman" w:hAnsi="Times New Roman" w:cs="Times New Roman" w:eastAsia="Times New Roman" w:hint="default"/>
          <w:spacing w:val="43"/>
        </w:rPr>
        <w:t> </w:t>
      </w:r>
      <w:r>
        <w:rPr/>
        <w:t>元，变</w:t>
      </w:r>
      <w:r>
        <w:rPr>
          <w:spacing w:val="-87"/>
        </w:rPr>
        <w:t> </w:t>
      </w:r>
      <w:r>
        <w:rPr/>
        <w:t>更后的注册资本为人民币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26"/>
        </w:rPr>
        <w:t> </w:t>
      </w:r>
      <w:r>
        <w:rPr/>
        <w:t>元。</w:t>
      </w:r>
    </w:p>
    <w:p>
      <w:pPr>
        <w:pStyle w:val="Heading3"/>
        <w:spacing w:line="283" w:lineRule="exact"/>
        <w:ind w:left="575" w:right="0"/>
        <w:jc w:val="left"/>
        <w:rPr>
          <w:b w:val="0"/>
          <w:bCs w:val="0"/>
        </w:rPr>
      </w:pPr>
      <w:r>
        <w:rPr>
          <w:rFonts w:ascii="Times New Roman" w:hAnsi="Times New Roman" w:cs="Times New Roman" w:eastAsia="Times New Roman" w:hint="default"/>
        </w:rPr>
        <w:t>3</w:t>
      </w:r>
      <w:r>
        <w:rPr/>
        <w:t>．公司重整事项中股东权益调整事项</w:t>
      </w:r>
      <w:r>
        <w:rPr>
          <w:b w:val="0"/>
          <w:bCs w:val="0"/>
        </w:rPr>
      </w:r>
    </w:p>
    <w:p>
      <w:pPr>
        <w:pStyle w:val="BodyText"/>
        <w:spacing w:line="300" w:lineRule="auto" w:before="42"/>
        <w:ind w:right="1034" w:firstLine="36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年，根据深圳市中级人民法院批准的重整计划，公司全体限售流通股股东，即中国希格玛有限公司、深圳市宝安 </w:t>
      </w:r>
      <w:r>
        <w:rPr>
          <w:spacing w:val="-3"/>
        </w:rPr>
        <w:t>区投资管理公司、重庆润江基础设施投资有限公司、深圳国际信托投资有限责任公司各无偿让渡所持有的限售流通股的</w:t>
      </w:r>
      <w:r>
        <w:rPr>
          <w:rFonts w:ascii="Times New Roman" w:hAnsi="Times New Roman" w:cs="Times New Roman" w:eastAsia="Times New Roman" w:hint="default"/>
          <w:spacing w:val="-3"/>
        </w:rPr>
        <w:t>15%</w:t>
      </w:r>
      <w:r>
        <w:rPr>
          <w:spacing w:val="-3"/>
        </w:rPr>
        <w:t>，</w:t>
      </w:r>
      <w:r>
        <w:rPr>
          <w:spacing w:val="-60"/>
        </w:rPr>
        <w:t> </w:t>
      </w:r>
      <w:r>
        <w:rPr/>
        <w:t>合计让渡限售流通股</w:t>
      </w:r>
      <w:r>
        <w:rPr>
          <w:rFonts w:ascii="Times New Roman" w:hAnsi="Times New Roman" w:cs="Times New Roman" w:eastAsia="Times New Roman" w:hint="default"/>
        </w:rPr>
        <w:t>25,415,516 </w:t>
      </w:r>
      <w:r>
        <w:rPr/>
        <w:t>股；全体流通股股东各无偿让渡所持有的流通股的</w:t>
      </w:r>
      <w:r>
        <w:rPr>
          <w:rFonts w:ascii="Times New Roman" w:hAnsi="Times New Roman" w:cs="Times New Roman" w:eastAsia="Times New Roman" w:hint="default"/>
        </w:rPr>
        <w:t>10%</w:t>
      </w:r>
      <w:r>
        <w:rPr/>
        <w:t>，合计让渡流通股</w:t>
      </w:r>
      <w:r>
        <w:rPr>
          <w:rFonts w:ascii="Times New Roman" w:hAnsi="Times New Roman" w:cs="Times New Roman" w:eastAsia="Times New Roman" w:hint="default"/>
        </w:rPr>
        <w:t>18,849,303</w:t>
      </w:r>
      <w:r>
        <w:rPr>
          <w:rFonts w:ascii="Times New Roman" w:hAnsi="Times New Roman" w:cs="Times New Roman" w:eastAsia="Times New Roman" w:hint="default"/>
          <w:spacing w:val="2"/>
        </w:rPr>
        <w:t> </w:t>
      </w:r>
      <w:r>
        <w:rPr>
          <w:spacing w:val="-4"/>
        </w:rPr>
        <w:t>股。以</w:t>
      </w:r>
      <w:r>
        <w:rPr/>
        <w:t> 上共计让渡公司股票</w:t>
      </w:r>
      <w:r>
        <w:rPr>
          <w:rFonts w:ascii="Times New Roman" w:hAnsi="Times New Roman" w:cs="Times New Roman" w:eastAsia="Times New Roman" w:hint="default"/>
        </w:rPr>
        <w:t>44,264,819</w:t>
      </w:r>
      <w:r>
        <w:rPr>
          <w:rFonts w:ascii="Times New Roman" w:hAnsi="Times New Roman" w:cs="Times New Roman" w:eastAsia="Times New Roman" w:hint="default"/>
          <w:spacing w:val="30"/>
        </w:rPr>
        <w:t> </w:t>
      </w:r>
      <w:r>
        <w:rPr/>
        <w:t>股，占公司总股本的</w:t>
      </w:r>
      <w:r>
        <w:rPr>
          <w:rFonts w:ascii="Times New Roman" w:hAnsi="Times New Roman" w:cs="Times New Roman" w:eastAsia="Times New Roman" w:hint="default"/>
        </w:rPr>
        <w:t>12.37%</w:t>
      </w:r>
      <w:r>
        <w:rPr/>
        <w:t>。该等股票用于支付公司重整费用和共益债务、清偿普通债权、 保全主要子公司经营性资产。</w:t>
      </w:r>
      <w:r>
        <w:rPr>
          <w:rFonts w:ascii="Times New Roman" w:hAnsi="Times New Roman" w:cs="Times New Roman" w:eastAsia="Times New Roman" w:hint="default"/>
        </w:rPr>
        <w:t>2010  </w:t>
      </w:r>
      <w:r>
        <w:rPr/>
        <w:t>年度重整完后，本公司注册资本仍为人民币</w:t>
      </w:r>
      <w:r>
        <w:rPr>
          <w:rFonts w:ascii="Times New Roman" w:hAnsi="Times New Roman" w:cs="Times New Roman" w:eastAsia="Times New Roman" w:hint="default"/>
        </w:rPr>
        <w:t>357,973,531.00</w:t>
      </w:r>
      <w:r>
        <w:rPr>
          <w:rFonts w:ascii="Times New Roman" w:hAnsi="Times New Roman" w:cs="Times New Roman" w:eastAsia="Times New Roman" w:hint="default"/>
          <w:spacing w:val="9"/>
        </w:rPr>
        <w:t> </w:t>
      </w:r>
      <w:r>
        <w:rPr/>
        <w:t>元。</w:t>
      </w:r>
    </w:p>
    <w:p>
      <w:pPr>
        <w:pStyle w:val="Heading3"/>
        <w:spacing w:line="283" w:lineRule="exact"/>
        <w:ind w:left="575"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公司重大资产重组事项</w:t>
      </w:r>
      <w:r>
        <w:rPr>
          <w:b w:val="0"/>
          <w:bCs w:val="0"/>
        </w:rPr>
      </w:r>
    </w:p>
    <w:p>
      <w:pPr>
        <w:pStyle w:val="Heading4"/>
        <w:spacing w:line="240" w:lineRule="auto" w:before="42"/>
        <w:ind w:right="0"/>
        <w:jc w:val="left"/>
        <w:rPr>
          <w:b w:val="0"/>
          <w:bCs w:val="0"/>
        </w:rPr>
      </w:pPr>
      <w:r>
        <w:rPr/>
        <w:t>（</w:t>
      </w:r>
      <w:r>
        <w:rPr>
          <w:rFonts w:ascii="Times New Roman" w:hAnsi="Times New Roman" w:cs="Times New Roman" w:eastAsia="Times New Roman" w:hint="default"/>
        </w:rPr>
        <w:t>1</w:t>
      </w:r>
      <w:r>
        <w:rPr/>
        <w:t>）发行股份购买资产</w:t>
      </w:r>
      <w:r>
        <w:rPr>
          <w:b w:val="0"/>
          <w:bCs w:val="0"/>
        </w:rPr>
      </w:r>
    </w:p>
    <w:p>
      <w:pPr>
        <w:pStyle w:val="BodyText"/>
        <w:spacing w:line="300" w:lineRule="auto" w:before="63"/>
        <w:ind w:right="1129"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日，本公司与神州数码控股有限公司（以下简称</w:t>
      </w:r>
      <w:r>
        <w:rPr>
          <w:rFonts w:ascii="Times New Roman" w:hAnsi="Times New Roman" w:cs="Times New Roman" w:eastAsia="Times New Roman" w:hint="default"/>
          <w:spacing w:val="-2"/>
        </w:rPr>
        <w:t>“</w:t>
      </w:r>
      <w:r>
        <w:rPr>
          <w:spacing w:val="-2"/>
        </w:rPr>
        <w:t>神州控股</w:t>
      </w:r>
      <w:r>
        <w:rPr>
          <w:rFonts w:ascii="Times New Roman" w:hAnsi="Times New Roman" w:cs="Times New Roman" w:eastAsia="Times New Roman" w:hint="default"/>
          <w:spacing w:val="-2"/>
        </w:rPr>
        <w:t>”</w:t>
      </w:r>
      <w:r>
        <w:rPr>
          <w:spacing w:val="-2"/>
        </w:rPr>
        <w:t>）及其全资子公司神州数码有限公司（以下简称</w:t>
      </w:r>
      <w:r>
        <w:rPr/>
        <w:t> </w:t>
      </w:r>
      <w:r>
        <w:rPr>
          <w:rFonts w:ascii="Times New Roman" w:hAnsi="Times New Roman" w:cs="Times New Roman" w:eastAsia="Times New Roman" w:hint="default"/>
          <w:spacing w:val="-2"/>
        </w:rPr>
        <w:t>“</w:t>
      </w:r>
      <w:r>
        <w:rPr>
          <w:spacing w:val="-2"/>
        </w:rPr>
        <w:t>神码有限</w:t>
      </w:r>
      <w:r>
        <w:rPr>
          <w:rFonts w:ascii="Times New Roman" w:hAnsi="Times New Roman" w:cs="Times New Roman" w:eastAsia="Times New Roman" w:hint="default"/>
          <w:spacing w:val="-2"/>
        </w:rPr>
        <w:t>”</w:t>
      </w:r>
      <w:r>
        <w:rPr>
          <w:spacing w:val="-2"/>
        </w:rPr>
        <w:t>）签订股权转让协议，本公司通过向特定对象发行股份募集资金及自筹资金的方式受让重组后的神码有限的全资</w:t>
      </w:r>
      <w:r>
        <w:rPr>
          <w:spacing w:val="-44"/>
        </w:rPr>
        <w:t> </w:t>
      </w:r>
      <w:r>
        <w:rPr>
          <w:spacing w:val="-44"/>
        </w:rPr>
      </w:r>
      <w:r>
        <w:rPr>
          <w:spacing w:val="-1"/>
        </w:rPr>
        <w:t>子公司神州数码（中国）有限公司（以下简称</w:t>
      </w:r>
      <w:r>
        <w:rPr>
          <w:rFonts w:ascii="Times New Roman" w:hAnsi="Times New Roman" w:cs="Times New Roman" w:eastAsia="Times New Roman" w:hint="default"/>
          <w:spacing w:val="-1"/>
        </w:rPr>
        <w:t>“</w:t>
      </w:r>
      <w:r>
        <w:rPr>
          <w:spacing w:val="-1"/>
        </w:rPr>
        <w:t>神码中国</w:t>
      </w:r>
      <w:r>
        <w:rPr>
          <w:rFonts w:ascii="Times New Roman" w:hAnsi="Times New Roman" w:cs="Times New Roman" w:eastAsia="Times New Roman" w:hint="default"/>
          <w:spacing w:val="-1"/>
        </w:rPr>
        <w:t>”</w:t>
      </w:r>
      <w:r>
        <w:rPr>
          <w:spacing w:val="-1"/>
        </w:rPr>
        <w:t>）、上海神州数码有限公司（以下简称</w:t>
      </w:r>
      <w:r>
        <w:rPr>
          <w:rFonts w:ascii="Times New Roman" w:hAnsi="Times New Roman" w:cs="Times New Roman" w:eastAsia="Times New Roman" w:hint="default"/>
          <w:spacing w:val="-1"/>
        </w:rPr>
        <w:t>“</w:t>
      </w:r>
      <w:r>
        <w:rPr>
          <w:spacing w:val="-1"/>
        </w:rPr>
        <w:t>神码上海</w:t>
      </w:r>
      <w:r>
        <w:rPr>
          <w:rFonts w:ascii="Times New Roman" w:hAnsi="Times New Roman" w:cs="Times New Roman" w:eastAsia="Times New Roman" w:hint="default"/>
          <w:spacing w:val="-1"/>
        </w:rPr>
        <w:t>”</w:t>
      </w:r>
      <w:r>
        <w:rPr>
          <w:spacing w:val="-1"/>
        </w:rPr>
        <w:t>）及广州神州数</w:t>
      </w:r>
      <w:r>
        <w:rPr>
          <w:spacing w:val="-78"/>
        </w:rPr>
        <w:t> </w:t>
      </w:r>
      <w:r>
        <w:rPr>
          <w:spacing w:val="-78"/>
        </w:rPr>
      </w:r>
      <w:r>
        <w:rPr/>
        <w:t>码信息科技有限公司（以下简称</w:t>
      </w:r>
      <w:r>
        <w:rPr>
          <w:rFonts w:ascii="Times New Roman" w:hAnsi="Times New Roman" w:cs="Times New Roman" w:eastAsia="Times New Roman" w:hint="default"/>
        </w:rPr>
        <w:t>“</w:t>
      </w:r>
      <w:r>
        <w:rPr/>
        <w:t>神码广州</w:t>
      </w:r>
      <w:r>
        <w:rPr>
          <w:rFonts w:ascii="Times New Roman" w:hAnsi="Times New Roman" w:cs="Times New Roman" w:eastAsia="Times New Roman" w:hint="default"/>
        </w:rPr>
        <w:t>”</w:t>
      </w:r>
      <w:r>
        <w:rPr/>
        <w:t>，</w:t>
      </w:r>
      <w:r>
        <w:rPr>
          <w:spacing w:val="-20"/>
        </w:rPr>
        <w:t> </w:t>
      </w:r>
      <w:r>
        <w:rPr/>
        <w:t>神码中国、神码上海及神码广州合称为</w:t>
      </w:r>
      <w:r>
        <w:rPr>
          <w:rFonts w:ascii="Times New Roman" w:hAnsi="Times New Roman" w:cs="Times New Roman" w:eastAsia="Times New Roman" w:hint="default"/>
        </w:rPr>
        <w:t>“</w:t>
      </w:r>
      <w:r>
        <w:rPr/>
        <w:t>神码公司</w:t>
      </w:r>
      <w:r>
        <w:rPr>
          <w:rFonts w:ascii="Times New Roman" w:hAnsi="Times New Roman" w:cs="Times New Roman" w:eastAsia="Times New Roman" w:hint="default"/>
        </w:rPr>
        <w:t>”</w:t>
      </w:r>
      <w:r>
        <w:rPr/>
        <w:t>）的全部股权。</w:t>
      </w:r>
    </w:p>
    <w:p>
      <w:pPr>
        <w:pStyle w:val="BodyText"/>
        <w:spacing w:line="300" w:lineRule="auto" w:before="13"/>
        <w:ind w:right="1129" w:firstLine="360"/>
        <w:jc w:val="both"/>
      </w:pPr>
      <w:r>
        <w:rPr>
          <w:spacing w:val="2"/>
        </w:rPr>
        <w:t>经本公司</w:t>
      </w:r>
      <w:r>
        <w:rPr>
          <w:rFonts w:ascii="Times New Roman" w:hAnsi="Times New Roman" w:cs="Times New Roman" w:eastAsia="Times New Roman" w:hint="default"/>
          <w:spacing w:val="2"/>
        </w:rPr>
        <w:t>2015</w:t>
      </w:r>
      <w:r>
        <w:rPr>
          <w:spacing w:val="2"/>
        </w:rPr>
        <w:t>年第一次临时股东大会决议，并经中国证券监督管理委员会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[2015]2952</w:t>
      </w:r>
      <w:r>
        <w:rPr>
          <w:spacing w:val="2"/>
        </w:rPr>
        <w:t>号</w:t>
      </w:r>
      <w:r>
        <w:rPr>
          <w:rFonts w:ascii="Times New Roman" w:hAnsi="Times New Roman" w:cs="Times New Roman" w:eastAsia="Times New Roman" w:hint="default"/>
          <w:spacing w:val="2"/>
        </w:rPr>
        <w:t>”</w:t>
      </w:r>
      <w:r>
        <w:rPr>
          <w:spacing w:val="2"/>
        </w:rPr>
        <w:t>文核准，本公司于</w:t>
      </w:r>
      <w:r>
        <w:rPr/>
        <w:t> </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16</w:t>
      </w:r>
      <w:r>
        <w:rPr>
          <w:spacing w:val="4"/>
        </w:rPr>
        <w:t>日启动向郭为发行</w:t>
      </w:r>
      <w:r>
        <w:rPr>
          <w:rFonts w:ascii="Times New Roman" w:hAnsi="Times New Roman" w:cs="Times New Roman" w:eastAsia="Times New Roman" w:hint="default"/>
          <w:spacing w:val="4"/>
        </w:rPr>
        <w:t>154,777,803</w:t>
      </w:r>
      <w:r>
        <w:rPr>
          <w:spacing w:val="4"/>
        </w:rPr>
        <w:t>股、向王晓岩发行</w:t>
      </w:r>
      <w:r>
        <w:rPr>
          <w:rFonts w:ascii="Times New Roman" w:hAnsi="Times New Roman" w:cs="Times New Roman" w:eastAsia="Times New Roman" w:hint="default"/>
          <w:spacing w:val="4"/>
        </w:rPr>
        <w:t>64,603,000</w:t>
      </w:r>
      <w:r>
        <w:rPr>
          <w:spacing w:val="4"/>
        </w:rPr>
        <w:t>股、向王廷月发行</w:t>
      </w:r>
      <w:r>
        <w:rPr>
          <w:rFonts w:ascii="Times New Roman" w:hAnsi="Times New Roman" w:cs="Times New Roman" w:eastAsia="Times New Roman" w:hint="default"/>
          <w:spacing w:val="4"/>
        </w:rPr>
        <w:t>26,917,900</w:t>
      </w:r>
      <w:r>
        <w:rPr>
          <w:spacing w:val="4"/>
        </w:rPr>
        <w:t>股、向钱学宁发行</w:t>
      </w:r>
    </w:p>
    <w:p>
      <w:pPr>
        <w:pStyle w:val="BodyText"/>
        <w:spacing w:line="300" w:lineRule="auto" w:before="13"/>
        <w:ind w:right="1128"/>
        <w:jc w:val="both"/>
      </w:pPr>
      <w:r>
        <w:rPr>
          <w:rFonts w:ascii="Times New Roman" w:hAnsi="Times New Roman" w:cs="Times New Roman" w:eastAsia="Times New Roman" w:hint="default"/>
          <w:spacing w:val="-2"/>
        </w:rPr>
        <w:t>13,459,000</w:t>
      </w:r>
      <w:r>
        <w:rPr>
          <w:spacing w:val="-2"/>
        </w:rPr>
        <w:t>股、向张明发行</w:t>
      </w:r>
      <w:r>
        <w:rPr>
          <w:rFonts w:ascii="Times New Roman" w:hAnsi="Times New Roman" w:cs="Times New Roman" w:eastAsia="Times New Roman" w:hint="default"/>
          <w:spacing w:val="-2"/>
        </w:rPr>
        <w:t>6,729,500</w:t>
      </w:r>
      <w:r>
        <w:rPr>
          <w:spacing w:val="-2"/>
        </w:rPr>
        <w:t>股、向中信建投基金管理有限公司发行</w:t>
      </w:r>
      <w:r>
        <w:rPr>
          <w:rFonts w:ascii="Times New Roman" w:hAnsi="Times New Roman" w:cs="Times New Roman" w:eastAsia="Times New Roman" w:hint="default"/>
          <w:spacing w:val="-2"/>
        </w:rPr>
        <w:t>29,609,700</w:t>
      </w:r>
      <w:r>
        <w:rPr>
          <w:spacing w:val="-2"/>
        </w:rPr>
        <w:t>股股份购买标的公司全部股权。本次实</w:t>
      </w:r>
      <w:r>
        <w:rPr>
          <w:spacing w:val="-43"/>
        </w:rPr>
        <w:t> </w:t>
      </w:r>
      <w:r>
        <w:rPr>
          <w:spacing w:val="-43"/>
        </w:rPr>
      </w:r>
      <w:r>
        <w:rPr>
          <w:spacing w:val="7"/>
        </w:rPr>
        <w:t>际增发人民币普通股</w:t>
      </w:r>
      <w:r>
        <w:rPr>
          <w:rFonts w:ascii="Times New Roman" w:hAnsi="Times New Roman" w:cs="Times New Roman" w:eastAsia="Times New Roman" w:hint="default"/>
          <w:spacing w:val="7"/>
        </w:rPr>
        <w:t>296,096,903</w:t>
      </w:r>
      <w:r>
        <w:rPr>
          <w:spacing w:val="7"/>
        </w:rPr>
        <w:t>股，每股面值为人民币</w:t>
      </w:r>
      <w:r>
        <w:rPr>
          <w:rFonts w:ascii="Times New Roman" w:hAnsi="Times New Roman" w:cs="Times New Roman" w:eastAsia="Times New Roman" w:hint="default"/>
          <w:spacing w:val="7"/>
        </w:rPr>
        <w:t>1.00</w:t>
      </w:r>
      <w:r>
        <w:rPr>
          <w:spacing w:val="7"/>
        </w:rPr>
        <w:t>元，增发价格为人民币</w:t>
      </w:r>
      <w:r>
        <w:rPr>
          <w:rFonts w:ascii="Times New Roman" w:hAnsi="Times New Roman" w:cs="Times New Roman" w:eastAsia="Times New Roman" w:hint="default"/>
          <w:spacing w:val="7"/>
        </w:rPr>
        <w:t>7.43</w:t>
      </w:r>
      <w:r>
        <w:rPr>
          <w:spacing w:val="7"/>
        </w:rPr>
        <w:t>元</w:t>
      </w:r>
      <w:r>
        <w:rPr>
          <w:rFonts w:ascii="Times New Roman" w:hAnsi="Times New Roman" w:cs="Times New Roman" w:eastAsia="Times New Roman" w:hint="default"/>
          <w:spacing w:val="7"/>
        </w:rPr>
        <w:t>/</w:t>
      </w:r>
      <w:r>
        <w:rPr>
          <w:spacing w:val="7"/>
        </w:rPr>
        <w:t>股，募集资金总额为人民币</w:t>
      </w:r>
      <w:r>
        <w:rPr>
          <w:spacing w:val="-59"/>
        </w:rPr>
        <w:t> </w:t>
      </w:r>
      <w:r>
        <w:rPr>
          <w:spacing w:val="-59"/>
        </w:rPr>
      </w:r>
      <w:r>
        <w:rPr>
          <w:rFonts w:ascii="Times New Roman" w:hAnsi="Times New Roman" w:cs="Times New Roman" w:eastAsia="Times New Roman" w:hint="default"/>
          <w:spacing w:val="-2"/>
        </w:rPr>
        <w:t>2,199,999,989.29</w:t>
      </w:r>
      <w:r>
        <w:rPr>
          <w:spacing w:val="-2"/>
        </w:rPr>
        <w:t>元，扣除发行费用后募集资金净额为人民币</w:t>
      </w:r>
      <w:r>
        <w:rPr>
          <w:rFonts w:ascii="Times New Roman" w:hAnsi="Times New Roman" w:cs="Times New Roman" w:eastAsia="Times New Roman" w:hint="default"/>
          <w:spacing w:val="-2"/>
        </w:rPr>
        <w:t>2,179,799,989.29</w:t>
      </w:r>
      <w:r>
        <w:rPr>
          <w:spacing w:val="-2"/>
        </w:rPr>
        <w:t>元。本次非公开发行后，本公司注册资本变更为</w:t>
      </w:r>
    </w:p>
    <w:p>
      <w:pPr>
        <w:pStyle w:val="BodyText"/>
        <w:spacing w:line="240" w:lineRule="auto" w:before="13"/>
        <w:ind w:right="0"/>
        <w:jc w:val="both"/>
      </w:pPr>
      <w:r>
        <w:rPr>
          <w:rFonts w:ascii="Times New Roman" w:hAnsi="Times New Roman" w:cs="Times New Roman" w:eastAsia="Times New Roman" w:hint="default"/>
        </w:rPr>
        <w:t>654,070,434.00</w:t>
      </w:r>
      <w:r>
        <w:rPr/>
        <w:t>元，郭为成为本公司实际控制人。</w:t>
      </w:r>
    </w:p>
    <w:p>
      <w:pPr>
        <w:pStyle w:val="Heading4"/>
        <w:spacing w:line="240" w:lineRule="auto" w:before="63"/>
        <w:ind w:right="0"/>
        <w:jc w:val="left"/>
        <w:rPr>
          <w:b w:val="0"/>
          <w:bCs w:val="0"/>
        </w:rPr>
      </w:pPr>
      <w:r>
        <w:rPr/>
        <w:t>（</w:t>
      </w:r>
      <w:r>
        <w:rPr>
          <w:rFonts w:ascii="Times New Roman" w:hAnsi="Times New Roman" w:cs="Times New Roman" w:eastAsia="Times New Roman" w:hint="default"/>
        </w:rPr>
        <w:t>2</w:t>
      </w:r>
      <w:r>
        <w:rPr/>
        <w:t>）出售重大资产</w:t>
      </w:r>
      <w:r>
        <w:rPr>
          <w:b w:val="0"/>
          <w:bCs w:val="0"/>
        </w:rPr>
      </w:r>
    </w:p>
    <w:p>
      <w:pPr>
        <w:pStyle w:val="BodyText"/>
        <w:spacing w:line="300" w:lineRule="auto" w:before="63"/>
        <w:ind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日，本公司与中国希格玛有限公司（以下简称</w:t>
      </w:r>
      <w:r>
        <w:rPr>
          <w:rFonts w:ascii="Times New Roman" w:hAnsi="Times New Roman" w:cs="Times New Roman" w:eastAsia="Times New Roman" w:hint="default"/>
        </w:rPr>
        <w:t>“</w:t>
      </w:r>
      <w:r>
        <w:rPr/>
        <w:t>希格玛</w:t>
      </w:r>
      <w:r>
        <w:rPr>
          <w:rFonts w:ascii="Times New Roman" w:hAnsi="Times New Roman" w:cs="Times New Roman" w:eastAsia="Times New Roman" w:hint="default"/>
        </w:rPr>
        <w:t>”</w:t>
      </w:r>
      <w:r>
        <w:rPr/>
        <w:t>）签订重大资产出售协议，本公司将持有的深圳市 深信西部房地产有限公司</w:t>
      </w:r>
      <w:r>
        <w:rPr>
          <w:rFonts w:ascii="Times New Roman" w:hAnsi="Times New Roman" w:cs="Times New Roman" w:eastAsia="Times New Roman" w:hint="default"/>
        </w:rPr>
        <w:t>100%</w:t>
      </w:r>
      <w:r>
        <w:rPr/>
        <w:t>股权、深圳市泰丰科技有限公司</w:t>
      </w:r>
      <w:r>
        <w:rPr>
          <w:rFonts w:ascii="Times New Roman" w:hAnsi="Times New Roman" w:cs="Times New Roman" w:eastAsia="Times New Roman" w:hint="default"/>
        </w:rPr>
        <w:t>100%</w:t>
      </w:r>
      <w:r>
        <w:rPr/>
        <w:t>股权、深圳市华宝（集团）饲料有限公司</w:t>
      </w:r>
      <w:r>
        <w:rPr>
          <w:rFonts w:ascii="Times New Roman" w:hAnsi="Times New Roman" w:cs="Times New Roman" w:eastAsia="Times New Roman" w:hint="default"/>
        </w:rPr>
        <w:t>100%</w:t>
      </w:r>
      <w:r>
        <w:rPr/>
        <w:t>股权、深 </w:t>
      </w:r>
      <w:r>
        <w:rPr>
          <w:spacing w:val="-2"/>
        </w:rPr>
        <w:t>圳市深信泰丰投资发展有限公司</w:t>
      </w:r>
      <w:r>
        <w:rPr>
          <w:rFonts w:ascii="Times New Roman" w:hAnsi="Times New Roman" w:cs="Times New Roman" w:eastAsia="Times New Roman" w:hint="default"/>
          <w:spacing w:val="-2"/>
        </w:rPr>
        <w:t>90%</w:t>
      </w:r>
      <w:r>
        <w:rPr>
          <w:spacing w:val="-2"/>
        </w:rPr>
        <w:t>股权、深圳市龙岗区华宝经济发展有限公司</w:t>
      </w:r>
      <w:r>
        <w:rPr>
          <w:rFonts w:ascii="Times New Roman" w:hAnsi="Times New Roman" w:cs="Times New Roman" w:eastAsia="Times New Roman" w:hint="default"/>
          <w:spacing w:val="-2"/>
        </w:rPr>
        <w:t>90%</w:t>
      </w:r>
      <w:r>
        <w:rPr>
          <w:spacing w:val="-2"/>
        </w:rPr>
        <w:t>股权以</w:t>
      </w:r>
      <w:r>
        <w:rPr>
          <w:rFonts w:ascii="Times New Roman" w:hAnsi="Times New Roman" w:cs="Times New Roman" w:eastAsia="Times New Roman" w:hint="default"/>
          <w:spacing w:val="-2"/>
        </w:rPr>
        <w:t>160,801</w:t>
      </w:r>
      <w:r>
        <w:rPr>
          <w:spacing w:val="-2"/>
        </w:rPr>
        <w:t>千元的对价转让给希格玛。</w:t>
      </w:r>
      <w:r>
        <w:rPr>
          <w:spacing w:val="-40"/>
        </w:rPr>
        <w:t> </w:t>
      </w:r>
      <w:r>
        <w:rPr>
          <w:spacing w:val="-40"/>
        </w:rPr>
      </w:r>
      <w:r>
        <w:rPr/>
        <w:t>上述公司已于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日办妥工商变更登记，本公司已于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日收到上述转让价款。</w:t>
      </w:r>
    </w:p>
    <w:p>
      <w:pPr>
        <w:pStyle w:val="Heading3"/>
        <w:spacing w:line="283" w:lineRule="exact"/>
        <w:ind w:left="664" w:right="0"/>
        <w:jc w:val="left"/>
        <w:rPr>
          <w:b w:val="0"/>
          <w:bCs w:val="0"/>
        </w:rPr>
      </w:pPr>
      <w:r>
        <w:rPr>
          <w:rFonts w:ascii="Times New Roman" w:hAnsi="Times New Roman" w:cs="Times New Roman" w:eastAsia="Times New Roman" w:hint="default"/>
        </w:rPr>
        <w:t>5.</w:t>
      </w:r>
      <w:r>
        <w:rPr/>
        <w:t>向激励对象授予股票期权与限制性股票</w:t>
      </w:r>
      <w:r>
        <w:rPr>
          <w:b w:val="0"/>
          <w:bCs w:val="0"/>
        </w:rPr>
      </w:r>
    </w:p>
    <w:p>
      <w:pPr>
        <w:pStyle w:val="BodyText"/>
        <w:spacing w:line="300" w:lineRule="auto" w:before="42"/>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日，本公司第九届董事会第十二次会议审议通过了《关于公司</w:t>
      </w:r>
      <w:r>
        <w:rPr>
          <w:rFonts w:ascii="Times New Roman" w:hAnsi="Times New Roman" w:cs="Times New Roman" w:eastAsia="Times New Roman" w:hint="default"/>
          <w:spacing w:val="-2"/>
        </w:rPr>
        <w:t>&lt;2019</w:t>
      </w:r>
      <w:r>
        <w:rPr>
          <w:spacing w:val="-2"/>
        </w:rPr>
        <w:t>年股票期权与限制性股票激励计划（草</w:t>
      </w:r>
      <w:r>
        <w:rPr/>
        <w:t> </w:t>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&lt;2019</w:t>
      </w:r>
      <w:r>
        <w:rPr>
          <w:spacing w:val="-1"/>
        </w:rPr>
        <w:t>年股票期权与限制性股票激励计划实施考核管理办法</w:t>
      </w:r>
      <w:r>
        <w:rPr>
          <w:rFonts w:ascii="Times New Roman" w:hAnsi="Times New Roman" w:cs="Times New Roman" w:eastAsia="Times New Roman" w:hint="default"/>
          <w:spacing w:val="-1"/>
        </w:rPr>
        <w:t>&gt;</w:t>
      </w:r>
      <w:r>
        <w:rPr>
          <w:spacing w:val="-1"/>
        </w:rPr>
        <w:t>的议案》、《关于提请股</w:t>
      </w:r>
      <w:r>
        <w:rPr>
          <w:spacing w:val="-67"/>
        </w:rPr>
        <w:t> </w:t>
      </w:r>
      <w:r>
        <w:rPr>
          <w:spacing w:val="-67"/>
        </w:rPr>
      </w:r>
      <w:r>
        <w:rPr/>
        <w:t>东大会授权董事会办理股权激励相关事宜的议案》、《关于召开</w:t>
      </w:r>
      <w:r>
        <w:rPr>
          <w:rFonts w:ascii="Times New Roman" w:hAnsi="Times New Roman" w:cs="Times New Roman" w:eastAsia="Times New Roman" w:hint="default"/>
        </w:rPr>
        <w:t>2019</w:t>
      </w:r>
      <w:r>
        <w:rPr/>
        <w:t>年第二次临时股东大会的议案》。</w:t>
      </w:r>
    </w:p>
    <w:p>
      <w:pPr>
        <w:pStyle w:val="BodyText"/>
        <w:spacing w:line="240" w:lineRule="auto" w:before="13"/>
        <w:ind w:left="585"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2019</w:t>
      </w:r>
      <w:r>
        <w:rPr/>
        <w:t>年第二次临时股东大会审议并通过了《关于公司</w:t>
      </w:r>
      <w:r>
        <w:rPr>
          <w:rFonts w:ascii="Times New Roman" w:hAnsi="Times New Roman" w:cs="Times New Roman" w:eastAsia="Times New Roman" w:hint="default"/>
        </w:rPr>
        <w:t>&lt;2019</w:t>
      </w:r>
      <w:r>
        <w:rPr/>
        <w:t>年股票期权与限制性股票激励计划</w:t>
      </w:r>
    </w:p>
    <w:p>
      <w:pPr>
        <w:pStyle w:val="BodyText"/>
        <w:spacing w:line="300" w:lineRule="auto" w:before="63"/>
        <w:ind w:right="1131"/>
        <w:jc w:val="both"/>
      </w:pPr>
      <w:r>
        <w:rPr>
          <w:spacing w:val="-1"/>
        </w:rPr>
        <w:t>（草案）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&lt;2019</w:t>
      </w:r>
      <w:r>
        <w:rPr>
          <w:spacing w:val="-1"/>
        </w:rPr>
        <w:t>年股票期权与限制性股票激励计划实施考核管理办法</w:t>
      </w:r>
      <w:r>
        <w:rPr>
          <w:rFonts w:ascii="Times New Roman" w:hAnsi="Times New Roman" w:cs="Times New Roman" w:eastAsia="Times New Roman" w:hint="default"/>
          <w:spacing w:val="-1"/>
        </w:rPr>
        <w:t>&gt;</w:t>
      </w:r>
      <w:r>
        <w:rPr>
          <w:spacing w:val="-1"/>
        </w:rPr>
        <w:t>的议案》、《关于提</w:t>
      </w:r>
      <w:r>
        <w:rPr>
          <w:spacing w:val="-65"/>
        </w:rPr>
        <w:t> </w:t>
      </w:r>
      <w:r>
        <w:rPr>
          <w:spacing w:val="-65"/>
        </w:rPr>
      </w:r>
      <w:r>
        <w:rPr/>
        <w:t>请股东大会授权董事会办理股权激励相关事宜的议案》。</w:t>
      </w:r>
    </w:p>
    <w:p>
      <w:pPr>
        <w:pStyle w:val="BodyText"/>
        <w:spacing w:line="300" w:lineRule="auto" w:before="31"/>
        <w:ind w:right="1044" w:firstLine="432"/>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日，本公司第九届董事会第十三次会议和第九届监事会第十二次会议审议通过了《关于调整</w:t>
      </w:r>
      <w:r>
        <w:rPr>
          <w:rFonts w:ascii="Times New Roman" w:hAnsi="Times New Roman" w:cs="Times New Roman" w:eastAsia="Times New Roman" w:hint="default"/>
          <w:spacing w:val="-2"/>
        </w:rPr>
        <w:t>2019</w:t>
      </w:r>
      <w:r>
        <w:rPr>
          <w:spacing w:val="-2"/>
        </w:rPr>
        <w:t>年股票期</w:t>
      </w:r>
      <w:r>
        <w:rPr/>
        <w:t> </w:t>
      </w:r>
      <w:r>
        <w:rPr>
          <w:spacing w:val="-7"/>
        </w:rPr>
        <w:t>权与限制性股票激励计划激励对象名单及授予权益数量的议案》、《关于向激励对象首次授予股票期权与限制性股票的议案》。</w:t>
      </w:r>
    </w:p>
    <w:p>
      <w:pPr>
        <w:pStyle w:val="BodyText"/>
        <w:spacing w:line="304" w:lineRule="auto" w:before="31"/>
        <w:ind w:right="1131" w:firstLine="360"/>
        <w:jc w:val="both"/>
      </w:pPr>
      <w:r>
        <w:rPr>
          <w:spacing w:val="-2"/>
        </w:rPr>
        <w:t>根据中国证券监督管理委员会《上市公司股权激励管理办法》、深圳证券交易所、中国证券登记结算有限责任公司深圳</w:t>
      </w:r>
      <w:r>
        <w:rPr/>
        <w:t> 分公司有关规则，本公司于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日完成了</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年限制性股票激励计划首次授予登记工作。公司向激励对象定向发行 公司</w:t>
      </w:r>
      <w:r>
        <w:rPr>
          <w:spacing w:val="-3"/>
        </w:rPr>
        <w:t> </w:t>
      </w:r>
      <w:r>
        <w:rPr>
          <w:rFonts w:ascii="Times New Roman" w:hAnsi="Times New Roman" w:cs="Times New Roman" w:eastAsia="Times New Roman" w:hint="default"/>
        </w:rPr>
        <w:t>A</w:t>
      </w:r>
      <w:r>
        <w:rPr>
          <w:rFonts w:ascii="Times New Roman" w:hAnsi="Times New Roman" w:cs="Times New Roman" w:eastAsia="Times New Roman" w:hint="default"/>
          <w:spacing w:val="39"/>
        </w:rPr>
        <w:t> </w:t>
      </w:r>
      <w:r>
        <w:rPr/>
        <w:t>股普通股，授予日为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日，授予价格为</w:t>
      </w:r>
      <w:r>
        <w:rPr>
          <w:rFonts w:ascii="Times New Roman" w:hAnsi="Times New Roman" w:cs="Times New Roman" w:eastAsia="Times New Roman" w:hint="default"/>
        </w:rPr>
        <w:t>7.82</w:t>
      </w:r>
      <w:r>
        <w:rPr/>
        <w:t>元</w:t>
      </w:r>
      <w:r>
        <w:rPr>
          <w:rFonts w:ascii="Times New Roman" w:hAnsi="Times New Roman" w:cs="Times New Roman" w:eastAsia="Times New Roman" w:hint="default"/>
        </w:rPr>
        <w:t>/</w:t>
      </w:r>
      <w:r>
        <w:rPr/>
        <w:t>股，授予</w:t>
      </w:r>
      <w:r>
        <w:rPr>
          <w:rFonts w:ascii="Times New Roman" w:hAnsi="Times New Roman" w:cs="Times New Roman" w:eastAsia="Times New Roman" w:hint="default"/>
        </w:rPr>
        <w:t>3,975,000.00</w:t>
      </w:r>
      <w:r>
        <w:rPr/>
        <w:t>股限制性股票。公司本次限制性股票</w:t>
      </w:r>
      <w:r>
        <w:rPr>
          <w:spacing w:val="-87"/>
        </w:rPr>
        <w:t> </w:t>
      </w:r>
      <w:r>
        <w:rPr>
          <w:spacing w:val="-87"/>
        </w:rPr>
      </w:r>
      <w:r>
        <w:rPr/>
        <w:t>授予完成后，公司的总股本未发生变化。北京兴华会计师事务所（特殊普通合伙）于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日出具（</w:t>
      </w:r>
      <w:r>
        <w:rPr>
          <w:rFonts w:ascii="Times New Roman" w:hAnsi="Times New Roman" w:cs="Times New Roman" w:eastAsia="Times New Roman" w:hint="default"/>
        </w:rPr>
        <w:t>2019</w:t>
      </w:r>
      <w:r>
        <w:rPr/>
        <w:t>）京会兴验</w:t>
      </w:r>
      <w:r>
        <w:rPr>
          <w:spacing w:val="-86"/>
        </w:rPr>
        <w:t> </w:t>
      </w:r>
      <w:r>
        <w:rPr>
          <w:spacing w:val="-86"/>
        </w:rPr>
      </w:r>
      <w:r>
        <w:rPr/>
        <w:t>字第</w:t>
      </w:r>
      <w:r>
        <w:rPr>
          <w:rFonts w:ascii="Times New Roman" w:hAnsi="Times New Roman" w:cs="Times New Roman" w:eastAsia="Times New Roman" w:hint="default"/>
        </w:rPr>
        <w:t>64000002</w:t>
      </w:r>
      <w:r>
        <w:rPr/>
        <w:t>号验资报告，对本公司截止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日的出资情况进行审验，本公司的募集资金账户共收到</w:t>
      </w:r>
      <w:r>
        <w:rPr>
          <w:rFonts w:ascii="Times New Roman" w:hAnsi="Times New Roman" w:cs="Times New Roman" w:eastAsia="Times New Roman" w:hint="default"/>
        </w:rPr>
        <w:t>21</w:t>
      </w:r>
      <w:r>
        <w:rPr/>
        <w:t>名激励对象</w:t>
      </w:r>
    </w:p>
    <w:p>
      <w:pPr>
        <w:spacing w:after="0" w:line="304"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32"/>
        <w:jc w:val="left"/>
      </w:pPr>
      <w:r>
        <w:rPr>
          <w:spacing w:val="10"/>
        </w:rPr>
        <w:t>入资款</w:t>
      </w:r>
      <w:r>
        <w:rPr>
          <w:spacing w:val="-75"/>
        </w:rPr>
        <w:t> </w:t>
      </w:r>
      <w:r>
        <w:rPr>
          <w:rFonts w:ascii="Times New Roman" w:hAnsi="Times New Roman" w:cs="Times New Roman" w:eastAsia="Times New Roman" w:hint="default"/>
        </w:rPr>
        <w:t>31,084,500.10</w:t>
      </w:r>
      <w:r>
        <w:rPr>
          <w:rFonts w:ascii="Times New Roman" w:hAnsi="Times New Roman" w:cs="Times New Roman" w:eastAsia="Times New Roman" w:hint="default"/>
          <w:spacing w:val="-28"/>
        </w:rPr>
        <w:t> </w:t>
      </w:r>
      <w:r>
        <w:rPr>
          <w:spacing w:val="15"/>
        </w:rPr>
        <w:t>元，按照激励计划草案购买本公司己回购的股份</w:t>
      </w:r>
      <w:r>
        <w:rPr>
          <w:spacing w:val="-73"/>
        </w:rPr>
        <w:t> </w:t>
      </w:r>
      <w:r>
        <w:rPr>
          <w:rFonts w:ascii="Times New Roman" w:hAnsi="Times New Roman" w:cs="Times New Roman" w:eastAsia="Times New Roman" w:hint="default"/>
        </w:rPr>
        <w:t>3,975,000.00</w:t>
      </w:r>
      <w:r>
        <w:rPr>
          <w:rFonts w:ascii="Times New Roman" w:hAnsi="Times New Roman" w:cs="Times New Roman" w:eastAsia="Times New Roman" w:hint="default"/>
          <w:spacing w:val="-28"/>
        </w:rPr>
        <w:t> </w:t>
      </w:r>
      <w:r>
        <w:rPr>
          <w:spacing w:val="11"/>
        </w:rPr>
        <w:t>股。上述</w:t>
      </w:r>
      <w:r>
        <w:rPr>
          <w:spacing w:val="-75"/>
        </w:rPr>
        <w:t> </w:t>
      </w:r>
      <w:r>
        <w:rPr>
          <w:rFonts w:ascii="Times New Roman" w:hAnsi="Times New Roman" w:cs="Times New Roman" w:eastAsia="Times New Roman" w:hint="default"/>
        </w:rPr>
        <w:t>3,975,000.00</w:t>
      </w:r>
      <w:r>
        <w:rPr>
          <w:rFonts w:ascii="Times New Roman" w:hAnsi="Times New Roman" w:cs="Times New Roman" w:eastAsia="Times New Roman" w:hint="default"/>
          <w:spacing w:val="-28"/>
        </w:rPr>
        <w:t> </w:t>
      </w:r>
      <w:r>
        <w:rPr>
          <w:spacing w:val="13"/>
        </w:rPr>
        <w:t>股库存股成本</w:t>
      </w:r>
      <w:r>
        <w:rPr/>
        <w:t> </w:t>
      </w:r>
      <w:r>
        <w:rPr>
          <w:rFonts w:ascii="Times New Roman" w:hAnsi="Times New Roman" w:cs="Times New Roman" w:eastAsia="Times New Roman" w:hint="default"/>
        </w:rPr>
        <w:t>44,003,250.00</w:t>
      </w:r>
      <w:r>
        <w:rPr/>
        <w:t>元与入资款</w:t>
      </w:r>
      <w:r>
        <w:rPr>
          <w:rFonts w:ascii="Times New Roman" w:hAnsi="Times New Roman" w:cs="Times New Roman" w:eastAsia="Times New Roman" w:hint="default"/>
        </w:rPr>
        <w:t>31,084,500.10</w:t>
      </w:r>
      <w:r>
        <w:rPr/>
        <w:t>元的差额</w:t>
      </w:r>
      <w:r>
        <w:rPr>
          <w:rFonts w:ascii="Times New Roman" w:hAnsi="Times New Roman" w:cs="Times New Roman" w:eastAsia="Times New Roman" w:hint="default"/>
        </w:rPr>
        <w:t>12,918,749.90</w:t>
      </w:r>
      <w:r>
        <w:rPr/>
        <w:t>元冲减</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Heading3"/>
        <w:spacing w:line="283" w:lineRule="exact"/>
        <w:ind w:left="575" w:right="0"/>
        <w:jc w:val="left"/>
        <w:rPr>
          <w:b w:val="0"/>
          <w:bCs w:val="0"/>
        </w:rPr>
      </w:pPr>
      <w:r>
        <w:rPr>
          <w:rFonts w:ascii="Times New Roman" w:hAnsi="Times New Roman" w:cs="Times New Roman" w:eastAsia="Times New Roman" w:hint="default"/>
        </w:rPr>
        <w:t>6.</w:t>
      </w:r>
      <w:r>
        <w:rPr/>
        <w:t>其他基本情况</w:t>
      </w:r>
      <w:r>
        <w:rPr>
          <w:b w:val="0"/>
          <w:bCs w:val="0"/>
        </w:rPr>
      </w:r>
    </w:p>
    <w:p>
      <w:pPr>
        <w:pStyle w:val="BodyText"/>
        <w:spacing w:line="300" w:lineRule="auto" w:before="42"/>
        <w:ind w:left="513" w:right="0"/>
        <w:jc w:val="left"/>
      </w:pPr>
      <w:r>
        <w:rPr/>
        <w:t>注册地址</w:t>
      </w:r>
      <w:r>
        <w:rPr>
          <w:rFonts w:ascii="Times New Roman" w:hAnsi="Times New Roman" w:cs="Times New Roman" w:eastAsia="Times New Roman" w:hint="default"/>
        </w:rPr>
        <w:t>:</w:t>
      </w:r>
      <w:r>
        <w:rPr/>
        <w:t>深圳市南山区粤海街道科发路</w:t>
      </w:r>
      <w:r>
        <w:rPr>
          <w:rFonts w:ascii="Times New Roman" w:hAnsi="Times New Roman" w:cs="Times New Roman" w:eastAsia="Times New Roman" w:hint="default"/>
        </w:rPr>
        <w:t>8</w:t>
      </w:r>
      <w:r>
        <w:rPr/>
        <w:t>号金融基地</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E1</w:t>
      </w:r>
      <w:r>
        <w:rPr/>
        <w:t>。 </w:t>
      </w:r>
      <w:r>
        <w:rPr>
          <w:spacing w:val="-2"/>
        </w:rPr>
        <w:t>本公司主要经营范围为：计算机硬件及配套零件的研究、开发；网络产品、多媒体产品、电子信息产品及通讯产品、办</w:t>
      </w:r>
    </w:p>
    <w:p>
      <w:pPr>
        <w:pStyle w:val="BodyText"/>
        <w:spacing w:line="316" w:lineRule="auto" w:before="31"/>
        <w:ind w:right="1042"/>
        <w:jc w:val="both"/>
      </w:pPr>
      <w:r>
        <w:rPr>
          <w:spacing w:val="-2"/>
        </w:rPr>
        <w:t>公自动化设备、仪器仪表、电器及印刷照排设备、计算机应用系统的安装和维修；自产产品的技术咨询、技术服务、技术转</w:t>
      </w:r>
      <w:r>
        <w:rPr>
          <w:spacing w:val="-68"/>
        </w:rPr>
        <w:t> </w:t>
      </w:r>
      <w:r>
        <w:rPr>
          <w:spacing w:val="-68"/>
        </w:rPr>
      </w:r>
      <w:r>
        <w:rPr>
          <w:spacing w:val="-2"/>
        </w:rPr>
        <w:t>让（法律、行政法规、国务院决定禁止的项目除外，限制的项目须取得许可后方可经营）；经营进出口业务（法律、行政法</w:t>
      </w:r>
      <w:r>
        <w:rPr>
          <w:spacing w:val="-68"/>
        </w:rPr>
        <w:t> </w:t>
      </w:r>
      <w:r>
        <w:rPr>
          <w:spacing w:val="-68"/>
        </w:rPr>
      </w:r>
      <w:r>
        <w:rPr>
          <w:spacing w:val="-2"/>
        </w:rPr>
        <w:t>规、国务院决定禁止的项目除外，限制的项目须取得许可后方可经营）；计算机硬件、软件及外围设施的代理销售；销售自</w:t>
      </w:r>
      <w:r>
        <w:rPr>
          <w:spacing w:val="-70"/>
        </w:rPr>
        <w:t> </w:t>
      </w:r>
      <w:r>
        <w:rPr>
          <w:spacing w:val="-70"/>
        </w:rPr>
      </w:r>
      <w:r>
        <w:rPr>
          <w:spacing w:val="-2"/>
        </w:rPr>
        <w:t>产产品；（二）通信设备、电子、计算机配件的技术开发；计算机软件、信息技术、系统集成、办公自动化、综合布线技术</w:t>
      </w:r>
      <w:r>
        <w:rPr>
          <w:spacing w:val="-74"/>
        </w:rPr>
        <w:t> </w:t>
      </w:r>
      <w:r>
        <w:rPr>
          <w:spacing w:val="-74"/>
        </w:rPr>
      </w:r>
      <w:r>
        <w:rPr/>
        <w:t>的研发（不含限制项目）；（三）投资兴办实业（具体项目另行申报）；在合法取得使用权的土地上从事房地产开发经营。</w:t>
      </w:r>
    </w:p>
    <w:p>
      <w:pPr>
        <w:pStyle w:val="BodyText"/>
        <w:spacing w:line="316" w:lineRule="auto" w:before="19"/>
        <w:ind w:left="513" w:right="1123" w:hanging="361"/>
        <w:jc w:val="left"/>
      </w:pPr>
      <w:r>
        <w:rPr/>
        <w:t>（以上项目法律、行政法规、国务院决定禁止的项目除外，限制的项目须取得许可后方可经营）。 本集团合并财务报表范围包括本公司、神码中国、神码上海、神码广州等</w:t>
      </w:r>
      <w:r>
        <w:rPr>
          <w:rFonts w:ascii="Times New Roman" w:hAnsi="Times New Roman" w:cs="Times New Roman" w:eastAsia="Times New Roman" w:hint="default"/>
        </w:rPr>
        <w:t>41</w:t>
      </w:r>
      <w:r>
        <w:rPr/>
        <w:t>家公司，结构化主体</w:t>
      </w:r>
      <w:r>
        <w:rPr>
          <w:rFonts w:ascii="Times New Roman" w:hAnsi="Times New Roman" w:cs="Times New Roman" w:eastAsia="Times New Roman" w:hint="default"/>
        </w:rPr>
        <w:t>1</w:t>
      </w:r>
      <w:r>
        <w:rPr/>
        <w:t>个。与上年相比，本</w:t>
      </w:r>
    </w:p>
    <w:p>
      <w:pPr>
        <w:pStyle w:val="BodyText"/>
        <w:spacing w:line="316" w:lineRule="auto"/>
        <w:ind w:right="0"/>
        <w:jc w:val="left"/>
      </w:pPr>
      <w:r>
        <w:rPr>
          <w:spacing w:val="-2"/>
        </w:rPr>
        <w:t>年因设立新增武汉神州数码有限公司，因开展应收账款资产支持专项计划新增结构化主体，因清算关闭重庆神州数码有限公</w:t>
      </w:r>
      <w:r>
        <w:rPr>
          <w:spacing w:val="-64"/>
        </w:rPr>
        <w:t> </w:t>
      </w:r>
      <w:r>
        <w:rPr>
          <w:spacing w:val="-64"/>
        </w:rPr>
      </w:r>
      <w:r>
        <w:rPr/>
        <w:t>司，济南神州数码有限公司，深圳神州数码云科信息安全有限公司，深圳神州数码云科系统科技有限公司共</w:t>
      </w:r>
      <w:r>
        <w:rPr>
          <w:rFonts w:ascii="Times New Roman" w:hAnsi="Times New Roman" w:cs="Times New Roman" w:eastAsia="Times New Roman" w:hint="default"/>
        </w:rPr>
        <w:t>4</w:t>
      </w:r>
      <w:r>
        <w:rPr/>
        <w:t>家公司。</w:t>
      </w:r>
    </w:p>
    <w:p>
      <w:pPr>
        <w:pStyle w:val="BodyText"/>
        <w:spacing w:line="248" w:lineRule="exact"/>
        <w:ind w:left="513" w:right="0"/>
        <w:jc w:val="left"/>
      </w:pPr>
      <w:r>
        <w:rPr/>
        <w:t>详见第十二节、附注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firstLine="360"/>
        <w:jc w:val="left"/>
      </w:pPr>
      <w:r>
        <w:rPr>
          <w:spacing w:val="-2"/>
        </w:rPr>
        <w:t>本集团不存在导致对报告期末起</w:t>
      </w:r>
      <w:r>
        <w:rPr>
          <w:rFonts w:ascii="Times New Roman" w:hAnsi="Times New Roman" w:cs="Times New Roman" w:eastAsia="Times New Roman" w:hint="default"/>
          <w:spacing w:val="-2"/>
        </w:rPr>
        <w:t>12</w:t>
      </w:r>
      <w:r>
        <w:rPr>
          <w:spacing w:val="-2"/>
        </w:rPr>
        <w:t>个月内的持续经营假设产生重大疑虑的事项或情况。因此，本财务报表系在持续经营</w:t>
      </w:r>
      <w:r>
        <w:rPr/>
        <w:t> 假设的基础上编制。</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0" w:hanging="361"/>
        <w:jc w:val="left"/>
      </w:pPr>
      <w:r>
        <w:rPr/>
        <w:t>具体会计政策和会计估计提示： </w:t>
      </w:r>
      <w:r>
        <w:rPr>
          <w:spacing w:val="-2"/>
        </w:rPr>
        <w:t>本集团根据实际生产经营特点制定的具体会计政策和会计估计包括营业周期、应收款项坏账准备的确认和计量、存货跌</w:t>
      </w:r>
    </w:p>
    <w:p>
      <w:pPr>
        <w:pStyle w:val="BodyText"/>
        <w:spacing w:line="222" w:lineRule="exact"/>
        <w:ind w:right="0"/>
        <w:jc w:val="left"/>
      </w:pPr>
      <w:r>
        <w:rPr/>
        <w:t>价准备的确认和计量、固定资产分类及折旧方法、无形资产摊销、开发支出资本化条件、商誉减值测试、递延所得税资产和</w:t>
      </w:r>
    </w:p>
    <w:p>
      <w:pPr>
        <w:pStyle w:val="BodyText"/>
        <w:spacing w:line="240" w:lineRule="auto" w:before="76"/>
        <w:ind w:right="0"/>
        <w:jc w:val="left"/>
      </w:pPr>
      <w:r>
        <w:rPr/>
        <w:t>递延所得税负债确认、收入确认和计量等。</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288"/>
        <w:jc w:val="left"/>
      </w:pPr>
      <w:r>
        <w:rPr>
          <w:spacing w:val="-1"/>
        </w:rPr>
        <w:t>本公司编制的财务报表符合企业会计准则的要求，真实、完整地反映了本公司及本集团的财务状况、经营成果和现金流</w:t>
      </w:r>
      <w:r>
        <w:rPr/>
        <w:t> 量等有关信息。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0"/>
        <w:jc w:val="left"/>
      </w:pPr>
      <w:r>
        <w:rPr/>
        <w:t>本集团的营业周期为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288"/>
        <w:jc w:val="both"/>
      </w:pPr>
      <w:r>
        <w:rPr>
          <w:spacing w:val="-1"/>
        </w:rPr>
        <w:t>本公司、本公司之子公司、合营企业及联营企业根据其经营所处的主要经济环境自行决定其记账本位币，在编制合并财</w:t>
      </w:r>
      <w:r>
        <w:rPr/>
        <w:t> 务报表时折算为人民币。本公司编制本合并财务报表所采用的货币为人民币。</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288"/>
        <w:jc w:val="both"/>
      </w:pPr>
      <w:r>
        <w:rPr>
          <w:spacing w:val="-1"/>
        </w:rPr>
        <w:t>合并方在同一控制下企业合并中取得的资产和负债，在合并日按被合并方在最终控制方合并报表中的账面价值计量。取</w:t>
      </w:r>
      <w:r>
        <w:rPr/>
        <w:t> 得的净资产账面价值与支付的合并对价账面价值的差额，调整资本公积；资本公积不足冲减的，调整留存收益。</w:t>
      </w:r>
    </w:p>
    <w:p>
      <w:pPr>
        <w:pStyle w:val="BodyText"/>
        <w:spacing w:line="316" w:lineRule="auto" w:before="17"/>
        <w:ind w:right="1129" w:firstLine="288"/>
        <w:jc w:val="both"/>
      </w:pPr>
      <w:r>
        <w:rPr>
          <w:spacing w:val="-1"/>
        </w:rPr>
        <w:t>在非同一控制下企业合并中取得的被购买方可辨认资产、负债及或有负债在收购日以公允价值计量。合并成本为本公司</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5"/>
        </w:rPr>
        <w:t>在企业合并中发生的各项直接相关费用之和（通过多次交易分步实现的企业合并，其合并成本为每一单项交易的成本之和）。</w:t>
      </w:r>
      <w:r>
        <w:rPr>
          <w:spacing w:val="-76"/>
        </w:rPr>
        <w:t> </w:t>
      </w:r>
      <w:r>
        <w:rPr>
          <w:spacing w:val="-76"/>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2"/>
        </w:rPr>
        <w:t> </w:t>
      </w:r>
      <w:r>
        <w:rPr>
          <w:spacing w:val="-62"/>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left="441" w:right="0"/>
        <w:jc w:val="left"/>
      </w:pPr>
      <w:r>
        <w:rPr/>
        <w:t>本公司将所有控制的子公司纳入合并财务报表范围。 </w:t>
      </w:r>
      <w:r>
        <w:rPr>
          <w:spacing w:val="-1"/>
        </w:rPr>
        <w:t>在编制合并财务报表时，子公司与本公司采用的会计政策或会计期间不一致的，按照本公司的会计政策或会计期间对子</w:t>
      </w:r>
    </w:p>
    <w:p>
      <w:pPr>
        <w:pStyle w:val="BodyText"/>
        <w:spacing w:line="316" w:lineRule="auto" w:before="17"/>
        <w:ind w:left="441" w:right="0" w:hanging="289"/>
        <w:jc w:val="left"/>
      </w:pPr>
      <w:r>
        <w:rPr/>
        <w:t>公司财务报表进行必要的调整。 </w:t>
      </w:r>
      <w:r>
        <w:rPr>
          <w:spacing w:val="-1"/>
        </w:rPr>
        <w:t>合并范围内的所有重大内部交易、往来余额及未实现利润在合并报表编制时予以抵销。子公司的所有者权益中不属于母</w:t>
      </w:r>
    </w:p>
    <w:p>
      <w:pPr>
        <w:pStyle w:val="BodyText"/>
        <w:spacing w:line="300" w:lineRule="auto" w:before="19"/>
        <w:ind w:right="0"/>
        <w:jc w:val="left"/>
      </w:pPr>
      <w:r>
        <w:rPr/>
        <w:t>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3"/>
        </w:rPr>
        <w:t> </w:t>
      </w:r>
      <w:r>
        <w:rPr>
          <w:spacing w:val="-73"/>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316" w:lineRule="auto" w:before="13"/>
        <w:ind w:right="1132" w:firstLine="288"/>
        <w:jc w:val="both"/>
      </w:pPr>
      <w:r>
        <w:rPr>
          <w:spacing w:val="-1"/>
        </w:rPr>
        <w:t>对于同一控制下企业合并取得的子公司，其经营成果和现金流量自合并当期期初纳入合并财务报表。编制比较合并财务</w:t>
      </w:r>
      <w:r>
        <w:rPr/>
        <w:t> 报表时，对上年财务报表的相关项目进行调整，视同合并后形成的报告主体自最终控制方开始控制时点起一直存在。</w:t>
      </w:r>
    </w:p>
    <w:p>
      <w:pPr>
        <w:pStyle w:val="BodyText"/>
        <w:spacing w:line="316" w:lineRule="auto" w:before="19"/>
        <w:ind w:right="1131" w:firstLine="288"/>
        <w:jc w:val="both"/>
      </w:pPr>
      <w:r>
        <w:rPr>
          <w:spacing w:val="-1"/>
        </w:rPr>
        <w:t>对于非同一控制下企业合并取得子公司，经营成果和现金流量自本公司取得控制权之日起纳入合并财务报表。在编制合</w:t>
      </w:r>
      <w:r>
        <w:rPr/>
        <w:t> 并财务报表时，以购买日确定的各项可辨认资产、负债及或有负债的公允价值为基础对子公司的财务报表进行调整。</w:t>
      </w:r>
    </w:p>
    <w:p>
      <w:pPr>
        <w:pStyle w:val="BodyText"/>
        <w:spacing w:line="319" w:lineRule="auto" w:before="19"/>
        <w:ind w:right="1130" w:firstLine="288"/>
        <w:jc w:val="both"/>
      </w:pPr>
      <w:r>
        <w:rPr>
          <w:spacing w:val="-1"/>
        </w:rPr>
        <w:t>通过多次交易分步取得非同一控制下被投资单位的股权，最终形成企业合并，编制合并报表时，对于购买日之前持有的</w:t>
      </w:r>
      <w:r>
        <w:rPr/>
        <w:t> </w:t>
      </w:r>
      <w:r>
        <w:rPr>
          <w:spacing w:val="-2"/>
        </w:rPr>
        <w:t>被购买方的股权，按照该股权在购买日的公允价值进行重新计量，公允价值与其账面价值的差额计入当期投资收益；与其相</w:t>
      </w:r>
      <w:r>
        <w:rPr>
          <w:spacing w:val="-63"/>
        </w:rPr>
        <w:t> </w:t>
      </w:r>
      <w:r>
        <w:rPr>
          <w:spacing w:val="-63"/>
        </w:rPr>
      </w:r>
      <w:r>
        <w:rPr>
          <w:spacing w:val="-2"/>
        </w:rPr>
        <w:t>关的购买日之前持有的被购买方的股权涉及权益法核算下的其他综合收益以及除净损益、其他综合收益和利润分配外的其他</w:t>
      </w:r>
      <w:r>
        <w:rPr>
          <w:spacing w:val="-64"/>
        </w:rPr>
        <w:t> </w:t>
      </w:r>
      <w:r>
        <w:rPr>
          <w:spacing w:val="-64"/>
        </w:rPr>
      </w:r>
      <w:r>
        <w:rPr>
          <w:spacing w:val="-2"/>
        </w:rPr>
        <w:t>所有者权益变动，在购买日所属当期转为投资损益，由于被投资方重新计量设定受益计划净负债或净资产变动而产生的其他</w:t>
      </w:r>
      <w:r>
        <w:rPr>
          <w:spacing w:val="-63"/>
        </w:rPr>
        <w:t> </w:t>
      </w:r>
      <w:r>
        <w:rPr>
          <w:spacing w:val="-63"/>
        </w:rPr>
      </w:r>
      <w:r>
        <w:rPr/>
        <w:t>综合收益除外。</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288"/>
        <w:jc w:val="both"/>
      </w:pPr>
      <w:r>
        <w:rPr>
          <w:spacing w:val="-1"/>
        </w:rPr>
        <w:t>合营安排分为共同经营和合营企业。共同经营，是指合营方享有该安排相关资产且承担该安排相关负债的合营安排。合</w:t>
      </w:r>
      <w:r>
        <w:rPr/>
        <w:t> 营企业，是指合营方仅对该安排的净资产享有权利的合营安排。本集团无共同经营情况。</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40" w:firstLine="288"/>
        <w:jc w:val="both"/>
      </w:pPr>
      <w:r>
        <w:rPr>
          <w:spacing w:val="-1"/>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1"/>
        </w:rPr>
        <w:t>3</w:t>
      </w:r>
      <w:r>
        <w:rPr>
          <w:spacing w:val="-1"/>
        </w:rPr>
        <w:t>个月、</w:t>
      </w:r>
      <w:r>
        <w:rPr/>
        <w:t> 流动性强、易于转换为已知金额现金且价值变动风险很小的投资。</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441" w:right="1127" w:hanging="28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）外币交易</w:t>
      </w:r>
      <w:r>
        <w:rPr>
          <w:rFonts w:ascii="宋体" w:hAnsi="宋体" w:cs="宋体" w:eastAsia="宋体" w:hint="default"/>
          <w:b/>
          <w:bCs/>
          <w:w w:val="99"/>
        </w:rPr>
        <w:t> </w:t>
      </w:r>
      <w:r>
        <w:rPr>
          <w:spacing w:val="-1"/>
        </w:rPr>
        <w:t>本集团外币交易按交易发生日的即期汇率将外币金额折算为人民币金额。于资产负债表日，外币货币性项目采用资产负</w:t>
      </w:r>
    </w:p>
    <w:p>
      <w:pPr>
        <w:pStyle w:val="BodyText"/>
        <w:spacing w:line="316" w:lineRule="auto" w:before="31"/>
        <w:ind w:right="1133"/>
        <w:jc w:val="both"/>
      </w:pPr>
      <w:r>
        <w:rPr>
          <w:spacing w:val="-2"/>
        </w:rPr>
        <w:t>债表日的即期汇率折算为人民币，所产生的折算差额除了为购建或生产符合资本化条件的资产而借入的外币专门借款产生的</w:t>
      </w:r>
      <w:r>
        <w:rPr>
          <w:spacing w:val="-64"/>
        </w:rPr>
        <w:t> </w:t>
      </w:r>
      <w:r>
        <w:rPr>
          <w:spacing w:val="-64"/>
        </w:rPr>
      </w:r>
      <w:r>
        <w:rPr/>
        <w:t>汇兑差额按资本化的原则处理外，直接计入当期损益。</w:t>
      </w:r>
    </w:p>
    <w:p>
      <w:pPr>
        <w:pStyle w:val="BodyText"/>
        <w:spacing w:line="300" w:lineRule="auto" w:before="19"/>
        <w:ind w:left="441" w:right="1125" w:hanging="28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外币资产负债表中资产、负债类项目采用资产负债表日的即期汇率折算；股东权益类项目除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外，均按业务</w:t>
      </w:r>
    </w:p>
    <w:p>
      <w:pPr>
        <w:pStyle w:val="BodyText"/>
        <w:spacing w:line="316" w:lineRule="auto" w:before="13"/>
        <w:ind w:right="1130"/>
        <w:jc w:val="both"/>
      </w:pPr>
      <w:r>
        <w:rPr>
          <w:spacing w:val="-5"/>
        </w:rPr>
        <w:t>发生时的即期汇率折算；利润表中的收入与费用项目，采用交易发生日的即期汇率折算。上述折算产生的外币报表折算差额，</w:t>
      </w:r>
      <w:r>
        <w:rPr>
          <w:spacing w:val="-76"/>
        </w:rPr>
        <w:t> </w:t>
      </w:r>
      <w:r>
        <w:rPr>
          <w:spacing w:val="-76"/>
        </w:rPr>
      </w:r>
      <w:r>
        <w:rPr>
          <w:spacing w:val="-2"/>
        </w:rPr>
        <w:t>在其他综合收益项目中列示。外币现金流量采用现金流量发生日的即期汇率折算。汇率变动对现金的影响额，在现金流量表</w:t>
      </w:r>
      <w:r>
        <w:rPr>
          <w:spacing w:val="-63"/>
        </w:rPr>
        <w:t> </w:t>
      </w:r>
      <w:r>
        <w:rPr>
          <w:spacing w:val="-63"/>
        </w:rPr>
      </w:r>
      <w:r>
        <w:rPr/>
        <w:t>中单独列示。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本集团成为金融工具合同的一方时确认一项金融资产或金融负债。</w:t>
      </w:r>
    </w:p>
    <w:p>
      <w:pPr>
        <w:pStyle w:val="Heading4"/>
        <w:spacing w:line="240" w:lineRule="auto" w:before="76"/>
        <w:ind w:right="0"/>
        <w:jc w:val="left"/>
        <w:rPr>
          <w:b w:val="0"/>
          <w:bCs w:val="0"/>
        </w:rPr>
      </w:pPr>
      <w:r>
        <w:rPr/>
        <w:t>（</w:t>
      </w:r>
      <w:r>
        <w:rPr>
          <w:rFonts w:ascii="Times New Roman" w:hAnsi="Times New Roman" w:cs="Times New Roman" w:eastAsia="Times New Roman" w:hint="default"/>
        </w:rPr>
        <w:t>1</w:t>
      </w:r>
      <w:r>
        <w:rPr/>
        <w:t>）金融资产</w:t>
      </w:r>
      <w:r>
        <w:rPr>
          <w:b w:val="0"/>
          <w:bCs w:val="0"/>
        </w:rPr>
      </w:r>
    </w:p>
    <w:p>
      <w:pPr>
        <w:pStyle w:val="BodyText"/>
        <w:spacing w:line="300" w:lineRule="auto" w:before="63"/>
        <w:ind w:left="513" w:right="0"/>
        <w:jc w:val="left"/>
      </w:pPr>
      <w:r>
        <w:rPr>
          <w:rFonts w:ascii="Times New Roman" w:hAnsi="Times New Roman" w:cs="Times New Roman" w:eastAsia="Times New Roman" w:hint="default"/>
        </w:rPr>
        <w:t>1</w:t>
      </w:r>
      <w:r>
        <w:rPr/>
        <w:t>）金融资产分类、确认依据和计量方法 </w:t>
      </w:r>
      <w:r>
        <w:rPr>
          <w:spacing w:val="-2"/>
        </w:rPr>
        <w:t>本集团根据管理金融资产的业务模式和金融资产的合同现金流特征，将金融资产分类为以摊余成本计量的金融资产、以</w:t>
      </w:r>
    </w:p>
    <w:p>
      <w:pPr>
        <w:pStyle w:val="BodyText"/>
        <w:spacing w:line="319" w:lineRule="auto" w:before="31"/>
        <w:ind w:left="513" w:right="0" w:hanging="361"/>
        <w:jc w:val="left"/>
      </w:pPr>
      <w:r>
        <w:rPr/>
        <w:t>公允价值计量且其变动计入其他综合收益的金融资产、以公允价值计量且其变动计入当期损益的金融资产。 </w:t>
      </w:r>
      <w:r>
        <w:rPr>
          <w:spacing w:val="-2"/>
        </w:rPr>
        <w:t>本集团将同时符合下列条件的金融资产分类为以摊余成本计量的金融资产：①管理该金融资产的业务模式是以收取合同</w:t>
      </w:r>
    </w:p>
    <w:p>
      <w:pPr>
        <w:pStyle w:val="BodyText"/>
        <w:spacing w:line="316" w:lineRule="auto" w:before="17"/>
        <w:ind w:right="1130"/>
        <w:jc w:val="both"/>
      </w:pPr>
      <w:r>
        <w:rPr>
          <w:spacing w:val="-2"/>
        </w:rPr>
        <w:t>现金流量为目标。②该金融资产的合同条款规定，在特定日期产生的现金流量，仅为对本金和以未偿付本金金额为基础的利</w:t>
      </w:r>
      <w:r>
        <w:rPr>
          <w:spacing w:val="-63"/>
        </w:rPr>
        <w:t> </w:t>
      </w:r>
      <w:r>
        <w:rPr>
          <w:spacing w:val="-63"/>
        </w:rPr>
      </w:r>
      <w:r>
        <w:rPr>
          <w:spacing w:val="-2"/>
        </w:rPr>
        <w:t>息的支付。此类金融资产按照公允价值进行初始计量，相关交易费用计入初始确认金额；以摊余成本进行后续计量。除被指</w:t>
      </w:r>
      <w:r>
        <w:rPr>
          <w:spacing w:val="-65"/>
        </w:rPr>
        <w:t> </w:t>
      </w:r>
      <w:r>
        <w:rPr>
          <w:spacing w:val="-65"/>
        </w:rPr>
      </w:r>
      <w:r>
        <w:rPr>
          <w:spacing w:val="-2"/>
        </w:rPr>
        <w:t>定为被套期项目的，按照实际利率法摊销初始金额与到期金额之间的差额，其摊销、减值、汇兑损益以及终止确认时产生的</w:t>
      </w:r>
      <w:r>
        <w:rPr>
          <w:spacing w:val="-64"/>
        </w:rPr>
        <w:t> </w:t>
      </w:r>
      <w:r>
        <w:rPr>
          <w:spacing w:val="-64"/>
        </w:rPr>
      </w:r>
      <w:r>
        <w:rPr/>
        <w:t>利得或损失，计入当期损益。</w:t>
      </w:r>
    </w:p>
    <w:p>
      <w:pPr>
        <w:pStyle w:val="BodyText"/>
        <w:spacing w:line="316" w:lineRule="auto" w:before="19"/>
        <w:ind w:right="1129" w:firstLine="360"/>
        <w:jc w:val="both"/>
      </w:pPr>
      <w:r>
        <w:rPr>
          <w:spacing w:val="-2"/>
        </w:rPr>
        <w:t>本集团将同时符合下列条件的金融资产分类为以公允价值计量且其变动计入其他综合收益的金融资产：①管理该金融资</w:t>
      </w:r>
      <w:r>
        <w:rPr/>
        <w:t> </w:t>
      </w:r>
      <w:r>
        <w:rPr>
          <w:spacing w:val="-2"/>
        </w:rPr>
        <w:t>产的业务模式既以收取合同现金流量为目标又以出售该金融资产为目标。②该金融资产的合同条款规定，在特定日期产生的</w:t>
      </w:r>
      <w:r>
        <w:rPr>
          <w:spacing w:val="-64"/>
        </w:rPr>
        <w:t> </w:t>
      </w:r>
      <w:r>
        <w:rPr>
          <w:spacing w:val="-64"/>
        </w:rPr>
      </w:r>
      <w:r>
        <w:rPr>
          <w:spacing w:val="-2"/>
        </w:rPr>
        <w:t>现金流量，仅为对本金和以未偿付本金金额为基础的利息的支付。此类金融资产按照公允价值进行初始计量，相关交易费用</w:t>
      </w:r>
      <w:r>
        <w:rPr>
          <w:spacing w:val="-63"/>
        </w:rPr>
        <w:t> </w:t>
      </w:r>
      <w:r>
        <w:rPr>
          <w:spacing w:val="-63"/>
        </w:rPr>
      </w:r>
      <w:r>
        <w:rPr>
          <w:spacing w:val="-2"/>
        </w:rPr>
        <w:t>计入初始确认金额。除被指定为被套期项目的，此类金融资产，除信用减值损失或利得、汇兑损益和按照实际利率法计算的</w:t>
      </w:r>
      <w:r>
        <w:rPr>
          <w:spacing w:val="-64"/>
        </w:rPr>
        <w:t> </w:t>
      </w:r>
      <w:r>
        <w:rPr>
          <w:spacing w:val="-64"/>
        </w:rPr>
      </w:r>
      <w:r>
        <w:rPr>
          <w:spacing w:val="-2"/>
        </w:rPr>
        <w:t>该金融资产利息之外，所产生的其他利得或损失，均计入其他综合收益；金融资产终止确认时，之前计入其他综合收益的累</w:t>
      </w:r>
      <w:r>
        <w:rPr>
          <w:spacing w:val="-64"/>
        </w:rPr>
        <w:t> </w:t>
      </w:r>
      <w:r>
        <w:rPr>
          <w:spacing w:val="-64"/>
        </w:rPr>
      </w:r>
      <w:r>
        <w:rPr/>
        <w:t>计利得或损失应当从其他综合收益中转出，计入当期损益。</w:t>
      </w:r>
    </w:p>
    <w:p>
      <w:pPr>
        <w:pStyle w:val="BodyText"/>
        <w:spacing w:line="316" w:lineRule="auto" w:before="19"/>
        <w:ind w:left="513" w:right="0"/>
        <w:jc w:val="left"/>
      </w:pPr>
      <w:r>
        <w:rPr/>
        <w:t>本集团分类为以公允价值计量且其变动计入其他综合收益的金融资产为应收款项融资。 </w:t>
      </w:r>
      <w:r>
        <w:rPr>
          <w:spacing w:val="-2"/>
        </w:rPr>
        <w:t>本集团按照实际利率法确认利息收入。利息收入根据金融资产账面余额乘以实际利率计算确定，但下列情况除外：①对</w:t>
      </w:r>
    </w:p>
    <w:p>
      <w:pPr>
        <w:pStyle w:val="BodyText"/>
        <w:spacing w:line="316" w:lineRule="auto" w:before="19"/>
        <w:ind w:right="1131"/>
        <w:jc w:val="both"/>
      </w:pPr>
      <w:r>
        <w:rPr>
          <w:spacing w:val="-2"/>
        </w:rPr>
        <w:t>于购入或源生的已发生信用减值的金融资产，自初始确认起，按照该金融资产的摊余成本和经信用调整的实际利率计算确定</w:t>
      </w:r>
      <w:r>
        <w:rPr>
          <w:spacing w:val="-64"/>
        </w:rPr>
        <w:t> </w:t>
      </w:r>
      <w:r>
        <w:rPr>
          <w:spacing w:val="-64"/>
        </w:rPr>
      </w:r>
      <w:r>
        <w:rPr>
          <w:spacing w:val="-2"/>
        </w:rPr>
        <w:t>其利息收入。②对于购入或源生的未发生信用减值、但在后续期间成为已发生信用减值的金融资产，在后续期间，按照该金</w:t>
      </w:r>
      <w:r>
        <w:rPr>
          <w:spacing w:val="-64"/>
        </w:rPr>
        <w:t> </w:t>
      </w:r>
      <w:r>
        <w:rPr>
          <w:spacing w:val="-64"/>
        </w:rPr>
      </w:r>
      <w:r>
        <w:rPr/>
        <w:t>融资产的摊余成本和实际利率计算确定其利息收入。</w:t>
      </w:r>
    </w:p>
    <w:p>
      <w:pPr>
        <w:pStyle w:val="BodyText"/>
        <w:spacing w:line="316" w:lineRule="auto" w:before="19"/>
        <w:ind w:right="1130" w:firstLine="360"/>
        <w:jc w:val="both"/>
      </w:pPr>
      <w:r>
        <w:rPr>
          <w:spacing w:val="-2"/>
        </w:rPr>
        <w:t>本集团将非交易性权益工具投资指定为以公允价值计量且其变动计入其他综合收益的金融资产。该指定一经作出，不得</w:t>
      </w:r>
      <w:r>
        <w:rPr/>
        <w:t> </w:t>
      </w:r>
      <w:r>
        <w:rPr>
          <w:spacing w:val="-2"/>
        </w:rPr>
        <w:t>撤销。本集团指定的以公允价值计量且其变动计入其他综合收益的非交易性权益工具投资，按照公允价值进行初始计量，相</w:t>
      </w:r>
      <w:r>
        <w:rPr>
          <w:spacing w:val="-63"/>
        </w:rPr>
        <w:t> </w:t>
      </w:r>
      <w:r>
        <w:rPr>
          <w:spacing w:val="-63"/>
        </w:rPr>
      </w:r>
      <w:r>
        <w:rPr>
          <w:spacing w:val="-5"/>
        </w:rPr>
        <w:t>关交易费用计入初始确认金额；除了获得股利（属于投资成本收回部分的除外）计入当期损益外，其他相关的利得和损失（包</w:t>
      </w:r>
      <w:r>
        <w:rPr>
          <w:spacing w:val="-80"/>
        </w:rPr>
        <w:t> </w:t>
      </w:r>
      <w:r>
        <w:rPr>
          <w:spacing w:val="-80"/>
        </w:rPr>
      </w:r>
      <w:r>
        <w:rPr>
          <w:spacing w:val="-2"/>
        </w:rPr>
        <w:t>括汇兑损益）均计入其他综合收益，且后续不得转入当期损益。当其终止确认时，之前计入其他综合收益的累计利得或损失</w:t>
      </w:r>
      <w:r>
        <w:rPr>
          <w:spacing w:val="-64"/>
        </w:rPr>
        <w:t> </w:t>
      </w:r>
      <w:r>
        <w:rPr>
          <w:spacing w:val="-64"/>
        </w:rPr>
      </w:r>
      <w:r>
        <w:rPr/>
        <w:t>从其他综合收益中转出，计入留存收益。</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0" w:firstLine="360"/>
        <w:jc w:val="both"/>
      </w:pPr>
      <w:r>
        <w:rPr/>
        <w:t>除上述分类为以摊余成本计量的金融资产和分类为以公允价值计量且其变动计入其他综合收益的金融资产之外的金融 </w:t>
      </w:r>
      <w:r>
        <w:rPr>
          <w:spacing w:val="-2"/>
        </w:rPr>
        <w:t>资产，本集团将其分类为以公允价值计量且其变动计入当期损益的金融资产。此类金融资产按照公允价值进行初始计量，相</w:t>
      </w:r>
      <w:r>
        <w:rPr>
          <w:spacing w:val="-63"/>
        </w:rPr>
        <w:t> </w:t>
      </w:r>
      <w:r>
        <w:rPr>
          <w:spacing w:val="-63"/>
        </w:rPr>
      </w:r>
      <w:r>
        <w:rPr/>
        <w:t>关交易费用直接计入当期损益。此类金融资产的利得或损失，计入当期损益。</w:t>
      </w:r>
    </w:p>
    <w:p>
      <w:pPr>
        <w:pStyle w:val="BodyText"/>
        <w:spacing w:line="316" w:lineRule="auto" w:before="17"/>
        <w:ind w:right="0" w:firstLine="360"/>
        <w:jc w:val="left"/>
      </w:pPr>
      <w:r>
        <w:rPr>
          <w:spacing w:val="-2"/>
        </w:rPr>
        <w:t>本集团在非同一控制下的企业合并中确认的或有对价构成金融资产的，该金融资产分类为以公允价值计量且其变动计入</w:t>
      </w:r>
      <w:r>
        <w:rPr/>
        <w:t> 当期损益的金融资产。</w:t>
      </w:r>
    </w:p>
    <w:p>
      <w:pPr>
        <w:pStyle w:val="BodyText"/>
        <w:spacing w:line="300" w:lineRule="auto" w:before="19"/>
        <w:ind w:left="513" w:right="0"/>
        <w:jc w:val="left"/>
      </w:pPr>
      <w:r>
        <w:rPr>
          <w:rFonts w:ascii="Times New Roman" w:hAnsi="Times New Roman" w:cs="Times New Roman" w:eastAsia="Times New Roman" w:hint="default"/>
        </w:rPr>
        <w:t>2</w:t>
      </w:r>
      <w:r>
        <w:rPr/>
        <w:t>）金融资产转移的确认依据和计量方法 </w:t>
      </w:r>
      <w:r>
        <w:rPr>
          <w:spacing w:val="-2"/>
        </w:rPr>
        <w:t>本集团将满足下列条件之一的金融资产予以终止确认：①收取该金融资产现金流量的合同权利终止；②金融资产发生转</w:t>
      </w:r>
    </w:p>
    <w:p>
      <w:pPr>
        <w:pStyle w:val="BodyText"/>
        <w:spacing w:line="316" w:lineRule="auto" w:before="31"/>
        <w:ind w:right="0"/>
        <w:jc w:val="left"/>
      </w:pPr>
      <w:r>
        <w:rPr>
          <w:spacing w:val="-2"/>
        </w:rPr>
        <w:t>移，本集团转移了金融资产所有权上几乎所有风险和报酬；③金融资产发生转移，本集团既没有转移也没有保留金融资产所</w:t>
      </w:r>
      <w:r>
        <w:rPr>
          <w:spacing w:val="-63"/>
        </w:rPr>
        <w:t> </w:t>
      </w:r>
      <w:r>
        <w:rPr>
          <w:spacing w:val="-63"/>
        </w:rPr>
      </w:r>
      <w:r>
        <w:rPr/>
        <w:t>有权上几乎所有风险和报酬，且未保留对该金融资产控制的。</w:t>
      </w:r>
    </w:p>
    <w:p>
      <w:pPr>
        <w:pStyle w:val="BodyText"/>
        <w:spacing w:line="319" w:lineRule="auto" w:before="19"/>
        <w:ind w:right="0" w:firstLine="360"/>
        <w:jc w:val="left"/>
      </w:pPr>
      <w:r>
        <w:rPr>
          <w:spacing w:val="-2"/>
        </w:rPr>
        <w:t>金融资产整体转移满足终止确认条件的，将所转移金融资产的账面价值，与因转移而收到的对价及原直接计入其他综合</w:t>
      </w:r>
      <w:r>
        <w:rPr/>
        <w:t> </w:t>
      </w:r>
      <w:r>
        <w:rPr>
          <w:spacing w:val="-4"/>
        </w:rPr>
        <w:t>收益的公允价值变动累计额中对应终止确认部分的金额（涉及转移的金融资产的合同条款规定，在特定日期产生的现金流量，</w:t>
      </w:r>
      <w:r>
        <w:rPr>
          <w:spacing w:val="-44"/>
        </w:rPr>
        <w:t> </w:t>
      </w:r>
      <w:r>
        <w:rPr>
          <w:spacing w:val="-44"/>
        </w:rPr>
      </w:r>
      <w:r>
        <w:rPr/>
        <w:t>仅为对本金和以未偿付本金金额为基础的利息的支付）之和的差额计入当期损益。 </w:t>
      </w:r>
      <w:r>
        <w:rPr>
          <w:spacing w:val="-2"/>
        </w:rPr>
        <w:t>金融资产部分转移满足终止确认条件的，将所转移金融资产整体的账面价值，在终止确认部分和未终止确认部分之间，按照</w:t>
      </w:r>
      <w:r>
        <w:rPr>
          <w:spacing w:val="-62"/>
        </w:rPr>
        <w:t> </w:t>
      </w:r>
      <w:r>
        <w:rPr>
          <w:spacing w:val="-62"/>
        </w:rPr>
      </w:r>
      <w:r>
        <w:rPr>
          <w:spacing w:val="-2"/>
        </w:rPr>
        <w:t>各自的相对公允价值进行分摊，并将因转移而收到的对价及应分摊至终止确认部分的原计入其他综合收益的公允价值变动累</w:t>
      </w:r>
      <w:r>
        <w:rPr>
          <w:spacing w:val="-64"/>
        </w:rPr>
        <w:t> </w:t>
      </w:r>
      <w:r>
        <w:rPr>
          <w:spacing w:val="-64"/>
        </w:rPr>
      </w:r>
      <w:r>
        <w:rPr>
          <w:spacing w:val="-2"/>
        </w:rPr>
        <w:t>计额中对应终止确认部分的金额（涉及转移的金融资产的合同条款规定，在特定日期产生的现金流量，仅为对本金和以未偿</w:t>
      </w:r>
      <w:r>
        <w:rPr>
          <w:spacing w:val="-63"/>
        </w:rPr>
        <w:t> </w:t>
      </w:r>
      <w:r>
        <w:rPr>
          <w:spacing w:val="-63"/>
        </w:rPr>
      </w:r>
      <w:r>
        <w:rPr/>
        <w:t>付本金金额为基础的利息的支付）之和，与分摊的前述金融资产整体账面价值的差额计入当期损益。</w:t>
      </w:r>
    </w:p>
    <w:p>
      <w:pPr>
        <w:pStyle w:val="Heading4"/>
        <w:spacing w:line="240" w:lineRule="auto" w:before="17"/>
        <w:ind w:right="0"/>
        <w:jc w:val="left"/>
        <w:rPr>
          <w:b w:val="0"/>
          <w:bCs w:val="0"/>
        </w:rPr>
      </w:pPr>
      <w:r>
        <w:rPr/>
        <w:t>（</w:t>
      </w:r>
      <w:r>
        <w:rPr>
          <w:rFonts w:ascii="Times New Roman" w:hAnsi="Times New Roman" w:cs="Times New Roman" w:eastAsia="Times New Roman" w:hint="default"/>
        </w:rPr>
        <w:t>2</w:t>
      </w:r>
      <w:r>
        <w:rPr/>
        <w:t>）金融负债</w:t>
      </w:r>
      <w:r>
        <w:rPr>
          <w:b w:val="0"/>
          <w:bCs w:val="0"/>
        </w:rPr>
      </w:r>
    </w:p>
    <w:p>
      <w:pPr>
        <w:pStyle w:val="BodyText"/>
        <w:spacing w:line="309" w:lineRule="auto" w:before="63"/>
        <w:ind w:left="513" w:right="0"/>
        <w:jc w:val="left"/>
      </w:pPr>
      <w:r>
        <w:rPr>
          <w:rFonts w:ascii="Times New Roman" w:hAnsi="Times New Roman" w:cs="Times New Roman" w:eastAsia="Times New Roman" w:hint="default"/>
        </w:rPr>
        <w:t>1</w:t>
      </w:r>
      <w:r>
        <w:rPr/>
        <w:t>）金融负债分类、确认依据和计量方法 本集团的金融负债于初始确认时分类为以公允价值计量且其变动计入当期损益的金融负债和其他金融负债。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319" w:lineRule="auto" w:before="24"/>
        <w:ind w:right="1034"/>
        <w:jc w:val="left"/>
      </w:pPr>
      <w:r>
        <w:rPr>
          <w:spacing w:val="-2"/>
        </w:rPr>
        <w:t>计入当期损益的金融负债。交易性金融负债，是指满足下列条件之一的金融负债：承担该金融负债的目的是为了在近期内回</w:t>
      </w:r>
      <w:r>
        <w:rPr>
          <w:spacing w:val="-63"/>
        </w:rPr>
        <w:t> </w:t>
      </w:r>
      <w:r>
        <w:rPr>
          <w:spacing w:val="-63"/>
        </w:rPr>
      </w:r>
      <w:r>
        <w:rPr/>
        <w:t>购；属于进行集中管理的可辨认金融工具组合的一部分，且有客观证据表明企业近期采用短期获利方式对该组合进行管理；</w:t>
      </w:r>
      <w:r>
        <w:rPr>
          <w:spacing w:val="-83"/>
        </w:rPr>
        <w:t> </w:t>
      </w:r>
      <w:r>
        <w:rPr>
          <w:spacing w:val="-83"/>
        </w:rPr>
      </w:r>
      <w:r>
        <w:rPr>
          <w:spacing w:val="-2"/>
        </w:rPr>
        <w:t>属于衍生工具，但是，被指定且为有效套期工具的衍生工具、属于财务担保合同的衍生工具、与在活跃市场中没有报价且其</w:t>
      </w:r>
      <w:r>
        <w:rPr>
          <w:spacing w:val="-62"/>
        </w:rPr>
        <w:t> </w:t>
      </w:r>
      <w:r>
        <w:rPr>
          <w:spacing w:val="-62"/>
        </w:rPr>
      </w:r>
      <w:r>
        <w:rPr>
          <w:spacing w:val="-2"/>
        </w:rPr>
        <w:t>公允价值不能可靠计量的权益工具投资挂钩并须通过交付该权益工具结算的衍生工具除外。对于此类金融负债，按照公允价</w:t>
      </w:r>
      <w:r>
        <w:rPr>
          <w:spacing w:val="-64"/>
        </w:rPr>
        <w:t> </w:t>
      </w:r>
      <w:r>
        <w:rPr>
          <w:spacing w:val="-64"/>
        </w:rPr>
      </w:r>
      <w:r>
        <w:rPr/>
        <w:t>值进行后续计量，所有已实现和未实现的损益均计入当期损益。</w:t>
      </w:r>
    </w:p>
    <w:p>
      <w:pPr>
        <w:pStyle w:val="BodyText"/>
        <w:spacing w:line="316" w:lineRule="auto" w:before="17"/>
        <w:ind w:right="1034" w:firstLine="360"/>
        <w:jc w:val="left"/>
      </w:pPr>
      <w:r>
        <w:rPr>
          <w:spacing w:val="-2"/>
        </w:rPr>
        <w:t>其他金融负债，采用实际利率法，按照摊余成本进行后续计量。除下列各项外，本集团将金融负债分类为以摊余成本计</w:t>
      </w:r>
      <w:r>
        <w:rPr/>
        <w:t> 量的金融负债：①以公允价值计量且其变动计入当期损益的金融负债，包括交易性金融负债（含属于金融负债的衍生工具）</w:t>
      </w:r>
      <w:r>
        <w:rPr>
          <w:spacing w:val="-83"/>
        </w:rPr>
        <w:t> </w:t>
      </w:r>
      <w:r>
        <w:rPr>
          <w:spacing w:val="-83"/>
        </w:rPr>
      </w:r>
      <w:r>
        <w:rPr>
          <w:spacing w:val="-2"/>
        </w:rPr>
        <w:t>和指定为以公允价值计量且其变动计入当期损益的金融负债。②不符合终止确认条件的金融资产转移或继续涉入被转移金融</w:t>
      </w:r>
      <w:r>
        <w:rPr>
          <w:spacing w:val="-64"/>
        </w:rPr>
        <w:t> </w:t>
      </w:r>
      <w:r>
        <w:rPr>
          <w:spacing w:val="-64"/>
        </w:rPr>
      </w:r>
      <w:r>
        <w:rPr>
          <w:spacing w:val="-2"/>
        </w:rPr>
        <w:t>资产所形成的金融负债。③不属于以上①或②情形的财务担保合同，以及不属于以上①情形的以低于市场利率贷款的贷款承</w:t>
      </w:r>
      <w:r>
        <w:rPr>
          <w:spacing w:val="-64"/>
        </w:rPr>
        <w:t> </w:t>
      </w:r>
      <w:r>
        <w:rPr>
          <w:spacing w:val="-64"/>
        </w:rPr>
      </w:r>
      <w:r>
        <w:rPr/>
        <w:t>诺。</w:t>
      </w:r>
    </w:p>
    <w:p>
      <w:pPr>
        <w:pStyle w:val="BodyText"/>
        <w:spacing w:line="300" w:lineRule="auto" w:before="19"/>
        <w:ind w:left="513" w:right="0"/>
        <w:jc w:val="left"/>
      </w:pPr>
      <w:r>
        <w:rPr>
          <w:rFonts w:ascii="Times New Roman" w:hAnsi="Times New Roman" w:cs="Times New Roman" w:eastAsia="Times New Roman" w:hint="default"/>
        </w:rPr>
        <w:t>2</w:t>
      </w:r>
      <w:r>
        <w:rPr/>
        <w:t>）金融负债终止确认条件 </w:t>
      </w:r>
      <w:r>
        <w:rPr>
          <w:spacing w:val="-2"/>
        </w:rPr>
        <w:t>当金融负债的现时义务全部或部分已经解除时，终止确认该金融负债或义务已解除的部分。本集团与债权人之间签订协</w:t>
      </w:r>
    </w:p>
    <w:p>
      <w:pPr>
        <w:pStyle w:val="BodyText"/>
        <w:spacing w:line="319" w:lineRule="auto" w:before="31"/>
        <w:ind w:right="1129"/>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spacing w:val="-2"/>
        </w:rPr>
        <w:t>负债，并同时确认新金融负债。本集团对现存金融负债全部或部分的合同条款作出实质性修改的，终止确认现存金融负债或</w:t>
      </w:r>
      <w:r>
        <w:rPr>
          <w:spacing w:val="-63"/>
        </w:rPr>
        <w:t> </w:t>
      </w:r>
      <w:r>
        <w:rPr>
          <w:spacing w:val="-63"/>
        </w:rPr>
      </w:r>
      <w:r>
        <w:rPr>
          <w:spacing w:val="-2"/>
        </w:rPr>
        <w:t>其一部分，同时将修改条款后的金融负债确认为一项新金融负债。终止确认部分的账面价值与支付的对价之间的差额，计入</w:t>
      </w:r>
      <w:r>
        <w:rPr>
          <w:spacing w:val="-62"/>
        </w:rPr>
        <w:t> </w:t>
      </w:r>
      <w:r>
        <w:rPr>
          <w:spacing w:val="-62"/>
        </w:rPr>
      </w:r>
      <w:r>
        <w:rPr/>
        <w:t>当期损益。</w:t>
      </w:r>
    </w:p>
    <w:p>
      <w:pPr>
        <w:spacing w:line="340" w:lineRule="auto" w:before="1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本集团以主要市场的价格计量金融资产和金融负债的公允价值，不存在主要市场的，以最有利市场的价格计量金融资产</w:t>
      </w:r>
    </w:p>
    <w:p>
      <w:pPr>
        <w:pStyle w:val="BodyText"/>
        <w:spacing w:line="316" w:lineRule="auto" w:before="1"/>
        <w:ind w:right="1130"/>
        <w:jc w:val="both"/>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2"/>
        </w:rPr>
        <w:t> </w:t>
      </w:r>
      <w:r>
        <w:rPr>
          <w:spacing w:val="-62"/>
        </w:rPr>
      </w:r>
      <w:r>
        <w:rPr>
          <w:spacing w:val="-2"/>
        </w:rPr>
        <w:t>集团优先使用第一层次输入值，最后再使用第三层次输入值，神州数码控股有限公司的股票使用第一层次输入值，衍生金融</w:t>
      </w:r>
      <w:r>
        <w:rPr>
          <w:spacing w:val="-63"/>
        </w:rPr>
        <w:t> </w:t>
      </w:r>
      <w:r>
        <w:rPr>
          <w:spacing w:val="-63"/>
        </w:rPr>
      </w:r>
      <w:r>
        <w:rPr>
          <w:spacing w:val="-2"/>
        </w:rPr>
        <w:t>资产、理财产品、应收款项融资和衍生金融负债使用第二层次输入值，济南趣云信息技术有限公司的股权投资使用第三层次</w:t>
      </w:r>
      <w:r>
        <w:rPr>
          <w:spacing w:val="-64"/>
        </w:rPr>
        <w:t> </w:t>
      </w:r>
      <w:r>
        <w:rPr>
          <w:spacing w:val="-64"/>
        </w:rPr>
      </w:r>
      <w:r>
        <w:rPr/>
        <w:t>输入值。公允价值计量结果所属的层次，由对公允价值计量整体而言具有重大意义的输入值所属的最低层次决定。</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line="300" w:lineRule="auto" w:before="4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）金融资产和金融负债的抵消</w:t>
      </w:r>
      <w:r>
        <w:rPr>
          <w:rFonts w:ascii="宋体" w:hAnsi="宋体" w:cs="宋体" w:eastAsia="宋体" w:hint="default"/>
          <w:b/>
          <w:bCs/>
          <w:w w:val="99"/>
          <w:sz w:val="18"/>
          <w:szCs w:val="18"/>
        </w:rPr>
        <w:t> </w:t>
      </w:r>
      <w:r>
        <w:rPr>
          <w:rFonts w:ascii="宋体" w:hAnsi="宋体" w:cs="宋体" w:eastAsia="宋体" w:hint="default"/>
          <w:spacing w:val="-2"/>
          <w:sz w:val="18"/>
          <w:szCs w:val="18"/>
        </w:rPr>
        <w:t>本集团的金融资产和金融负债在资产负债表内分别列示，不相互抵销。但同时满足下列条件时，以相互抵销后的净额在</w:t>
      </w:r>
    </w:p>
    <w:p>
      <w:pPr>
        <w:pStyle w:val="BodyText"/>
        <w:spacing w:line="300" w:lineRule="auto" w:before="31"/>
        <w:ind w:right="1131"/>
        <w:jc w:val="both"/>
      </w:pPr>
      <w:r>
        <w:rPr>
          <w:spacing w:val="-2"/>
        </w:rPr>
        <w:t>资产负债表内列示：</w:t>
      </w:r>
      <w:r>
        <w:rPr>
          <w:rFonts w:ascii="Times New Roman" w:hAnsi="Times New Roman" w:cs="Times New Roman" w:eastAsia="Times New Roman" w:hint="default"/>
          <w:spacing w:val="-2"/>
        </w:rPr>
        <w:t>1</w:t>
      </w:r>
      <w:r>
        <w:rPr>
          <w:spacing w:val="-2"/>
        </w:rPr>
        <w:t>）本集团具有抵销已确认金额的法定权利，且该种法定权利是当前可执行的；</w:t>
      </w:r>
      <w:r>
        <w:rPr>
          <w:rFonts w:ascii="Times New Roman" w:hAnsi="Times New Roman" w:cs="Times New Roman" w:eastAsia="Times New Roman" w:hint="default"/>
          <w:spacing w:val="-2"/>
        </w:rPr>
        <w:t>2</w:t>
      </w:r>
      <w:r>
        <w:rPr>
          <w:spacing w:val="-2"/>
        </w:rPr>
        <w:t>）本集团计划以净额结</w:t>
      </w:r>
      <w:r>
        <w:rPr>
          <w:spacing w:val="-62"/>
        </w:rPr>
        <w:t> </w:t>
      </w:r>
      <w:r>
        <w:rPr>
          <w:spacing w:val="-62"/>
        </w:rPr>
      </w:r>
      <w:r>
        <w:rPr/>
        <w:t>算，或同时变现该金融资产和清偿该金融负债。</w:t>
      </w:r>
    </w:p>
    <w:p>
      <w:pPr>
        <w:spacing w:line="300" w:lineRule="auto" w:before="31"/>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）金融负债与权益工具的区分及相关处理方法</w:t>
      </w:r>
      <w:r>
        <w:rPr>
          <w:rFonts w:ascii="宋体" w:hAnsi="宋体" w:cs="宋体" w:eastAsia="宋体" w:hint="default"/>
          <w:b/>
          <w:bCs/>
          <w:w w:val="99"/>
          <w:sz w:val="18"/>
          <w:szCs w:val="18"/>
        </w:rPr>
        <w:t> </w:t>
      </w:r>
      <w:r>
        <w:rPr>
          <w:rFonts w:ascii="宋体" w:hAnsi="宋体" w:cs="宋体" w:eastAsia="宋体" w:hint="default"/>
          <w:sz w:val="18"/>
          <w:szCs w:val="18"/>
        </w:rPr>
        <w:t>本集团按照以下原则区分金融负债与权益工具：</w:t>
      </w:r>
      <w:r>
        <w:rPr>
          <w:rFonts w:ascii="Times New Roman" w:hAnsi="Times New Roman" w:cs="Times New Roman" w:eastAsia="Times New Roman" w:hint="default"/>
          <w:sz w:val="18"/>
          <w:szCs w:val="18"/>
        </w:rPr>
        <w:t>1</w:t>
      </w:r>
      <w:r>
        <w:rPr>
          <w:rFonts w:ascii="宋体" w:hAnsi="宋体" w:cs="宋体" w:eastAsia="宋体" w:hint="default"/>
          <w:sz w:val="18"/>
          <w:szCs w:val="18"/>
        </w:rPr>
        <w:t>）如果本集团不能无条件地避免以交付现金或其他金融资产来履行一</w:t>
      </w:r>
    </w:p>
    <w:p>
      <w:pPr>
        <w:pStyle w:val="BodyText"/>
        <w:spacing w:line="314" w:lineRule="auto" w:before="13"/>
        <w:ind w:right="1131"/>
        <w:jc w:val="both"/>
      </w:pPr>
      <w:r>
        <w:rPr>
          <w:spacing w:val="-2"/>
        </w:rPr>
        <w:t>项合同义务，则该合同义务符合金融负债的定义。有些金融工具虽然没有明确地包含交付现金或其他金融资产义务的条款和</w:t>
      </w:r>
      <w:r>
        <w:rPr>
          <w:spacing w:val="-64"/>
        </w:rPr>
        <w:t> </w:t>
      </w:r>
      <w:r>
        <w:rPr>
          <w:spacing w:val="-64"/>
        </w:rPr>
      </w:r>
      <w:r>
        <w:rPr>
          <w:spacing w:val="-4"/>
        </w:rPr>
        <w:t>条件，但有可能通过其他条款和条件间接地形成合同义务。</w:t>
      </w:r>
      <w:r>
        <w:rPr>
          <w:rFonts w:ascii="Times New Roman" w:hAnsi="Times New Roman" w:cs="Times New Roman" w:eastAsia="Times New Roman" w:hint="default"/>
          <w:spacing w:val="-4"/>
        </w:rPr>
        <w:t>2</w:t>
      </w:r>
      <w:r>
        <w:rPr>
          <w:spacing w:val="-4"/>
        </w:rPr>
        <w:t>）如果一项金融工具须用或可用本集团自身权益工具进行结算，</w:t>
      </w:r>
      <w:r>
        <w:rPr>
          <w:spacing w:val="-42"/>
        </w:rPr>
        <w:t> </w:t>
      </w:r>
      <w:r>
        <w:rPr>
          <w:spacing w:val="-42"/>
        </w:rPr>
      </w:r>
      <w:r>
        <w:rPr>
          <w:spacing w:val="-2"/>
        </w:rPr>
        <w:t>需要考虑用于结算该工具的本集团自身权益工具，是作为现金或其他金融资产的替代品，还是为了使该工具持有方享有在发</w:t>
      </w:r>
      <w:r>
        <w:rPr>
          <w:spacing w:val="-63"/>
        </w:rPr>
        <w:t> </w:t>
      </w:r>
      <w:r>
        <w:rPr>
          <w:spacing w:val="-63"/>
        </w:rPr>
      </w:r>
      <w:r>
        <w:rPr>
          <w:spacing w:val="-2"/>
        </w:rPr>
        <w:t>行方扣除所有负债后的资产中的剩余权益。如果是前者，该工具是发行方的金融负债；如果是后者，该工具是发行方的权益</w:t>
      </w:r>
      <w:r>
        <w:rPr>
          <w:spacing w:val="-64"/>
        </w:rPr>
        <w:t> </w:t>
      </w:r>
      <w:r>
        <w:rPr>
          <w:spacing w:val="-64"/>
        </w:rPr>
      </w:r>
      <w:r>
        <w:rPr>
          <w:spacing w:val="-2"/>
        </w:rPr>
        <w:t>工具。在某些情况下，一项金融工具合同规定本集团须用或可用自身权益工具结算该金融工具，其中合同权利或合同义务的</w:t>
      </w:r>
      <w:r>
        <w:rPr>
          <w:spacing w:val="-66"/>
        </w:rPr>
        <w:t> </w:t>
      </w:r>
      <w:r>
        <w:rPr>
          <w:spacing w:val="-66"/>
        </w:rPr>
      </w:r>
      <w:r>
        <w:rPr>
          <w:spacing w:val="-2"/>
        </w:rPr>
        <w:t>金额等于可获取或需交付的自身权益工具的数量乘以其结算时的公允价值，则无论该合同权利或义务的金额是固定的，还是</w:t>
      </w:r>
      <w:r>
        <w:rPr>
          <w:spacing w:val="-64"/>
        </w:rPr>
        <w:t> </w:t>
      </w:r>
      <w:r>
        <w:rPr>
          <w:spacing w:val="-64"/>
        </w:rPr>
      </w:r>
      <w:r>
        <w:rPr>
          <w:spacing w:val="-2"/>
        </w:rPr>
        <w:t>完全或部分地基于除本集团自身权益工具的市场价格以外的变量（例如利率、某种商品的价格或某项金融工具的价格）的变</w:t>
      </w:r>
      <w:r>
        <w:rPr>
          <w:spacing w:val="-66"/>
        </w:rPr>
        <w:t> </w:t>
      </w:r>
      <w:r>
        <w:rPr>
          <w:spacing w:val="-66"/>
        </w:rPr>
      </w:r>
      <w:r>
        <w:rPr/>
        <w:t>动而变动，该合同分类为金融负债。</w:t>
      </w:r>
    </w:p>
    <w:p>
      <w:pPr>
        <w:pStyle w:val="BodyText"/>
        <w:spacing w:line="316" w:lineRule="auto" w:before="20"/>
        <w:ind w:right="1132" w:firstLine="360"/>
        <w:jc w:val="both"/>
      </w:pPr>
      <w:r>
        <w:rPr>
          <w:spacing w:val="-2"/>
        </w:rPr>
        <w:t>本集团在合并报表中对金融工具（或其组成部分）进行分类时，考虑了集团成员和金融工具持有方之间达成的所有条款</w:t>
      </w:r>
      <w:r>
        <w:rPr/>
        <w:t> </w:t>
      </w:r>
      <w:r>
        <w:rPr>
          <w:spacing w:val="-2"/>
        </w:rPr>
        <w:t>和条件。如果集团作为一个整体由于该工具而承担了交付现金、其他金融资产或者以其他导致该工具成为金融负债的方式进</w:t>
      </w:r>
      <w:r>
        <w:rPr>
          <w:spacing w:val="-64"/>
        </w:rPr>
        <w:t> </w:t>
      </w:r>
      <w:r>
        <w:rPr>
          <w:spacing w:val="-64"/>
        </w:rPr>
      </w:r>
      <w:r>
        <w:rPr/>
        <w:t>行结算的义务，则该工具应当分类为金融负债。</w:t>
      </w:r>
    </w:p>
    <w:p>
      <w:pPr>
        <w:pStyle w:val="BodyText"/>
        <w:spacing w:line="316" w:lineRule="auto" w:before="19"/>
        <w:ind w:right="1133" w:firstLine="360"/>
        <w:jc w:val="both"/>
      </w:pPr>
      <w:r>
        <w:rPr>
          <w:spacing w:val="-2"/>
        </w:rPr>
        <w:t>金融工具或其组成部分属于金融负债的，相关利息、股利（或股息）、利得或损失，以及赎回或再融资产生的利得或损</w:t>
      </w:r>
      <w:r>
        <w:rPr/>
        <w:t> 失等，本集团计入当期损益。</w:t>
      </w:r>
    </w:p>
    <w:p>
      <w:pPr>
        <w:pStyle w:val="BodyText"/>
        <w:spacing w:line="316" w:lineRule="auto" w:before="19"/>
        <w:ind w:right="1132" w:firstLine="360"/>
        <w:jc w:val="both"/>
      </w:pPr>
      <w:r>
        <w:rPr>
          <w:spacing w:val="-2"/>
        </w:rPr>
        <w:t>金融工具或其组成部分属于权益工具的，其发行（含再融资）、回购、出售或注销时，本集团作为权益的变动处理，不</w:t>
      </w:r>
      <w:r>
        <w:rPr/>
        <w:t> 确认权益工具的公允价值变动。</w:t>
      </w:r>
    </w:p>
    <w:p>
      <w:pPr>
        <w:pStyle w:val="BodyText"/>
        <w:spacing w:line="300" w:lineRule="auto" w:before="19"/>
        <w:ind w:left="513" w:right="0"/>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99"/>
        </w:rPr>
        <w:t> </w:t>
      </w:r>
      <w:r>
        <w:rPr>
          <w:spacing w:val="-2"/>
        </w:rPr>
        <w:t>本集团对分类为以摊余成本计量的金融资产、分类为以公允价值计量且其变动计入其他综合收益的金融资产以预期信用</w:t>
      </w:r>
    </w:p>
    <w:p>
      <w:pPr>
        <w:pStyle w:val="BodyText"/>
        <w:spacing w:line="319" w:lineRule="auto" w:before="31"/>
        <w:ind w:left="513" w:right="0" w:hanging="361"/>
        <w:jc w:val="left"/>
      </w:pPr>
      <w:r>
        <w:rPr/>
        <w:t>损失为基础确认损失准备。 本集团对由收入准则规范的交易形成的应收账款按照相当于整个存续期内预期信用损失的金额计量损失准备。 </w:t>
      </w:r>
      <w:r>
        <w:rPr>
          <w:spacing w:val="-2"/>
        </w:rPr>
        <w:t>对于其他金融工具，除购买或源生的已发生信用减值的金融资产外，本集团在每个资产负债表日评估相关金融工具的信</w:t>
      </w:r>
    </w:p>
    <w:p>
      <w:pPr>
        <w:pStyle w:val="BodyText"/>
        <w:spacing w:line="314" w:lineRule="auto" w:before="17"/>
        <w:ind w:right="1130"/>
        <w:jc w:val="both"/>
      </w:pPr>
      <w:r>
        <w:rPr>
          <w:spacing w:val="-2"/>
        </w:rPr>
        <w:t>用风险自初始确认后的变动情况。若该金融工具的信用风险自初始确认后已显著增加，本集团按照相当于该金融工具整个存</w:t>
      </w:r>
      <w:r>
        <w:rPr>
          <w:spacing w:val="-63"/>
        </w:rPr>
        <w:t> </w:t>
      </w:r>
      <w:r>
        <w:rPr>
          <w:spacing w:val="-63"/>
        </w:rPr>
      </w:r>
      <w:r>
        <w:rPr>
          <w:spacing w:val="-2"/>
        </w:rPr>
        <w:t>续期内预期信用损失的金额计量其损失准备；若该等金融工具的信用风险自初始确认后并未显著增加，本集团按照相当于该</w:t>
      </w:r>
      <w:r>
        <w:rPr>
          <w:spacing w:val="-64"/>
        </w:rPr>
        <w:t> </w:t>
      </w:r>
      <w:r>
        <w:rPr>
          <w:spacing w:val="-64"/>
        </w:rPr>
      </w:r>
      <w:r>
        <w:rPr>
          <w:spacing w:val="-2"/>
        </w:rPr>
        <w:t>金融工具未来</w:t>
      </w:r>
      <w:r>
        <w:rPr>
          <w:rFonts w:ascii="Times New Roman" w:hAnsi="Times New Roman" w:cs="Times New Roman" w:eastAsia="Times New Roman" w:hint="default"/>
          <w:spacing w:val="-2"/>
        </w:rPr>
        <w:t>12</w:t>
      </w:r>
      <w:r>
        <w:rPr>
          <w:spacing w:val="-2"/>
        </w:rPr>
        <w:t>个月内预期信用损失的金额计量其损失准备。信用损失准备的增加或转回金额，除分类为以公允价值计量且</w:t>
      </w:r>
      <w:r>
        <w:rPr>
          <w:spacing w:val="-63"/>
        </w:rPr>
        <w:t> </w:t>
      </w:r>
      <w:r>
        <w:rPr>
          <w:spacing w:val="-63"/>
        </w:rPr>
      </w:r>
      <w:r>
        <w:rPr>
          <w:spacing w:val="-2"/>
        </w:rPr>
        <w:t>其变动计入其他综合收益的金融资产外，作为减值损失或利得计入当期损益。对于分类为以公允价值计量且其变动计入其他</w:t>
      </w:r>
      <w:r>
        <w:rPr>
          <w:spacing w:val="-64"/>
        </w:rPr>
        <w:t> </w:t>
      </w:r>
      <w:r>
        <w:rPr>
          <w:spacing w:val="-64"/>
        </w:rPr>
      </w:r>
      <w:r>
        <w:rPr>
          <w:spacing w:val="-2"/>
        </w:rPr>
        <w:t>综合收益的金融资产，本集团在其他综合收益中确认其信用损失准备，并将减值损失或利得计入当期损益，且不减少该金融</w:t>
      </w:r>
      <w:r>
        <w:rPr>
          <w:spacing w:val="-63"/>
        </w:rPr>
        <w:t> </w:t>
      </w:r>
      <w:r>
        <w:rPr>
          <w:spacing w:val="-63"/>
        </w:rPr>
      </w:r>
      <w:r>
        <w:rPr/>
        <w:t>资产在资产负债表中列示的账面价值。</w:t>
      </w:r>
    </w:p>
    <w:p>
      <w:pPr>
        <w:pStyle w:val="BodyText"/>
        <w:spacing w:line="309" w:lineRule="auto" w:before="20"/>
        <w:ind w:right="1131" w:firstLine="360"/>
        <w:jc w:val="both"/>
      </w:pPr>
      <w:r>
        <w:rPr>
          <w:spacing w:val="-2"/>
        </w:rPr>
        <w:t>本集团在前一会计期间已经按照相当于金融工具整个存续期内预期信用损失的金额计量了损失准备，但在当期资产负债</w:t>
      </w:r>
      <w:r>
        <w:rPr/>
        <w:t> </w:t>
      </w:r>
      <w:r>
        <w:rPr>
          <w:spacing w:val="-2"/>
        </w:rPr>
        <w:t>表日，该金融工具已不再属于自初始确认后信用风险显著增加的情形的，本集团在当期资产负债表日按照相当于未来</w:t>
      </w:r>
      <w:r>
        <w:rPr>
          <w:rFonts w:ascii="Times New Roman" w:hAnsi="Times New Roman" w:cs="Times New Roman" w:eastAsia="Times New Roman" w:hint="default"/>
          <w:spacing w:val="-2"/>
        </w:rPr>
        <w:t>12</w:t>
      </w:r>
      <w:r>
        <w:rPr>
          <w:spacing w:val="-2"/>
        </w:rPr>
        <w:t>个月</w:t>
      </w:r>
      <w:r>
        <w:rPr>
          <w:spacing w:val="-61"/>
        </w:rPr>
        <w:t> </w:t>
      </w:r>
      <w:r>
        <w:rPr/>
        <w:t>内预期信用损失的金额计量该金融工具的损失准备，由此形成的损失准备的转回金额作为减值利得计入当期损益。</w:t>
      </w:r>
    </w:p>
    <w:p>
      <w:pPr>
        <w:pStyle w:val="BodyText"/>
        <w:spacing w:line="316" w:lineRule="auto" w:before="25"/>
        <w:ind w:left="513" w:right="0"/>
        <w:jc w:val="left"/>
      </w:pPr>
      <w:r>
        <w:rPr/>
        <w:t>信用风险显著增加 </w:t>
      </w:r>
      <w:r>
        <w:rPr>
          <w:spacing w:val="-2"/>
        </w:rPr>
        <w:t>本集团利用可获得的合理且有依据的前瞻性信息，通过比较金融工具在资产负债表日发生违约的风险与在初始确认日发</w:t>
      </w:r>
    </w:p>
    <w:p>
      <w:pPr>
        <w:pStyle w:val="BodyText"/>
        <w:spacing w:line="316" w:lineRule="auto" w:before="19"/>
        <w:ind w:left="513" w:right="4814" w:hanging="361"/>
        <w:jc w:val="left"/>
      </w:pPr>
      <w:r>
        <w:rPr/>
        <w:t>生违约的风险，以确定金融工具的信用风险自初始确认后是否已显著增加。 本集团在评估信用风险是否显著增加时会考虑如下因素：</w:t>
      </w:r>
    </w:p>
    <w:p>
      <w:pPr>
        <w:pStyle w:val="BodyText"/>
        <w:spacing w:line="240" w:lineRule="auto" w:before="19"/>
        <w:ind w:left="513" w:right="0"/>
        <w:jc w:val="left"/>
      </w:pPr>
      <w:r>
        <w:rPr/>
        <w:t>①金融工具外部信用评级实际或预期是否发生显著变化；</w:t>
      </w:r>
    </w:p>
    <w:p>
      <w:pPr>
        <w:pStyle w:val="BodyText"/>
        <w:spacing w:line="240" w:lineRule="auto" w:before="76"/>
        <w:ind w:left="513" w:right="0"/>
        <w:jc w:val="left"/>
      </w:pPr>
      <w:r>
        <w:rPr/>
        <w:t>②同一金融工具或具有相同预计存续期的类似金融工具的信用风险的外部市场指标是否发生显著变化；</w:t>
      </w:r>
    </w:p>
    <w:p>
      <w:pPr>
        <w:pStyle w:val="BodyText"/>
        <w:spacing w:line="240" w:lineRule="auto" w:before="76"/>
        <w:ind w:left="513" w:right="0"/>
        <w:jc w:val="left"/>
      </w:pPr>
      <w:r>
        <w:rPr/>
        <w:t>③对债务人实际或预期的内部信用评级是否下调；</w:t>
      </w:r>
    </w:p>
    <w:p>
      <w:pPr>
        <w:pStyle w:val="BodyText"/>
        <w:spacing w:line="316" w:lineRule="auto" w:before="76"/>
        <w:ind w:right="1132" w:firstLine="360"/>
        <w:jc w:val="both"/>
      </w:pPr>
      <w:r>
        <w:rPr>
          <w:spacing w:val="-2"/>
        </w:rPr>
        <w:t>④预期将导致债务人履行其偿债义务的能力发生显著变化的业务、财务或经济状况的是否出现不利变化，如债务人市场</w:t>
      </w:r>
      <w:r>
        <w:rPr/>
        <w:t> 份额明显下降、主要产品价格急剧持续下跌、主要原材料价格明显上涨、营运资金严重短缺、资产质量下降等；</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⑤债务人经营成果实际或预期是否发生显著变化</w:t>
      </w:r>
      <w:r>
        <w:rPr>
          <w:spacing w:val="-87"/>
        </w:rPr>
        <w:t>，</w:t>
      </w:r>
      <w:r>
        <w:rPr/>
        <w:t>如收入</w:t>
      </w:r>
      <w:r>
        <w:rPr>
          <w:spacing w:val="-87"/>
        </w:rPr>
        <w:t>、</w:t>
      </w:r>
      <w:r>
        <w:rPr/>
        <w:t>利润等经营指标出现明显不利变化且预期短时间内难以好转；</w:t>
      </w:r>
    </w:p>
    <w:p>
      <w:pPr>
        <w:pStyle w:val="BodyText"/>
        <w:spacing w:line="316" w:lineRule="auto" w:before="77"/>
        <w:ind w:right="0" w:firstLine="360"/>
        <w:jc w:val="left"/>
      </w:pPr>
      <w:r>
        <w:rPr>
          <w:spacing w:val="-2"/>
        </w:rPr>
        <w:t>⑥债务人所处的监管、经济或技术环境是否发生显著不利变化，如技术变革、国家或地方政府拟出台相关政策是否对债</w:t>
      </w:r>
      <w:r>
        <w:rPr/>
        <w:t> 务人产生重大不利影响；</w:t>
      </w:r>
    </w:p>
    <w:p>
      <w:pPr>
        <w:pStyle w:val="BodyText"/>
        <w:spacing w:line="240" w:lineRule="auto" w:before="19"/>
        <w:ind w:left="513" w:right="0"/>
        <w:jc w:val="left"/>
      </w:pPr>
      <w:r>
        <w:rPr/>
        <w:t>⑦作为债务抵押的担保物价值或第三方提供的担保或信用增级质量的是否发生显著变化；</w:t>
      </w:r>
    </w:p>
    <w:p>
      <w:pPr>
        <w:pStyle w:val="BodyText"/>
        <w:spacing w:line="316" w:lineRule="auto" w:before="76"/>
        <w:ind w:right="0" w:firstLine="360"/>
        <w:jc w:val="left"/>
      </w:pPr>
      <w:r>
        <w:rPr>
          <w:spacing w:val="-2"/>
        </w:rPr>
        <w:t>⑧预期将降低债务人按合同约定期限还款的经济动机的是否发生显著变化，如母公司或其他关联公司能够提供的财务支</w:t>
      </w:r>
      <w:r>
        <w:rPr/>
        <w:t> 持减少，或者信用增级质量的显著变化；</w:t>
      </w:r>
    </w:p>
    <w:p>
      <w:pPr>
        <w:pStyle w:val="BodyText"/>
        <w:spacing w:line="240" w:lineRule="auto" w:before="19"/>
        <w:ind w:left="513" w:right="0"/>
        <w:jc w:val="left"/>
      </w:pPr>
      <w:r>
        <w:rPr/>
        <w:t>⑨债务人预期表现和还款行为是否发生显著变化；</w:t>
      </w:r>
    </w:p>
    <w:p>
      <w:pPr>
        <w:pStyle w:val="BodyText"/>
        <w:spacing w:line="316" w:lineRule="auto" w:before="76"/>
        <w:ind w:left="513" w:right="6433"/>
        <w:jc w:val="left"/>
      </w:pPr>
      <w:r>
        <w:rPr/>
        <w:t>⑩本集团对金融工具信用管理方法是否发生变化。 已发生信用减值的金融资产</w:t>
      </w:r>
    </w:p>
    <w:p>
      <w:pPr>
        <w:pStyle w:val="BodyText"/>
        <w:spacing w:line="316" w:lineRule="auto" w:before="19"/>
        <w:ind w:right="0" w:firstLine="360"/>
        <w:jc w:val="left"/>
      </w:pPr>
      <w:r>
        <w:rPr>
          <w:spacing w:val="-2"/>
        </w:rPr>
        <w:t>当本集团预期对金融资产未来现金流量具有不利影响的一项或多项事件发生时，该金融资产成为已发生信用减值的金融</w:t>
      </w:r>
      <w:r>
        <w:rPr/>
        <w:t> 资产。金融资产已发生信用减值的证据包括下列可观察信息：</w:t>
      </w:r>
    </w:p>
    <w:p>
      <w:pPr>
        <w:pStyle w:val="BodyText"/>
        <w:spacing w:line="240" w:lineRule="auto" w:before="19"/>
        <w:ind w:left="513" w:right="0"/>
        <w:jc w:val="left"/>
      </w:pPr>
      <w:r>
        <w:rPr/>
        <w:t>①发行方或债务人发生重大财务困难；</w:t>
      </w:r>
    </w:p>
    <w:p>
      <w:pPr>
        <w:pStyle w:val="BodyText"/>
        <w:spacing w:line="240" w:lineRule="auto" w:before="77"/>
        <w:ind w:left="513" w:right="0"/>
        <w:jc w:val="left"/>
      </w:pPr>
      <w:r>
        <w:rPr/>
        <w:t>②债务人违反合同，如偿付利息或本金违约或逾期等；</w:t>
      </w:r>
    </w:p>
    <w:p>
      <w:pPr>
        <w:pStyle w:val="BodyText"/>
        <w:spacing w:line="240" w:lineRule="auto" w:before="76"/>
        <w:ind w:left="513" w:right="0"/>
        <w:jc w:val="left"/>
      </w:pPr>
      <w:r>
        <w:rPr/>
        <w:t>③债权人出于与债务人财务困难有关的经济或合同考虑，给予债务人在任何其他情况下都不会做出的让步；</w:t>
      </w:r>
    </w:p>
    <w:p>
      <w:pPr>
        <w:pStyle w:val="BodyText"/>
        <w:spacing w:line="240" w:lineRule="auto" w:before="76"/>
        <w:ind w:left="513" w:right="0"/>
        <w:jc w:val="left"/>
      </w:pPr>
      <w:r>
        <w:rPr/>
        <w:t>④债务人很可能破产或进行其他财务重组；</w:t>
      </w:r>
    </w:p>
    <w:p>
      <w:pPr>
        <w:pStyle w:val="BodyText"/>
        <w:spacing w:line="240" w:lineRule="auto" w:before="76"/>
        <w:ind w:left="513" w:right="0"/>
        <w:jc w:val="left"/>
      </w:pPr>
      <w:r>
        <w:rPr/>
        <w:t>⑤发行方或债务人财务困难导致该金融资产的活跃市场消失；</w:t>
      </w:r>
    </w:p>
    <w:p>
      <w:pPr>
        <w:pStyle w:val="BodyText"/>
        <w:spacing w:line="357" w:lineRule="auto" w:before="117"/>
        <w:ind w:left="513" w:right="4345" w:hanging="72"/>
        <w:jc w:val="left"/>
      </w:pPr>
      <w:r>
        <w:rPr/>
        <w:t>⑥以大幅折扣购买或源生一项金融资产，该折扣反映了发生信用损失的事实。 预期信用损失的确定</w:t>
      </w:r>
    </w:p>
    <w:p>
      <w:pPr>
        <w:pStyle w:val="BodyText"/>
        <w:spacing w:line="224" w:lineRule="exact"/>
        <w:ind w:right="0" w:firstLine="360"/>
        <w:jc w:val="left"/>
      </w:pPr>
      <w:r>
        <w:rPr/>
        <w:t>本集团对长期应收款在单项资产的基础上确定其信用损失，对应收票据、应收账款、其他应收款等在组合基础上采用减</w:t>
      </w:r>
    </w:p>
    <w:p>
      <w:pPr>
        <w:pStyle w:val="BodyText"/>
        <w:spacing w:line="316" w:lineRule="auto" w:before="76"/>
        <w:ind w:right="1130"/>
        <w:jc w:val="both"/>
      </w:pPr>
      <w:r>
        <w:rPr>
          <w:spacing w:val="-2"/>
        </w:rPr>
        <w:t>值矩阵确定相关金融工具的信用损失。本集团以共同风险特征为依据，将金融工具分为不同组别。本集团的共同信用风险特</w:t>
      </w:r>
      <w:r>
        <w:rPr>
          <w:spacing w:val="-63"/>
        </w:rPr>
        <w:t> </w:t>
      </w:r>
      <w:r>
        <w:rPr>
          <w:spacing w:val="-63"/>
        </w:rPr>
      </w:r>
      <w:r>
        <w:rPr>
          <w:spacing w:val="-2"/>
        </w:rPr>
        <w:t>征包括：金融工具类型、款项性质、初始确认日期、剩余合同期限、业务属性等。本集团基于历史信用损失经验、使用减值</w:t>
      </w:r>
      <w:r>
        <w:rPr>
          <w:spacing w:val="-73"/>
        </w:rPr>
        <w:t> </w:t>
      </w:r>
      <w:r>
        <w:rPr>
          <w:spacing w:val="-73"/>
        </w:rPr>
      </w:r>
      <w:r>
        <w:rPr>
          <w:spacing w:val="-2"/>
        </w:rPr>
        <w:t>矩阵计算应收款项的预期信用损失，相关历史经验根据资产负债表日应收对象的特定因素、以及对当前状况和未来经济状况</w:t>
      </w:r>
      <w:r>
        <w:rPr>
          <w:spacing w:val="-64"/>
        </w:rPr>
        <w:t> </w:t>
      </w:r>
      <w:r>
        <w:rPr>
          <w:spacing w:val="-64"/>
        </w:rPr>
      </w:r>
      <w:r>
        <w:rPr/>
        <w:t>预测的评估进行调整。</w:t>
      </w:r>
    </w:p>
    <w:p>
      <w:pPr>
        <w:pStyle w:val="BodyText"/>
        <w:spacing w:line="316" w:lineRule="auto" w:before="19"/>
        <w:ind w:left="513" w:right="0"/>
        <w:jc w:val="left"/>
      </w:pPr>
      <w:r>
        <w:rPr/>
        <w:t>本集团按照下列方法确定相关金融工具的预期信用损失： 对于金融资产，信用损失为本集团应收取的合同现金流量与预期收取的现金流量之间差额的现值。 </w:t>
      </w:r>
      <w:r>
        <w:rPr>
          <w:spacing w:val="-2"/>
        </w:rPr>
        <w:t>本集团计量金融工具预期信用损失的方法反映的因素包括：通过评价一系列可能的结果而确定的无偏概率加权平均金额；</w:t>
      </w:r>
    </w:p>
    <w:p>
      <w:pPr>
        <w:pStyle w:val="BodyText"/>
        <w:spacing w:line="316" w:lineRule="auto" w:before="19"/>
        <w:ind w:right="1133"/>
        <w:jc w:val="both"/>
      </w:pPr>
      <w:r>
        <w:rPr>
          <w:spacing w:val="-2"/>
        </w:rPr>
        <w:t>货币时间价值；在资产负债表日无须付出不必要的额外成本或努力即可获得的有关过去事项、当前状况以及未来经济状况预</w:t>
      </w:r>
      <w:r>
        <w:rPr>
          <w:spacing w:val="-64"/>
        </w:rPr>
        <w:t> </w:t>
      </w:r>
      <w:r>
        <w:rPr>
          <w:spacing w:val="-64"/>
        </w:rPr>
      </w:r>
      <w:r>
        <w:rPr/>
        <w:t>测的合理且有依据的信息。</w:t>
      </w:r>
    </w:p>
    <w:p>
      <w:pPr>
        <w:pStyle w:val="BodyText"/>
        <w:spacing w:line="316" w:lineRule="auto" w:before="19"/>
        <w:ind w:right="1034" w:firstLine="360"/>
        <w:jc w:val="left"/>
      </w:pPr>
      <w:r>
        <w:rPr/>
        <w:t>本集团依据信用风险特征将应收款项划分为若干组合，在组合基础上计算预期信用损失。对于划分为组合的应收款项， </w:t>
      </w:r>
      <w:r>
        <w:rPr>
          <w:spacing w:val="-2"/>
        </w:rPr>
        <w:t>本集团参考历史信用损失经验，结合当前状况以及对未来经济状况的预测，编制应收账款账期与整个存续期预期信用损失率</w:t>
      </w:r>
      <w:r>
        <w:rPr>
          <w:spacing w:val="-63"/>
        </w:rPr>
        <w:t> </w:t>
      </w:r>
      <w:r>
        <w:rPr>
          <w:spacing w:val="-63"/>
        </w:rPr>
      </w:r>
      <w:r>
        <w:rPr>
          <w:spacing w:val="-2"/>
        </w:rPr>
        <w:t>对照表，计算预期信用损失。于划分为组合的其他应收款，本集团编制其他应收款账龄与预期信用损失率对照表，计算预期</w:t>
      </w:r>
      <w:r>
        <w:rPr>
          <w:spacing w:val="-63"/>
        </w:rPr>
        <w:t> </w:t>
      </w:r>
      <w:r>
        <w:rPr>
          <w:spacing w:val="-63"/>
        </w:rPr>
      </w:r>
      <w:r>
        <w:rPr/>
        <w:t>信用损失。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1、应收票据" w:id="183"/>
      <w:bookmarkEnd w:id="183"/>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firstLine="360"/>
        <w:jc w:val="left"/>
      </w:pPr>
      <w:r>
        <w:rPr>
          <w:spacing w:val="-2"/>
        </w:rPr>
        <w:t>本集团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日起应收票据的预期信用损失的确定方法及会计处理方法详见本报告第十二节财务报告、五、重要会</w:t>
      </w:r>
      <w:r>
        <w:rPr/>
        <w:t> 计政策及会计估计、</w:t>
      </w:r>
      <w:r>
        <w:rPr>
          <w:rFonts w:ascii="Times New Roman" w:hAnsi="Times New Roman" w:cs="Times New Roman" w:eastAsia="Times New Roman" w:hint="default"/>
        </w:rPr>
        <w:t>10</w:t>
      </w:r>
      <w:r>
        <w:rPr/>
        <w:t>、金融工具。</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2、应收账款" w:id="184"/>
      <w:bookmarkEnd w:id="184"/>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2"/>
        </w:rPr>
        <w:t>本集团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日起应收账款的预期信用损失的确定方法及会计处理方法详见本报告第十二节财务报告、五、重要会</w:t>
      </w:r>
      <w:r>
        <w:rPr/>
        <w:t> 计政策及会计估计、</w:t>
      </w:r>
      <w:r>
        <w:rPr>
          <w:rFonts w:ascii="Times New Roman" w:hAnsi="Times New Roman" w:cs="Times New Roman" w:eastAsia="Times New Roman" w:hint="default"/>
        </w:rPr>
        <w:t>10</w:t>
      </w:r>
      <w:r>
        <w:rPr/>
        <w:t>、金融工具。</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3、应收款项融资" w:id="185"/>
      <w:bookmarkEnd w:id="185"/>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32" w:firstLine="288"/>
        <w:jc w:val="both"/>
      </w:pPr>
      <w:r>
        <w:rPr>
          <w:spacing w:val="-1"/>
        </w:rPr>
        <w:t>本集团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日起应收款项融资的确定方法及会计处理方法详见本报告第十二节财务报告、五、重要会计政策及会</w:t>
      </w:r>
      <w:r>
        <w:rPr/>
        <w:t> 计估计、</w:t>
      </w:r>
      <w:r>
        <w:rPr>
          <w:rFonts w:ascii="Times New Roman" w:hAnsi="Times New Roman" w:cs="Times New Roman" w:eastAsia="Times New Roman" w:hint="default"/>
        </w:rPr>
        <w:t>10</w:t>
      </w:r>
      <w:r>
        <w:rPr/>
        <w:t>、金融工具。</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4、其他应收款" w:id="186"/>
      <w:bookmarkEnd w:id="186"/>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2" w:firstLine="360"/>
        <w:jc w:val="both"/>
      </w:pPr>
      <w:r>
        <w:rPr>
          <w:spacing w:val="-2"/>
        </w:rPr>
        <w:t>本集团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日起其他应收款的预期信用损失的确定方法及会计处理方法详见本报告第十二节财务报告、五、重要</w:t>
      </w:r>
      <w:r>
        <w:rPr/>
        <w:t> 会计政策及会计估计、</w:t>
      </w:r>
      <w:r>
        <w:rPr>
          <w:rFonts w:ascii="Times New Roman" w:hAnsi="Times New Roman" w:cs="Times New Roman" w:eastAsia="Times New Roman" w:hint="default"/>
        </w:rPr>
        <w:t>10</w:t>
      </w:r>
      <w:r>
        <w:rPr/>
        <w:t>、金融工具。</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5、存货" w:id="187"/>
      <w:bookmarkEnd w:id="187"/>
      <w:r>
        <w:rPr>
          <w:b w:val="0"/>
          <w:bCs w:val="0"/>
        </w:rPr>
      </w:r>
      <w:r>
        <w:rPr>
          <w:rFonts w:ascii="Times New Roman" w:hAnsi="Times New Roman" w:cs="Times New Roman" w:eastAsia="Times New Roman" w:hint="default"/>
        </w:rPr>
        <w:t>15</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4" w:firstLine="360"/>
        <w:jc w:val="both"/>
      </w:pPr>
      <w:r>
        <w:rPr>
          <w:spacing w:val="-2"/>
        </w:rPr>
        <w:t>本集团存货主要包括库存商品、在途商品、开发成本等。开发成本是指已建成、待出售的物业；或未建成、以出售为目</w:t>
      </w:r>
      <w:r>
        <w:rPr/>
        <w:t> </w:t>
      </w:r>
      <w:r>
        <w:rPr>
          <w:spacing w:val="-2"/>
        </w:rPr>
        <w:t>的的物业；或所购入的、已决定将之发展为已完工开发产品的土地。开发成本包括土地成本、施工成本和其他成本。符合资</w:t>
      </w:r>
      <w:r>
        <w:rPr>
          <w:spacing w:val="-66"/>
        </w:rPr>
        <w:t> </w:t>
      </w:r>
      <w:r>
        <w:rPr>
          <w:spacing w:val="-66"/>
        </w:rPr>
      </w:r>
      <w:r>
        <w:rPr/>
        <w:t>本化条件的借款费用，亦计入开发成本</w:t>
      </w:r>
      <w:r>
        <w:rPr>
          <w:spacing w:val="-17"/>
        </w:rPr>
        <w:t> </w:t>
      </w:r>
      <w:r>
        <w:rPr/>
        <w:t>。</w:t>
      </w:r>
    </w:p>
    <w:p>
      <w:pPr>
        <w:pStyle w:val="BodyText"/>
        <w:spacing w:line="316" w:lineRule="auto" w:before="19"/>
        <w:ind w:left="513" w:right="1118"/>
        <w:jc w:val="left"/>
      </w:pPr>
      <w:r>
        <w:rPr/>
        <w:t>存货实行永续盘存制，存货在取得时按实际成本计价；发出存货，采用加权平均法确定其实际成本。 </w:t>
      </w:r>
      <w:r>
        <w:rPr>
          <w:spacing w:val="-5"/>
        </w:rPr>
        <w:t>于资产负债表日，存货按照成本与可变现净值孰低计量，对成本高于可变现净值的，计提存货跌价准备，计入当期损益。</w:t>
      </w:r>
    </w:p>
    <w:p>
      <w:pPr>
        <w:pStyle w:val="BodyText"/>
        <w:spacing w:line="316" w:lineRule="auto" w:before="19"/>
        <w:ind w:right="0"/>
        <w:jc w:val="left"/>
      </w:pP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 </w:t>
      </w:r>
      <w:r>
        <w:rPr>
          <w:spacing w:val="-2"/>
        </w:rPr>
        <w:t>可变现净值，是指在日常活动中，管理层根据存货最新的销售发票金额和当期市场情况估计所得。计提存货跌价准备时，按</w:t>
      </w:r>
      <w:r>
        <w:rPr>
          <w:spacing w:val="-62"/>
        </w:rPr>
        <w:t> </w:t>
      </w:r>
      <w:r>
        <w:rPr>
          <w:spacing w:val="-62"/>
        </w:rPr>
      </w:r>
      <w:r>
        <w:rPr>
          <w:spacing w:val="-2"/>
        </w:rPr>
        <w:t>存货类别计提。与在同一地区生产和销售的产品系列相关、具有相同或类似最终用途或目的，且难以与其他项目分开计量的</w:t>
      </w:r>
      <w:r>
        <w:rPr>
          <w:spacing w:val="-63"/>
        </w:rPr>
        <w:t> </w:t>
      </w:r>
      <w:r>
        <w:rPr>
          <w:spacing w:val="-63"/>
        </w:rPr>
      </w:r>
      <w:r>
        <w:rPr/>
        <w:t>存货，合并计提存货跌价准备。</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6、持有待售资产" w:id="188"/>
      <w:bookmarkEnd w:id="188"/>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130" w:firstLine="360"/>
        <w:jc w:val="both"/>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w:t>
      </w:r>
      <w:r>
        <w:rPr/>
        <w:t> 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w:t>
      </w:r>
      <w:r>
        <w:rPr>
          <w:spacing w:val="-83"/>
        </w:rPr>
        <w:t> </w:t>
      </w:r>
      <w:r>
        <w:rPr>
          <w:spacing w:val="-83"/>
        </w:rPr>
      </w:r>
      <w:r>
        <w:rPr>
          <w:spacing w:val="-2"/>
        </w:rPr>
        <w:t>售将在一年内完成。有关规定要求相关权力机构或者监管部门批准后方可出售的需要获得相关批准。本集团将非流动资产或</w:t>
      </w:r>
      <w:r>
        <w:rPr>
          <w:spacing w:val="-64"/>
        </w:rPr>
        <w:t> </w:t>
      </w:r>
      <w:r>
        <w:rPr>
          <w:spacing w:val="-64"/>
        </w:rPr>
      </w:r>
      <w:r>
        <w:rPr>
          <w:spacing w:val="-2"/>
        </w:rPr>
        <w:t>处置组首次划分为持有待售类别前，按照相关会计准则规定计量非流动资产或处置组中各项资产和负债的账面价值。初始计</w:t>
      </w:r>
      <w:r>
        <w:rPr>
          <w:spacing w:val="-64"/>
        </w:rPr>
        <w:t> </w:t>
      </w:r>
      <w:r>
        <w:rPr>
          <w:spacing w:val="-64"/>
        </w:rPr>
      </w:r>
      <w:r>
        <w:rPr>
          <w:spacing w:val="-2"/>
        </w:rPr>
        <w:t>量或在资产负债表日重新计量持有待售的非流动资产或处置组时，其账面价值高于公允价值减去出售费用后的净额的，将账</w:t>
      </w:r>
      <w:r>
        <w:rPr>
          <w:spacing w:val="-64"/>
        </w:rPr>
        <w:t> </w:t>
      </w:r>
      <w:r>
        <w:rPr>
          <w:spacing w:val="-64"/>
        </w:rPr>
      </w:r>
      <w:r>
        <w:rPr>
          <w:spacing w:val="-2"/>
        </w:rPr>
        <w:t>面价值减记至公允价值减去出售费用后的净额，减记的金额确认为资产减值损失，计入当期损益，同时计提持有待售资产减</w:t>
      </w:r>
      <w:r>
        <w:rPr>
          <w:spacing w:val="-63"/>
        </w:rPr>
        <w:t> </w:t>
      </w:r>
      <w:r>
        <w:rPr>
          <w:spacing w:val="-63"/>
        </w:rPr>
      </w:r>
      <w:r>
        <w:rPr/>
        <w:t>值准备。</w:t>
      </w:r>
    </w:p>
    <w:p>
      <w:pPr>
        <w:pStyle w:val="BodyText"/>
        <w:spacing w:line="309" w:lineRule="auto" w:before="22"/>
        <w:ind w:right="1132" w:firstLine="360"/>
        <w:jc w:val="both"/>
      </w:pPr>
      <w:r>
        <w:rPr>
          <w:spacing w:val="-3"/>
        </w:rPr>
        <w:t>（</w:t>
      </w:r>
      <w:r>
        <w:rPr>
          <w:rFonts w:ascii="Times New Roman" w:hAnsi="Times New Roman" w:cs="Times New Roman" w:eastAsia="Times New Roman" w:hint="default"/>
          <w:spacing w:val="-3"/>
        </w:rPr>
        <w:t>2</w:t>
      </w:r>
      <w:r>
        <w:rPr>
          <w:spacing w:val="-3"/>
        </w:rPr>
        <w:t>）本集团专为转售而取得的非流动资产或处置组，在取得日满足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预计出售将在一年内完成</w:t>
      </w:r>
      <w:r>
        <w:rPr>
          <w:rFonts w:ascii="Times New Roman" w:hAnsi="Times New Roman" w:cs="Times New Roman" w:eastAsia="Times New Roman" w:hint="default"/>
          <w:spacing w:val="-3"/>
        </w:rPr>
        <w:t>”</w:t>
      </w:r>
      <w:r>
        <w:rPr>
          <w:spacing w:val="-3"/>
        </w:rPr>
        <w:t>的规定条件，且短期（通</w:t>
      </w:r>
      <w:r>
        <w:rPr/>
        <w:t> 常为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w:t>
      </w:r>
      <w:r>
        <w:rPr>
          <w:spacing w:val="-83"/>
        </w:rPr>
        <w:t> </w:t>
      </w:r>
      <w:r>
        <w:rPr>
          <w:spacing w:val="-83"/>
        </w:rPr>
      </w:r>
      <w:r>
        <w:rPr>
          <w:spacing w:val="-2"/>
        </w:rPr>
        <w:t>其不划分为持有待售类别情况下的初始计量金额和公允价值减去出售费用后的净额，以两者孰低计量。除企业合并中取得的</w:t>
      </w:r>
      <w:r>
        <w:rPr>
          <w:spacing w:val="-64"/>
        </w:rPr>
        <w:t> </w:t>
      </w:r>
      <w:r>
        <w:rPr>
          <w:spacing w:val="-64"/>
        </w:rPr>
      </w: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309" w:lineRule="auto" w:before="24"/>
        <w:ind w:right="0" w:firstLine="360"/>
        <w:jc w:val="left"/>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w:t>
      </w:r>
      <w:r>
        <w:rPr>
          <w:spacing w:val="-2"/>
        </w:rPr>
        <w:t>在拟出售的对子公司投资满足持有待售类别划分条件时，在母公司个别财务报表中将对子公司投资整体划分为持有待售类别，</w:t>
      </w:r>
      <w:r>
        <w:rPr>
          <w:spacing w:val="-62"/>
        </w:rPr>
        <w:t> </w:t>
      </w:r>
      <w:r>
        <w:rPr>
          <w:spacing w:val="-62"/>
        </w:rPr>
      </w:r>
      <w:r>
        <w:rPr/>
        <w:t>在合并财务报表中将子公司所有资产和负债划分为持有待售类别。</w:t>
      </w:r>
    </w:p>
    <w:p>
      <w:pPr>
        <w:pStyle w:val="BodyText"/>
        <w:spacing w:line="309" w:lineRule="auto" w:before="24"/>
        <w:ind w:right="1132" w:firstLine="360"/>
        <w:jc w:val="both"/>
      </w:pPr>
      <w:r>
        <w:rPr>
          <w:spacing w:val="-4"/>
        </w:rPr>
        <w:t>（</w:t>
      </w:r>
      <w:r>
        <w:rPr>
          <w:rFonts w:ascii="Times New Roman" w:hAnsi="Times New Roman" w:cs="Times New Roman" w:eastAsia="Times New Roman" w:hint="default"/>
          <w:spacing w:val="-4"/>
        </w:rPr>
        <w:t>4</w:t>
      </w:r>
      <w:r>
        <w:rPr>
          <w:spacing w:val="-4"/>
        </w:rPr>
        <w:t>）后续资产负债表日持有待售的非流动资产公允价值减去出售费用后的净额增加的，以前减记的金额应当予以恢复，</w:t>
      </w:r>
      <w:r>
        <w:rPr/>
        <w:t> </w:t>
      </w: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300" w:lineRule="auto" w:before="24"/>
        <w:ind w:right="1133" w:firstLine="360"/>
        <w:jc w:val="both"/>
      </w:pPr>
      <w:r>
        <w:rPr/>
        <w:t>（</w:t>
      </w: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 价值所占比重，按比例抵减其账面价值。</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t>账面价值，以及非流动资产在划分为持有待售类别前确认的资产减值损失不得转回。</w:t>
      </w:r>
    </w:p>
    <w:p>
      <w:pPr>
        <w:pStyle w:val="BodyText"/>
        <w:spacing w:line="316" w:lineRule="auto" w:before="17"/>
        <w:ind w:right="1130" w:firstLine="360"/>
        <w:jc w:val="both"/>
      </w:pPr>
      <w:r>
        <w:rPr>
          <w:spacing w:val="-2"/>
        </w:rPr>
        <w:t>持有待售的处置组确认的资产减值损失后续转回金额，根据处置组中除商誉外，各项非流动资产账面价值所占比重，按</w:t>
      </w:r>
      <w:r>
        <w:rPr/>
        <w:t> 比例增加其账面价值。</w:t>
      </w:r>
    </w:p>
    <w:p>
      <w:pPr>
        <w:pStyle w:val="BodyText"/>
        <w:spacing w:line="300" w:lineRule="auto" w:before="19"/>
        <w:ind w:right="1133" w:firstLine="360"/>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pStyle w:val="BodyText"/>
        <w:spacing w:line="300" w:lineRule="auto" w:before="31"/>
        <w:ind w:right="1131" w:firstLine="36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 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w:t>
      </w:r>
      <w:r>
        <w:rPr>
          <w:spacing w:val="-83"/>
        </w:rPr>
        <w:t> </w:t>
      </w:r>
      <w:r>
        <w:rPr>
          <w:spacing w:val="-83"/>
        </w:rPr>
      </w:r>
      <w:r>
        <w:rPr/>
        <w:t>有待售类别情况下本应确认的折旧、摊销或减值等进行调整后的金额；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
        <w:ind w:left="513" w:right="0"/>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bookmarkStart w:name="17、长期应收款" w:id="189"/>
      <w:bookmarkEnd w:id="189"/>
      <w:r>
        <w:rPr>
          <w:b w:val="0"/>
          <w:bCs w:val="0"/>
        </w:rPr>
      </w:r>
      <w:r>
        <w:rPr>
          <w:rFonts w:ascii="Times New Roman" w:hAnsi="Times New Roman" w:cs="Times New Roman" w:eastAsia="Times New Roman" w:hint="default"/>
        </w:rPr>
        <w:t>17</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firstLine="360"/>
        <w:jc w:val="both"/>
      </w:pPr>
      <w:r>
        <w:rPr>
          <w:spacing w:val="-2"/>
        </w:rPr>
        <w:t>本集团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日起长期应收款的预期信用损失的确定方法及会计处理方法详见本报告第十二节财务报告、五、重要</w:t>
      </w:r>
      <w:r>
        <w:rPr/>
        <w:t> 会计政策及会计估计、</w:t>
      </w:r>
      <w:r>
        <w:rPr>
          <w:rFonts w:ascii="Times New Roman" w:hAnsi="Times New Roman" w:cs="Times New Roman" w:eastAsia="Times New Roman" w:hint="default"/>
        </w:rPr>
        <w:t>10</w:t>
      </w:r>
      <w:r>
        <w:rPr/>
        <w:t>、金融工具。</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8、长期股权投资" w:id="190"/>
      <w:bookmarkEnd w:id="190"/>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0"/>
        <w:jc w:val="left"/>
      </w:pPr>
      <w:r>
        <w:rPr/>
        <w:t>本集团长期股权投资主要是对子公司的投资、对联营企业的投资和对合营企业的投资。 </w:t>
      </w:r>
      <w:r>
        <w:rPr>
          <w:spacing w:val="-1"/>
        </w:rPr>
        <w:t>本集团直接或通过子公司间接拥有被投资单位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的表决权时，通常认为对被投资单位具有重大</w:t>
      </w:r>
    </w:p>
    <w:p>
      <w:pPr>
        <w:pStyle w:val="BodyText"/>
        <w:spacing w:line="309" w:lineRule="auto"/>
        <w:ind w:right="1130"/>
        <w:jc w:val="both"/>
      </w:pP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pStyle w:val="BodyText"/>
        <w:spacing w:line="312" w:lineRule="auto" w:before="24"/>
        <w:ind w:right="1128"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t>面价值为负数的，长期股权投资成本按零确定。初始投资成本与合并对价账面价值之间差额，调整资本公积</w:t>
      </w:r>
      <w:r>
        <w:rPr>
          <w:rFonts w:ascii="Times New Roman" w:hAnsi="Times New Roman" w:cs="Times New Roman" w:eastAsia="Times New Roman" w:hint="default"/>
        </w:rPr>
        <w:t>(</w:t>
      </w:r>
      <w:r>
        <w:rPr/>
        <w:t>不足冲减的，</w:t>
      </w:r>
      <w:r>
        <w:rPr>
          <w:spacing w:val="-54"/>
        </w:rPr>
        <w:t> </w:t>
      </w:r>
      <w:r>
        <w:rPr>
          <w:spacing w:val="-54"/>
        </w:rPr>
      </w:r>
      <w:r>
        <w:rPr/>
        <w:t>冲减留存收益</w:t>
      </w:r>
      <w:r>
        <w:rPr>
          <w:rFonts w:ascii="Times New Roman" w:hAnsi="Times New Roman" w:cs="Times New Roman" w:eastAsia="Times New Roman" w:hint="default"/>
        </w:rPr>
        <w:t>)</w:t>
      </w:r>
      <w:r>
        <w:rPr/>
        <w:t>。</w:t>
      </w:r>
    </w:p>
    <w:p>
      <w:pPr>
        <w:pStyle w:val="BodyText"/>
        <w:spacing w:line="316" w:lineRule="auto" w:before="3"/>
        <w:ind w:right="1129" w:firstLine="360"/>
        <w:jc w:val="both"/>
      </w:pPr>
      <w:r>
        <w:rPr>
          <w:spacing w:val="-2"/>
        </w:rPr>
        <w:t>通过非同一控制下的企业合并取得的长期股权投资，以合并成本作为初始投资成本（通过多次交易分步取得非同一控制</w:t>
      </w:r>
      <w:r>
        <w:rPr/>
        <w:t> </w:t>
      </w:r>
      <w:r>
        <w:rPr>
          <w:spacing w:val="-5"/>
        </w:rPr>
        <w:t>下被投资单位的股权，最终形成企业合并，属于一揽子交易的，本集团将各项交易作为一项取得控制权的交易进行会计处理。</w:t>
      </w:r>
      <w:r>
        <w:rPr>
          <w:spacing w:val="-78"/>
        </w:rPr>
        <w:t> </w:t>
      </w:r>
      <w:r>
        <w:rPr>
          <w:spacing w:val="-78"/>
        </w:rPr>
      </w:r>
      <w:r>
        <w:rPr>
          <w:spacing w:val="-2"/>
        </w:rPr>
        <w:t>不属于一览交易的，按照原持有的股权投资账面价值加上新增投资成本之和，作为改按成本法核算的初始投资成本。购买日</w:t>
      </w:r>
      <w:r>
        <w:rPr>
          <w:spacing w:val="-62"/>
        </w:rPr>
        <w:t> </w:t>
      </w:r>
      <w:r>
        <w:rPr>
          <w:spacing w:val="-62"/>
        </w:rPr>
      </w:r>
      <w:r>
        <w:rPr>
          <w:spacing w:val="-2"/>
        </w:rPr>
        <w:t>之前持有股权采用权益法核算的，原权益法核算的相关其他综合收益暂不做调整，在处置该项投资时采用与被投资单位直接</w:t>
      </w:r>
      <w:r>
        <w:rPr>
          <w:spacing w:val="-64"/>
        </w:rPr>
        <w:t> </w:t>
      </w:r>
      <w:r>
        <w:rPr>
          <w:spacing w:val="-64"/>
        </w:rPr>
      </w:r>
      <w:r>
        <w:rPr>
          <w:spacing w:val="-2"/>
        </w:rPr>
        <w:t>处置相关资产或负债相同的基础进行会计处理。购买日之前持有的股权在可供出售金融资产中采用公允价值核算的，原计入</w:t>
      </w:r>
      <w:r>
        <w:rPr>
          <w:spacing w:val="-64"/>
        </w:rPr>
        <w:t> </w:t>
      </w:r>
      <w:r>
        <w:rPr>
          <w:spacing w:val="-64"/>
        </w:rPr>
      </w:r>
      <w:r>
        <w:rPr/>
        <w:t>其他综合收益的累计公允价值变动在购买日转入当期投资收益。</w:t>
      </w:r>
    </w:p>
    <w:p>
      <w:pPr>
        <w:pStyle w:val="BodyText"/>
        <w:spacing w:line="312" w:lineRule="auto" w:before="19"/>
        <w:ind w:right="1043" w:firstLine="360"/>
        <w:jc w:val="both"/>
      </w:pPr>
      <w:r>
        <w:rPr>
          <w:spacing w:val="-2"/>
        </w:rPr>
        <w:t>除企业合并形成的长期股权投资以外方式取得的长期股权投资，按照下列方法确定初始投资成本：支付现金取得的，以</w:t>
      </w:r>
      <w:r>
        <w:rPr/>
        <w:t> </w:t>
      </w:r>
      <w:r>
        <w:rPr>
          <w:spacing w:val="-2"/>
        </w:rPr>
        <w:t>实际支付的购买价款及与取得长期股权投资直接相关的费用、税金及其他必要支出作为初始投资成本；发行权益性证券取得</w:t>
      </w:r>
      <w:r>
        <w:rPr>
          <w:spacing w:val="-63"/>
        </w:rPr>
        <w:t> </w:t>
      </w:r>
      <w:r>
        <w:rPr>
          <w:spacing w:val="-63"/>
        </w:rPr>
      </w:r>
      <w:r>
        <w:rPr/>
        <w:t>的，以发行权益性证券的公允价值作为初始投资成本；通过非货币性资产交换取得的，按照《企业会计准则第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w:t>
      </w:r>
      <w:r>
        <w:rPr>
          <w:spacing w:val="-82"/>
        </w:rPr>
        <w:t> </w:t>
      </w:r>
      <w:r>
        <w:rPr/>
        <w:t>币性资产交换》确定初始投资成本；通过债务重组取得的，按照《企业会计准则第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债务重组》确定初始投资成本。</w:t>
      </w:r>
    </w:p>
    <w:p>
      <w:pPr>
        <w:pStyle w:val="BodyText"/>
        <w:spacing w:line="316" w:lineRule="auto" w:before="3"/>
        <w:ind w:left="513" w:right="0"/>
        <w:jc w:val="left"/>
      </w:pPr>
      <w:r>
        <w:rPr/>
        <w:t>本集团对子公司投资采用成本法核算，对合营企业及联营企业投资采用权益法核算。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316" w:lineRule="auto" w:before="19"/>
        <w:ind w:left="513" w:right="0" w:hanging="361"/>
        <w:jc w:val="left"/>
      </w:pPr>
      <w:r>
        <w:rPr/>
        <w:t>增加长期股权投资成本的账面价值。被投资单位宣告分派的现金股利或利润，按照应享有的金额确认为当期投资收益。 </w:t>
      </w:r>
      <w:r>
        <w:rPr>
          <w:spacing w:val="-2"/>
        </w:rPr>
        <w:t>后续计量采用权益法核算的长期股权投资，随着被投资单位所有者权益的变动相应调整增加或减少长期股权投资的账面</w:t>
      </w:r>
    </w:p>
    <w:p>
      <w:pPr>
        <w:pStyle w:val="BodyText"/>
        <w:spacing w:line="316" w:lineRule="auto" w:before="19"/>
        <w:ind w:right="1130"/>
        <w:jc w:val="both"/>
      </w:pPr>
      <w:r>
        <w:rPr>
          <w:spacing w:val="-2"/>
        </w:rPr>
        <w:t>价值。其中在确认应享有被投资单位净损益的份额时，以取得投资时被投资单位各项可辨认资产等的公允价值为基础，按照</w:t>
      </w:r>
      <w:r>
        <w:rPr>
          <w:spacing w:val="-63"/>
        </w:rPr>
        <w:t> </w:t>
      </w:r>
      <w:r>
        <w:rPr>
          <w:spacing w:val="-63"/>
        </w:rPr>
      </w:r>
      <w:r>
        <w:rPr>
          <w:spacing w:val="-2"/>
        </w:rPr>
        <w:t>本集团的会计政策及会计期间，并抵销与联营企业及合营企业之间发生的内部交易损益按照持股比例计算归属于投资企业的</w:t>
      </w:r>
      <w:r>
        <w:rPr>
          <w:spacing w:val="-64"/>
        </w:rPr>
        <w:t> </w:t>
      </w:r>
      <w:r>
        <w:rPr>
          <w:spacing w:val="-64"/>
        </w:rPr>
      </w:r>
      <w:r>
        <w:rPr/>
        <w:t>部分，对被投资单位的净利润进行调整后确认。</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9" w:firstLine="360"/>
        <w:jc w:val="both"/>
      </w:pPr>
      <w:r>
        <w:rPr>
          <w:spacing w:val="-2"/>
        </w:rPr>
        <w:t>处置长期股权投资，其账面价值与实际取得价款的差额，计入当期损益。采用权益法核算的长期股权投资，终止采用权</w:t>
      </w:r>
      <w:r>
        <w:rPr/>
        <w:t> </w:t>
      </w:r>
      <w:r>
        <w:rPr>
          <w:spacing w:val="-2"/>
        </w:rPr>
        <w:t>益法的，原权益法核算的相关其他综合收益采用与被投资单位直接处置相关资产或负债相同的基础进行会计处理，因被投资</w:t>
      </w:r>
      <w:r>
        <w:rPr>
          <w:spacing w:val="-64"/>
        </w:rPr>
        <w:t> </w:t>
      </w:r>
      <w:r>
        <w:rPr>
          <w:spacing w:val="-64"/>
        </w:rPr>
      </w:r>
      <w:r>
        <w:rPr>
          <w:spacing w:val="-2"/>
        </w:rPr>
        <w:t>方除净损益、其他综合收益和利润分配以外的其他所有者权益变动而确认的所有者权益，全部转入当期损益；仍采用权益法</w:t>
      </w:r>
      <w:r>
        <w:rPr>
          <w:spacing w:val="-63"/>
        </w:rPr>
        <w:t> </w:t>
      </w:r>
      <w:r>
        <w:rPr>
          <w:spacing w:val="-63"/>
        </w:rPr>
      </w:r>
      <w:r>
        <w:rPr>
          <w:spacing w:val="-2"/>
        </w:rPr>
        <w:t>的，原权益法核算的相关其他综合收益采用与被投资单位直接处置相关资产或负债相同的基础进行会计处理并按比例转入当</w:t>
      </w:r>
      <w:r>
        <w:rPr>
          <w:spacing w:val="-64"/>
        </w:rPr>
        <w:t> </w:t>
      </w:r>
      <w:r>
        <w:rPr>
          <w:spacing w:val="-64"/>
        </w:rPr>
      </w:r>
      <w:r>
        <w:rPr>
          <w:spacing w:val="-2"/>
        </w:rPr>
        <w:t>期损益，因被投资方除净损益、其他综合收益和利润分配以外的其他所有者权益变动而确认的所有者权益，按相应的比例转</w:t>
      </w:r>
      <w:r>
        <w:rPr>
          <w:spacing w:val="-62"/>
        </w:rPr>
        <w:t> </w:t>
      </w:r>
      <w:r>
        <w:rPr>
          <w:spacing w:val="-62"/>
        </w:rPr>
      </w:r>
      <w:r>
        <w:rPr/>
        <w:t>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9、投资性房地产" w:id="191"/>
      <w:bookmarkEnd w:id="191"/>
      <w:r>
        <w:rPr>
          <w:b w:val="0"/>
          <w:bCs w:val="0"/>
        </w:rPr>
      </w:r>
      <w:r>
        <w:rPr>
          <w:rFonts w:ascii="Times New Roman" w:hAnsi="Times New Roman" w:cs="Times New Roman" w:eastAsia="Times New Roman" w:hint="default"/>
        </w:rPr>
        <w:t>19</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left="513" w:right="0"/>
        <w:jc w:val="left"/>
      </w:pPr>
      <w:r>
        <w:rPr/>
        <w:t>本集团投资性房地产为房屋建筑物。 </w:t>
      </w:r>
      <w:r>
        <w:rPr>
          <w:spacing w:val="-2"/>
        </w:rPr>
        <w:t>本集团投资性房地产按其成本作为入账价值，外购投资性房地产的成本包括购买价款、相关税费和可直接归属于该资产</w:t>
      </w:r>
    </w:p>
    <w:p>
      <w:pPr>
        <w:pStyle w:val="BodyText"/>
        <w:spacing w:line="316" w:lineRule="auto" w:before="19"/>
        <w:ind w:left="513" w:right="0" w:hanging="361"/>
        <w:jc w:val="left"/>
      </w:pPr>
      <w:r>
        <w:rPr/>
        <w:t>的其他支出；自行建造投资性房地产的成本，由建造该项资产达到预定可使用状态前所发生的必要支出构成。 本集团对投资性房地产采用成本模式进行后续计量，并按照与房屋建筑物一致的政策进行折旧或摊销。 </w:t>
      </w:r>
      <w:r>
        <w:rPr>
          <w:spacing w:val="-2"/>
        </w:rPr>
        <w:t>当投资性房地产的用途改变为自用时，则自改变之日起，将该投资性房地产转换为固定资产或无形资产。自用房地产的</w:t>
      </w:r>
    </w:p>
    <w:p>
      <w:pPr>
        <w:pStyle w:val="BodyText"/>
        <w:spacing w:line="316" w:lineRule="auto" w:before="19"/>
        <w:ind w:right="0"/>
        <w:jc w:val="left"/>
      </w:pPr>
      <w:r>
        <w:rPr>
          <w:spacing w:val="-2"/>
        </w:rPr>
        <w:t>用途改变为赚取租金或资本增值时，则自改变之日起，将固定资产或无形资产转换为投资性房地产。发生转换时，以转换前</w:t>
      </w:r>
      <w:r>
        <w:rPr>
          <w:spacing w:val="-66"/>
        </w:rPr>
        <w:t> </w:t>
      </w:r>
      <w:r>
        <w:rPr>
          <w:spacing w:val="-66"/>
        </w:rPr>
      </w:r>
      <w:r>
        <w:rPr/>
        <w:t>的账面价值作为转换后的入账价值。</w:t>
      </w:r>
    </w:p>
    <w:p>
      <w:pPr>
        <w:pStyle w:val="BodyText"/>
        <w:spacing w:line="316" w:lineRule="auto" w:before="19"/>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pStyle w:val="BodyText"/>
        <w:spacing w:line="240" w:lineRule="auto" w:before="19"/>
        <w:ind w:left="513" w:right="0"/>
        <w:jc w:val="left"/>
      </w:pPr>
      <w:r>
        <w:rPr/>
        <w:t>本集团投资性房地产采用平均年限方法计提折旧或摊销。投资性房地产的预计使用寿命、净残值率及年折旧率如下：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224"/>
        <w:gridCol w:w="2473"/>
        <w:gridCol w:w="1882"/>
        <w:gridCol w:w="2177"/>
        <w:gridCol w:w="1903"/>
      </w:tblGrid>
      <w:tr>
        <w:trPr>
          <w:trHeight w:val="348" w:hRule="exact"/>
        </w:trPr>
        <w:tc>
          <w:tcPr>
            <w:tcW w:w="12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47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p>
        </w:tc>
        <w:tc>
          <w:tcPr>
            <w:tcW w:w="19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53" w:hRule="exact"/>
        </w:trPr>
        <w:tc>
          <w:tcPr>
            <w:tcW w:w="12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w:t>
            </w:r>
          </w:p>
        </w:tc>
        <w:tc>
          <w:tcPr>
            <w:tcW w:w="24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8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p>
        </w:tc>
        <w:tc>
          <w:tcPr>
            <w:tcW w:w="21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0-10</w:t>
            </w:r>
          </w:p>
        </w:tc>
        <w:tc>
          <w:tcPr>
            <w:tcW w:w="19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1.80-5.00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0、固定资产" w:id="192"/>
      <w:bookmarkEnd w:id="192"/>
      <w:r>
        <w:rPr>
          <w:b w:val="0"/>
          <w:bCs w:val="0"/>
        </w:rPr>
      </w:r>
      <w:r>
        <w:rPr>
          <w:rFonts w:ascii="Times New Roman" w:hAnsi="Times New Roman" w:cs="Times New Roman" w:eastAsia="Times New Roman" w:hint="default"/>
        </w:rPr>
        <w:t>20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7" w:firstLine="360"/>
        <w:jc w:val="left"/>
      </w:pPr>
      <w:r>
        <w:rPr>
          <w:spacing w:val="-2"/>
        </w:rPr>
        <w:t>本集团固定资产是指同时具有以下特征，即为生产商品、提供劳务、出租或经营管理而持有的，使用年限超过一年，单</w:t>
      </w:r>
      <w:r>
        <w:rPr/>
        <w:t> 位价值超过</w:t>
      </w:r>
      <w:r>
        <w:rPr>
          <w:spacing w:val="-4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元的有形资产。</w:t>
      </w:r>
    </w:p>
    <w:p>
      <w:pPr>
        <w:pStyle w:val="BodyText"/>
        <w:spacing w:line="316" w:lineRule="auto" w:before="40"/>
        <w:ind w:right="1034" w:firstLine="360"/>
        <w:jc w:val="left"/>
      </w:pPr>
      <w:r>
        <w:rPr/>
        <w:t>固定资产在与其有关的经济利益很可能流入本集团、且其成本能够可靠计量时予以确认。与固定资产有关的后续支出， </w:t>
      </w:r>
      <w:r>
        <w:rPr>
          <w:spacing w:val="-2"/>
        </w:rPr>
        <w:t>符合该确认条件的，计入固定资产成本，并终止确认被替换部分的账面价值；否则，在发生时计入当期损益。本集团固定资</w:t>
      </w:r>
      <w:r>
        <w:rPr>
          <w:spacing w:val="-67"/>
        </w:rPr>
        <w:t> </w:t>
      </w:r>
      <w:r>
        <w:rPr>
          <w:spacing w:val="-67"/>
        </w:rPr>
      </w:r>
      <w:r>
        <w:rPr/>
        <w:t>产包括房屋及土地使用权、办公设备、运输设备等。</w:t>
      </w:r>
    </w:p>
    <w:p>
      <w:pPr>
        <w:pStyle w:val="BodyText"/>
        <w:spacing w:line="316" w:lineRule="auto" w:before="60"/>
        <w:ind w:right="0" w:firstLine="360"/>
        <w:jc w:val="left"/>
      </w:pPr>
      <w:r>
        <w:rPr>
          <w:spacing w:val="-2"/>
        </w:rPr>
        <w:t>固定资产按照成本进行初始计量。购置固定资产的成本包括购买价款，相关税费，以及为使固定资产达到预定可使用状</w:t>
      </w:r>
      <w:r>
        <w:rPr/>
        <w:t> 态前所发生的可直接归属于该资产的其他支出。</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1.80-5.00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9.00-33.33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9.00-20.00</w:t>
            </w:r>
          </w:p>
        </w:tc>
      </w:tr>
    </w:tbl>
    <w:p>
      <w:pPr>
        <w:pStyle w:val="BodyText"/>
        <w:spacing w:line="316" w:lineRule="auto" w:before="8"/>
        <w:ind w:right="1130" w:firstLine="360"/>
        <w:jc w:val="both"/>
      </w:pPr>
      <w:r>
        <w:rPr>
          <w:spacing w:val="-2"/>
        </w:rPr>
        <w:t>除已提足折旧仍继续使用的固定资产外，本集团对所有固定资产计提折旧。计提折旧时采用平均年限法。本集团于每年</w:t>
      </w:r>
      <w:r>
        <w:rPr/>
        <w:t> </w:t>
      </w:r>
      <w:r>
        <w:rPr>
          <w:spacing w:val="-2"/>
        </w:rPr>
        <w:t>年度终了，对固定资产的预计使用寿命、预计净残值和折旧方法进行复核，如发生改变，则作为会计估计变更处理。当固定</w:t>
      </w:r>
      <w:r>
        <w:rPr>
          <w:spacing w:val="-67"/>
        </w:rPr>
        <w:t> </w:t>
      </w:r>
      <w:r>
        <w:rPr>
          <w:spacing w:val="-67"/>
        </w:rPr>
      </w:r>
      <w:r>
        <w:rPr>
          <w:spacing w:val="-2"/>
        </w:rPr>
        <w:t>资产被处置、或者预期通过使用或处置不能产生经济利益时，终止确认该固定资产。固定资产出售、转让、报废或毁损的处</w:t>
      </w:r>
      <w:r>
        <w:rPr>
          <w:spacing w:val="-67"/>
        </w:rPr>
        <w:t> </w:t>
      </w:r>
      <w:r>
        <w:rPr>
          <w:spacing w:val="-67"/>
        </w:rPr>
      </w:r>
      <w:r>
        <w:rPr/>
        <w:t>置收入扣除其账面价值和相关税费后的金额计入当期损益。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21" w:firstLine="370"/>
        <w:jc w:val="both"/>
      </w:pPr>
      <w:r>
        <w:rPr/>
        <w:t>融资租入固定资产以租赁资产的公允价值与最低租赁付款额的现值两者中的较低者作为租入资产的入账价值。租入资 产的入账价值与最低租赁付款额之间的差额作为未确认融资费用。</w:t>
      </w:r>
    </w:p>
    <w:p>
      <w:pPr>
        <w:pStyle w:val="BodyText"/>
        <w:spacing w:line="319" w:lineRule="auto" w:before="57"/>
        <w:ind w:right="1127" w:firstLine="370"/>
        <w:jc w:val="left"/>
      </w:pPr>
      <w:r>
        <w:rPr/>
        <w:t>融资租入的固定资产采用与自有固定资产相一致的折旧政策。能够合理确定租赁期届满时将取得租入资产所有权的， </w:t>
      </w:r>
      <w:r>
        <w:rPr>
          <w:spacing w:val="-2"/>
        </w:rPr>
        <w:t>租入固定资产在其预计使用寿命内计提折旧；否则，租入固定资产在租赁期与该资产预计使用寿命两者中较短的期间内计提</w:t>
      </w:r>
      <w:r>
        <w:rPr>
          <w:spacing w:val="-64"/>
        </w:rPr>
        <w:t> </w:t>
      </w:r>
      <w:r>
        <w:rPr>
          <w:spacing w:val="-64"/>
        </w:rPr>
      </w:r>
      <w:r>
        <w:rPr/>
        <w:t>折旧。</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1、在建工程" w:id="196"/>
      <w:bookmarkEnd w:id="196"/>
      <w:r>
        <w:rPr>
          <w:b w:val="0"/>
          <w:bCs w:val="0"/>
        </w:rPr>
      </w:r>
      <w:r>
        <w:rPr>
          <w:rFonts w:ascii="Times New Roman" w:hAnsi="Times New Roman" w:cs="Times New Roman" w:eastAsia="Times New Roman" w:hint="default"/>
        </w:rPr>
        <w:t>21</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在建工程包括在建期间发生的各项工程支出、工程达到预定可使用状态前的资本化的借款费用以及其他相关费用等。在</w:t>
      </w:r>
      <w:r>
        <w:rPr/>
        <w:t> </w:t>
      </w:r>
      <w:r>
        <w:rPr>
          <w:spacing w:val="-2"/>
        </w:rPr>
        <w:t>建工程在达到预定可使用状态之日起，根据工程预算、造价或工程实际成本等，按估计的价值结转固定资产，次月起开始计</w:t>
      </w:r>
      <w:r>
        <w:rPr>
          <w:spacing w:val="-64"/>
        </w:rPr>
        <w:t> </w:t>
      </w:r>
      <w:r>
        <w:rPr>
          <w:spacing w:val="-64"/>
        </w:rPr>
      </w:r>
      <w:r>
        <w:rPr/>
        <w:t>提折旧，待办理了竣工决算手续后再对固定资产原值差异进行调整。</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2、借款费用" w:id="197"/>
      <w:bookmarkEnd w:id="197"/>
      <w:r>
        <w:rPr>
          <w:b w:val="0"/>
          <w:bCs w:val="0"/>
        </w:rPr>
      </w:r>
      <w:r>
        <w:rPr>
          <w:rFonts w:ascii="Times New Roman" w:hAnsi="Times New Roman" w:cs="Times New Roman" w:eastAsia="Times New Roman" w:hint="default"/>
        </w:rPr>
        <w:t>22</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1" w:firstLine="360"/>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年以上的购建或者生产活动才能达到预定可使用或者可销售状态的固定资产和存货等的 </w:t>
      </w:r>
      <w:r>
        <w:rPr>
          <w:spacing w:val="-2"/>
        </w:rPr>
        <w:t>借款费用，在资产支出已经发生、借款费用已经发生、为使资产达到预定可使用或可销售状态所必要的购建或生产活动已经</w:t>
      </w:r>
      <w:r>
        <w:rPr>
          <w:spacing w:val="-66"/>
        </w:rPr>
        <w:t> </w:t>
      </w:r>
      <w:r>
        <w:rPr>
          <w:spacing w:val="-66"/>
        </w:rPr>
      </w:r>
      <w:r>
        <w:rPr>
          <w:spacing w:val="-2"/>
        </w:rPr>
        <w:t>开始时，开始资本化；当购建或生产符合资本化条件的资产达到预定可使用或可销售状态时，停止资本化，其后发生的借款</w:t>
      </w:r>
      <w:r>
        <w:rPr>
          <w:spacing w:val="-66"/>
        </w:rPr>
        <w:t> </w:t>
      </w:r>
      <w:r>
        <w:rPr>
          <w:spacing w:val="-66"/>
        </w:rPr>
      </w:r>
      <w:r>
        <w:rPr/>
        <w:t>费用计入当期损益。如果符合资本化条件的资产在购建或者生产过程中发生非正常中断、且中断时间连续超过</w:t>
      </w:r>
      <w:r>
        <w:rPr>
          <w:rFonts w:ascii="Times New Roman" w:hAnsi="Times New Roman" w:cs="Times New Roman" w:eastAsia="Times New Roman" w:hint="default"/>
        </w:rPr>
        <w:t>3</w:t>
      </w:r>
      <w:r>
        <w:rPr/>
        <w:t>个月，暂停</w:t>
      </w:r>
      <w:r>
        <w:rPr>
          <w:spacing w:val="-82"/>
        </w:rPr>
        <w:t> </w:t>
      </w:r>
      <w:r>
        <w:rPr/>
        <w:t>借款费用的资本化，直至资产的购建或生产活动重新开始。</w:t>
      </w:r>
    </w:p>
    <w:p>
      <w:pPr>
        <w:pStyle w:val="BodyText"/>
        <w:spacing w:line="316" w:lineRule="auto" w:before="24"/>
        <w:ind w:right="1132" w:firstLine="288"/>
        <w:jc w:val="both"/>
      </w:pPr>
      <w:r>
        <w:rPr>
          <w:spacing w:val="-1"/>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3、无形资产" w:id="198"/>
      <w:bookmarkEnd w:id="198"/>
      <w:r>
        <w:rPr>
          <w:b w:val="0"/>
          <w:bCs w:val="0"/>
        </w:rPr>
      </w: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4"/>
        </w:rPr>
        <w:t>本集团无形资产包括土地使用权、软件技术、非同一控制下合并中取得被购买方拥有的但在其财务报表中未确认的商标、</w:t>
      </w:r>
      <w:r>
        <w:rPr/>
        <w:t> </w:t>
      </w:r>
      <w:r>
        <w:rPr>
          <w:spacing w:val="-2"/>
        </w:rPr>
        <w:t>软件著作权、专利、域名及非专利技术等，按取得时的实际成本计量，其中，购入的无形资产，按实际支付的价款和相关的</w:t>
      </w:r>
      <w:r>
        <w:rPr>
          <w:spacing w:val="-68"/>
        </w:rPr>
        <w:t> </w:t>
      </w:r>
      <w:r>
        <w:rPr>
          <w:spacing w:val="-68"/>
        </w:rPr>
      </w:r>
      <w:r>
        <w:rPr>
          <w:spacing w:val="-2"/>
        </w:rPr>
        <w:t>其他支出作为实际成本；投资者投入的无形资产，按投资合同或协议约定的价值确定实际成本，但合同或协议约定价值不公</w:t>
      </w:r>
      <w:r>
        <w:rPr>
          <w:spacing w:val="-63"/>
        </w:rPr>
        <w:t> </w:t>
      </w:r>
      <w:r>
        <w:rPr>
          <w:spacing w:val="-63"/>
        </w:rPr>
      </w:r>
      <w:r>
        <w:rPr>
          <w:spacing w:val="-5"/>
        </w:rPr>
        <w:t>允的，按公允价值确定实际成本；对非同一控制下合并中取得被购买方拥有的但在其财务报表中未确认的商标、软件著作权、</w:t>
      </w:r>
      <w:r>
        <w:rPr>
          <w:spacing w:val="-76"/>
        </w:rPr>
        <w:t> </w:t>
      </w:r>
      <w:r>
        <w:rPr>
          <w:spacing w:val="-76"/>
        </w:rPr>
      </w:r>
      <w:r>
        <w:rPr/>
        <w:t>专利、域名等无形资产，在对被购买方资产进行初始确认时，按公允价值确认为无形资产。</w:t>
      </w:r>
    </w:p>
    <w:p>
      <w:pPr>
        <w:pStyle w:val="BodyText"/>
        <w:spacing w:line="316" w:lineRule="auto" w:before="19"/>
        <w:ind w:right="1133" w:firstLine="360"/>
        <w:jc w:val="both"/>
      </w:pPr>
      <w:r>
        <w:rPr>
          <w:spacing w:val="-2"/>
        </w:rPr>
        <w:t>土地使用权从出让起始日起，按其出让年限平均摊销；软件技术、商标使用权等无形资产按预计使用年限、合同规定的</w:t>
      </w:r>
      <w:r>
        <w:rPr/>
        <w:t> </w:t>
      </w:r>
      <w:r>
        <w:rPr>
          <w:spacing w:val="-2"/>
        </w:rPr>
        <w:t>受益年限和法律规定的有效年限三者中最短者分期平均摊销。对使用寿命有限的无形资产的预计使用寿命及摊销方法于每年</w:t>
      </w:r>
      <w:r>
        <w:rPr>
          <w:spacing w:val="-64"/>
        </w:rPr>
        <w:t> </w:t>
      </w:r>
      <w:r>
        <w:rPr>
          <w:spacing w:val="-64"/>
        </w:rPr>
      </w:r>
      <w:r>
        <w:rPr/>
        <w:t>年度终了进行复核，如发生改变，则作为会计估计变更处理。</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本集团内部研究开发项目支出根据其性质以及研发活动最终形成无形资产是否具有较大不确定性，分为研究阶段支出和</w:t>
      </w:r>
      <w:r>
        <w:rPr/>
        <w:t> 开发阶段支出。</w:t>
      </w:r>
    </w:p>
    <w:p>
      <w:pPr>
        <w:pStyle w:val="BodyText"/>
        <w:spacing w:line="316" w:lineRule="auto" w:before="19"/>
        <w:ind w:right="1134" w:firstLine="360"/>
        <w:jc w:val="both"/>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19"/>
        <w:ind w:left="513" w:right="0"/>
        <w:jc w:val="left"/>
      </w:pP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0"/>
        <w:jc w:val="left"/>
      </w:pPr>
      <w:r>
        <w:rPr>
          <w:rFonts w:ascii="宋体" w:hAnsi="宋体" w:cs="宋体" w:eastAsia="宋体" w:hint="default"/>
        </w:rPr>
        <w:t>2</w:t>
      </w:r>
      <w:r>
        <w:rPr/>
        <w:t>）具有完成该无形资产并使用或出售的意图；</w:t>
      </w:r>
    </w:p>
    <w:p>
      <w:pPr>
        <w:pStyle w:val="BodyText"/>
        <w:spacing w:line="240" w:lineRule="auto" w:before="76"/>
        <w:ind w:left="513" w:right="0"/>
        <w:jc w:val="left"/>
      </w:pPr>
      <w:r>
        <w:rPr>
          <w:rFonts w:ascii="宋体" w:hAnsi="宋体" w:cs="宋体" w:eastAsia="宋体" w:hint="default"/>
        </w:rPr>
        <w:t>3</w:t>
      </w:r>
      <w:r>
        <w:rPr/>
        <w:t>）运用该无形资产生产的产品存在市场或无形资产自身存在市场；</w:t>
      </w:r>
    </w:p>
    <w:p>
      <w:pPr>
        <w:pStyle w:val="BodyText"/>
        <w:spacing w:line="240" w:lineRule="auto" w:before="76"/>
        <w:ind w:left="513" w:right="0"/>
        <w:jc w:val="left"/>
      </w:pP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513" w:right="0"/>
        <w:jc w:val="left"/>
      </w:pPr>
      <w:r>
        <w:rPr>
          <w:rFonts w:ascii="宋体" w:hAnsi="宋体" w:cs="宋体" w:eastAsia="宋体"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19"/>
        <w:ind w:right="0"/>
        <w:jc w:val="left"/>
      </w:pPr>
      <w:r>
        <w:rPr/>
        <w:t>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4、长期资产减值" w:id="201"/>
      <w:bookmarkEnd w:id="201"/>
      <w:r>
        <w:rPr>
          <w:b w:val="0"/>
          <w:bCs w:val="0"/>
        </w:rPr>
      </w:r>
      <w:r>
        <w:rPr>
          <w:rFonts w:ascii="Times New Roman" w:hAnsi="Times New Roman" w:cs="Times New Roman" w:eastAsia="Times New Roman" w:hint="default"/>
        </w:rPr>
        <w:t>24</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本集团于每一资产负债表日对长期股权投资、采用成本模式计量的投资性房地产、固定资产、在建工程、使用寿命有限</w:t>
      </w:r>
      <w:r>
        <w:rPr/>
        <w:t> 的无形资产等项目进行检查，当存在减值迹象时，本集团将估计其可收回金额，进行减值测试。</w:t>
      </w:r>
    </w:p>
    <w:p>
      <w:pPr>
        <w:pStyle w:val="BodyText"/>
        <w:spacing w:line="316" w:lineRule="auto" w:before="19"/>
        <w:ind w:right="1132"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right="1043" w:firstLine="360"/>
        <w:jc w:val="both"/>
      </w:pPr>
      <w:r>
        <w:rPr>
          <w:spacing w:val="-4"/>
        </w:rPr>
        <w:t>当资产或者资产组的可收回金额低于其账面价值时，本集团将其账面价值减记至可收回金额，减记的金额计入当期损益，</w:t>
      </w:r>
      <w:r>
        <w:rPr/>
        <w:t> 同时计提相应的资产减值准备。</w:t>
      </w:r>
    </w:p>
    <w:p>
      <w:pPr>
        <w:pStyle w:val="BodyText"/>
        <w:spacing w:line="319" w:lineRule="auto" w:before="19"/>
        <w:ind w:right="1132" w:firstLine="360"/>
        <w:jc w:val="both"/>
      </w:pPr>
      <w:r>
        <w:rPr>
          <w:spacing w:val="-2"/>
        </w:rPr>
        <w:t>商誉至少在每年年度终了进行减值测试。对商誉进行减值测试时，结合与其相关的资产组或者资产组组合进行。即，自</w:t>
      </w:r>
      <w:r>
        <w:rPr/>
        <w:t> </w:t>
      </w:r>
      <w:r>
        <w:rPr>
          <w:spacing w:val="-2"/>
        </w:rPr>
        <w:t>购买日起将商誉的账面价值按照合理的方法分摊到能够从企业合并的协同效应中受益的资产组或资产组组合，如包含分摊的</w:t>
      </w:r>
      <w:r>
        <w:rPr>
          <w:spacing w:val="-64"/>
        </w:rPr>
        <w:t> </w:t>
      </w:r>
      <w:r>
        <w:rPr>
          <w:spacing w:val="-64"/>
        </w:rPr>
      </w:r>
      <w:r>
        <w:rPr>
          <w:spacing w:val="-2"/>
        </w:rPr>
        <w:t>商誉的资产组或资产组组合的可收回金额低于其账面价值的，确认相应的减值损失。减值损失金额首先抵减分摊到该资产组</w:t>
      </w:r>
      <w:r>
        <w:rPr>
          <w:spacing w:val="-64"/>
        </w:rPr>
        <w:t> </w:t>
      </w:r>
      <w:r>
        <w:rPr>
          <w:spacing w:val="-64"/>
        </w:rPr>
      </w:r>
      <w:r>
        <w:rPr>
          <w:spacing w:val="-2"/>
        </w:rPr>
        <w:t>或资产组组合的商誉的账面价值，再根据资产组或资产组组合中除商誉以外的其他各项资产的账面价值所占比重，按比例抵</w:t>
      </w:r>
      <w:r>
        <w:rPr>
          <w:spacing w:val="-64"/>
        </w:rPr>
        <w:t> </w:t>
      </w:r>
      <w:r>
        <w:rPr>
          <w:spacing w:val="-64"/>
        </w:rPr>
      </w:r>
      <w:r>
        <w:rPr/>
        <w:t>减其他各项资产的账面价值。</w:t>
      </w:r>
    </w:p>
    <w:p>
      <w:pPr>
        <w:pStyle w:val="BodyText"/>
        <w:spacing w:line="240" w:lineRule="auto" w:before="17"/>
        <w:ind w:left="441"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5、长期待摊费用" w:id="202"/>
      <w:bookmarkEnd w:id="202"/>
      <w:r>
        <w:rPr>
          <w:b w:val="0"/>
          <w:bCs w:val="0"/>
        </w:rPr>
      </w: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本集团的长期待摊费用包括装修费及办公设备。该等费用在受益期内平均摊销，如果长期待摊费用项目不能使以后会计</w:t>
      </w:r>
      <w:r>
        <w:rPr/>
        <w:t> 期间受益，则将尚未摊销的该项目的摊余价值全部转入当期损益。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6、职工薪酬" w:id="203"/>
      <w:bookmarkEnd w:id="203"/>
      <w:r>
        <w:rPr>
          <w:b w:val="0"/>
          <w:bCs w:val="0"/>
        </w:rPr>
      </w:r>
      <w:r>
        <w:rPr>
          <w:rFonts w:ascii="Times New Roman" w:hAnsi="Times New Roman" w:cs="Times New Roman" w:eastAsia="Times New Roman" w:hint="default"/>
        </w:rPr>
        <w:t>26</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短期薪酬主要包括工资、奖金、津贴和补贴、职工福利费、社会保险费及住房公积金、工会经费和职工教育经费等与获</w:t>
      </w:r>
      <w:r>
        <w:rPr/>
        <w:t> </w:t>
      </w:r>
      <w:r>
        <w:rPr>
          <w:spacing w:val="-2"/>
        </w:rPr>
        <w:t>得职工提供的服务相关的支出，在职工提供服务的会计期间，将实际发生的短期薪酬确认为负债，并按照受益对象计入当期</w:t>
      </w:r>
      <w:r>
        <w:rPr>
          <w:spacing w:val="-63"/>
        </w:rPr>
        <w:t> </w:t>
      </w:r>
      <w:r>
        <w:rPr>
          <w:spacing w:val="-63"/>
        </w:rPr>
      </w:r>
      <w:r>
        <w:rPr/>
        <w:t>损益或相关资产成本。</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88"/>
        <w:jc w:val="left"/>
      </w:pPr>
      <w:r>
        <w:rPr/>
        <w:t>离职后福利主要包括基本养老保险、失业保险、补充养老保险等，按照公司承担的风险和义务，分类为设定提存计划。</w:t>
      </w:r>
      <w:r>
        <w:rPr>
          <w:spacing w:val="2"/>
        </w:rPr>
        <w:t> </w:t>
      </w:r>
      <w:r>
        <w:rPr>
          <w:spacing w:val="-2"/>
        </w:rPr>
        <w:t>对于设定提存计划在根据在资产负债表日为换取职工在会计期间提供的服务而向单独主体缴存的提存金确认为负债，并按照</w:t>
      </w:r>
      <w:r>
        <w:rPr>
          <w:spacing w:val="-64"/>
        </w:rPr>
        <w:t> </w:t>
      </w:r>
      <w:r>
        <w:rPr>
          <w:spacing w:val="-64"/>
        </w:rPr>
      </w:r>
      <w:r>
        <w:rPr/>
        <w:t>受益对象计入当期损益或相关资产成本。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288"/>
        <w:jc w:val="left"/>
      </w:pPr>
      <w:r>
        <w:rPr>
          <w:spacing w:val="-1"/>
        </w:rPr>
        <w:t>本集团向职工提供辞退福利的，在下列两者孰早日确认辞退福利产生的职工薪酬负债，并计入当期损益：企业不能单方</w:t>
      </w:r>
      <w:r>
        <w:rPr/>
        <w:t> 面撤回因解除劳动关系计划或裁减建议所提供的辞退福利时；企业确认与涉及支付辞退福利的重组相关的成本或费用时。</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7、预计负债" w:id="207"/>
      <w:bookmarkEnd w:id="207"/>
      <w:r>
        <w:rPr>
          <w:b w:val="0"/>
          <w:bCs w:val="0"/>
        </w:rPr>
      </w:r>
      <w:r>
        <w:rPr>
          <w:rFonts w:ascii="Times New Roman" w:hAnsi="Times New Roman" w:cs="Times New Roman" w:eastAsia="Times New Roman" w:hint="default"/>
        </w:rPr>
        <w:t>27</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t>当与对外担保、未决诉讼或仲裁、产品质量保证等与或有事项相关的义务同时符合以下条件，本集团将其确认为负债： 该义务是本集团承担的现时义务；该义务的履行很可能导致经济利益流出企业；该义务的金额能够可靠地计量。</w:t>
      </w:r>
    </w:p>
    <w:p>
      <w:pPr>
        <w:pStyle w:val="BodyText"/>
        <w:spacing w:line="316" w:lineRule="auto" w:before="19"/>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8、股份支付" w:id="208"/>
      <w:bookmarkEnd w:id="208"/>
      <w:r>
        <w:rPr>
          <w:b w:val="0"/>
          <w:bCs w:val="0"/>
        </w:rPr>
      </w:r>
      <w:r>
        <w:rPr>
          <w:rFonts w:ascii="Times New Roman" w:hAnsi="Times New Roman" w:cs="Times New Roman" w:eastAsia="Times New Roman" w:hint="default"/>
        </w:rPr>
        <w:t>28</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0"/>
        <w:jc w:val="left"/>
      </w:pPr>
      <w:r>
        <w:rPr/>
        <w:t>股份支付，分为以权益结算的股份支付和以现金结算的股份支付。 </w:t>
      </w:r>
      <w:r>
        <w:rPr>
          <w:spacing w:val="-2"/>
        </w:rPr>
        <w:t>以权益结算的股份支付换取职工提供服务的，以授予职工权益工具的公允价值计量。授予后立即可行权的，在授予日按</w:t>
      </w:r>
    </w:p>
    <w:p>
      <w:pPr>
        <w:pStyle w:val="BodyText"/>
        <w:spacing w:line="319" w:lineRule="auto" w:before="19"/>
        <w:ind w:right="1133"/>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t>出最佳估计，以此为基础，按照授予日的公允价值，将当期取得的服务计入相关成本或费用，相应增加资本公积。</w:t>
      </w:r>
    </w:p>
    <w:p>
      <w:pPr>
        <w:pStyle w:val="BodyText"/>
        <w:spacing w:line="316" w:lineRule="auto" w:before="17"/>
        <w:ind w:right="0"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0" w:firstLine="360"/>
        <w:jc w:val="left"/>
      </w:pPr>
      <w:r>
        <w:rPr>
          <w:spacing w:val="-2"/>
        </w:rPr>
        <w:t>如果修改了以权益结算的股份支付的条款，至少按照未修改条款的情况确认取得的服务。此外，增加所授予权益工具公</w:t>
      </w:r>
      <w:r>
        <w:rPr/>
        <w:t> 允价值的修改，或在修改日对职工有利的变更，均确认取得服务的增加。</w:t>
      </w:r>
    </w:p>
    <w:p>
      <w:pPr>
        <w:pStyle w:val="BodyText"/>
        <w:spacing w:line="316" w:lineRule="auto" w:before="19"/>
        <w:ind w:right="0" w:firstLine="360"/>
        <w:jc w:val="left"/>
      </w:pPr>
      <w:r>
        <w:rPr>
          <w:spacing w:val="-2"/>
        </w:rPr>
        <w:t>如果取消了以权益结算的股份支付，则于取消日作为加速行权处理，立即确认尚未确认的金额。职工或其他方能够选择</w:t>
      </w:r>
      <w:r>
        <w:rPr/>
        <w:t> 满足非可行权条件但在等待期内未满足的，作为取消以权益结算的股份支付处理。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9、收入" w:id="209"/>
      <w:bookmarkEnd w:id="209"/>
      <w:r>
        <w:rPr>
          <w:b w:val="0"/>
          <w:bCs w:val="0"/>
        </w:rPr>
      </w:r>
      <w:r>
        <w:rPr>
          <w:rFonts w:ascii="Times New Roman" w:hAnsi="Times New Roman" w:cs="Times New Roman" w:eastAsia="Times New Roman" w:hint="default"/>
        </w:rPr>
        <w:t>29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6" w:lineRule="auto" w:before="103"/>
        <w:ind w:right="0" w:firstLine="360"/>
        <w:jc w:val="left"/>
      </w:pPr>
      <w:r>
        <w:rPr>
          <w:spacing w:val="-2"/>
        </w:rPr>
        <w:t>本集团的营业收入主要包括销售商品收入、提供劳务收入、利息收入、股利收入及物业出租收入等，收入在经济利益很</w:t>
      </w:r>
      <w:r>
        <w:rPr/>
        <w:t> 可能流入本集团、且金额能够可靠计量，并同时满足下列条件时予以确认：</w:t>
      </w:r>
    </w:p>
    <w:p>
      <w:pPr>
        <w:pStyle w:val="BodyText"/>
        <w:spacing w:line="300" w:lineRule="auto" w:before="19"/>
        <w:ind w:left="513" w:right="0"/>
        <w:jc w:val="left"/>
      </w:pPr>
      <w:r>
        <w:rPr/>
        <w:t>（</w:t>
      </w:r>
      <w:r>
        <w:rPr>
          <w:rFonts w:ascii="Times New Roman" w:hAnsi="Times New Roman" w:cs="Times New Roman" w:eastAsia="Times New Roman" w:hint="default"/>
        </w:rPr>
        <w:t>1</w:t>
      </w:r>
      <w:r>
        <w:rPr/>
        <w:t>）销售商品收入 </w:t>
      </w:r>
      <w:r>
        <w:rPr>
          <w:spacing w:val="-2"/>
        </w:rPr>
        <w:t>本集团已将商品所有权上的主要风险和报酬转移给购货方，并不再对该商品保留通常与所有权相联系的继续管理权和实</w:t>
      </w:r>
    </w:p>
    <w:p>
      <w:pPr>
        <w:pStyle w:val="BodyText"/>
        <w:spacing w:line="316" w:lineRule="auto" w:before="31"/>
        <w:ind w:right="1129"/>
        <w:jc w:val="both"/>
      </w:pPr>
      <w:r>
        <w:rPr>
          <w:spacing w:val="-2"/>
        </w:rPr>
        <w:t>施有效控制，且相关的已发生或将发生的成本能够可靠地计量，确认为收入的实现。销售商品收入金额，按照从购货方已收</w:t>
      </w:r>
      <w:r>
        <w:rPr>
          <w:spacing w:val="-64"/>
        </w:rPr>
        <w:t> </w:t>
      </w:r>
      <w:r>
        <w:rPr>
          <w:spacing w:val="-64"/>
        </w:rPr>
      </w:r>
      <w:r>
        <w:rPr>
          <w:spacing w:val="-2"/>
        </w:rPr>
        <w:t>或应收的合同或协议价款确定，但已收或应收的合同或协议价款不公允的除外；合同或协议价款的收取采用递延方式，实质</w:t>
      </w:r>
      <w:r>
        <w:rPr>
          <w:spacing w:val="-62"/>
        </w:rPr>
        <w:t> </w:t>
      </w:r>
      <w:r>
        <w:rPr>
          <w:spacing w:val="-62"/>
        </w:rPr>
      </w:r>
      <w:r>
        <w:rPr/>
        <w:t>上具有融资性质的，按照应收的合同或协议价款的公允价值确定。</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13" w:right="0"/>
        <w:jc w:val="left"/>
      </w:pPr>
      <w:r>
        <w:rPr/>
        <w:t>（</w:t>
      </w:r>
      <w:r>
        <w:rPr>
          <w:rFonts w:ascii="Times New Roman" w:hAnsi="Times New Roman" w:cs="Times New Roman" w:eastAsia="Times New Roman" w:hint="default"/>
        </w:rPr>
        <w:t>2</w:t>
      </w:r>
      <w:r>
        <w:rPr/>
        <w:t>）提供劳务收入 </w:t>
      </w:r>
      <w:r>
        <w:rPr>
          <w:spacing w:val="-2"/>
        </w:rPr>
        <w:t>于资产负债表日，在提供劳务交易的结果能够可靠估计的情况下，按完工百分比法确认提供劳务收入；否则按已经发生</w:t>
      </w:r>
    </w:p>
    <w:p>
      <w:pPr>
        <w:pStyle w:val="BodyText"/>
        <w:spacing w:line="312" w:lineRule="auto" w:before="31"/>
        <w:ind w:right="1130"/>
        <w:jc w:val="both"/>
      </w:pPr>
      <w:r>
        <w:rPr>
          <w:spacing w:val="-2"/>
        </w:rPr>
        <w:t>并预计能够得到补偿的劳务成本金额确认收入。提供劳务交易的结果能够可靠估计，是指同时满足下列条件：收入的金额能</w:t>
      </w:r>
      <w:r>
        <w:rPr>
          <w:spacing w:val="-63"/>
        </w:rPr>
        <w:t> </w:t>
      </w:r>
      <w:r>
        <w:rPr>
          <w:spacing w:val="-63"/>
        </w:rPr>
      </w:r>
      <w:r>
        <w:rPr>
          <w:spacing w:val="-2"/>
        </w:rPr>
        <w:t>够可靠地计量，相关的经济利益很可能流入本公司，交易的完工进度能够可靠地确定，交易中已发生和将发生的成本能够可</w:t>
      </w:r>
      <w:r>
        <w:rPr>
          <w:spacing w:val="-63"/>
        </w:rPr>
        <w:t> </w:t>
      </w:r>
      <w:r>
        <w:rPr>
          <w:spacing w:val="-63"/>
        </w:rPr>
      </w:r>
      <w:r>
        <w:rPr/>
        <w:t>靠地计量。本集团以已完工作的测量</w:t>
      </w:r>
      <w:r>
        <w:rPr>
          <w:rFonts w:ascii="Times New Roman" w:hAnsi="Times New Roman" w:cs="Times New Roman" w:eastAsia="Times New Roman" w:hint="default"/>
        </w:rPr>
        <w:t>/</w:t>
      </w:r>
      <w:r>
        <w:rPr/>
        <w:t>已经提供的劳务占应提供劳务总量的比例确定提供劳务交易的完工进度。提供劳务收</w:t>
      </w:r>
      <w:r>
        <w:rPr>
          <w:spacing w:val="-49"/>
        </w:rPr>
        <w:t> </w:t>
      </w:r>
      <w:r>
        <w:rPr>
          <w:spacing w:val="-49"/>
        </w:rPr>
      </w:r>
      <w:r>
        <w:rPr/>
        <w:t>入总额，按照从接受劳务方已收或应收的合同或协议价款确定，但已收或应收的合同或协议价款不公允的除外。</w:t>
      </w:r>
    </w:p>
    <w:p>
      <w:pPr>
        <w:pStyle w:val="BodyText"/>
        <w:spacing w:line="316" w:lineRule="auto" w:before="22"/>
        <w:ind w:right="1130" w:firstLine="360"/>
        <w:jc w:val="both"/>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300" w:lineRule="auto" w:before="19"/>
        <w:ind w:left="513" w:right="5713"/>
        <w:jc w:val="left"/>
      </w:pPr>
      <w:r>
        <w:rPr/>
        <w:t>（</w:t>
      </w:r>
      <w:r>
        <w:rPr>
          <w:rFonts w:ascii="Times New Roman" w:hAnsi="Times New Roman" w:cs="Times New Roman" w:eastAsia="Times New Roman" w:hint="default"/>
        </w:rPr>
        <w:t>3</w:t>
      </w:r>
      <w:r>
        <w:rPr/>
        <w:t>）利息收入 按照他人使用本集团货币资金的时间和实际利率计算确定。</w:t>
      </w:r>
    </w:p>
    <w:p>
      <w:pPr>
        <w:pStyle w:val="BodyText"/>
        <w:spacing w:line="300" w:lineRule="auto" w:before="31"/>
        <w:ind w:left="513" w:right="7333"/>
        <w:jc w:val="left"/>
      </w:pPr>
      <w:r>
        <w:rPr/>
        <w:t>（</w:t>
      </w:r>
      <w:r>
        <w:rPr>
          <w:rFonts w:ascii="Times New Roman" w:hAnsi="Times New Roman" w:cs="Times New Roman" w:eastAsia="Times New Roman" w:hint="default"/>
        </w:rPr>
        <w:t>4</w:t>
      </w:r>
      <w:r>
        <w:rPr/>
        <w:t>）股利收入 股利收入在确定股东收款权利时确认。</w:t>
      </w:r>
    </w:p>
    <w:p>
      <w:pPr>
        <w:pStyle w:val="BodyText"/>
        <w:spacing w:line="300" w:lineRule="auto" w:before="31"/>
        <w:ind w:left="513" w:right="4813"/>
        <w:jc w:val="left"/>
      </w:pPr>
      <w:r>
        <w:rPr/>
        <w:t>（</w:t>
      </w:r>
      <w:r>
        <w:rPr>
          <w:rFonts w:ascii="Times New Roman" w:hAnsi="Times New Roman" w:cs="Times New Roman" w:eastAsia="Times New Roman" w:hint="default"/>
        </w:rPr>
        <w:t>5</w:t>
      </w:r>
      <w:r>
        <w:rPr/>
        <w:t>）物业出租收入 经营租赁的租金收入在租赁期内的各个期间按直线法确认为当期损益。</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30、政府补助" w:id="210"/>
      <w:bookmarkEnd w:id="210"/>
      <w:r>
        <w:rPr>
          <w:b w:val="0"/>
          <w:bCs w:val="0"/>
        </w:rPr>
      </w:r>
      <w:r>
        <w:rPr>
          <w:rFonts w:ascii="Times New Roman" w:hAnsi="Times New Roman" w:cs="Times New Roman" w:eastAsia="Times New Roman" w:hint="default"/>
        </w:rPr>
        <w:t>30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7" w:firstLine="360"/>
        <w:jc w:val="both"/>
      </w:pPr>
      <w:r>
        <w:rPr>
          <w:spacing w:val="-2"/>
        </w:rPr>
        <w:t>政府补助包括与资产相关的政府补助及与收益相关的政府补助。其中，与资产相关的政府补助，是指本公司取得的、用</w:t>
      </w:r>
      <w:r>
        <w:rPr/>
        <w:t> </w:t>
      </w:r>
      <w:r>
        <w:rPr>
          <w:spacing w:val="-2"/>
        </w:rPr>
        <w:t>于购建或以其他方式形成长期资产的政府补助；与收益相关的政府补助，是指除与资产相关的政府补助之外的政府补助。如</w:t>
      </w:r>
      <w:r>
        <w:rPr>
          <w:spacing w:val="-63"/>
        </w:rPr>
        <w:t> </w:t>
      </w:r>
      <w:r>
        <w:rPr>
          <w:spacing w:val="-63"/>
        </w:rPr>
      </w:r>
      <w:r>
        <w:rPr/>
        <w:t>果政府文件中未明确规定补助对象，本集团按照上述区分原则进行判断，难以区分的，整体归类为与收益相关的政府补助。</w:t>
      </w:r>
    </w:p>
    <w:p>
      <w:pPr>
        <w:pStyle w:val="BodyText"/>
        <w:spacing w:line="316" w:lineRule="auto" w:before="19"/>
        <w:ind w:right="1129" w:firstLine="360"/>
        <w:jc w:val="both"/>
      </w:pPr>
      <w:r>
        <w:rPr>
          <w:spacing w:val="-2"/>
        </w:rPr>
        <w:t>政府补助为货币性资产的，按照实际收到的金额计量，对于按照固定的定额标准拨付的补助，或对年末有确凿证据表明</w:t>
      </w:r>
      <w:r>
        <w:rPr/>
        <w:t> 能够符合财政扶持政策规定的相关条件且预计能够收到财政扶持资金时</w:t>
      </w:r>
      <w:r>
        <w:rPr>
          <w:spacing w:val="6"/>
        </w:rPr>
        <w:t> </w:t>
      </w:r>
      <w:r>
        <w:rPr/>
        <w:t>，按照应收的金额计量；政府补助为非货币性资产</w:t>
      </w:r>
      <w:r>
        <w:rPr>
          <w:spacing w:val="-88"/>
        </w:rPr>
        <w:t> </w:t>
      </w:r>
      <w:r>
        <w:rPr>
          <w:spacing w:val="-88"/>
        </w:rPr>
      </w:r>
      <w:r>
        <w:rPr/>
        <w:t>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pStyle w:val="BodyText"/>
        <w:spacing w:line="300" w:lineRule="auto"/>
        <w:ind w:right="1137" w:firstLine="360"/>
        <w:jc w:val="both"/>
      </w:pPr>
      <w:r>
        <w:rPr/>
        <w:t>与资产相关的政府补助</w:t>
      </w:r>
      <w:r>
        <w:rPr>
          <w:rFonts w:ascii="Times New Roman" w:hAnsi="Times New Roman" w:cs="Times New Roman" w:eastAsia="Times New Roman" w:hint="default"/>
        </w:rPr>
        <w:t>,</w:t>
      </w:r>
      <w:r>
        <w:rPr/>
        <w:t>冲减相关资产的账面价值或确认为递延收益，确认为递延收益的与资产相关的政府补助，在相 关资产使用寿命内平均分配计入损益。</w:t>
      </w:r>
    </w:p>
    <w:p>
      <w:pPr>
        <w:pStyle w:val="BodyText"/>
        <w:spacing w:line="240" w:lineRule="auto" w:before="31"/>
        <w:ind w:left="513" w:right="0"/>
        <w:jc w:val="left"/>
      </w:pPr>
      <w:r>
        <w:rPr/>
        <w:t>相关资产在使用寿命结束前被出售、转让、报废或发生毁损的，将尚未分配的相关递延收益余额转入资产处置当期的损</w:t>
      </w:r>
    </w:p>
    <w:p>
      <w:pPr>
        <w:pStyle w:val="BodyText"/>
        <w:spacing w:line="240" w:lineRule="auto" w:before="76"/>
        <w:ind w:right="0"/>
        <w:jc w:val="left"/>
      </w:pPr>
      <w:r>
        <w:rPr/>
        <w:t>益。</w:t>
      </w:r>
    </w:p>
    <w:p>
      <w:pPr>
        <w:pStyle w:val="BodyText"/>
        <w:spacing w:line="240" w:lineRule="auto" w:before="76"/>
        <w:ind w:left="513" w:right="0"/>
        <w:jc w:val="left"/>
      </w:pPr>
      <w:r>
        <w:rPr/>
        <w:t>与收益相关的政府补助，用于补偿以后期间的相关成本费用或损失的，确认为递延收益，并在确认相关成本费用或损失</w:t>
      </w:r>
    </w:p>
    <w:p>
      <w:pPr>
        <w:pStyle w:val="BodyText"/>
        <w:spacing w:line="316" w:lineRule="auto" w:before="76"/>
        <w:ind w:right="1129"/>
        <w:jc w:val="left"/>
      </w:pPr>
      <w:r>
        <w:rPr>
          <w:spacing w:val="-5"/>
        </w:rPr>
        <w:t>的期间计入当期损益或冲减相关成本。与日常活动相关的政府补助，按照经济业务实质，计入其他收益或冲减相关成本费用。</w:t>
      </w:r>
      <w:r>
        <w:rPr>
          <w:spacing w:val="-79"/>
        </w:rPr>
        <w:t> </w:t>
      </w:r>
      <w:r>
        <w:rPr>
          <w:spacing w:val="-79"/>
        </w:rPr>
      </w:r>
      <w:r>
        <w:rPr/>
        <w:t>与日常活动无关的政府补助，计入营业外收支。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1、递延所得税资产/递延所得税负债" w:id="211"/>
      <w:bookmarkEnd w:id="211"/>
      <w:r>
        <w:rPr>
          <w:b w:val="0"/>
          <w:bCs w:val="0"/>
        </w:rPr>
      </w: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4" w:firstLine="360"/>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w:t>
      </w:r>
      <w:r>
        <w:rPr>
          <w:spacing w:val="-83"/>
        </w:rPr>
        <w:t> </w:t>
      </w:r>
      <w:r>
        <w:rPr>
          <w:spacing w:val="-83"/>
        </w:rPr>
      </w:r>
      <w:r>
        <w:rPr/>
        <w:t>递延所得税资产和递延所得税负债，按照预期收回该资产或清偿该负债期间的适用税率计量。</w:t>
      </w:r>
    </w:p>
    <w:p>
      <w:pPr>
        <w:pStyle w:val="BodyText"/>
        <w:spacing w:line="240" w:lineRule="auto" w:before="24"/>
        <w:ind w:left="513" w:right="0"/>
        <w:jc w:val="left"/>
      </w:pPr>
      <w:r>
        <w:rPr/>
        <w:t>本集团以很可能取得用来抵扣可抵扣暂时性差异、可抵扣亏损和税款抵减的未来应纳税所得额为限，确认递延所得税资</w:t>
      </w:r>
    </w:p>
    <w:p>
      <w:pPr>
        <w:pStyle w:val="BodyText"/>
        <w:spacing w:line="240" w:lineRule="auto" w:before="76"/>
        <w:ind w:right="0"/>
        <w:jc w:val="left"/>
      </w:pPr>
      <w:r>
        <w:rPr/>
        <w:t>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2、 资产证券化业务的会计处理方法" w:id="212"/>
      <w:bookmarkEnd w:id="212"/>
      <w:r>
        <w:rPr>
          <w:b w:val="0"/>
          <w:bCs w:val="0"/>
        </w:rPr>
      </w:r>
      <w:r>
        <w:rPr>
          <w:rFonts w:ascii="Times New Roman" w:hAnsi="Times New Roman" w:cs="Times New Roman" w:eastAsia="Times New Roman" w:hint="default"/>
        </w:rPr>
        <w:t>32</w:t>
      </w:r>
      <w:r>
        <w:rPr/>
        <w:t>、 资产证券化业务的会计处理方法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本集团将部分应收账款</w:t>
      </w:r>
      <w:r>
        <w:rPr>
          <w:spacing w:val="-19"/>
        </w:rPr>
        <w:t> </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w:t>
      </w:r>
      <w:r>
        <w:rPr/>
        <w:t>基础资产</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w:t>
      </w:r>
      <w:r>
        <w:rPr/>
        <w:t>证券化</w:t>
      </w:r>
      <w:r>
        <w:rPr>
          <w:spacing w:val="-72"/>
        </w:rPr>
        <w:t>，</w:t>
      </w:r>
      <w:r>
        <w:rPr/>
        <w:t>证券公司作为管理人设立的资产支持专项计</w:t>
      </w:r>
      <w:r>
        <w:rPr>
          <w:spacing w:val="-72"/>
        </w:rPr>
        <w:t>划</w:t>
      </w:r>
      <w:r>
        <w:rPr/>
        <w:t>（以下简</w:t>
      </w:r>
      <w:r>
        <w:rPr>
          <w:spacing w:val="1"/>
        </w:rPr>
        <w:t>称</w:t>
      </w:r>
      <w:r>
        <w:rPr>
          <w:rFonts w:ascii="Times New Roman" w:hAnsi="Times New Roman" w:cs="Times New Roman" w:eastAsia="Times New Roman" w:hint="default"/>
          <w:spacing w:val="-1"/>
          <w:w w:val="100"/>
        </w:rPr>
        <w:t>“</w:t>
      </w:r>
      <w:r>
        <w:rPr/>
        <w:t>特定目的实体</w:t>
      </w:r>
      <w:r>
        <w:rPr>
          <w:rFonts w:ascii="Times New Roman" w:hAnsi="Times New Roman" w:cs="Times New Roman" w:eastAsia="Times New Roman" w:hint="default"/>
          <w:spacing w:val="-1"/>
          <w:w w:val="100"/>
        </w:rPr>
        <w:t>”</w:t>
      </w:r>
      <w:r>
        <w:rPr/>
        <w:t>）</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4" w:lineRule="auto" w:before="44"/>
        <w:ind w:right="1047"/>
        <w:jc w:val="both"/>
      </w:pPr>
      <w:r>
        <w:rPr>
          <w:spacing w:val="-2"/>
        </w:rPr>
        <w:t>购买基础资产后，由该特定目的实体向投资者发行优先级资产支持证券，全部次级资产支持证券由本集团持有，次级资产支</w:t>
      </w:r>
      <w:r>
        <w:rPr>
          <w:spacing w:val="-63"/>
        </w:rPr>
        <w:t> </w:t>
      </w:r>
      <w:r>
        <w:rPr>
          <w:spacing w:val="-63"/>
        </w:rPr>
      </w:r>
      <w:r>
        <w:rPr>
          <w:spacing w:val="-2"/>
        </w:rPr>
        <w:t>持证券在优先级资产支持证券本息偿付完毕前不得转让。本集团作为资产服务机构，提供资产维护和日常管理、定期编制资</w:t>
      </w:r>
      <w:r>
        <w:rPr>
          <w:spacing w:val="-63"/>
        </w:rPr>
        <w:t> </w:t>
      </w:r>
      <w:r>
        <w:rPr>
          <w:spacing w:val="-63"/>
        </w:rPr>
      </w:r>
      <w:r>
        <w:rPr/>
        <w:t>产服务报告等服务；同时本集团作为流动性支持机构，在专项计划费用、优先级资产支持证券的预期收益及</w:t>
      </w:r>
      <w:r>
        <w:rPr>
          <w:rFonts w:ascii="Times New Roman" w:hAnsi="Times New Roman" w:cs="Times New Roman" w:eastAsia="Times New Roman" w:hint="default"/>
        </w:rPr>
        <w:t>/</w:t>
      </w:r>
      <w:r>
        <w:rPr/>
        <w:t>或本金未能得</w:t>
      </w:r>
      <w:r>
        <w:rPr>
          <w:spacing w:val="-45"/>
        </w:rPr>
        <w:t> </w:t>
      </w:r>
      <w:r>
        <w:rPr>
          <w:spacing w:val="-45"/>
        </w:rPr>
      </w:r>
      <w:r>
        <w:rPr>
          <w:spacing w:val="-2"/>
        </w:rPr>
        <w:t>到足额偿付时履行差额支付义务。基础资产在支付税负和相关费用之后，优先用于偿付优先级资产支持证券的本息，全部本</w:t>
      </w:r>
      <w:r>
        <w:rPr>
          <w:spacing w:val="-63"/>
        </w:rPr>
        <w:t> </w:t>
      </w:r>
      <w:r>
        <w:rPr>
          <w:spacing w:val="-63"/>
        </w:rPr>
      </w:r>
      <w:r>
        <w:rPr>
          <w:spacing w:val="-2"/>
        </w:rPr>
        <w:t>息偿付之后剩余的基础资产作为次级资产支持证券的收益，归本集团所有。本集团实际上保留了与基础资产相关几乎所有的</w:t>
      </w:r>
      <w:r>
        <w:rPr>
          <w:spacing w:val="-64"/>
        </w:rPr>
        <w:t> </w:t>
      </w:r>
      <w:r>
        <w:rPr>
          <w:spacing w:val="-64"/>
        </w:rPr>
      </w:r>
      <w:r>
        <w:rPr/>
        <w:t>风险和报酬，故未对基础资产终止确认；同时，本集团对特定目的实体具有实际控制权，已经将其纳入合并财务报表范围。</w:t>
      </w:r>
    </w:p>
    <w:p>
      <w:pPr>
        <w:pStyle w:val="BodyText"/>
        <w:spacing w:line="316" w:lineRule="auto" w:before="20"/>
        <w:ind w:right="1132" w:firstLine="360"/>
        <w:jc w:val="both"/>
      </w:pPr>
      <w:r>
        <w:rPr>
          <w:spacing w:val="-2"/>
        </w:rPr>
        <w:t>在运用证券化金融资产的会计政策时，本集团已考虑转移至其他实体的资产的风险和报酬程度，以及本集团对该实体行</w:t>
      </w:r>
      <w:r>
        <w:rPr/>
        <w:t> 使控制权的程度：</w:t>
      </w:r>
    </w:p>
    <w:p>
      <w:pPr>
        <w:pStyle w:val="BodyText"/>
        <w:spacing w:line="240" w:lineRule="auto" w:before="19"/>
        <w:ind w:left="513" w:right="0"/>
        <w:jc w:val="left"/>
      </w:pPr>
      <w:r>
        <w:rPr/>
        <w:t>（</w:t>
      </w:r>
      <w:r>
        <w:rPr>
          <w:rFonts w:ascii="Times New Roman" w:hAnsi="Times New Roman" w:cs="Times New Roman" w:eastAsia="Times New Roman" w:hint="default"/>
        </w:rPr>
        <w:t>1</w:t>
      </w:r>
      <w:r>
        <w:rPr/>
        <w:t>）当本集团已转移该金融资产所有权上几乎全部风险和报酬时，本集团予以终止确认该金融资产；</w:t>
      </w:r>
    </w:p>
    <w:p>
      <w:pPr>
        <w:pStyle w:val="BodyText"/>
        <w:spacing w:line="240" w:lineRule="auto" w:before="63"/>
        <w:ind w:left="513" w:right="0"/>
        <w:jc w:val="left"/>
      </w:pPr>
      <w:r>
        <w:rPr/>
        <w:t>（</w:t>
      </w:r>
      <w:r>
        <w:rPr>
          <w:rFonts w:ascii="Times New Roman" w:hAnsi="Times New Roman" w:cs="Times New Roman" w:eastAsia="Times New Roman" w:hint="default"/>
        </w:rPr>
        <w:t>2</w:t>
      </w:r>
      <w:r>
        <w:rPr/>
        <w:t>）当本集团保留该金融资产所有权上几乎全部风险和报酬时，本集团继续确认该金融资产；</w:t>
      </w:r>
    </w:p>
    <w:p>
      <w:pPr>
        <w:pStyle w:val="BodyText"/>
        <w:spacing w:line="309" w:lineRule="auto" w:before="103"/>
        <w:ind w:right="1130" w:firstLine="379"/>
        <w:jc w:val="both"/>
      </w:pPr>
      <w:r>
        <w:rPr>
          <w:spacing w:val="-1"/>
        </w:rPr>
        <w:t>（</w:t>
      </w:r>
      <w:r>
        <w:rPr>
          <w:rFonts w:ascii="Times New Roman" w:hAnsi="Times New Roman" w:cs="Times New Roman" w:eastAsia="Times New Roman" w:hint="default"/>
          <w:spacing w:val="-1"/>
        </w:rPr>
        <w:t>3</w:t>
      </w:r>
      <w:r>
        <w:rPr>
          <w:spacing w:val="-1"/>
        </w:rPr>
        <w:t>）如本集团并未转移或保留该金融资产所有权上几乎全部风险和报酬，本集团考虑对该金融资产是否存在控制。如</w:t>
      </w:r>
      <w:r>
        <w:rPr/>
        <w:t> </w:t>
      </w:r>
      <w:r>
        <w:rPr>
          <w:spacing w:val="-2"/>
        </w:rPr>
        <w:t>果本集团并未保留控制权，本集团终止确认该金融资产，并把在转移中产生或保留的权利及义务分别确认为资产或负债。如</w:t>
      </w:r>
      <w:r>
        <w:rPr>
          <w:spacing w:val="-63"/>
        </w:rPr>
        <w:t> </w:t>
      </w:r>
      <w:r>
        <w:rPr>
          <w:spacing w:val="-63"/>
        </w:rPr>
      </w:r>
      <w:r>
        <w:rPr/>
        <w:t>本集团保留控制权，则根据对金融资产的继续涉入程度确认金融资产。</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bookmarkStart w:name="33、租赁" w:id="213"/>
      <w:bookmarkEnd w:id="213"/>
      <w:r>
        <w:rPr>
          <w:b w:val="0"/>
          <w:bCs w:val="0"/>
        </w:rPr>
      </w:r>
      <w:r>
        <w:rPr>
          <w:rFonts w:ascii="Times New Roman" w:hAnsi="Times New Roman" w:cs="Times New Roman" w:eastAsia="Times New Roman" w:hint="default"/>
        </w:rPr>
        <w:t>33</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本集团作为经营租赁承租方的租金在租赁期内的各个期间按直线法计入相关资产成本或当期损益。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本集团作为融资租赁承租方时，在租赁开始日，按租赁开始日租赁资产的公允价值与最低租赁付款额的现值两者中较低</w:t>
      </w:r>
      <w:r>
        <w:rPr/>
        <w:t> </w:t>
      </w:r>
      <w:r>
        <w:rPr>
          <w:spacing w:val="-2"/>
        </w:rPr>
        <w:t>者，作为融资租入固定资产的入账价值，将最低租赁付款额作为长期应付款的入账价值，将两者的差额记录为未确认融资费</w:t>
      </w:r>
      <w:r>
        <w:rPr>
          <w:spacing w:val="-63"/>
        </w:rPr>
        <w:t> </w:t>
      </w:r>
      <w:r>
        <w:rPr>
          <w:spacing w:val="-63"/>
        </w:rPr>
      </w:r>
      <w:r>
        <w:rPr/>
        <w:t>用。</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34、 终止经营" w:id="216"/>
      <w:bookmarkEnd w:id="216"/>
      <w:r>
        <w:rPr>
          <w:b w:val="0"/>
          <w:bCs w:val="0"/>
        </w:rPr>
      </w:r>
      <w:r>
        <w:rPr>
          <w:rFonts w:ascii="Times New Roman" w:hAnsi="Times New Roman" w:cs="Times New Roman" w:eastAsia="Times New Roman" w:hint="default"/>
        </w:rPr>
        <w:t>34</w:t>
      </w:r>
      <w:r>
        <w:rPr/>
        <w:t>、 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spacing w:val="-4"/>
        </w:rPr>
        <w:t>终止经营，是指本集团满足下列条件之一的、能够单独区分的组成部分，且该组成部分已经处置或划分为持有待售类别：</w:t>
      </w:r>
    </w:p>
    <w:p>
      <w:pPr>
        <w:pStyle w:val="BodyText"/>
        <w:spacing w:line="300" w:lineRule="auto" w:before="76"/>
        <w:ind w:right="0"/>
        <w:jc w:val="left"/>
      </w:pPr>
      <w:r>
        <w:rPr>
          <w:spacing w:val="-2"/>
        </w:rPr>
        <w:t>（</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）该组成部分是拟对一项独立的主要业务或一个</w:t>
      </w:r>
      <w:r>
        <w:rPr>
          <w:spacing w:val="-64"/>
        </w:rPr>
        <w:t> </w:t>
      </w:r>
      <w:r>
        <w:rPr>
          <w:spacing w:val="-64"/>
        </w:rPr>
      </w:r>
      <w:r>
        <w:rPr/>
        <w:t>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5、其他重要的会计政策和会计估计" w:id="217"/>
      <w:bookmarkEnd w:id="217"/>
      <w:r>
        <w:rPr>
          <w:b w:val="0"/>
          <w:bCs w:val="0"/>
        </w:rPr>
      </w:r>
      <w:r>
        <w:rPr>
          <w:rFonts w:ascii="Times New Roman" w:hAnsi="Times New Roman" w:cs="Times New Roman" w:eastAsia="Times New Roman" w:hint="default"/>
        </w:rPr>
        <w:t>35</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firstLine="360"/>
        <w:jc w:val="both"/>
      </w:pPr>
      <w:r>
        <w:rPr>
          <w:spacing w:val="-2"/>
        </w:rPr>
        <w:t>编制合并财务报表要求管理层作出判断、估计和假设，这些判断、估计和假设会影响收入、费用、资产和负债的列报金</w:t>
      </w:r>
      <w:r>
        <w:rPr/>
        <w:t> </w:t>
      </w:r>
      <w:r>
        <w:rPr>
          <w:spacing w:val="-2"/>
        </w:rPr>
        <w:t>额及其披露，以及资产负债表日或有负债的披露。然而，这些假设和估计的不确定性所导致的结果可能造成对未来受影响的</w:t>
      </w:r>
      <w:r>
        <w:rPr>
          <w:spacing w:val="-66"/>
        </w:rPr>
        <w:t> </w:t>
      </w:r>
      <w:r>
        <w:rPr>
          <w:spacing w:val="-66"/>
        </w:rPr>
      </w:r>
      <w:r>
        <w:rPr/>
        <w:t>资产或负债的账面金额进行重大调整。</w:t>
      </w:r>
    </w:p>
    <w:p>
      <w:pPr>
        <w:pStyle w:val="BodyText"/>
        <w:spacing w:line="316" w:lineRule="auto" w:before="17"/>
        <w:ind w:right="1132" w:firstLine="360"/>
        <w:jc w:val="both"/>
      </w:pPr>
      <w:r>
        <w:rPr>
          <w:spacing w:val="-2"/>
        </w:rPr>
        <w:t>以下为于资产负债表日有关未来的关键假设以及估计不确定性的其他关键来源，可能会导致未来会计期间资产和负债账</w:t>
      </w:r>
      <w:r>
        <w:rPr/>
        <w:t> 面金额重大调整。</w:t>
      </w:r>
    </w:p>
    <w:p>
      <w:pPr>
        <w:pStyle w:val="BodyText"/>
        <w:spacing w:line="300" w:lineRule="auto" w:before="19"/>
        <w:ind w:left="513" w:right="0"/>
        <w:jc w:val="left"/>
      </w:pPr>
      <w:r>
        <w:rPr/>
        <w:t>（</w:t>
      </w:r>
      <w:r>
        <w:rPr>
          <w:rFonts w:ascii="Times New Roman" w:hAnsi="Times New Roman" w:cs="Times New Roman" w:eastAsia="Times New Roman" w:hint="default"/>
        </w:rPr>
        <w:t>1</w:t>
      </w:r>
      <w:r>
        <w:rPr/>
        <w:t>）应收账款的预期信用损失准备 </w:t>
      </w:r>
      <w:r>
        <w:rPr>
          <w:spacing w:val="-2"/>
        </w:rPr>
        <w:t>本集团采用减值矩阵确定应收账款的预期信用损失准备。本集团将具有类似风险特征的各类应收账款确定相应的损失准</w:t>
      </w:r>
    </w:p>
    <w:p>
      <w:pPr>
        <w:pStyle w:val="BodyText"/>
        <w:spacing w:line="316" w:lineRule="auto" w:before="31"/>
        <w:ind w:right="1127"/>
        <w:jc w:val="left"/>
      </w:pPr>
      <w:r>
        <w:rPr>
          <w:spacing w:val="-2"/>
        </w:rPr>
        <w:t>备的比例。减值矩阵基于本集团历史逾期比例考虑无须付出不必要的额外成本或努力即可获得的合理且有依据的前瞻性信息</w:t>
      </w:r>
      <w:r>
        <w:rPr>
          <w:spacing w:val="-64"/>
        </w:rPr>
        <w:t> </w:t>
      </w:r>
      <w:r>
        <w:rPr>
          <w:spacing w:val="-64"/>
        </w:rPr>
      </w:r>
      <w:r>
        <w:rPr/>
        <w:t>确定。</w:t>
      </w:r>
    </w:p>
    <w:p>
      <w:pPr>
        <w:pStyle w:val="BodyText"/>
        <w:spacing w:line="240" w:lineRule="auto" w:before="18"/>
        <w:ind w:left="513" w:right="0"/>
        <w:jc w:val="left"/>
      </w:pPr>
      <w:r>
        <w:rPr/>
        <w:t>该预期信用损失准备的金额将随本集团的估计而发生变化。</w:t>
      </w:r>
    </w:p>
    <w:p>
      <w:pPr>
        <w:pStyle w:val="BodyText"/>
        <w:spacing w:line="240" w:lineRule="auto" w:before="76"/>
        <w:ind w:left="513" w:right="0"/>
        <w:jc w:val="left"/>
      </w:pPr>
      <w:r>
        <w:rPr/>
        <w:t>（</w:t>
      </w:r>
      <w:r>
        <w:rPr>
          <w:rFonts w:ascii="Times New Roman" w:hAnsi="Times New Roman" w:cs="Times New Roman" w:eastAsia="Times New Roman" w:hint="default"/>
        </w:rPr>
        <w:t>2</w:t>
      </w:r>
      <w:r>
        <w:rPr/>
        <w:t>）存货跌价准备</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047" w:firstLine="360"/>
        <w:jc w:val="both"/>
      </w:pPr>
      <w:r>
        <w:rPr>
          <w:spacing w:val="-2"/>
        </w:rPr>
        <w:t>本集团根据存货会计政策，按照成本与可变现净值孰低计量，对成本高于可变现净值及陈旧和滞销的存货，计提存货跌</w:t>
      </w:r>
      <w:r>
        <w:rPr/>
        <w:t> </w:t>
      </w:r>
      <w:r>
        <w:rPr>
          <w:spacing w:val="-2"/>
        </w:rPr>
        <w:t>价准备。存货的可变现净值是指存货的估计售价减去估计的销售费用以及相关税费后的金额。管理层对存货的可变现净值计</w:t>
      </w:r>
      <w:r>
        <w:rPr>
          <w:spacing w:val="-64"/>
        </w:rPr>
        <w:t> </w:t>
      </w:r>
      <w:r>
        <w:rPr>
          <w:spacing w:val="-64"/>
        </w:rPr>
      </w:r>
      <w:r>
        <w:rPr>
          <w:spacing w:val="-2"/>
        </w:rPr>
        <w:t>算涉及到对售价、销售费用以及相关税费的估计。本集团于每个资产负债表日对不同类别的存货是否陈旧和滞销、可变现净</w:t>
      </w:r>
      <w:r>
        <w:rPr>
          <w:spacing w:val="-63"/>
        </w:rPr>
        <w:t> </w:t>
      </w:r>
      <w:r>
        <w:rPr>
          <w:spacing w:val="-63"/>
        </w:rPr>
      </w:r>
      <w:r>
        <w:rPr/>
        <w:t>值是否低于存货成本进行重新估计。如重新估计结果与现有估计存在差异，该差异将会影响估计改变期间的存货账面价值。</w:t>
      </w:r>
    </w:p>
    <w:p>
      <w:pPr>
        <w:pStyle w:val="BodyText"/>
        <w:spacing w:line="300" w:lineRule="auto" w:before="17"/>
        <w:ind w:left="513" w:right="1033"/>
        <w:jc w:val="left"/>
      </w:pPr>
      <w:r>
        <w:rPr/>
        <w:t>（</w:t>
      </w:r>
      <w:r>
        <w:rPr>
          <w:rFonts w:ascii="Times New Roman" w:hAnsi="Times New Roman" w:cs="Times New Roman" w:eastAsia="Times New Roman" w:hint="default"/>
        </w:rPr>
        <w:t>3</w:t>
      </w:r>
      <w:r>
        <w:rPr/>
        <w:t>）递延所得税资产 在很可能有足够的应纳税所得额用以抵扣可抵扣亏损的限度内，应就所有尚未利用的可抵扣亏损确认递延所得税资产。</w:t>
      </w:r>
    </w:p>
    <w:p>
      <w:pPr>
        <w:pStyle w:val="BodyText"/>
        <w:spacing w:line="316" w:lineRule="auto" w:before="31"/>
        <w:ind w:right="1127"/>
        <w:jc w:val="left"/>
      </w:pP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pStyle w:val="BodyText"/>
        <w:spacing w:line="300" w:lineRule="auto" w:before="19"/>
        <w:ind w:left="513" w:right="1127"/>
        <w:jc w:val="left"/>
      </w:pPr>
      <w:r>
        <w:rPr/>
        <w:t>（</w:t>
      </w:r>
      <w:r>
        <w:rPr>
          <w:rFonts w:ascii="Times New Roman" w:hAnsi="Times New Roman" w:cs="Times New Roman" w:eastAsia="Times New Roman" w:hint="default"/>
        </w:rPr>
        <w:t>4</w:t>
      </w:r>
      <w:r>
        <w:rPr/>
        <w:t>）所得税 </w:t>
      </w:r>
      <w:r>
        <w:rPr>
          <w:spacing w:val="-2"/>
        </w:rPr>
        <w:t>本集团因分布在多个区域而需分别在其所在地缴纳企业所得税。若有关事项的最终税务结果有别于已确认金额时，该些</w:t>
      </w:r>
    </w:p>
    <w:p>
      <w:pPr>
        <w:pStyle w:val="BodyText"/>
        <w:spacing w:line="240" w:lineRule="auto" w:before="31"/>
        <w:ind w:right="0"/>
        <w:jc w:val="left"/>
      </w:pPr>
      <w:r>
        <w:rPr/>
        <w:t>差额将对当期的所得税造成影响。</w:t>
      </w:r>
    </w:p>
    <w:p>
      <w:pPr>
        <w:pStyle w:val="BodyText"/>
        <w:spacing w:line="300" w:lineRule="auto" w:before="76"/>
        <w:ind w:left="513" w:right="0"/>
        <w:jc w:val="left"/>
      </w:pPr>
      <w:r>
        <w:rPr/>
        <w:t>（</w:t>
      </w:r>
      <w:r>
        <w:rPr>
          <w:rFonts w:ascii="Times New Roman" w:hAnsi="Times New Roman" w:cs="Times New Roman" w:eastAsia="Times New Roman" w:hint="default"/>
        </w:rPr>
        <w:t>5</w:t>
      </w:r>
      <w:r>
        <w:rPr/>
        <w:t>）衍生金融工具的公允价值 </w:t>
      </w:r>
      <w:r>
        <w:rPr>
          <w:spacing w:val="-2"/>
        </w:rPr>
        <w:t>当资产负债表中的衍生金融工具的公允价值无法从活跃市场获得时，公允价值采用估值技术确定。估值模型使用的参数</w:t>
      </w:r>
    </w:p>
    <w:p>
      <w:pPr>
        <w:pStyle w:val="BodyText"/>
        <w:spacing w:line="316" w:lineRule="auto" w:before="31"/>
        <w:ind w:right="0"/>
        <w:jc w:val="left"/>
      </w:pPr>
      <w:r>
        <w:rPr>
          <w:spacing w:val="-2"/>
        </w:rPr>
        <w:t>根据市场中可观察的输入值，结合一定的判断得到。判断包括对流动性风险、信用风险及波动性的考虑。对参数的不同假设</w:t>
      </w:r>
      <w:r>
        <w:rPr>
          <w:spacing w:val="-64"/>
        </w:rPr>
        <w:t> </w:t>
      </w:r>
      <w:r>
        <w:rPr>
          <w:spacing w:val="-64"/>
        </w:rPr>
      </w:r>
      <w:r>
        <w:rPr/>
        <w:t>可能会影响衍生金融工具公允价值的金额。</w:t>
      </w:r>
    </w:p>
    <w:p>
      <w:pPr>
        <w:pStyle w:val="BodyText"/>
        <w:spacing w:line="300" w:lineRule="auto" w:before="19"/>
        <w:ind w:left="513" w:right="0"/>
        <w:jc w:val="left"/>
      </w:pPr>
      <w:r>
        <w:rPr/>
        <w:t>（</w:t>
      </w:r>
      <w:r>
        <w:rPr>
          <w:rFonts w:ascii="Times New Roman" w:hAnsi="Times New Roman" w:cs="Times New Roman" w:eastAsia="Times New Roman" w:hint="default"/>
        </w:rPr>
        <w:t>6</w:t>
      </w:r>
      <w:r>
        <w:rPr/>
        <w:t>）商誉减值准备的会计估计 </w:t>
      </w:r>
      <w:r>
        <w:rPr>
          <w:spacing w:val="-2"/>
        </w:rPr>
        <w:t>本集团每年对商誉进行减值测试。包含商誉的资产组和资产组组合的可收回金额为其预计未来现金流量的现值，其计算</w:t>
      </w:r>
    </w:p>
    <w:p>
      <w:pPr>
        <w:pStyle w:val="BodyText"/>
        <w:spacing w:line="316" w:lineRule="auto" w:before="31"/>
        <w:ind w:left="513" w:right="0" w:hanging="361"/>
        <w:jc w:val="left"/>
      </w:pPr>
      <w:r>
        <w:rPr/>
        <w:t>需要采用会计估计。 </w:t>
      </w:r>
      <w:r>
        <w:rPr>
          <w:spacing w:val="-2"/>
        </w:rPr>
        <w:t>如果管理层对资产组和资产组组合未来现金流量计算中采用的毛利率或收入增长率等进行修订，修订后的毛利率或收入</w:t>
      </w:r>
    </w:p>
    <w:p>
      <w:pPr>
        <w:pStyle w:val="BodyText"/>
        <w:spacing w:line="316" w:lineRule="auto" w:before="19"/>
        <w:ind w:left="513" w:right="0" w:hanging="361"/>
        <w:jc w:val="left"/>
      </w:pPr>
      <w:r>
        <w:rPr/>
        <w:t>增长率低于目前采用的毛利率或收入增长率，本集团可能需对商誉计提减值准备。 </w:t>
      </w:r>
      <w:r>
        <w:rPr>
          <w:spacing w:val="-2"/>
        </w:rPr>
        <w:t>如果管理层对应用于现金流量折现的税前折现率进行重新修订，修订后的税前折现率高于目前采用的税前折现率，本集</w:t>
      </w:r>
    </w:p>
    <w:p>
      <w:pPr>
        <w:pStyle w:val="BodyText"/>
        <w:spacing w:line="316" w:lineRule="auto" w:before="19"/>
        <w:ind w:left="513" w:right="1753" w:hanging="361"/>
        <w:jc w:val="left"/>
      </w:pPr>
      <w:r>
        <w:rPr/>
        <w:t>团可能需对商誉计提减值准备。 如果实际毛利率、收入增长率或折现率高于或低于管理层的估计，本集团不能转回原已计提的商誉减值损失。</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6、重要会计政策和会计估计变更" w:id="218"/>
      <w:bookmarkEnd w:id="218"/>
      <w:r>
        <w:rPr>
          <w:b w:val="0"/>
          <w:bCs w:val="0"/>
        </w:rPr>
      </w:r>
      <w:r>
        <w:rPr>
          <w:rFonts w:ascii="Times New Roman" w:hAnsi="Times New Roman" w:cs="Times New Roman" w:eastAsia="Times New Roman" w:hint="default"/>
        </w:rPr>
        <w:t>36</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财务报表列示格式与新金融工具准则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参见巨潮资讯网相关公告</w:t>
            </w:r>
          </w:p>
        </w:tc>
      </w:tr>
    </w:tbl>
    <w:p>
      <w:pPr>
        <w:spacing w:line="240" w:lineRule="auto" w:before="2"/>
        <w:rPr>
          <w:rFonts w:ascii="宋体" w:hAnsi="宋体" w:cs="宋体" w:eastAsia="宋体" w:hint="default"/>
          <w:sz w:val="27"/>
          <w:szCs w:val="27"/>
        </w:rPr>
      </w:pPr>
    </w:p>
    <w:p>
      <w:pPr>
        <w:pStyle w:val="BodyText"/>
        <w:spacing w:line="360" w:lineRule="auto" w:before="44"/>
        <w:ind w:left="453" w:right="0" w:firstLine="60"/>
        <w:jc w:val="left"/>
      </w:pPr>
      <w:r>
        <w:rPr>
          <w:rFonts w:ascii="宋体" w:hAnsi="宋体" w:cs="宋体" w:eastAsia="宋体" w:hint="default"/>
          <w:b/>
          <w:bCs/>
        </w:rPr>
        <w:t>财务报表列报格式：</w:t>
      </w:r>
      <w:r>
        <w:rPr>
          <w:rFonts w:ascii="宋体" w:hAnsi="宋体" w:cs="宋体" w:eastAsia="宋体" w:hint="default"/>
          <w:b/>
          <w:bCs/>
          <w:w w:val="99"/>
        </w:rPr>
        <w:t> </w:t>
      </w:r>
      <w:r>
        <w:rPr/>
        <w:t>本集团按财政部于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日颁布的《关于修订印发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p>
    <w:p>
      <w:pPr>
        <w:pStyle w:val="BodyText"/>
        <w:spacing w:line="213" w:lineRule="exact"/>
        <w:ind w:right="0"/>
        <w:jc w:val="both"/>
      </w:pPr>
      <w:r>
        <w:rPr/>
        <w:t>以下简称</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6</w:t>
      </w:r>
      <w:r>
        <w:rPr/>
        <w:t>号文件</w:t>
      </w:r>
      <w:r>
        <w:rPr>
          <w:rFonts w:ascii="Times New Roman" w:hAnsi="Times New Roman" w:cs="Times New Roman" w:eastAsia="Times New Roman" w:hint="default"/>
        </w:rPr>
        <w:t>”</w:t>
      </w:r>
      <w:r>
        <w:rPr/>
        <w:t>）编制</w:t>
      </w:r>
      <w:r>
        <w:rPr>
          <w:rFonts w:ascii="Times New Roman" w:hAnsi="Times New Roman" w:cs="Times New Roman" w:eastAsia="Times New Roman" w:hint="default"/>
        </w:rPr>
        <w:t>2019</w:t>
      </w:r>
      <w:r>
        <w:rPr/>
        <w:t>年度财务报表。财会</w:t>
      </w:r>
      <w:r>
        <w:rPr>
          <w:rFonts w:ascii="Times New Roman" w:hAnsi="Times New Roman" w:cs="Times New Roman" w:eastAsia="Times New Roman" w:hint="default"/>
        </w:rPr>
        <w:t>6</w:t>
      </w:r>
      <w:r>
        <w:rPr/>
        <w:t>号文件对资产负债表和利润表的列报项目进行了修订，将</w:t>
      </w:r>
      <w:r>
        <w:rPr>
          <w:rFonts w:ascii="Times New Roman" w:hAnsi="Times New Roman" w:cs="Times New Roman" w:eastAsia="Times New Roman" w:hint="default"/>
        </w:rPr>
        <w:t>“</w:t>
      </w:r>
      <w:r>
        <w:rPr/>
        <w:t>应收票</w:t>
      </w:r>
    </w:p>
    <w:p>
      <w:pPr>
        <w:pStyle w:val="BodyText"/>
        <w:spacing w:line="300" w:lineRule="auto" w:before="63"/>
        <w:ind w:right="1129"/>
        <w:jc w:val="both"/>
      </w:pPr>
      <w:r>
        <w:rPr>
          <w:spacing w:val="-2"/>
        </w:rPr>
        <w:t>据及应收账款</w:t>
      </w:r>
      <w:r>
        <w:rPr>
          <w:rFonts w:ascii="Times New Roman" w:hAnsi="Times New Roman" w:cs="Times New Roman" w:eastAsia="Times New Roman" w:hint="default"/>
          <w:spacing w:val="-2"/>
        </w:rPr>
        <w:t>”</w:t>
      </w:r>
      <w:r>
        <w:rPr>
          <w:spacing w:val="-2"/>
        </w:rPr>
        <w:t>项目分拆为</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两个项目，将</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项目分拆为</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1"/>
        </w:rPr>
        <w:t> </w:t>
      </w:r>
      <w:r>
        <w:rPr>
          <w:spacing w:val="-2"/>
        </w:rPr>
        <w:t>两个项目，同时明确或修订了</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一年内到期的非流动资产</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递延收益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研发</w:t>
      </w:r>
      <w:r>
        <w:rPr>
          <w:spacing w:val="-36"/>
        </w:rPr>
        <w:t> </w:t>
      </w:r>
      <w:r>
        <w:rPr>
          <w:spacing w:val="-1"/>
        </w:rPr>
        <w:t>费用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财务费用</w:t>
      </w:r>
      <w:r>
        <w:rPr>
          <w:rFonts w:ascii="Times New Roman" w:hAnsi="Times New Roman" w:cs="Times New Roman" w:eastAsia="Times New Roman" w:hint="default"/>
          <w:spacing w:val="-1"/>
        </w:rPr>
        <w:t>”</w:t>
      </w:r>
      <w:r>
        <w:rPr>
          <w:spacing w:val="-1"/>
        </w:rPr>
        <w:t>项目下的</w:t>
      </w:r>
      <w:r>
        <w:rPr>
          <w:rFonts w:ascii="Times New Roman" w:hAnsi="Times New Roman" w:cs="Times New Roman" w:eastAsia="Times New Roman" w:hint="default"/>
          <w:spacing w:val="-1"/>
        </w:rPr>
        <w:t>“</w:t>
      </w:r>
      <w:r>
        <w:rPr>
          <w:spacing w:val="-1"/>
        </w:rPr>
        <w:t>利息收入</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项目的列报内容。对</w:t>
      </w:r>
      <w:r>
        <w:rPr>
          <w:spacing w:val="-77"/>
        </w:rPr>
        <w:t> </w:t>
      </w:r>
      <w:r>
        <w:rPr>
          <w:spacing w:val="-77"/>
        </w:rPr>
      </w:r>
      <w:r>
        <w:rPr/>
        <w:t>于上述列报项目的变更，本集团对上年比较数据进行了追溯调整。</w:t>
      </w:r>
    </w:p>
    <w:p>
      <w:pPr>
        <w:pStyle w:val="BodyText"/>
        <w:spacing w:line="300" w:lineRule="auto" w:before="31"/>
        <w:ind w:right="0" w:firstLine="300"/>
        <w:jc w:val="left"/>
      </w:pPr>
      <w:r>
        <w:rPr/>
        <w:t>执行《关于修订印发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号）追溯调整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 负债表相关项目情况如下：</w:t>
      </w:r>
    </w:p>
    <w:p>
      <w:pPr>
        <w:pStyle w:val="BodyText"/>
        <w:spacing w:line="300" w:lineRule="auto" w:before="31"/>
        <w:ind w:right="0" w:firstLine="360"/>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项目中摊销期限只剩一年或不足一年的，或预计在一年内（含一年）进行摊销的部 </w:t>
      </w:r>
      <w:r>
        <w:rPr>
          <w:spacing w:val="-3"/>
        </w:rPr>
        <w:t>分，不得归类为流动负债，仍在该项目中填列。本集团将</w:t>
      </w:r>
      <w:r>
        <w:rPr>
          <w:rFonts w:ascii="Times New Roman" w:hAnsi="Times New Roman" w:cs="Times New Roman" w:eastAsia="Times New Roman" w:hint="default"/>
          <w:spacing w:val="-3"/>
        </w:rPr>
        <w:t>“</w:t>
      </w:r>
      <w:r>
        <w:rPr>
          <w:spacing w:val="-3"/>
        </w:rPr>
        <w:t>递延收益</w:t>
      </w:r>
      <w:r>
        <w:rPr>
          <w:rFonts w:ascii="Times New Roman" w:hAnsi="Times New Roman" w:cs="Times New Roman" w:eastAsia="Times New Roman" w:hint="default"/>
          <w:spacing w:val="-3"/>
        </w:rPr>
        <w:t>”</w:t>
      </w:r>
      <w:r>
        <w:rPr>
          <w:spacing w:val="-3"/>
        </w:rPr>
        <w:t>项目中预计在一年内（含一年）进行摊销的部分，从</w:t>
      </w:r>
      <w:r>
        <w:rPr>
          <w:rFonts w:ascii="Times New Roman" w:hAnsi="Times New Roman" w:cs="Times New Roman" w:eastAsia="Times New Roman" w:hint="default"/>
          <w:spacing w:val="-3"/>
        </w:rPr>
        <w:t>“</w:t>
      </w:r>
      <w:r>
        <w:rPr>
          <w:spacing w:val="-3"/>
        </w:rPr>
        <w:t>其</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他流动负债</w:t>
      </w:r>
      <w:r>
        <w:rPr>
          <w:rFonts w:ascii="Times New Roman" w:hAnsi="Times New Roman" w:cs="Times New Roman" w:eastAsia="Times New Roman" w:hint="default"/>
        </w:rPr>
        <w:t>”</w:t>
      </w:r>
      <w:r>
        <w:rPr/>
        <w:t>追溯调整至</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日合并资产负债表（不涉及母公司）相关项目调整如下：</w:t>
      </w:r>
    </w:p>
    <w:p>
      <w:pPr>
        <w:spacing w:line="240" w:lineRule="auto" w:before="2"/>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2151"/>
        <w:gridCol w:w="2636"/>
        <w:gridCol w:w="2636"/>
        <w:gridCol w:w="2204"/>
      </w:tblGrid>
      <w:tr>
        <w:trPr>
          <w:trHeight w:val="348" w:hRule="exact"/>
        </w:trPr>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日调整前</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6" w:hRule="exact"/>
        </w:trPr>
        <w:tc>
          <w:tcPr>
            <w:tcW w:w="21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2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15,876,120.61</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7,076,120.61</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20,477,180.46</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29,277,180.46</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8,800,000.00</w:t>
            </w:r>
          </w:p>
        </w:tc>
      </w:tr>
    </w:tbl>
    <w:p>
      <w:pPr>
        <w:spacing w:line="240" w:lineRule="auto" w:before="1"/>
        <w:rPr>
          <w:rFonts w:ascii="宋体" w:hAnsi="宋体" w:cs="宋体" w:eastAsia="宋体" w:hint="default"/>
          <w:sz w:val="21"/>
          <w:szCs w:val="21"/>
        </w:rPr>
      </w:pPr>
    </w:p>
    <w:p>
      <w:pPr>
        <w:pStyle w:val="BodyText"/>
        <w:spacing w:line="300" w:lineRule="auto" w:before="44"/>
        <w:ind w:right="1051" w:firstLine="326"/>
        <w:jc w:val="left"/>
      </w:pPr>
      <w:r>
        <w:rPr>
          <w:spacing w:val="-2"/>
        </w:rPr>
        <w:t>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号规定：</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项目，应根据</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应收股利</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科目的期末余额合计数，减去</w:t>
      </w:r>
      <w:r>
        <w:rPr/>
        <w:t> </w:t>
      </w:r>
      <w:r>
        <w:rPr>
          <w:rFonts w:ascii="Times New Roman" w:hAnsi="Times New Roman" w:cs="Times New Roman" w:eastAsia="Times New Roman" w:hint="default"/>
        </w:rPr>
        <w:t>“</w:t>
      </w:r>
      <w:r>
        <w:rPr/>
        <w:t>坏账准备</w:t>
      </w:r>
      <w:r>
        <w:rPr>
          <w:rFonts w:ascii="Times New Roman" w:hAnsi="Times New Roman" w:cs="Times New Roman" w:eastAsia="Times New Roman" w:hint="default"/>
        </w:rPr>
        <w:t>”</w:t>
      </w:r>
      <w:r>
        <w:rPr/>
        <w:t>科目中相关坏账准备期末余额后的金额填列。其中的</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仅反映相关金融工具已到期可收取但于资产负债 表日尚未收到的利息。基于实际利率法计提的金融工具的利息应包含在相应金融工具的账面余额中。本集团将</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 </w:t>
      </w:r>
      <w:r>
        <w:rPr>
          <w:spacing w:val="-2"/>
          <w:w w:val="100"/>
        </w:rPr>
        <w:t>应收利息</w:t>
      </w:r>
      <w:r>
        <w:rPr>
          <w:rFonts w:ascii="Times New Roman" w:hAnsi="Times New Roman" w:cs="Times New Roman" w:eastAsia="Times New Roman" w:hint="default"/>
          <w:spacing w:val="-2"/>
          <w:w w:val="100"/>
        </w:rPr>
        <w:t>”</w:t>
      </w:r>
      <w:r>
        <w:rPr>
          <w:spacing w:val="-2"/>
          <w:w w:val="100"/>
        </w:rPr>
        <w:t>项目中减去</w:t>
      </w:r>
      <w:r>
        <w:rPr>
          <w:rFonts w:ascii="Times New Roman" w:hAnsi="Times New Roman" w:cs="Times New Roman" w:eastAsia="Times New Roman" w:hint="default"/>
          <w:spacing w:val="-2"/>
          <w:w w:val="100"/>
        </w:rPr>
        <w:t>“</w:t>
      </w:r>
      <w:r>
        <w:rPr>
          <w:spacing w:val="-2"/>
          <w:w w:val="100"/>
        </w:rPr>
        <w:t>坏账准备</w:t>
      </w:r>
      <w:r>
        <w:rPr>
          <w:rFonts w:ascii="Times New Roman" w:hAnsi="Times New Roman" w:cs="Times New Roman" w:eastAsia="Times New Roman" w:hint="default"/>
          <w:spacing w:val="-2"/>
          <w:w w:val="100"/>
        </w:rPr>
        <w:t>”</w:t>
      </w:r>
      <w:r>
        <w:rPr>
          <w:spacing w:val="-2"/>
          <w:w w:val="100"/>
        </w:rPr>
        <w:t>科目中相关坏账准备期末余额后的金额，从</w:t>
      </w:r>
      <w:r>
        <w:rPr>
          <w:rFonts w:ascii="Times New Roman" w:hAnsi="Times New Roman" w:cs="Times New Roman" w:eastAsia="Times New Roman" w:hint="default"/>
          <w:spacing w:val="-2"/>
          <w:w w:val="100"/>
        </w:rPr>
        <w:t>“</w:t>
      </w:r>
      <w:r>
        <w:rPr>
          <w:spacing w:val="-2"/>
          <w:w w:val="100"/>
        </w:rPr>
        <w:t>其他应收款</w:t>
      </w:r>
      <w:r>
        <w:rPr>
          <w:rFonts w:ascii="Times New Roman" w:hAnsi="Times New Roman" w:cs="Times New Roman" w:eastAsia="Times New Roman" w:hint="default"/>
          <w:spacing w:val="-2"/>
          <w:w w:val="100"/>
        </w:rPr>
        <w:t>-</w:t>
      </w:r>
      <w:r>
        <w:rPr>
          <w:spacing w:val="-2"/>
          <w:w w:val="100"/>
        </w:rPr>
        <w:t>应收利息</w:t>
      </w:r>
      <w:r>
        <w:rPr>
          <w:rFonts w:ascii="Times New Roman" w:hAnsi="Times New Roman" w:cs="Times New Roman" w:eastAsia="Times New Roman" w:hint="default"/>
          <w:spacing w:val="-2"/>
          <w:w w:val="100"/>
        </w:rPr>
        <w:t>”</w:t>
      </w:r>
      <w:r>
        <w:rPr>
          <w:spacing w:val="-2"/>
          <w:w w:val="100"/>
        </w:rPr>
        <w:t>追溯调整至</w:t>
      </w:r>
      <w:r>
        <w:rPr>
          <w:rFonts w:ascii="Times New Roman" w:hAnsi="Times New Roman" w:cs="Times New Roman" w:eastAsia="Times New Roman" w:hint="default"/>
          <w:spacing w:val="-2"/>
          <w:w w:val="100"/>
        </w:rPr>
        <w:t>“</w:t>
      </w:r>
      <w:r>
        <w:rPr>
          <w:spacing w:val="-2"/>
          <w:w w:val="100"/>
        </w:rPr>
        <w:t>其他应收款</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13"/>
          <w:w w:val="100"/>
        </w:rPr>
        <w:t> </w:t>
      </w:r>
      <w:r>
        <w:rPr/>
        <w:t>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日合并资产负债表（不涉及母公司）相关项目调整如下：</w:t>
      </w:r>
    </w:p>
    <w:tbl>
      <w:tblPr>
        <w:tblW w:w="0" w:type="auto"/>
        <w:jc w:val="left"/>
        <w:tblInd w:w="152" w:type="dxa"/>
        <w:tblLayout w:type="fixed"/>
        <w:tblCellMar>
          <w:top w:w="0" w:type="dxa"/>
          <w:left w:w="0" w:type="dxa"/>
          <w:bottom w:w="0" w:type="dxa"/>
          <w:right w:w="0" w:type="dxa"/>
        </w:tblCellMar>
        <w:tblLook w:val="01E0"/>
      </w:tblPr>
      <w:tblGrid>
        <w:gridCol w:w="2151"/>
        <w:gridCol w:w="2636"/>
        <w:gridCol w:w="2636"/>
        <w:gridCol w:w="2204"/>
      </w:tblGrid>
      <w:tr>
        <w:trPr>
          <w:trHeight w:val="329" w:hRule="exact"/>
        </w:trPr>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日调整前</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65" w:hRule="exact"/>
        </w:trPr>
        <w:tc>
          <w:tcPr>
            <w:tcW w:w="215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22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p>
        </w:tc>
        <w:tc>
          <w:tcPr>
            <w:tcW w:w="263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21,884,774.39</w:t>
            </w:r>
          </w:p>
        </w:tc>
        <w:tc>
          <w:tcPr>
            <w:tcW w:w="263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0</w:t>
            </w:r>
          </w:p>
        </w:tc>
        <w:tc>
          <w:tcPr>
            <w:tcW w:w="220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-21,884,774.39</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197,907,152.49</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219,791,926.88</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21,884,774.39</w:t>
            </w:r>
          </w:p>
        </w:tc>
      </w:tr>
    </w:tbl>
    <w:p>
      <w:pPr>
        <w:spacing w:line="240" w:lineRule="auto" w:before="6"/>
        <w:rPr>
          <w:rFonts w:ascii="宋体" w:hAnsi="宋体" w:cs="宋体" w:eastAsia="宋体" w:hint="default"/>
          <w:sz w:val="21"/>
          <w:szCs w:val="21"/>
        </w:rPr>
      </w:pPr>
    </w:p>
    <w:p>
      <w:pPr>
        <w:pStyle w:val="BodyText"/>
        <w:spacing w:line="300" w:lineRule="auto" w:before="44"/>
        <w:ind w:right="1044" w:firstLine="326"/>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项目，应根据</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科目的期末余额合计数填列。 其中的</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仅反映相关金融工具已到期应支付但于资产负债表日尚未支付的利息。基于实际利率法计提的金融工具的 </w:t>
      </w:r>
      <w:r>
        <w:rPr>
          <w:spacing w:val="-1"/>
        </w:rPr>
        <w:t>利息应包含在相应金融工具的账面余额中。本集团将</w:t>
      </w:r>
      <w:r>
        <w:rPr>
          <w:rFonts w:ascii="Times New Roman" w:hAnsi="Times New Roman" w:cs="Times New Roman" w:eastAsia="Times New Roman" w:hint="default"/>
          <w:spacing w:val="-1"/>
        </w:rPr>
        <w:t>“</w:t>
      </w:r>
      <w:r>
        <w:rPr>
          <w:spacing w:val="-1"/>
        </w:rPr>
        <w:t>其他应付款</w:t>
      </w:r>
      <w:r>
        <w:rPr>
          <w:rFonts w:ascii="Times New Roman" w:hAnsi="Times New Roman" w:cs="Times New Roman" w:eastAsia="Times New Roman" w:hint="default"/>
          <w:spacing w:val="-1"/>
        </w:rPr>
        <w:t>-</w:t>
      </w:r>
      <w:r>
        <w:rPr>
          <w:spacing w:val="-1"/>
        </w:rPr>
        <w:t>应付利息</w:t>
      </w:r>
      <w:r>
        <w:rPr>
          <w:rFonts w:ascii="Times New Roman" w:hAnsi="Times New Roman" w:cs="Times New Roman" w:eastAsia="Times New Roman" w:hint="default"/>
          <w:spacing w:val="-1"/>
        </w:rPr>
        <w:t>”</w:t>
      </w:r>
      <w:r>
        <w:rPr>
          <w:spacing w:val="-1"/>
        </w:rPr>
        <w:t>项目中基于实际利率法计提的金融工具的利息，</w:t>
      </w:r>
      <w:r>
        <w:rPr>
          <w:spacing w:val="-68"/>
        </w:rPr>
        <w:t> </w:t>
      </w:r>
      <w:r>
        <w:rPr/>
        <w:t>从</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追溯调整至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长期借款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短期借款</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日合并资产负债表相关项 目调整如下：</w:t>
      </w:r>
    </w:p>
    <w:tbl>
      <w:tblPr>
        <w:tblW w:w="0" w:type="auto"/>
        <w:jc w:val="left"/>
        <w:tblInd w:w="152" w:type="dxa"/>
        <w:tblLayout w:type="fixed"/>
        <w:tblCellMar>
          <w:top w:w="0" w:type="dxa"/>
          <w:left w:w="0" w:type="dxa"/>
          <w:bottom w:w="0" w:type="dxa"/>
          <w:right w:w="0" w:type="dxa"/>
        </w:tblCellMar>
        <w:tblLook w:val="01E0"/>
      </w:tblPr>
      <w:tblGrid>
        <w:gridCol w:w="2151"/>
        <w:gridCol w:w="2636"/>
        <w:gridCol w:w="2636"/>
        <w:gridCol w:w="2204"/>
      </w:tblGrid>
      <w:tr>
        <w:trPr>
          <w:trHeight w:val="329" w:hRule="exact"/>
        </w:trPr>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日调整前</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65"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21"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29,646,939.68</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z w:val="18"/>
              </w:rPr>
              <w:t>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-29,646,939.68</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589,886,716.74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603,095,190.94</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13,208,474.20</w:t>
            </w:r>
          </w:p>
        </w:tc>
      </w:tr>
      <w:tr>
        <w:trPr>
          <w:trHeight w:val="346"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8,806,297,361.62</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8,819,165,410.43</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12,868,048.81</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1,710,000,000.00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1,713,570,416.67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3,570,416.67</w:t>
            </w:r>
          </w:p>
        </w:tc>
      </w:tr>
    </w:tbl>
    <w:p>
      <w:pPr>
        <w:spacing w:line="240" w:lineRule="auto" w:before="11"/>
        <w:rPr>
          <w:rFonts w:ascii="宋体" w:hAnsi="宋体" w:cs="宋体" w:eastAsia="宋体" w:hint="default"/>
          <w:sz w:val="22"/>
          <w:szCs w:val="22"/>
        </w:rPr>
      </w:pPr>
    </w:p>
    <w:p>
      <w:pPr>
        <w:pStyle w:val="BodyText"/>
        <w:spacing w:line="240" w:lineRule="auto" w:before="44"/>
        <w:ind w:left="51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日母公司资产负债表相关项目调整如下：</w:t>
      </w:r>
    </w:p>
    <w:p>
      <w:pPr>
        <w:spacing w:line="240" w:lineRule="auto" w:before="2"/>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2151"/>
        <w:gridCol w:w="2636"/>
        <w:gridCol w:w="2636"/>
        <w:gridCol w:w="2204"/>
      </w:tblGrid>
      <w:tr>
        <w:trPr>
          <w:trHeight w:val="331" w:hRule="exact"/>
        </w:trPr>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日调整前</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日调整后</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62"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21"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91,566,183.27</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z w:val="18"/>
              </w:rPr>
              <w:t>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-91,566,183.27</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309,649,037.55</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320,638,620.88</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10,989,583.33</w:t>
            </w:r>
          </w:p>
        </w:tc>
      </w:tr>
      <w:tr>
        <w:trPr>
          <w:trHeight w:val="346"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2,459,000,000.00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2,509,209,516.65</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50,209,516.65</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3,127,000,000.00</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3,157,367,083.29</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30,367,083.29</w:t>
            </w:r>
          </w:p>
        </w:tc>
      </w:tr>
    </w:tbl>
    <w:p>
      <w:pPr>
        <w:spacing w:line="240" w:lineRule="auto" w:before="1"/>
        <w:rPr>
          <w:rFonts w:ascii="宋体" w:hAnsi="宋体" w:cs="宋体" w:eastAsia="宋体" w:hint="default"/>
          <w:sz w:val="21"/>
          <w:szCs w:val="21"/>
        </w:rPr>
      </w:pPr>
    </w:p>
    <w:p>
      <w:pPr>
        <w:pStyle w:val="BodyText"/>
        <w:spacing w:line="300" w:lineRule="auto" w:before="44"/>
        <w:ind w:right="1131" w:firstLine="360"/>
        <w:jc w:val="both"/>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w:t>
      </w:r>
      <w:r>
        <w:rPr>
          <w:rFonts w:ascii="Times New Roman" w:hAnsi="Times New Roman" w:cs="Times New Roman" w:eastAsia="Times New Roman" w:hint="default"/>
        </w:rPr>
        <w:t>“</w:t>
      </w:r>
      <w:r>
        <w:rPr/>
        <w:t>以摊余成本计量的金融资产终止确认收益</w:t>
      </w:r>
      <w:r>
        <w:rPr>
          <w:rFonts w:ascii="Times New Roman" w:hAnsi="Times New Roman" w:cs="Times New Roman" w:eastAsia="Times New Roman" w:hint="default"/>
        </w:rPr>
        <w:t>”</w:t>
      </w:r>
      <w:r>
        <w:rPr/>
        <w:t>项目，反映企业因转让等情形导致终止确认以摊余 </w:t>
      </w:r>
      <w:r>
        <w:rPr>
          <w:spacing w:val="-2"/>
        </w:rPr>
        <w:t>成本计量的金融资产而产生的利得或损失。该项目应根据</w:t>
      </w:r>
      <w:r>
        <w:rPr>
          <w:rFonts w:ascii="Times New Roman" w:hAnsi="Times New Roman" w:cs="Times New Roman" w:eastAsia="Times New Roman" w:hint="default"/>
          <w:spacing w:val="-2"/>
        </w:rPr>
        <w:t>“</w:t>
      </w:r>
      <w:r>
        <w:rPr>
          <w:spacing w:val="-2"/>
        </w:rPr>
        <w:t>投资收益</w:t>
      </w:r>
      <w:r>
        <w:rPr>
          <w:rFonts w:ascii="Times New Roman" w:hAnsi="Times New Roman" w:cs="Times New Roman" w:eastAsia="Times New Roman" w:hint="default"/>
          <w:spacing w:val="-2"/>
        </w:rPr>
        <w:t>”</w:t>
      </w:r>
      <w:r>
        <w:rPr>
          <w:spacing w:val="-2"/>
        </w:rPr>
        <w:t>科目的相关明细科目的发生额分析填列；如为损失，以</w:t>
      </w:r>
      <w:r>
        <w:rPr>
          <w:spacing w:val="-43"/>
        </w:rPr>
        <w:t> </w:t>
      </w:r>
      <w:r>
        <w:rPr>
          <w:spacing w:val="-43"/>
        </w:rPr>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号填列。本集团</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项目中因转让等情形导致终止确认以摊余成本计量的金融资产以及贴现在资产负债日尚未到</w:t>
      </w:r>
      <w:r>
        <w:rPr>
          <w:spacing w:val="-26"/>
        </w:rPr>
        <w:t> </w:t>
      </w:r>
      <w:r>
        <w:rPr>
          <w:spacing w:val="-26"/>
        </w:rPr>
      </w:r>
      <w:r>
        <w:rPr>
          <w:spacing w:val="-1"/>
        </w:rPr>
        <w:t>期的应收银行承兑汇票而产生的利得或损失部分，从</w:t>
      </w:r>
      <w:r>
        <w:rPr>
          <w:rFonts w:ascii="Times New Roman" w:hAnsi="Times New Roman" w:cs="Times New Roman" w:eastAsia="Times New Roman" w:hint="default"/>
          <w:spacing w:val="-1"/>
        </w:rPr>
        <w:t>“</w:t>
      </w:r>
      <w:r>
        <w:rPr>
          <w:spacing w:val="-1"/>
        </w:rPr>
        <w:t>财务费用</w:t>
      </w:r>
      <w:r>
        <w:rPr>
          <w:rFonts w:ascii="Times New Roman" w:hAnsi="Times New Roman" w:cs="Times New Roman" w:eastAsia="Times New Roman" w:hint="default"/>
          <w:spacing w:val="-1"/>
        </w:rPr>
        <w:t>”</w:t>
      </w:r>
      <w:r>
        <w:rPr>
          <w:spacing w:val="-1"/>
        </w:rPr>
        <w:t>追溯调整至</w:t>
      </w:r>
      <w:r>
        <w:rPr>
          <w:rFonts w:ascii="Times New Roman" w:hAnsi="Times New Roman" w:cs="Times New Roman" w:eastAsia="Times New Roman" w:hint="default"/>
          <w:spacing w:val="-1"/>
        </w:rPr>
        <w:t>“</w:t>
      </w:r>
      <w:r>
        <w:rPr>
          <w:spacing w:val="-1"/>
        </w:rPr>
        <w:t>投资收益</w:t>
      </w:r>
      <w:r>
        <w:rPr>
          <w:rFonts w:ascii="Times New Roman" w:hAnsi="Times New Roman" w:cs="Times New Roman" w:eastAsia="Times New Roman" w:hint="default"/>
          <w:spacing w:val="-1"/>
        </w:rPr>
        <w:t>”</w:t>
      </w:r>
      <w:r>
        <w:rPr>
          <w:spacing w:val="-1"/>
        </w:rPr>
        <w:t>项目，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日合并资产负债</w:t>
      </w:r>
      <w:r>
        <w:rPr>
          <w:spacing w:val="-77"/>
        </w:rPr>
        <w:t> </w:t>
      </w:r>
      <w:r>
        <w:rPr>
          <w:spacing w:val="-77"/>
        </w:rPr>
      </w:r>
      <w:r>
        <w:rPr/>
        <w:t>表（不涉及母公司）相关项目调整如下：</w:t>
      </w:r>
    </w:p>
    <w:tbl>
      <w:tblPr>
        <w:tblW w:w="0" w:type="auto"/>
        <w:jc w:val="left"/>
        <w:tblInd w:w="152" w:type="dxa"/>
        <w:tblLayout w:type="fixed"/>
        <w:tblCellMar>
          <w:top w:w="0" w:type="dxa"/>
          <w:left w:w="0" w:type="dxa"/>
          <w:bottom w:w="0" w:type="dxa"/>
          <w:right w:w="0" w:type="dxa"/>
        </w:tblCellMar>
        <w:tblLook w:val="01E0"/>
      </w:tblPr>
      <w:tblGrid>
        <w:gridCol w:w="2151"/>
        <w:gridCol w:w="2636"/>
        <w:gridCol w:w="2636"/>
        <w:gridCol w:w="2204"/>
      </w:tblGrid>
      <w:tr>
        <w:trPr>
          <w:trHeight w:val="331" w:hRule="exact"/>
        </w:trPr>
        <w:tc>
          <w:tcPr>
            <w:tcW w:w="2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年度调整前</w:t>
            </w:r>
          </w:p>
        </w:tc>
        <w:tc>
          <w:tcPr>
            <w:tcW w:w="2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年度调整后</w:t>
            </w:r>
          </w:p>
        </w:tc>
        <w:tc>
          <w:tcPr>
            <w:tcW w:w="2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62" w:hRule="exact"/>
        </w:trPr>
        <w:tc>
          <w:tcPr>
            <w:tcW w:w="21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left="36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6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59,165,681.72</w:t>
            </w:r>
          </w:p>
        </w:tc>
        <w:tc>
          <w:tcPr>
            <w:tcW w:w="26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-38,098,863.74</w:t>
            </w:r>
          </w:p>
        </w:tc>
        <w:tc>
          <w:tcPr>
            <w:tcW w:w="220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-97,264,545.46</w:t>
            </w:r>
          </w:p>
        </w:tc>
      </w:tr>
      <w:tr>
        <w:trPr>
          <w:trHeight w:val="348" w:hRule="exact"/>
        </w:trPr>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674,283,209.44</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577,018,663.98</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-97,264,545.46</w:t>
            </w:r>
          </w:p>
        </w:tc>
      </w:tr>
    </w:tbl>
    <w:p>
      <w:pPr>
        <w:spacing w:line="240" w:lineRule="auto" w:before="11"/>
        <w:rPr>
          <w:rFonts w:ascii="宋体" w:hAnsi="宋体" w:cs="宋体" w:eastAsia="宋体" w:hint="default"/>
          <w:sz w:val="22"/>
          <w:szCs w:val="22"/>
        </w:rPr>
      </w:pPr>
    </w:p>
    <w:p>
      <w:pPr>
        <w:pStyle w:val="BodyText"/>
        <w:spacing w:line="240" w:lineRule="auto" w:before="44"/>
        <w:ind w:left="513" w:right="0"/>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号规定：资产负债表中</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应付票据及应付账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6"/>
        <w:jc w:val="both"/>
      </w:pPr>
      <w:r>
        <w:rPr>
          <w:spacing w:val="-4"/>
        </w:rPr>
        <w:t>款</w:t>
      </w:r>
      <w:r>
        <w:rPr>
          <w:rFonts w:ascii="Times New Roman" w:hAnsi="Times New Roman" w:cs="Times New Roman" w:eastAsia="Times New Roman" w:hint="default"/>
          <w:spacing w:val="-4"/>
        </w:rPr>
        <w:t>”</w:t>
      </w:r>
      <w:r>
        <w:rPr>
          <w:spacing w:val="-4"/>
        </w:rPr>
        <w:t>拆分为</w:t>
      </w:r>
      <w:r>
        <w:rPr>
          <w:rFonts w:ascii="Times New Roman" w:hAnsi="Times New Roman" w:cs="Times New Roman" w:eastAsia="Times New Roman" w:hint="default"/>
          <w:spacing w:val="-4"/>
        </w:rPr>
        <w:t>“</w:t>
      </w:r>
      <w:r>
        <w:rPr>
          <w:spacing w:val="-4"/>
        </w:rPr>
        <w:t>应付票据</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应付账款</w:t>
      </w:r>
      <w:r>
        <w:rPr>
          <w:rFonts w:ascii="Times New Roman" w:hAnsi="Times New Roman" w:cs="Times New Roman" w:eastAsia="Times New Roman" w:hint="default"/>
          <w:spacing w:val="-4"/>
        </w:rPr>
        <w:t>”</w:t>
      </w:r>
      <w:r>
        <w:rPr>
          <w:spacing w:val="-4"/>
        </w:rPr>
        <w:t>列示；比较数据相应调整。</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日合并资产负债表（不涉及母公司）调整为：</w:t>
      </w:r>
      <w:r>
        <w:rPr>
          <w:spacing w:val="-59"/>
        </w:rPr>
        <w:t> </w:t>
      </w:r>
      <w:r>
        <w:rPr>
          <w:rFonts w:ascii="Times New Roman" w:hAnsi="Times New Roman" w:cs="Times New Roman" w:eastAsia="Times New Roman" w:hint="default"/>
        </w:rPr>
        <w:t>“</w:t>
      </w:r>
      <w:r>
        <w:rPr/>
        <w:t>应 收票据</w:t>
      </w:r>
      <w:r>
        <w:rPr>
          <w:rFonts w:ascii="Times New Roman" w:hAnsi="Times New Roman" w:cs="Times New Roman" w:eastAsia="Times New Roman" w:hint="default"/>
        </w:rPr>
        <w:t>”</w:t>
      </w:r>
      <w:r>
        <w:rPr/>
        <w:t>余额</w:t>
      </w:r>
      <w:r>
        <w:rPr>
          <w:rFonts w:ascii="Times New Roman" w:hAnsi="Times New Roman" w:cs="Times New Roman" w:eastAsia="Times New Roman" w:hint="default"/>
        </w:rPr>
        <w:t>1,203,934,982.01</w:t>
      </w:r>
      <w:r>
        <w:rPr/>
        <w:t>元，</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余额</w:t>
      </w:r>
      <w:r>
        <w:rPr>
          <w:rFonts w:ascii="Times New Roman" w:hAnsi="Times New Roman" w:cs="Times New Roman" w:eastAsia="Times New Roman" w:hint="default"/>
        </w:rPr>
        <w:t>8,604,664,663.56</w:t>
      </w:r>
      <w:r>
        <w:rPr/>
        <w:t>元；</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余额</w:t>
      </w:r>
      <w:r>
        <w:rPr>
          <w:rFonts w:ascii="Times New Roman" w:hAnsi="Times New Roman" w:cs="Times New Roman" w:eastAsia="Times New Roman" w:hint="default"/>
        </w:rPr>
        <w:t>2,573,972,176.18</w:t>
      </w:r>
      <w:r>
        <w:rPr/>
        <w:t>元，</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余额</w:t>
      </w:r>
      <w:r>
        <w:rPr>
          <w:spacing w:val="-36"/>
        </w:rPr>
        <w:t> </w:t>
      </w:r>
      <w:r>
        <w:rPr>
          <w:rFonts w:ascii="Times New Roman" w:hAnsi="Times New Roman" w:cs="Times New Roman" w:eastAsia="Times New Roman" w:hint="default"/>
        </w:rPr>
        <w:t>6,044,742,292.99</w:t>
      </w:r>
      <w:r>
        <w:rPr/>
        <w:t>元。</w:t>
      </w:r>
    </w:p>
    <w:p>
      <w:pPr>
        <w:pStyle w:val="BodyText"/>
        <w:spacing w:line="357" w:lineRule="auto" w:before="53"/>
        <w:ind w:left="513" w:right="0"/>
        <w:jc w:val="left"/>
      </w:pPr>
      <w:r>
        <w:rPr>
          <w:rFonts w:ascii="宋体" w:hAnsi="宋体" w:cs="宋体" w:eastAsia="宋体" w:hint="default"/>
          <w:b/>
          <w:bCs/>
        </w:rPr>
        <w:t>新金融工具准则：</w:t>
      </w:r>
      <w:r>
        <w:rPr>
          <w:rFonts w:ascii="宋体" w:hAnsi="宋体" w:cs="宋体" w:eastAsia="宋体" w:hint="default"/>
          <w:b/>
          <w:bCs/>
          <w:w w:val="99"/>
        </w:rPr>
        <w:t> </w:t>
      </w:r>
      <w:r>
        <w:rPr>
          <w:spacing w:val="-2"/>
        </w:rPr>
        <w:t>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2017</w:t>
      </w:r>
      <w:r>
        <w:rPr>
          <w:spacing w:val="-2"/>
        </w:rPr>
        <w:t>年修订的《企业会计准则第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w:t>
      </w:r>
    </w:p>
    <w:p>
      <w:pPr>
        <w:pStyle w:val="BodyText"/>
        <w:spacing w:line="214" w:lineRule="exact"/>
        <w:ind w:right="0"/>
        <w:jc w:val="both"/>
      </w:pPr>
      <w:r>
        <w:rPr/>
        <w:t>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金融工具列报》（以下</w:t>
      </w:r>
    </w:p>
    <w:p>
      <w:pPr>
        <w:pStyle w:val="BodyText"/>
        <w:spacing w:line="340" w:lineRule="auto" w:before="63"/>
        <w:ind w:left="513" w:right="0" w:hanging="361"/>
        <w:jc w:val="left"/>
      </w:pPr>
      <w:r>
        <w:rPr/>
        <w:t>简称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，修订前的金融工具准则简称</w:t>
      </w:r>
      <w:r>
        <w:rPr>
          <w:rFonts w:ascii="Times New Roman" w:hAnsi="Times New Roman" w:cs="Times New Roman" w:eastAsia="Times New Roman" w:hint="default"/>
        </w:rPr>
        <w:t>“</w:t>
      </w:r>
      <w:r>
        <w:rPr/>
        <w:t>原金融工具准则</w:t>
      </w:r>
      <w:r>
        <w:rPr>
          <w:rFonts w:ascii="Times New Roman" w:hAnsi="Times New Roman" w:cs="Times New Roman" w:eastAsia="Times New Roman" w:hint="default"/>
        </w:rPr>
        <w:t>”</w:t>
      </w:r>
      <w:r>
        <w:rPr/>
        <w:t>）。 </w:t>
      </w:r>
      <w:r>
        <w:rPr>
          <w:spacing w:val="-2"/>
        </w:rPr>
        <w:t>金融资产分类与计量方面，新金融工具准则要求金融资产基于其合同现金流量特征及企业管理该等资产的业务模式分类</w:t>
      </w:r>
    </w:p>
    <w:p>
      <w:pPr>
        <w:pStyle w:val="BodyText"/>
        <w:spacing w:line="309" w:lineRule="auto" w:before="1"/>
        <w:ind w:right="1133"/>
        <w:jc w:val="both"/>
      </w:pPr>
      <w:r>
        <w:rPr/>
        <w:t>为</w:t>
      </w:r>
      <w:r>
        <w:rPr>
          <w:rFonts w:ascii="Times New Roman" w:hAnsi="Times New Roman" w:cs="Times New Roman" w:eastAsia="Times New Roman" w:hint="default"/>
        </w:rPr>
        <w:t>“</w:t>
      </w:r>
      <w:r>
        <w:rPr/>
        <w:t>以摊余成本计量的金融资产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以公允价值计量且其变动计入其他综合收益的金融资产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以公允价值计量且其变动计 入当期损益的金融资产</w:t>
      </w:r>
      <w:r>
        <w:rPr>
          <w:rFonts w:ascii="Times New Roman" w:hAnsi="Times New Roman" w:cs="Times New Roman" w:eastAsia="Times New Roman" w:hint="default"/>
        </w:rPr>
        <w:t>”</w:t>
      </w:r>
      <w:r>
        <w:rPr/>
        <w:t>三大类别。取消了贷款和应收款项、持有至到期投资和可供出售金融资产等原分类。权益工具投资 </w:t>
      </w:r>
      <w:r>
        <w:rPr>
          <w:spacing w:val="-2"/>
        </w:rPr>
        <w:t>一般分类为以公允价值计量且其变动计入当期损益的金融资产，也允许企业将非交易性权益工具投资指定为以公允价值计量</w:t>
      </w:r>
      <w:r>
        <w:rPr>
          <w:spacing w:val="-64"/>
        </w:rPr>
        <w:t> </w:t>
      </w:r>
      <w:r>
        <w:rPr>
          <w:spacing w:val="-64"/>
        </w:rPr>
      </w:r>
      <w:r>
        <w:rPr>
          <w:spacing w:val="-2"/>
        </w:rPr>
        <w:t>且其变动计入其他综合收益的金融资产，但该指定不可撤销，且在处置时不得将原计入其他综合收益的累计公允价值变动额</w:t>
      </w:r>
      <w:r>
        <w:rPr>
          <w:spacing w:val="-64"/>
        </w:rPr>
        <w:t> </w:t>
      </w:r>
      <w:r>
        <w:rPr>
          <w:spacing w:val="-64"/>
        </w:rPr>
      </w:r>
      <w:r>
        <w:rPr/>
        <w:t>结转计入当期损益。</w:t>
      </w:r>
    </w:p>
    <w:p>
      <w:pPr>
        <w:pStyle w:val="BodyText"/>
        <w:spacing w:line="314" w:lineRule="auto" w:before="65"/>
        <w:ind w:right="1131" w:firstLine="360"/>
        <w:jc w:val="both"/>
      </w:pPr>
      <w:r>
        <w:rPr>
          <w:spacing w:val="-2"/>
        </w:rPr>
        <w:t>金融资产减值方面，新金融工具准则有关减值的要求适用于本集团以摊余成本计量以及分类为以公允价值计量且其变动</w:t>
      </w:r>
      <w:r>
        <w:rPr/>
        <w:t> </w:t>
      </w:r>
      <w:r>
        <w:rPr>
          <w:spacing w:val="-5"/>
        </w:rPr>
        <w:t>计入其他综合收益的金融资产（债务工具）。新金融工具准则要求采用预期信用损失模型以替代原先的已发生信用损失模型。</w:t>
      </w:r>
      <w:r>
        <w:rPr>
          <w:spacing w:val="-78"/>
        </w:rPr>
        <w:t> </w:t>
      </w:r>
      <w:r>
        <w:rPr>
          <w:spacing w:val="-78"/>
        </w:rPr>
      </w:r>
      <w:r>
        <w:rPr>
          <w:spacing w:val="-2"/>
        </w:rPr>
        <w:t>新减值模型要求采用三阶段模型，依据相关项目自初始确认后信用风险是否发生显著增加，信用损失准备按</w:t>
      </w:r>
      <w:r>
        <w:rPr>
          <w:rFonts w:ascii="Times New Roman" w:hAnsi="Times New Roman" w:cs="Times New Roman" w:eastAsia="Times New Roman" w:hint="default"/>
          <w:spacing w:val="-2"/>
        </w:rPr>
        <w:t>12</w:t>
      </w:r>
      <w:r>
        <w:rPr>
          <w:spacing w:val="-2"/>
        </w:rPr>
        <w:t>个月内预期信</w:t>
      </w:r>
      <w:r>
        <w:rPr>
          <w:spacing w:val="-61"/>
        </w:rPr>
        <w:t> </w:t>
      </w:r>
      <w:r>
        <w:rPr>
          <w:spacing w:val="-61"/>
        </w:rPr>
      </w:r>
      <w:r>
        <w:rPr>
          <w:spacing w:val="-2"/>
        </w:rPr>
        <w:t>用损失或者整个存续期的预期信用损失进行计提。对于由收入准则规范的交易形成的应收账款存在简化方法，允许始终按照</w:t>
      </w:r>
      <w:r>
        <w:rPr>
          <w:spacing w:val="-64"/>
        </w:rPr>
        <w:t> </w:t>
      </w:r>
      <w:r>
        <w:rPr>
          <w:spacing w:val="-64"/>
        </w:rPr>
      </w:r>
      <w:r>
        <w:rPr/>
        <w:t>整个存续期预期信用损失确认减值准备。</w:t>
      </w:r>
    </w:p>
    <w:p>
      <w:pPr>
        <w:pStyle w:val="BodyText"/>
        <w:spacing w:line="300" w:lineRule="auto" w:before="59"/>
        <w:ind w:right="1132" w:firstLine="360"/>
        <w:jc w:val="both"/>
      </w:pPr>
      <w:r>
        <w:rPr>
          <w:spacing w:val="-2"/>
        </w:rPr>
        <w:t>本集团自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日起施行上述新金融工具准则，并自该日起按照新金融工具准则的规定确认、计量和报告本集团的</w:t>
      </w:r>
      <w:r>
        <w:rPr/>
        <w:t> 金融工具。本集团变更后的会计政策详见附注五、</w:t>
      </w:r>
      <w:r>
        <w:rPr>
          <w:rFonts w:ascii="Times New Roman" w:hAnsi="Times New Roman" w:cs="Times New Roman" w:eastAsia="Times New Roman" w:hint="default"/>
        </w:rPr>
        <w:t>10</w:t>
      </w:r>
      <w:r>
        <w:rPr/>
        <w:t>。</w:t>
      </w:r>
    </w:p>
    <w:p>
      <w:pPr>
        <w:pStyle w:val="BodyText"/>
        <w:spacing w:line="309" w:lineRule="auto" w:before="53"/>
        <w:ind w:right="1130" w:firstLine="36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日之前的金融工具确认和计量与新金融工具准则要求不一致的，本集团按照新金融工具准则的要求进行衔</w:t>
      </w:r>
      <w:r>
        <w:rPr/>
        <w:t> </w:t>
      </w:r>
      <w:r>
        <w:rPr>
          <w:spacing w:val="-2"/>
        </w:rPr>
        <w:t>接调整。涉及前期比较财务报表数据与新金融工具准则要求不一致的，本集团不进行调整。金融工具原账面价值和在新金融</w:t>
      </w:r>
      <w:r>
        <w:rPr>
          <w:spacing w:val="-63"/>
        </w:rPr>
        <w:t> </w:t>
      </w:r>
      <w:r>
        <w:rPr>
          <w:spacing w:val="-63"/>
        </w:rPr>
      </w:r>
      <w:r>
        <w:rPr/>
        <w:t>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3）2019年起执行新金融工具准则、新收入准则或新租赁准则调整执行当年年初财务" w:id="221"/>
      <w:bookmarkEnd w:id="22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72" w:right="0"/>
              <w:jc w:val="left"/>
              <w:rPr>
                <w:rFonts w:ascii="Times New Roman" w:hAnsi="Times New Roman" w:cs="Times New Roman" w:eastAsia="Times New Roman" w:hint="default"/>
                <w:sz w:val="18"/>
                <w:szCs w:val="18"/>
              </w:rPr>
            </w:pPr>
            <w:r>
              <w:rPr>
                <w:rFonts w:ascii="Times New Roman"/>
                <w:sz w:val="18"/>
              </w:rPr>
              <w:t>1,618,156,211.49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1,617,156,211.49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10,485,496.36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10,485,496.36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397,002.56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-397,002.56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1,203,934,982.01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891,851,683.93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-312,083,298.08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8,604,664,663.56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8,600,087,141.60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-4,577,521.96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299,260,296.68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299,260,296.68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1,732,054,977.57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1,732,054,977.57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219,791,926.88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217,105,631.86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-2,686,295.02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6,507,068,213.06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6,507,068,213.06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1,532,681.81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1,532,681.81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413,690,918.38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404,690,918.38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20,301,291,577.32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20,281,293,252.74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-19,998,324.58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85,545,074.50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-85,545,074.50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3,574,146.34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3,538,404.88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-35,741.46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1,054,524,805.32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1,054,524,805.32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23,795,074.50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177,623,847.23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177,623,847.23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170,344,840.12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170,344,840.12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314,493,973.34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314,493,973.34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2,546,113,647.63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2,546,113,647.63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931,286,825.05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931,286,825.05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14,868,225.61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14,868,225.61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284,548,528.97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277,041,110.40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-7,507,418.57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101,236,458.63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101,236,458.63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5,684,160,372.74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5,724,867,212.71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40,706,839.97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25,985,451,950.06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26,006,160,465.45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20,708,515.39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8,819,165,410.43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8,819,165,410.43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21,091,940.85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21,091,940.85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2,573,972,176.18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2,573,972,176.18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6,044,742,292.99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6,044,742,292.99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1,136,098,409.12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1,136,098,409.12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350,588,626.06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350,588,626.06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295,979,343.05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295,979,343.05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603,095,190.94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603,095,190.94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461,111,943.16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461,111,943.16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7,076,120.61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7,076,120.61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20,312,921,453.39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20,312,921,453.39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1,713,570,416.67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1,713,570,416.67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13,817,213.09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29,277,180.46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29,277,180.46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69,375,436.71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69,375,436.71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1,826,040,246.93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1,826,040,246.93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22,138,961,700.32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22,138,961,700.32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654,070,434.00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2,380,341,533.95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2,380,341,533.95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6,267,874.72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3,407,075.82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6" w:right="0"/>
              <w:jc w:val="left"/>
              <w:rPr>
                <w:rFonts w:ascii="Times New Roman" w:hAnsi="Times New Roman" w:cs="Times New Roman" w:eastAsia="Times New Roman" w:hint="default"/>
                <w:sz w:val="18"/>
                <w:szCs w:val="18"/>
              </w:rPr>
            </w:pPr>
            <w:r>
              <w:rPr>
                <w:rFonts w:ascii="Times New Roman"/>
                <w:sz w:val="18"/>
              </w:rPr>
              <w:t>-2,860,798.90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84,202,949.86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84,202,949.86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716,563,287.65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740,156,346.14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23,593,058.49</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3,841,446,080.18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3,862,178,339.77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20,732,259.59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5,044,169.56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5,020,425.36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-23,744.20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3,846,490,249.74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3,867,198,765.13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20,708,515.39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25,985,451,950.06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26,006,160,465.45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20,708,515.39</w:t>
            </w:r>
          </w:p>
        </w:tc>
      </w:tr>
    </w:tbl>
    <w:p>
      <w:pPr>
        <w:pStyle w:val="BodyText"/>
        <w:spacing w:line="240" w:lineRule="auto" w:before="49"/>
        <w:ind w:right="0"/>
        <w:jc w:val="left"/>
      </w:pPr>
      <w:r>
        <w:rPr/>
        <w:t>调整情况说明</w:t>
      </w:r>
    </w:p>
    <w:p>
      <w:pPr>
        <w:pStyle w:val="BodyText"/>
        <w:spacing w:line="300" w:lineRule="auto" w:before="115"/>
        <w:ind w:right="0" w:firstLine="360"/>
        <w:jc w:val="left"/>
      </w:pP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、《企业会计准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及《企业会计</w:t>
      </w:r>
      <w:r>
        <w:rPr>
          <w:spacing w:val="-58"/>
        </w:rPr>
        <w:t> </w:t>
      </w:r>
      <w:r>
        <w:rPr>
          <w:spacing w:val="-58"/>
        </w:rPr>
      </w:r>
      <w:r>
        <w:rPr/>
        <w:t>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日起执行上述新金融工具准则。根据衔接规定，</w:t>
      </w:r>
      <w:r>
        <w:rPr>
          <w:spacing w:val="-39"/>
        </w:rPr>
        <w:t> </w:t>
      </w:r>
      <w:r>
        <w:rPr>
          <w:spacing w:val="-39"/>
        </w:rPr>
      </w:r>
      <w:r>
        <w:rPr>
          <w:spacing w:val="-5"/>
        </w:rPr>
        <w:t>可比期间信息不予调整，金融工具原账面价值和在准则施行日的新账面价值之间的差额，计入施行日所在年度（即</w:t>
      </w:r>
      <w:r>
        <w:rPr>
          <w:rFonts w:ascii="Times New Roman" w:hAnsi="Times New Roman" w:cs="Times New Roman" w:eastAsia="Times New Roman" w:hint="default"/>
          <w:spacing w:val="-5"/>
        </w:rPr>
        <w:t>2019</w:t>
      </w:r>
      <w:r>
        <w:rPr>
          <w:spacing w:val="-5"/>
        </w:rPr>
        <w:t>年度）</w:t>
      </w:r>
      <w:r>
        <w:rPr>
          <w:spacing w:val="-63"/>
        </w:rPr>
        <w:t> </w:t>
      </w:r>
      <w:r>
        <w:rPr/>
        <w:t>报告期的期初留存收益及其他综合收益。</w:t>
      </w: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母公司资产负债表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1,732,955.04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1,732,955.04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57,652.48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57,364.22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1,111,278,251.43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1,111,278,251.43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9,859,772.87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9,859,772.87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1,122,928,631.82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1,122,928,343.56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23,795,074.50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5,691,270,383.44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5,691,270,383.44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23,795,074.50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605,001.88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605,001.88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304,062,813.53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304,062,813.53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2,486,199,638.07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2,486,199,638.07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98,890,909.09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98,890,909.09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8,604,823,820.51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8,604,823,820.51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9,727,752,452.33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9,727,752,164.07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2,509,209,516.65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2,509,209,516.65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6,845,506.40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6,845,506.40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456,172.69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456,172.69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320,638,620.88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320,638,620.88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3,187,149,816.62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3,187,149,816.62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3,157,367,083.29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3,157,367,083.29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3,157,367,083.29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3,157,367,083.29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6,344,516,899.91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6,344,516,899.91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654,070,434.00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654,070,434.00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2,489,627,616.35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2,489,627,616.35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-10,844,655.07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-10,844,655.07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84,202,949.86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84,202,949.86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166,179,207.28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166,178,919.02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3,383,235,552.42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3,383,235,264.16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9,727,752,452.33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9,727,752,164.07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-288.26</w:t>
            </w:r>
          </w:p>
        </w:tc>
      </w:tr>
    </w:tbl>
    <w:p>
      <w:pPr>
        <w:pStyle w:val="BodyText"/>
        <w:spacing w:line="240" w:lineRule="auto" w:before="49"/>
        <w:ind w:right="0"/>
        <w:jc w:val="left"/>
      </w:pPr>
      <w:r>
        <w:rPr/>
        <w:t>调整情况说明</w:t>
      </w:r>
    </w:p>
    <w:p>
      <w:pPr>
        <w:pStyle w:val="BodyText"/>
        <w:spacing w:line="300" w:lineRule="auto" w:before="115"/>
        <w:ind w:right="0" w:firstLine="360"/>
        <w:jc w:val="left"/>
      </w:pP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、《企业会计准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及《企业会计</w:t>
      </w:r>
      <w:r>
        <w:rPr>
          <w:spacing w:val="-58"/>
        </w:rPr>
        <w:t> </w:t>
      </w:r>
      <w:r>
        <w:rPr>
          <w:spacing w:val="-58"/>
        </w:rPr>
      </w:r>
      <w:r>
        <w:rPr/>
        <w:t>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日起执行上述新金融工具准则。根据衔接规定，</w:t>
      </w:r>
      <w:r>
        <w:rPr>
          <w:spacing w:val="-39"/>
        </w:rPr>
        <w:t> </w:t>
      </w:r>
      <w:r>
        <w:rPr>
          <w:spacing w:val="-39"/>
        </w:rPr>
      </w:r>
      <w:r>
        <w:rPr>
          <w:spacing w:val="-5"/>
        </w:rPr>
        <w:t>可比期间信息不予调整，金融工具原账面价值和在准则施行日的新账面价值之间的差额，计入施行日所在年度（即</w:t>
      </w:r>
      <w:r>
        <w:rPr>
          <w:rFonts w:ascii="Times New Roman" w:hAnsi="Times New Roman" w:cs="Times New Roman" w:eastAsia="Times New Roman" w:hint="default"/>
          <w:spacing w:val="-5"/>
        </w:rPr>
        <w:t>2019</w:t>
      </w:r>
      <w:r>
        <w:rPr>
          <w:spacing w:val="-5"/>
        </w:rPr>
        <w:t>年度）</w:t>
      </w:r>
      <w:r>
        <w:rPr>
          <w:spacing w:val="-63"/>
        </w:rPr>
        <w:t> </w:t>
      </w:r>
      <w:r>
        <w:rPr/>
        <w:t>报告期的期初留存收益。</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4）2019年起执行新金融工具准则或新租赁准则追溯调整前期比较数据说明" w:id="222"/>
      <w:bookmarkEnd w:id="22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税项" w:id="223"/>
      <w:bookmarkEnd w:id="223"/>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神州数码数据服务（香港）有限公司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神州数码科技服务有限公司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武汉神州数码云科网络技术有限公司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深圳神州数码电商服务有限公司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上海云角信息技术（美国）有限公司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4"/>
                <w:sz w:val="18"/>
              </w:rPr>
              <w:t> </w:t>
            </w:r>
            <w:r>
              <w:rPr>
                <w:rFonts w:ascii="Times New Roman"/>
                <w:sz w:val="18"/>
              </w:rPr>
              <w:t>China</w:t>
            </w:r>
            <w:r>
              <w:rPr>
                <w:rFonts w:ascii="Times New Roman"/>
                <w:spacing w:val="-7"/>
                <w:sz w:val="18"/>
              </w:rPr>
              <w:t> </w:t>
            </w:r>
            <w:r>
              <w:rPr>
                <w:rFonts w:ascii="Times New Roman"/>
                <w:sz w:val="18"/>
              </w:rPr>
              <w:t>Technology</w:t>
            </w:r>
            <w:r>
              <w:rPr>
                <w:rFonts w:ascii="Times New Roman"/>
                <w:spacing w:val="-8"/>
                <w:sz w:val="18"/>
              </w:rPr>
              <w:t> </w:t>
            </w:r>
            <w:r>
              <w:rPr>
                <w:rFonts w:ascii="Times New Roman"/>
                <w:sz w:val="18"/>
              </w:rPr>
              <w:t>International</w:t>
            </w:r>
            <w:r>
              <w:rPr>
                <w:rFonts w:ascii="Times New Roman"/>
                <w:spacing w:val="-4"/>
                <w:sz w:val="18"/>
              </w:rPr>
              <w:t> </w:t>
            </w:r>
            <w:r>
              <w:rPr>
                <w:rFonts w:ascii="Times New Roman"/>
                <w:sz w:val="18"/>
              </w:rPr>
              <w:t>(Sin)</w:t>
            </w:r>
            <w:r>
              <w:rPr>
                <w:rFonts w:ascii="Times New Roman"/>
                <w:spacing w:val="-9"/>
                <w:sz w:val="18"/>
              </w:rPr>
              <w:t> </w:t>
            </w:r>
            <w:r>
              <w:rPr>
                <w:rFonts w:ascii="Times New Roman"/>
                <w:sz w:val="18"/>
              </w:rPr>
              <w:t>PTE</w:t>
            </w:r>
            <w:r>
              <w:rPr>
                <w:rFonts w:ascii="Times New Roman"/>
                <w:spacing w:val="-4"/>
                <w:sz w:val="18"/>
              </w:rPr>
              <w:t> </w:t>
            </w:r>
            <w:r>
              <w:rPr>
                <w:rFonts w:ascii="Times New Roman"/>
                <w:spacing w:val="-7"/>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Digital China Technology    (Malaysia) Sdn.</w:t>
            </w:r>
            <w:r>
              <w:rPr>
                <w:rFonts w:ascii="Times New Roman"/>
                <w:spacing w:val="-31"/>
                <w:sz w:val="18"/>
              </w:rPr>
              <w:t> </w:t>
            </w:r>
            <w:r>
              <w:rPr>
                <w:rFonts w:ascii="Times New Roman"/>
                <w:sz w:val="18"/>
              </w:rPr>
              <w:t>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西安神州数码有限公司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本公司之子公司神州数码（中国）有限公司、北京神州数码云科信息技术有限公司、上海云角信息技术有限公司，根据</w:t>
      </w:r>
    </w:p>
    <w:p>
      <w:pPr>
        <w:pStyle w:val="BodyText"/>
        <w:spacing w:line="300" w:lineRule="auto" w:before="76"/>
        <w:ind w:right="1184"/>
        <w:jc w:val="left"/>
      </w:pPr>
      <w:r>
        <w:rPr/>
        <w:t>《财政部、国家税务总局关于软件产品增值税退税政策的通知》（财税</w:t>
      </w:r>
      <w:r>
        <w:rPr>
          <w:rFonts w:ascii="Times New Roman" w:hAnsi="Times New Roman" w:cs="Times New Roman" w:eastAsia="Times New Roman" w:hint="default"/>
        </w:rPr>
        <w:t>[2011]100</w:t>
      </w:r>
      <w:r>
        <w:rPr/>
        <w:t>号，以下简称《通知》），因软件产品符 合《通知》规定，于各报告期享受增值税即征即退的政策。</w:t>
      </w:r>
    </w:p>
    <w:p>
      <w:pPr>
        <w:pStyle w:val="BodyText"/>
        <w:spacing w:line="316" w:lineRule="auto" w:before="31"/>
        <w:ind w:right="0" w:firstLine="360"/>
        <w:jc w:val="left"/>
      </w:pPr>
      <w:r>
        <w:rPr>
          <w:spacing w:val="-2"/>
        </w:rPr>
        <w:t>本公司之子公司神州数码（中国）有限公司、北京神州数码有限公司，根据《财政部、国家税务总局关于将铁路运输和</w:t>
      </w:r>
      <w:r>
        <w:rPr/>
        <w:t> 邮政业纳入营业税改征增值税试点的通知》（财税</w:t>
      </w:r>
      <w:r>
        <w:rPr>
          <w:rFonts w:ascii="Times New Roman" w:hAnsi="Times New Roman" w:cs="Times New Roman" w:eastAsia="Times New Roman" w:hint="default"/>
        </w:rPr>
        <w:t>[2013]106</w:t>
      </w:r>
      <w:r>
        <w:rPr/>
        <w:t>号），技术转让、技术开发收入免征增值税。</w:t>
      </w:r>
    </w:p>
    <w:p>
      <w:pPr>
        <w:pStyle w:val="BodyText"/>
        <w:spacing w:line="312" w:lineRule="auto"/>
        <w:ind w:right="1034" w:firstLine="360"/>
        <w:jc w:val="left"/>
      </w:pPr>
      <w:r>
        <w:rPr>
          <w:spacing w:val="-2"/>
        </w:rPr>
        <w:t>本公司之子公司北京神州数码云计算有限公司、上海云角信息技术有限公司、北京神州数码云角信息技术有限公司，根</w:t>
      </w:r>
      <w:r>
        <w:rPr/>
        <w:t> 据财政部、国家税务总局、海关总署联合发布的《关于深化增值税改革有关政策的公告》（财政部 税务总局</w:t>
      </w:r>
      <w:r>
        <w:rPr>
          <w:spacing w:val="-65"/>
        </w:rPr>
        <w:t> </w:t>
      </w:r>
      <w:r>
        <w:rPr/>
        <w:t>海关总署公告</w:t>
      </w:r>
      <w:r>
        <w:rPr/>
        <w:t> </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日，允许生产、生活性服务业纳税人按照当期可抵扣进项税额加计</w:t>
      </w:r>
      <w:r>
        <w:rPr>
          <w:rFonts w:ascii="Times New Roman" w:hAnsi="Times New Roman" w:cs="Times New Roman" w:eastAsia="Times New Roman" w:hint="default"/>
        </w:rPr>
        <w:t>10%</w:t>
      </w:r>
      <w:r>
        <w:rPr/>
        <w:t>，</w:t>
      </w:r>
      <w:r>
        <w:rPr>
          <w:spacing w:val="-66"/>
        </w:rPr>
        <w:t> </w:t>
      </w:r>
      <w:r>
        <w:rPr/>
        <w:t>抵减应纳税额</w:t>
      </w:r>
    </w:p>
    <w:p>
      <w:pPr>
        <w:pStyle w:val="BodyText"/>
        <w:spacing w:line="240" w:lineRule="auto" w:before="23"/>
        <w:ind w:left="513" w:right="0"/>
        <w:jc w:val="left"/>
      </w:pPr>
      <w:r>
        <w:rPr/>
        <w:t>本公司之子公司北京神州数码云科信息技术有限公司于</w:t>
      </w:r>
      <w:r>
        <w:rPr>
          <w:rFonts w:ascii="Times New Roman" w:hAnsi="Times New Roman" w:cs="Times New Roman" w:eastAsia="Times New Roman" w:hint="default"/>
        </w:rPr>
        <w:t>2008</w:t>
      </w:r>
      <w:r>
        <w:rPr/>
        <w:t>年申报通过高新技术企业资格认定，并于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2014</w:t>
      </w:r>
      <w:r>
        <w:rPr/>
        <w:t>年和</w:t>
      </w:r>
    </w:p>
    <w:p>
      <w:pPr>
        <w:pStyle w:val="BodyText"/>
        <w:spacing w:line="300" w:lineRule="auto" w:before="63"/>
        <w:ind w:left="513" w:right="0" w:hanging="361"/>
        <w:jc w:val="left"/>
      </w:pPr>
      <w:r>
        <w:rPr>
          <w:rFonts w:ascii="Times New Roman" w:hAnsi="Times New Roman" w:cs="Times New Roman" w:eastAsia="Times New Roman" w:hint="default"/>
        </w:rPr>
        <w:t>2017</w:t>
      </w:r>
      <w:r>
        <w:rPr/>
        <w:t>年资格复审合格，因此，作为国家需要重点扶持的高新技术企业在本报告期减按</w:t>
      </w:r>
      <w:r>
        <w:rPr>
          <w:rFonts w:ascii="Times New Roman" w:hAnsi="Times New Roman" w:cs="Times New Roman" w:eastAsia="Times New Roman" w:hint="default"/>
        </w:rPr>
        <w:t>15%</w:t>
      </w:r>
      <w:r>
        <w:rPr/>
        <w:t>的税率征收企业所得税。 </w:t>
      </w:r>
      <w:r>
        <w:rPr>
          <w:spacing w:val="-2"/>
        </w:rPr>
        <w:t>本公司之子公司武汉神州数码云科网络技术有限公司于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日申报通过高新技术企业资格认定，因此作为国家</w:t>
      </w:r>
    </w:p>
    <w:p>
      <w:pPr>
        <w:pStyle w:val="BodyText"/>
        <w:spacing w:line="300" w:lineRule="auto" w:before="13"/>
        <w:ind w:left="513" w:right="1161" w:hanging="361"/>
        <w:jc w:val="left"/>
      </w:pPr>
      <w:r>
        <w:rPr/>
        <w:t>需要重点扶持的高新技术企业在本报告期减按</w:t>
      </w:r>
      <w:r>
        <w:rPr>
          <w:rFonts w:ascii="Times New Roman" w:hAnsi="Times New Roman" w:cs="Times New Roman" w:eastAsia="Times New Roman" w:hint="default"/>
        </w:rPr>
        <w:t>15%</w:t>
      </w:r>
      <w:r>
        <w:rPr/>
        <w:t>的税率征收企业所得税。 本公司之子公司深圳神州数码电商服务有限公司，根据深前海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152</w:t>
      </w:r>
      <w:r>
        <w:rPr/>
        <w:t>号</w:t>
      </w:r>
      <w:r>
        <w:rPr>
          <w:spacing w:val="-38"/>
        </w:rPr>
        <w:t> </w:t>
      </w:r>
      <w:r>
        <w:rPr/>
        <w:t>深圳前海深港现代服务业合作区企业所得</w:t>
      </w:r>
    </w:p>
    <w:p>
      <w:pPr>
        <w:pStyle w:val="BodyText"/>
        <w:spacing w:line="340" w:lineRule="auto" w:before="13"/>
        <w:ind w:left="441" w:right="0" w:hanging="289"/>
        <w:jc w:val="left"/>
      </w:pPr>
      <w:r>
        <w:rPr/>
        <w:t>税优惠产业认定操作指引的通告，因符合规定，于报告期享受</w:t>
      </w:r>
      <w:r>
        <w:rPr>
          <w:rFonts w:ascii="Times New Roman" w:hAnsi="Times New Roman" w:cs="Times New Roman" w:eastAsia="Times New Roman" w:hint="default"/>
        </w:rPr>
        <w:t>15%</w:t>
      </w:r>
      <w:r>
        <w:rPr/>
        <w:t>的税率征收企业所得税。 本公司之子公司上海云角信息技术有限公司于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日申报通过高新技术企业资格认定，于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日进行</w:t>
      </w:r>
    </w:p>
    <w:p>
      <w:pPr>
        <w:pStyle w:val="BodyText"/>
        <w:spacing w:line="228" w:lineRule="exact"/>
        <w:ind w:right="0"/>
        <w:jc w:val="left"/>
      </w:pPr>
      <w:r>
        <w:rPr/>
        <w:t>所得税优惠事项备案，上海市闵行区国家税务局第一税务所于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日通过。因此，</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的税率征收企业所</w:t>
      </w:r>
    </w:p>
    <w:p>
      <w:pPr>
        <w:pStyle w:val="BodyText"/>
        <w:spacing w:line="240" w:lineRule="auto" w:before="63"/>
        <w:ind w:right="0"/>
        <w:jc w:val="left"/>
      </w:pPr>
      <w:r>
        <w:rPr/>
        <w:t>得税。</w:t>
      </w:r>
    </w:p>
    <w:p>
      <w:pPr>
        <w:pStyle w:val="BodyText"/>
        <w:spacing w:line="307" w:lineRule="auto" w:before="117"/>
        <w:ind w:right="1128" w:firstLine="288"/>
        <w:jc w:val="both"/>
      </w:pPr>
      <w:r>
        <w:rPr>
          <w:spacing w:val="-1"/>
        </w:rPr>
        <w:t>本公司之子公司西安神州数码有限公司，根据《财政部税务总局关于实施小微企业普惠性税收减免政策的通知》（财税</w:t>
      </w:r>
      <w:r>
        <w:rPr/>
        <w:t> </w:t>
      </w:r>
      <w:r>
        <w:rPr>
          <w:rFonts w:ascii="Times New Roman" w:hAnsi="Times New Roman" w:cs="Times New Roman" w:eastAsia="Times New Roman" w:hint="default"/>
          <w:spacing w:val="-1"/>
        </w:rPr>
        <w:t>[2019]13</w:t>
      </w:r>
      <w:r>
        <w:rPr>
          <w:spacing w:val="-1"/>
        </w:rPr>
        <w:t>号）规定，对小型微利企业年应纳税所得额不超过</w:t>
      </w:r>
      <w:r>
        <w:rPr>
          <w:rFonts w:ascii="Times New Roman" w:hAnsi="Times New Roman" w:cs="Times New Roman" w:eastAsia="Times New Roman" w:hint="default"/>
          <w:spacing w:val="-1"/>
        </w:rPr>
        <w:t>100</w:t>
      </w:r>
      <w:r>
        <w:rPr>
          <w:spacing w:val="-1"/>
        </w:rPr>
        <w:t>万元的部分，减按</w:t>
      </w:r>
      <w:r>
        <w:rPr>
          <w:rFonts w:ascii="Times New Roman" w:hAnsi="Times New Roman" w:cs="Times New Roman" w:eastAsia="Times New Roman" w:hint="default"/>
          <w:spacing w:val="-1"/>
        </w:rPr>
        <w:t>25%</w:t>
      </w:r>
      <w:r>
        <w:rPr>
          <w:spacing w:val="-1"/>
        </w:rPr>
        <w:t>计入应纳税所得额，按</w:t>
      </w:r>
      <w:r>
        <w:rPr>
          <w:rFonts w:ascii="Times New Roman" w:hAnsi="Times New Roman" w:cs="Times New Roman" w:eastAsia="Times New Roman" w:hint="default"/>
          <w:spacing w:val="-1"/>
        </w:rPr>
        <w:t>20%</w:t>
      </w:r>
      <w:r>
        <w:rPr>
          <w:spacing w:val="-1"/>
        </w:rPr>
        <w:t>的税率缴纳</w:t>
      </w:r>
      <w:r>
        <w:rPr/>
        <w:t> </w:t>
      </w:r>
      <w:r>
        <w:rPr>
          <w:spacing w:val="-1"/>
        </w:rPr>
        <w:t>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w:t>
      </w:r>
      <w:r>
        <w:rPr>
          <w:spacing w:val="-57"/>
        </w:rPr>
        <w:t> </w:t>
      </w:r>
      <w:r>
        <w:rPr/>
        <w:t>所得税。</w:t>
      </w:r>
      <w:r>
        <w:rPr>
          <w:rFonts w:ascii="Times New Roman" w:hAnsi="Times New Roman" w:cs="Times New Roman" w:eastAsia="Times New Roman" w:hint="default"/>
        </w:rPr>
        <w:t>2019</w:t>
      </w:r>
      <w:r>
        <w:rPr/>
        <w:t>年适用上述规定，可根据应纳税所得额实际情况，自行适用相应减免优惠政策。</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3、其他" w:id="226"/>
      <w:bookmarkEnd w:id="226"/>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神州数码澳门离岸商业服务有限公司由于满足中国澳门离岸业务法令规定的或许可在澳门地区营运的离岸机构规定，从</w:t>
      </w:r>
      <w:r>
        <w:rPr/>
        <w:t> 事离岸业务时获得收益不缴纳澳门所得补充税，收益派息回到国内需要缴纳</w:t>
      </w:r>
      <w:r>
        <w:rPr>
          <w:rFonts w:ascii="Times New Roman" w:hAnsi="Times New Roman" w:cs="Times New Roman" w:eastAsia="Times New Roman" w:hint="default"/>
        </w:rPr>
        <w:t>25%</w:t>
      </w:r>
      <w:r>
        <w:rPr/>
        <w:t>的中国企业所得税。</w:t>
      </w:r>
    </w:p>
    <w:p>
      <w:pPr>
        <w:pStyle w:val="BodyText"/>
        <w:spacing w:line="316" w:lineRule="auto" w:before="40"/>
        <w:ind w:right="0" w:firstLine="360"/>
        <w:jc w:val="left"/>
      </w:pPr>
      <w:r>
        <w:rPr>
          <w:spacing w:val="-2"/>
        </w:rPr>
        <w:t>神州数码科技发展有限公司、神州数码网络（香港）有限公司由于满足中国香港离岸业务法令规定的或许可在香港地区</w:t>
      </w:r>
      <w:r>
        <w:rPr/>
        <w:t> 营运的离岸机构规定，从事离岸业务获得收益不缴纳香港利得税，收益派息回到国内需要缴纳</w:t>
      </w:r>
      <w:r>
        <w:rPr>
          <w:rFonts w:ascii="Times New Roman" w:hAnsi="Times New Roman" w:cs="Times New Roman" w:eastAsia="Times New Roman" w:hint="default"/>
        </w:rPr>
        <w:t>25%</w:t>
      </w:r>
      <w:r>
        <w:rPr/>
        <w:t>的中国企业所得税。</w:t>
      </w:r>
    </w:p>
    <w:p>
      <w:pPr>
        <w:spacing w:after="0" w:line="31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45,922.24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3,374,316,265.39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1,141,986,882.96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625,693,066.68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475,123,406.29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4,000,033,909.38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1,617,156,211.49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612,083,522.25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110,774,897.20</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924,758,227.87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648,534,773.63</w:t>
            </w:r>
          </w:p>
        </w:tc>
      </w:tr>
    </w:tbl>
    <w:p>
      <w:pPr>
        <w:pStyle w:val="BodyText"/>
        <w:spacing w:line="240" w:lineRule="auto" w:before="49"/>
        <w:ind w:right="0"/>
        <w:jc w:val="left"/>
      </w:pPr>
      <w:r>
        <w:rPr/>
        <w:t>其他说明</w:t>
      </w:r>
    </w:p>
    <w:p>
      <w:pPr>
        <w:pStyle w:val="BodyText"/>
        <w:spacing w:line="300" w:lineRule="auto" w:before="117"/>
        <w:ind w:right="0" w:firstLine="360"/>
        <w:jc w:val="left"/>
      </w:pPr>
      <w:r>
        <w:rPr>
          <w:spacing w:val="-2"/>
        </w:rPr>
        <w:t>本报告期末银行存款余额中包括受限金额</w:t>
      </w:r>
      <w:r>
        <w:rPr>
          <w:rFonts w:ascii="Times New Roman" w:hAnsi="Times New Roman" w:cs="Times New Roman" w:eastAsia="Times New Roman" w:hint="default"/>
          <w:spacing w:val="-2"/>
        </w:rPr>
        <w:t>299,354,487.15</w:t>
      </w:r>
      <w:r>
        <w:rPr>
          <w:spacing w:val="-2"/>
        </w:rPr>
        <w:t>元，其中，因未决诉讼被冻结的资金</w:t>
      </w:r>
      <w:r>
        <w:rPr>
          <w:rFonts w:ascii="Times New Roman" w:hAnsi="Times New Roman" w:cs="Times New Roman" w:eastAsia="Times New Roman" w:hint="default"/>
          <w:spacing w:val="-2"/>
        </w:rPr>
        <w:t>19,345,187.21</w:t>
      </w:r>
      <w:r>
        <w:rPr>
          <w:spacing w:val="-2"/>
        </w:rPr>
        <w:t>元，受限制定</w:t>
      </w:r>
      <w:r>
        <w:rPr/>
        <w:t> 期存款</w:t>
      </w:r>
      <w:r>
        <w:rPr>
          <w:rFonts w:ascii="Times New Roman" w:hAnsi="Times New Roman" w:cs="Times New Roman" w:eastAsia="Times New Roman" w:hint="default"/>
        </w:rPr>
        <w:t>100,000,000.00</w:t>
      </w:r>
      <w:r>
        <w:rPr/>
        <w:t>元，受限制结构性存款</w:t>
      </w:r>
      <w:r>
        <w:rPr>
          <w:rFonts w:ascii="Times New Roman" w:hAnsi="Times New Roman" w:cs="Times New Roman" w:eastAsia="Times New Roman" w:hint="default"/>
        </w:rPr>
        <w:t>180,000,000.00</w:t>
      </w:r>
      <w:r>
        <w:rPr/>
        <w:t>元，信贷资金监管账户存款受限余额</w:t>
      </w:r>
      <w:r>
        <w:rPr>
          <w:rFonts w:ascii="Times New Roman" w:hAnsi="Times New Roman" w:cs="Times New Roman" w:eastAsia="Times New Roman" w:hint="default"/>
        </w:rPr>
        <w:t>9,299.94</w:t>
      </w:r>
      <w:r>
        <w:rPr/>
        <w:t>元。 </w:t>
      </w:r>
      <w:r>
        <w:rPr>
          <w:spacing w:val="7"/>
        </w:rPr>
        <w:t>本报告期末其他货币资金余额中包括受限金额</w:t>
      </w:r>
      <w:r>
        <w:rPr>
          <w:rFonts w:ascii="Times New Roman" w:hAnsi="Times New Roman" w:cs="Times New Roman" w:eastAsia="Times New Roman" w:hint="default"/>
          <w:spacing w:val="7"/>
        </w:rPr>
        <w:t>625,403,740.72</w:t>
      </w:r>
      <w:r>
        <w:rPr>
          <w:spacing w:val="7"/>
        </w:rPr>
        <w:t>元，其中，保函保证金</w:t>
      </w:r>
      <w:r>
        <w:rPr>
          <w:rFonts w:ascii="Times New Roman" w:hAnsi="Times New Roman" w:cs="Times New Roman" w:eastAsia="Times New Roman" w:hint="default"/>
          <w:spacing w:val="7"/>
        </w:rPr>
        <w:t>260,478,246.26</w:t>
      </w:r>
      <w:r>
        <w:rPr>
          <w:rFonts w:ascii="Times New Roman" w:hAnsi="Times New Roman" w:cs="Times New Roman" w:eastAsia="Times New Roman" w:hint="default"/>
          <w:spacing w:val="-24"/>
        </w:rPr>
        <w:t> </w:t>
      </w:r>
      <w:r>
        <w:rPr>
          <w:spacing w:val="11"/>
        </w:rPr>
        <w:t>元，信用证保证金</w:t>
      </w:r>
      <w:r>
        <w:rPr>
          <w:spacing w:val="-81"/>
        </w:rPr>
        <w:t> </w:t>
      </w:r>
      <w:r>
        <w:rPr>
          <w:spacing w:val="-81"/>
        </w:rPr>
      </w:r>
      <w:r>
        <w:rPr>
          <w:rFonts w:ascii="Times New Roman" w:hAnsi="Times New Roman" w:cs="Times New Roman" w:eastAsia="Times New Roman" w:hint="default"/>
        </w:rPr>
        <w:t>356,657,293.25</w:t>
      </w:r>
      <w:r>
        <w:rPr/>
        <w:t>元，银行承兑汇票保证金</w:t>
      </w:r>
      <w:r>
        <w:rPr>
          <w:rFonts w:ascii="Times New Roman" w:hAnsi="Times New Roman" w:cs="Times New Roman" w:eastAsia="Times New Roman" w:hint="default"/>
        </w:rPr>
        <w:t>5,503,667.96</w:t>
      </w:r>
      <w:r>
        <w:rPr/>
        <w:t>元，衍生品保证金</w:t>
      </w:r>
      <w:r>
        <w:rPr>
          <w:rFonts w:ascii="Times New Roman" w:hAnsi="Times New Roman" w:cs="Times New Roman" w:eastAsia="Times New Roman" w:hint="default"/>
        </w:rPr>
        <w:t>2,764,533.25</w:t>
      </w:r>
      <w:r>
        <w:rPr/>
        <w:t>元；包括非受限金额</w:t>
      </w:r>
      <w:r>
        <w:rPr>
          <w:rFonts w:ascii="Times New Roman" w:hAnsi="Times New Roman" w:cs="Times New Roman" w:eastAsia="Times New Roman" w:hint="default"/>
        </w:rPr>
        <w:t>289,325.96</w:t>
      </w:r>
      <w:r>
        <w:rPr/>
        <w:t>元，其中</w:t>
      </w:r>
      <w:r>
        <w:rPr>
          <w:spacing w:val="-54"/>
        </w:rPr>
        <w:t> </w:t>
      </w:r>
      <w:r>
        <w:rPr>
          <w:spacing w:val="-54"/>
        </w:rPr>
      </w:r>
      <w:r>
        <w:rPr/>
        <w:t>支付宝余额</w:t>
      </w:r>
      <w:r>
        <w:rPr>
          <w:rFonts w:ascii="Times New Roman" w:hAnsi="Times New Roman" w:cs="Times New Roman" w:eastAsia="Times New Roman" w:hint="default"/>
        </w:rPr>
        <w:t>270,359.74</w:t>
      </w:r>
      <w:r>
        <w:rPr/>
        <w:t>元，</w:t>
      </w:r>
      <w:r>
        <w:rPr>
          <w:rFonts w:ascii="Times New Roman" w:hAnsi="Times New Roman" w:cs="Times New Roman" w:eastAsia="Times New Roman" w:hint="default"/>
        </w:rPr>
        <w:t>Paypal</w:t>
      </w:r>
      <w:r>
        <w:rPr/>
        <w:t>余额</w:t>
      </w:r>
      <w:r>
        <w:rPr>
          <w:rFonts w:ascii="Times New Roman" w:hAnsi="Times New Roman" w:cs="Times New Roman" w:eastAsia="Times New Roman" w:hint="default"/>
        </w:rPr>
        <w:t>18,966.22</w:t>
      </w:r>
      <w:r>
        <w:rPr/>
        <w:t>元。</w:t>
      </w:r>
    </w:p>
    <w:p>
      <w:pPr>
        <w:pStyle w:val="BodyText"/>
        <w:spacing w:line="240" w:lineRule="auto" w:before="13"/>
        <w:ind w:left="513" w:right="0"/>
        <w:jc w:val="left"/>
      </w:pPr>
      <w:r>
        <w:rPr/>
        <w:t>现金流量表中的现金及现金等价物，不包括上述受限资金。</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交易性金融资产" w:id="229"/>
      <w:bookmarkEnd w:id="22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6,193,221.28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10,485,496.36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6,193,221.28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397,002.56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10,088,493.80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6,193,221.28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10,485,496.36</w:t>
            </w:r>
          </w:p>
        </w:tc>
      </w:tr>
    </w:tbl>
    <w:p>
      <w:pPr>
        <w:pStyle w:val="BodyText"/>
        <w:spacing w:line="357" w:lineRule="auto" w:before="49"/>
        <w:ind w:right="9854"/>
        <w:jc w:val="left"/>
      </w:pPr>
      <w:r>
        <w:rPr/>
        <w:t>其他说明： 无</w:t>
      </w:r>
    </w:p>
    <w:p>
      <w:pPr>
        <w:spacing w:after="0" w:line="357" w:lineRule="auto"/>
        <w:jc w:val="left"/>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应收票据" w:id="230"/>
      <w:bookmarkEnd w:id="23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647"/>
        <w:gridCol w:w="4685"/>
        <w:gridCol w:w="4673"/>
      </w:tblGrid>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340,819,332.24</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891,851,683.93</w:t>
            </w:r>
          </w:p>
        </w:tc>
      </w:tr>
      <w:tr>
        <w:trPr>
          <w:trHeight w:val="404"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340,819,332.24</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891,851,683.93</w:t>
            </w:r>
          </w:p>
        </w:tc>
      </w:tr>
    </w:tbl>
    <w:p>
      <w:pPr>
        <w:pStyle w:val="BodyText"/>
        <w:spacing w:line="240" w:lineRule="auto" w:before="49"/>
        <w:ind w:left="0" w:right="15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57"/>
        <w:gridCol w:w="1198"/>
        <w:gridCol w:w="1090"/>
        <w:gridCol w:w="1092"/>
        <w:gridCol w:w="1092"/>
        <w:gridCol w:w="1188"/>
        <w:gridCol w:w="1186"/>
        <w:gridCol w:w="1145"/>
        <w:gridCol w:w="1337"/>
        <w:gridCol w:w="1145"/>
        <w:gridCol w:w="1188"/>
      </w:tblGrid>
      <w:tr>
        <w:trPr>
          <w:trHeight w:val="403" w:hRule="exact"/>
        </w:trPr>
        <w:tc>
          <w:tcPr>
            <w:tcW w:w="2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0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57" w:type="dxa"/>
            <w:vMerge/>
            <w:tcBorders>
              <w:left w:val="single" w:sz="4" w:space="0" w:color="000000"/>
              <w:bottom w:val="nil" w:sz="6" w:space="0" w:color="auto"/>
              <w:right w:val="single" w:sz="4" w:space="0" w:color="000000"/>
            </w:tcBorders>
            <w:shd w:val="clear" w:color="auto" w:fill="D2D2D2"/>
          </w:tcPr>
          <w:p>
            <w:pPr/>
          </w:p>
        </w:tc>
        <w:tc>
          <w:tcPr>
            <w:tcW w:w="2288" w:type="dxa"/>
            <w:gridSpan w:val="2"/>
            <w:vMerge/>
            <w:tcBorders>
              <w:left w:val="single" w:sz="4" w:space="0" w:color="000000"/>
              <w:bottom w:val="single" w:sz="4" w:space="0" w:color="000000"/>
              <w:right w:val="single" w:sz="4" w:space="0" w:color="000000"/>
            </w:tcBorders>
            <w:shd w:val="clear" w:color="auto" w:fill="D2D2D2"/>
          </w:tcPr>
          <w:p>
            <w:pPr/>
          </w:p>
        </w:tc>
        <w:tc>
          <w:tcPr>
            <w:tcW w:w="2184" w:type="dxa"/>
            <w:gridSpan w:val="2"/>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30" w:type="dxa"/>
            <w:gridSpan w:val="2"/>
            <w:vMerge/>
            <w:tcBorders>
              <w:left w:val="single" w:sz="4" w:space="0" w:color="000000"/>
              <w:bottom w:val="single" w:sz="4" w:space="0" w:color="000000"/>
              <w:right w:val="single" w:sz="4" w:space="0" w:color="000000"/>
            </w:tcBorders>
            <w:shd w:val="clear" w:color="auto" w:fill="D2D2D2"/>
          </w:tcPr>
          <w:p>
            <w:pPr/>
          </w:p>
        </w:tc>
        <w:tc>
          <w:tcPr>
            <w:tcW w:w="2482" w:type="dxa"/>
            <w:gridSpan w:val="2"/>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57"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8"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5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按组合计提坏账准备的应收 票据</w:t>
            </w:r>
          </w:p>
        </w:tc>
        <w:tc>
          <w:tcPr>
            <w:tcW w:w="1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344,261,951.76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3,442,619.52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340,819,332.24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900,860,286.79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9,008,602.86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891,851,683.93</w:t>
            </w:r>
          </w:p>
        </w:tc>
      </w:tr>
      <w:tr>
        <w:trPr>
          <w:trHeight w:val="404"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344,261,951.76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340,819,332.24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900,860,286.79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9,008,602.86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891,851,683.93</w:t>
            </w:r>
          </w:p>
        </w:tc>
      </w:tr>
      <w:tr>
        <w:trPr>
          <w:trHeight w:val="403"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344,261,951.76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340,819,332.24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900,860,286.79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9,008,602.86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891,851,683.93</w:t>
            </w:r>
          </w:p>
        </w:tc>
      </w:tr>
    </w:tbl>
    <w:p>
      <w:pPr>
        <w:spacing w:line="240" w:lineRule="auto" w:before="2"/>
        <w:rPr>
          <w:rFonts w:ascii="宋体" w:hAnsi="宋体" w:cs="宋体" w:eastAsia="宋体" w:hint="default"/>
          <w:sz w:val="27"/>
          <w:szCs w:val="27"/>
        </w:rPr>
      </w:pPr>
    </w:p>
    <w:p>
      <w:pPr>
        <w:pStyle w:val="BodyText"/>
        <w:spacing w:line="240" w:lineRule="auto" w:before="44"/>
        <w:ind w:left="140" w:right="0"/>
        <w:jc w:val="left"/>
      </w:pPr>
      <w:r>
        <w:rPr/>
        <w:t>按组合计提坏账准备：</w:t>
      </w:r>
      <w:r>
        <w:rPr>
          <w:rFonts w:ascii="Times New Roman" w:hAnsi="Times New Roman" w:cs="Times New Roman" w:eastAsia="Times New Roman" w:hint="default"/>
        </w:rPr>
        <w:t>3,442,619.52 </w:t>
      </w:r>
      <w:r>
        <w:rPr/>
        <w:t>元</w:t>
      </w:r>
    </w:p>
    <w:p>
      <w:pPr>
        <w:pStyle w:val="BodyText"/>
        <w:spacing w:line="240" w:lineRule="auto" w:before="103"/>
        <w:ind w:left="0" w:right="15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504"/>
        <w:gridCol w:w="3505"/>
        <w:gridCol w:w="3504"/>
        <w:gridCol w:w="3505"/>
      </w:tblGrid>
      <w:tr>
        <w:trPr>
          <w:trHeight w:val="401" w:hRule="exact"/>
        </w:trPr>
        <w:tc>
          <w:tcPr>
            <w:tcW w:w="35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5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504" w:type="dxa"/>
            <w:vMerge/>
            <w:tcBorders>
              <w:left w:val="single" w:sz="4" w:space="0" w:color="000000"/>
              <w:bottom w:val="single" w:sz="4" w:space="0" w:color="000000"/>
              <w:right w:val="single" w:sz="4" w:space="0" w:color="000000"/>
            </w:tcBorders>
            <w:shd w:val="clear" w:color="auto" w:fill="D2D2D2"/>
          </w:tcPr>
          <w:p>
            <w:pP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344,261,951.76</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344,261,951.76</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867" w:footer="980" w:top="1060" w:bottom="1160" w:left="1300" w:right="1280"/>
          <w:pgNumType w:start="167"/>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本期计提坏账准备情况：</w:t>
      </w:r>
    </w:p>
    <w:p>
      <w:pPr>
        <w:pStyle w:val="BodyText"/>
        <w:spacing w:line="240" w:lineRule="auto" w:before="117"/>
        <w:ind w:left="0" w:right="15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40"/>
        <w:gridCol w:w="2336"/>
        <w:gridCol w:w="2335"/>
        <w:gridCol w:w="2336"/>
        <w:gridCol w:w="2336"/>
        <w:gridCol w:w="2335"/>
      </w:tblGrid>
      <w:tr>
        <w:trPr>
          <w:trHeight w:val="401" w:hRule="exact"/>
        </w:trPr>
        <w:tc>
          <w:tcPr>
            <w:tcW w:w="2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3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3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40" w:type="dxa"/>
            <w:vMerge/>
            <w:tcBorders>
              <w:left w:val="single" w:sz="4" w:space="0" w:color="000000"/>
              <w:bottom w:val="single" w:sz="4" w:space="0" w:color="000000"/>
              <w:right w:val="single" w:sz="4" w:space="0" w:color="000000"/>
            </w:tcBorders>
            <w:shd w:val="clear" w:color="auto" w:fill="D2D2D2"/>
          </w:tcPr>
          <w:p>
            <w:pPr/>
          </w:p>
        </w:tc>
        <w:tc>
          <w:tcPr>
            <w:tcW w:w="2336" w:type="dxa"/>
            <w:vMerge/>
            <w:tcBorders>
              <w:left w:val="single" w:sz="4" w:space="0" w:color="000000"/>
              <w:bottom w:val="single" w:sz="4" w:space="0" w:color="000000"/>
              <w:right w:val="single" w:sz="4" w:space="0" w:color="000000"/>
            </w:tcBorders>
            <w:shd w:val="clear" w:color="auto" w:fill="D2D2D2"/>
          </w:tcPr>
          <w:p>
            <w:pP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w:t>
            </w:r>
          </w:p>
        </w:tc>
        <w:tc>
          <w:tcPr>
            <w:tcW w:w="233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应收商业承兑汇票</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9,008,602.86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-5,565,983.34</w:t>
            </w:r>
          </w:p>
        </w:tc>
        <w:tc>
          <w:tcPr>
            <w:tcW w:w="23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9,008,602.86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-5,565,983.34</w:t>
            </w:r>
          </w:p>
        </w:tc>
        <w:tc>
          <w:tcPr>
            <w:tcW w:w="23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3,442,619.52</w:t>
            </w:r>
          </w:p>
        </w:tc>
      </w:tr>
    </w:tbl>
    <w:p>
      <w:pPr>
        <w:pStyle w:val="BodyText"/>
        <w:spacing w:line="240" w:lineRule="auto" w:before="49"/>
        <w:ind w:left="140" w:right="0"/>
        <w:jc w:val="left"/>
      </w:pPr>
      <w:r>
        <w:rPr/>
        <w:t>其中本期坏账准备收回或转回金额重要的：</w:t>
      </w:r>
    </w:p>
    <w:p>
      <w:pPr>
        <w:pStyle w:val="BodyText"/>
        <w:spacing w:line="240" w:lineRule="auto" w:before="115"/>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40" w:right="0"/>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647"/>
        <w:gridCol w:w="4685"/>
        <w:gridCol w:w="4673"/>
      </w:tblGrid>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6,271,793.80</w:t>
            </w:r>
          </w:p>
        </w:tc>
        <w:tc>
          <w:tcPr>
            <w:tcW w:w="4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6,271,793.80</w:t>
            </w:r>
          </w:p>
        </w:tc>
        <w:tc>
          <w:tcPr>
            <w:tcW w:w="46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4、应收账款" w:id="234"/>
      <w:bookmarkEnd w:id="23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分类披露" w:id="235"/>
      <w:bookmarkEnd w:id="23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73"/>
        <w:gridCol w:w="1322"/>
        <w:gridCol w:w="997"/>
        <w:gridCol w:w="1186"/>
        <w:gridCol w:w="998"/>
        <w:gridCol w:w="1323"/>
        <w:gridCol w:w="1322"/>
        <w:gridCol w:w="1049"/>
        <w:gridCol w:w="1186"/>
        <w:gridCol w:w="1042"/>
        <w:gridCol w:w="1322"/>
      </w:tblGrid>
      <w:tr>
        <w:trPr>
          <w:trHeight w:val="401" w:hRule="exact"/>
        </w:trPr>
        <w:tc>
          <w:tcPr>
            <w:tcW w:w="2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8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273" w:type="dxa"/>
            <w:vMerge/>
            <w:tcBorders>
              <w:left w:val="single" w:sz="4" w:space="0" w:color="000000"/>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73"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3"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49"/>
        <w:gridCol w:w="1334"/>
        <w:gridCol w:w="997"/>
        <w:gridCol w:w="1186"/>
        <w:gridCol w:w="998"/>
        <w:gridCol w:w="1323"/>
        <w:gridCol w:w="1322"/>
        <w:gridCol w:w="1049"/>
        <w:gridCol w:w="1186"/>
        <w:gridCol w:w="1042"/>
        <w:gridCol w:w="1320"/>
      </w:tblGrid>
      <w:tr>
        <w:trPr>
          <w:trHeight w:val="418" w:hRule="exact"/>
        </w:trPr>
        <w:tc>
          <w:tcPr>
            <w:tcW w:w="2249" w:type="dxa"/>
            <w:tcBorders>
              <w:top w:val="single" w:sz="15" w:space="0" w:color="000000"/>
              <w:left w:val="single" w:sz="4" w:space="0" w:color="000000"/>
              <w:bottom w:val="nil" w:sz="6" w:space="0" w:color="auto"/>
              <w:right w:val="single" w:sz="4" w:space="0" w:color="000000"/>
            </w:tcBorders>
            <w:shd w:val="clear" w:color="auto" w:fill="D2D2D2"/>
          </w:tcPr>
          <w:p>
            <w:pPr/>
          </w:p>
        </w:tc>
        <w:tc>
          <w:tcPr>
            <w:tcW w:w="5838" w:type="dxa"/>
            <w:gridSpan w:val="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19" w:type="dxa"/>
            <w:gridSpan w:val="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2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3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249" w:type="dxa"/>
            <w:vMerge/>
            <w:tcBorders>
              <w:left w:val="single" w:sz="4" w:space="0" w:color="000000"/>
              <w:bottom w:val="nil" w:sz="6" w:space="0" w:color="auto"/>
              <w:right w:val="single" w:sz="4" w:space="0" w:color="000000"/>
            </w:tcBorders>
            <w:shd w:val="clear" w:color="auto" w:fill="D2D2D2"/>
          </w:tcPr>
          <w:p>
            <w:pPr/>
          </w:p>
        </w:tc>
        <w:tc>
          <w:tcPr>
            <w:tcW w:w="2331" w:type="dxa"/>
            <w:gridSpan w:val="2"/>
            <w:vMerge/>
            <w:tcBorders>
              <w:left w:val="single" w:sz="4" w:space="0" w:color="000000"/>
              <w:bottom w:val="single" w:sz="4" w:space="0" w:color="000000"/>
              <w:right w:val="single" w:sz="4" w:space="0" w:color="000000"/>
            </w:tcBorders>
            <w:shd w:val="clear" w:color="auto" w:fill="D2D2D2"/>
          </w:tcPr>
          <w:p>
            <w:pPr/>
          </w:p>
        </w:tc>
        <w:tc>
          <w:tcPr>
            <w:tcW w:w="2184" w:type="dxa"/>
            <w:gridSpan w:val="2"/>
            <w:vMerge/>
            <w:tcBorders>
              <w:left w:val="single" w:sz="4" w:space="0" w:color="000000"/>
              <w:bottom w:val="single" w:sz="4" w:space="0" w:color="000000"/>
              <w:right w:val="single" w:sz="4" w:space="0" w:color="000000"/>
            </w:tcBorders>
            <w:shd w:val="clear" w:color="auto" w:fill="D2D2D2"/>
          </w:tcPr>
          <w:p>
            <w:pPr/>
          </w:p>
        </w:tc>
        <w:tc>
          <w:tcPr>
            <w:tcW w:w="13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71" w:type="dxa"/>
            <w:gridSpan w:val="2"/>
            <w:vMerge/>
            <w:tcBorders>
              <w:left w:val="single" w:sz="4" w:space="0" w:color="000000"/>
              <w:bottom w:val="single" w:sz="4" w:space="0" w:color="000000"/>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249" w:type="dxa"/>
            <w:vMerge w:val="restart"/>
            <w:tcBorders>
              <w:top w:val="nil" w:sz="6" w:space="0" w:color="auto"/>
              <w:left w:val="single" w:sz="4" w:space="0" w:color="000000"/>
              <w:right w:val="single" w:sz="4" w:space="0" w:color="000000"/>
            </w:tcBorders>
            <w:shd w:val="clear" w:color="auto" w:fill="D2D2D2"/>
          </w:tcPr>
          <w:p>
            <w:pPr/>
          </w:p>
        </w:tc>
        <w:tc>
          <w:tcPr>
            <w:tcW w:w="13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3"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9" w:type="dxa"/>
            <w:vMerge/>
            <w:tcBorders>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3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65"/>
              <w:jc w:val="left"/>
              <w:rPr>
                <w:rFonts w:ascii="宋体" w:hAnsi="宋体" w:cs="宋体" w:eastAsia="宋体" w:hint="default"/>
                <w:sz w:val="18"/>
                <w:szCs w:val="18"/>
              </w:rPr>
            </w:pPr>
            <w:r>
              <w:rPr>
                <w:rFonts w:ascii="宋体" w:hAnsi="宋体" w:cs="宋体" w:eastAsia="宋体" w:hint="default"/>
                <w:sz w:val="18"/>
                <w:szCs w:val="18"/>
              </w:rPr>
              <w:t>按组合计提坏账准备的应收 账款</w:t>
            </w:r>
          </w:p>
        </w:tc>
        <w:tc>
          <w:tcPr>
            <w:tcW w:w="1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7,496,579,806.83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457,702,466.07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7,038,877,340.76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9,008,730,751.26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408,643,609.66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8,600,087,141.60</w:t>
            </w:r>
          </w:p>
        </w:tc>
      </w:tr>
      <w:tr>
        <w:trPr>
          <w:trHeight w:val="403"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账期组合</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7,496,579,806.83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457,702,466.07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7,038,877,340.76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9,008,730,751.26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408,643,609.66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8,600,087,141.60</w:t>
            </w:r>
          </w:p>
        </w:tc>
      </w:tr>
      <w:tr>
        <w:trPr>
          <w:trHeight w:val="403" w:hRule="exact"/>
        </w:trPr>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7,496,579,806.83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457,702,466.07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7,038,877,340.76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9,008,730,751.26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408,643,609.66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8,600,087,141.60</w:t>
            </w:r>
          </w:p>
        </w:tc>
      </w:tr>
    </w:tbl>
    <w:p>
      <w:pPr>
        <w:pStyle w:val="BodyText"/>
        <w:spacing w:line="240" w:lineRule="auto" w:before="49"/>
        <w:ind w:left="140" w:right="0"/>
        <w:jc w:val="left"/>
      </w:pPr>
      <w:r>
        <w:rPr/>
        <w:t>按组合计提坏账准备：</w:t>
      </w:r>
      <w:r>
        <w:rPr>
          <w:rFonts w:ascii="Times New Roman" w:hAnsi="Times New Roman" w:cs="Times New Roman" w:eastAsia="Times New Roman" w:hint="default"/>
        </w:rPr>
        <w:t>457,702,466.07</w:t>
      </w:r>
      <w:r>
        <w:rPr>
          <w:rFonts w:ascii="Times New Roman" w:hAnsi="Times New Roman" w:cs="Times New Roman" w:eastAsia="Times New Roman" w:hint="default"/>
          <w:spacing w:val="44"/>
        </w:rPr>
        <w:t> </w:t>
      </w:r>
      <w:r>
        <w:rPr/>
        <w:t>元</w:t>
      </w:r>
    </w:p>
    <w:p>
      <w:pPr>
        <w:pStyle w:val="BodyText"/>
        <w:spacing w:line="240" w:lineRule="auto" w:before="101"/>
        <w:ind w:left="0" w:right="15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504"/>
        <w:gridCol w:w="3505"/>
        <w:gridCol w:w="3504"/>
        <w:gridCol w:w="3505"/>
      </w:tblGrid>
      <w:tr>
        <w:trPr>
          <w:trHeight w:val="403" w:hRule="exact"/>
        </w:trPr>
        <w:tc>
          <w:tcPr>
            <w:tcW w:w="35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5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504" w:type="dxa"/>
            <w:vMerge/>
            <w:tcBorders>
              <w:left w:val="single" w:sz="4" w:space="0" w:color="000000"/>
              <w:bottom w:val="single" w:sz="4" w:space="0" w:color="000000"/>
              <w:right w:val="single" w:sz="4" w:space="0" w:color="000000"/>
            </w:tcBorders>
            <w:shd w:val="clear" w:color="auto" w:fill="D2D2D2"/>
          </w:tcPr>
          <w:p>
            <w:pP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116,050,083.70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116,050,083.70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21,570,865.00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21,570,865.00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18,213,260.00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18,213,260.00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12,725,481.00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12,725,481.00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10,601,367.15</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10,601,367.15</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10,475,000.00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10,475,000.00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10,333,030.41</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10,333,030.41</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客户十二</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6,759,700.00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6,759,700.00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客户十三</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6,660,563.14</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6,660,563.14</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客户十四</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6,445,600.00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6,445,600.00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客户十五</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5,422,950.00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5,422,950.00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客户十六</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3,477,940.00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3,477,940.00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04"/>
        <w:gridCol w:w="3505"/>
        <w:gridCol w:w="3504"/>
        <w:gridCol w:w="3505"/>
      </w:tblGrid>
      <w:tr>
        <w:trPr>
          <w:trHeight w:val="417" w:hRule="exact"/>
        </w:trPr>
        <w:tc>
          <w:tcPr>
            <w:tcW w:w="3504"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514" w:type="dxa"/>
            <w:gridSpan w:val="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504" w:type="dxa"/>
            <w:vMerge/>
            <w:tcBorders>
              <w:left w:val="single" w:sz="4" w:space="0" w:color="000000"/>
              <w:bottom w:val="single" w:sz="4" w:space="0" w:color="000000"/>
              <w:right w:val="single" w:sz="4" w:space="0" w:color="000000"/>
            </w:tcBorders>
            <w:shd w:val="clear" w:color="auto" w:fill="D2D2D2"/>
          </w:tcPr>
          <w:p>
            <w:pP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客户十七</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3,364,327.00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3,364,327.00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729,727,347.72</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99,110,806.65</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13.58%</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510,311,899.78</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5,103,119.00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105,412,341.15</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10,541,234.12</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91-180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41,701,440.71</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16,680,576.28</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181-270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12,761,138.71</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7,656,683.23</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271-360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2,056,666.73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1,645,333.38</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361 </w:t>
            </w:r>
            <w:r>
              <w:rPr>
                <w:rFonts w:ascii="宋体" w:hAnsi="宋体" w:cs="宋体" w:eastAsia="宋体" w:hint="default"/>
                <w:sz w:val="18"/>
                <w:szCs w:val="18"/>
              </w:rPr>
              <w:t>天及以上</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57,483,860.64</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57,483,860.64</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组合Ⅲ</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6,650,802,375.41</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242,541,575.72</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3.65%</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5,550,582,492.99</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55,505,824.93</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785,054,662.98</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15,701,093.26</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91-180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89,436,606.47</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8,943,660.65</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181-270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56,380,808.45</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16,914,242.53</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271-360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18,467,205.39</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9,233,602.70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361-720 </w:t>
            </w:r>
            <w:r>
              <w:rPr>
                <w:rFonts w:ascii="宋体" w:hAnsi="宋体" w:cs="宋体" w:eastAsia="宋体" w:hint="default"/>
                <w:sz w:val="18"/>
                <w:szCs w:val="18"/>
              </w:rPr>
              <w:t>天</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48,791,491.60</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34,154,044.12</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721 </w:t>
            </w:r>
            <w:r>
              <w:rPr>
                <w:rFonts w:ascii="宋体" w:hAnsi="宋体" w:cs="宋体" w:eastAsia="宋体" w:hint="default"/>
                <w:sz w:val="18"/>
                <w:szCs w:val="18"/>
              </w:rPr>
              <w:t>天及以上</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102,089,107.53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102,089,107.53</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7,496,579,806.83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457,702,466.07</w:t>
            </w:r>
          </w:p>
        </w:tc>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0"/>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7,237,298,918.50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97,997,094.14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40,675,527.14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120,608,267.05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20,357,415.19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21,560,522.05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78,690,329.81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7,496,579,806.83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36"/>
      <w:bookmarkEnd w:id="23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汇兑差异</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408,643,609.66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69,924,005.43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21,091,553.39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457,702,466.07</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408,643,609.66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69,924,005.43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226,404.37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21,091,553.39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457,702,466.07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37"/>
      <w:bookmarkEnd w:id="23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21,091,553.39</w:t>
            </w:r>
          </w:p>
        </w:tc>
      </w:tr>
    </w:tbl>
    <w:p>
      <w:pPr>
        <w:pStyle w:val="BodyText"/>
        <w:spacing w:line="240" w:lineRule="auto" w:before="49"/>
        <w:ind w:right="0"/>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深圳市通大持续科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11,634,400.00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0"/>
                <w:sz w:val="18"/>
                <w:szCs w:val="18"/>
              </w:rPr>
              <w:t>诉讼案件胜诉，但客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户无可执行财产，应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收账款形成实际损 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核销申请由事业部 提出，经风险管理 </w:t>
            </w:r>
            <w:r>
              <w:rPr>
                <w:rFonts w:ascii="宋体" w:hAnsi="宋体" w:cs="宋体" w:eastAsia="宋体" w:hint="default"/>
                <w:spacing w:val="-10"/>
                <w:sz w:val="18"/>
                <w:szCs w:val="18"/>
              </w:rPr>
              <w:t>部、财务部审批后进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行账务处理并进行 备案登记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877" w:footer="980" w:top="1100" w:bottom="1160" w:left="980" w:right="0"/>
          <w:pgNumType w:start="17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60" w:lineRule="auto"/>
              <w:ind w:left="24" w:right="644"/>
              <w:jc w:val="left"/>
              <w:rPr>
                <w:rFonts w:ascii="Times New Roman" w:hAnsi="Times New Roman" w:cs="Times New Roman" w:eastAsia="Times New Roman" w:hint="default"/>
                <w:sz w:val="18"/>
                <w:szCs w:val="18"/>
              </w:rPr>
            </w:pPr>
            <w:r>
              <w:rPr>
                <w:rFonts w:ascii="Times New Roman"/>
                <w:sz w:val="18"/>
              </w:rPr>
              <w:t>ASIAINFO</w:t>
            </w:r>
            <w:r>
              <w:rPr>
                <w:rFonts w:ascii="Times New Roman"/>
                <w:w w:val="99"/>
                <w:sz w:val="18"/>
              </w:rPr>
              <w:t> </w:t>
            </w:r>
            <w:r>
              <w:rPr>
                <w:rFonts w:ascii="Times New Roman"/>
                <w:sz w:val="18"/>
              </w:rPr>
              <w:t>HOLDINGS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4,427,823.97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账龄五年以上且客 户不予支付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核销申请由事业部 提出，经风险管理 </w:t>
            </w:r>
            <w:r>
              <w:rPr>
                <w:rFonts w:ascii="宋体" w:hAnsi="宋体" w:cs="宋体" w:eastAsia="宋体" w:hint="default"/>
                <w:spacing w:val="-10"/>
                <w:sz w:val="18"/>
                <w:szCs w:val="18"/>
              </w:rPr>
              <w:t>部、财务部审批后进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行账务处理并进行 备案登记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0"/>
              <w:jc w:val="both"/>
              <w:rPr>
                <w:rFonts w:ascii="宋体" w:hAnsi="宋体" w:cs="宋体" w:eastAsia="宋体" w:hint="default"/>
                <w:sz w:val="18"/>
                <w:szCs w:val="18"/>
              </w:rPr>
            </w:pPr>
            <w:r>
              <w:rPr>
                <w:rFonts w:ascii="宋体" w:hAnsi="宋体" w:cs="宋体" w:eastAsia="宋体" w:hint="default"/>
                <w:sz w:val="18"/>
                <w:szCs w:val="18"/>
              </w:rPr>
              <w:t>中国移动通信有限 公司政企客户分公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项目未按合同约定 </w:t>
            </w:r>
            <w:r>
              <w:rPr>
                <w:rFonts w:ascii="宋体" w:hAnsi="宋体" w:cs="宋体" w:eastAsia="宋体" w:hint="default"/>
                <w:spacing w:val="-10"/>
                <w:sz w:val="18"/>
                <w:szCs w:val="18"/>
              </w:rPr>
              <w:t>执行，客户根据合同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扣款形成的损失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核销申请由事业部 提出，经风险管理 </w:t>
            </w:r>
            <w:r>
              <w:rPr>
                <w:rFonts w:ascii="宋体" w:hAnsi="宋体" w:cs="宋体" w:eastAsia="宋体" w:hint="default"/>
                <w:spacing w:val="-10"/>
                <w:sz w:val="18"/>
                <w:szCs w:val="18"/>
              </w:rPr>
              <w:t>部、财务部审批后进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行账务处理并进行 备案登记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17,722,223.97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应收账款情况" w:id="238"/>
      <w:bookmarkEnd w:id="23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客户十八</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194,478,816.86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17,343,231.52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客户十九</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169,727,597.57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2,580,361.93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客户二十</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113,248,588.80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1,132,485.89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客户二十一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99,664,809.27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1,300,514.47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客户二十二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77,975,410.50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779,754.11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655,095,223.00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8.73%</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239"/>
      <w:bookmarkEnd w:id="23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日，本集团因上海邦汇商业保理有限公司提供的无追索权保理服务而终止确认的应收账款金额为</w:t>
      </w:r>
    </w:p>
    <w:p>
      <w:pPr>
        <w:pStyle w:val="BodyText"/>
        <w:spacing w:line="240" w:lineRule="auto" w:before="63"/>
        <w:ind w:right="0"/>
        <w:jc w:val="left"/>
      </w:pPr>
      <w:r>
        <w:rPr>
          <w:rFonts w:ascii="Times New Roman" w:hAnsi="Times New Roman" w:cs="Times New Roman" w:eastAsia="Times New Roman" w:hint="default"/>
        </w:rPr>
        <w:t>1,041,629,480.00</w:t>
      </w:r>
      <w:r>
        <w:rPr/>
        <w:t>元。</w:t>
      </w:r>
    </w:p>
    <w:p>
      <w:pPr>
        <w:pStyle w:val="BodyText"/>
        <w:spacing w:line="240" w:lineRule="auto" w:before="101"/>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日，本集团因汇丰银行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有限公司提供的无追索权保理服务而终止确认的应收账款金额为</w:t>
      </w:r>
    </w:p>
    <w:p>
      <w:pPr>
        <w:pStyle w:val="BodyText"/>
        <w:spacing w:line="240" w:lineRule="auto" w:before="63"/>
        <w:ind w:right="0"/>
        <w:jc w:val="left"/>
      </w:pPr>
      <w:r>
        <w:rPr>
          <w:rFonts w:ascii="Times New Roman" w:hAnsi="Times New Roman" w:cs="Times New Roman" w:eastAsia="Times New Roman" w:hint="default"/>
        </w:rPr>
        <w:t>400,000,000.00</w:t>
      </w:r>
      <w:r>
        <w:rPr/>
        <w:t>元。</w:t>
      </w:r>
    </w:p>
    <w:p>
      <w:pPr>
        <w:pStyle w:val="BodyText"/>
        <w:spacing w:line="240" w:lineRule="auto" w:before="104"/>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日，由资金方中国建设银行股份有限公司南昌支行向本集团提供融资而终止确认的应收账款金额为</w:t>
      </w:r>
    </w:p>
    <w:p>
      <w:pPr>
        <w:pStyle w:val="BodyText"/>
        <w:spacing w:line="340" w:lineRule="auto" w:before="63"/>
        <w:ind w:left="513" w:right="0" w:hanging="361"/>
        <w:jc w:val="left"/>
      </w:pPr>
      <w:r>
        <w:rPr>
          <w:rFonts w:ascii="Times New Roman" w:hAnsi="Times New Roman" w:cs="Times New Roman" w:eastAsia="Times New Roman" w:hint="default"/>
        </w:rPr>
        <w:t>37,518,987.79</w:t>
      </w:r>
      <w:r>
        <w:rPr/>
        <w:t>元，上述融资利率为零。承诺付款方系本集团的客户中国电建集团江西省电力建设有限公司。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日，本集团因招商银行股份有限公司广州分行提供的无追索权保理服务而终止确认的应收账款金额为</w:t>
      </w:r>
    </w:p>
    <w:p>
      <w:pPr>
        <w:pStyle w:val="BodyText"/>
        <w:spacing w:line="228" w:lineRule="exact"/>
        <w:ind w:right="0"/>
        <w:jc w:val="left"/>
      </w:pPr>
      <w:r>
        <w:rPr>
          <w:rFonts w:ascii="Times New Roman" w:hAnsi="Times New Roman" w:cs="Times New Roman" w:eastAsia="Times New Roman" w:hint="default"/>
        </w:rPr>
        <w:t>20,484,649.74</w:t>
      </w:r>
      <w:r>
        <w:rPr/>
        <w:t>元。</w:t>
      </w:r>
    </w:p>
    <w:p>
      <w:pPr>
        <w:pStyle w:val="BodyText"/>
        <w:spacing w:line="240" w:lineRule="auto" w:before="101"/>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日，本集团因联通融资租赁有限公司提供的无追索权保理服务而终止确认的应收账款金额为</w:t>
      </w:r>
    </w:p>
    <w:p>
      <w:pPr>
        <w:pStyle w:val="BodyText"/>
        <w:spacing w:line="240" w:lineRule="auto" w:before="63"/>
        <w:ind w:right="0"/>
        <w:jc w:val="left"/>
      </w:pPr>
      <w:r>
        <w:rPr>
          <w:rFonts w:ascii="Times New Roman" w:hAnsi="Times New Roman" w:cs="Times New Roman" w:eastAsia="Times New Roman" w:hint="default"/>
        </w:rPr>
        <w:t>1,813,655.62</w:t>
      </w:r>
      <w:r>
        <w:rPr/>
        <w:t>元。</w:t>
      </w:r>
    </w:p>
    <w:p>
      <w:pPr>
        <w:pStyle w:val="BodyText"/>
        <w:spacing w:line="240" w:lineRule="auto" w:before="103"/>
        <w:ind w:left="513" w:right="0"/>
        <w:jc w:val="left"/>
        <w:rPr>
          <w:rFonts w:ascii="Times New Roman" w:hAnsi="Times New Roman" w:cs="Times New Roman" w:eastAsia="Times New Roman" w:hint="default"/>
        </w:rPr>
      </w:pPr>
      <w:r>
        <w:rPr/>
        <w:t>截至</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w:t>
      </w:r>
      <w:r>
        <w:rPr>
          <w:spacing w:val="-82"/>
        </w:rPr>
        <w:t>，</w:t>
      </w:r>
      <w:r>
        <w:rPr/>
        <w:t>本集团</w:t>
      </w:r>
      <w:r>
        <w:rPr>
          <w:spacing w:val="-3"/>
        </w:rPr>
        <w:t>因</w:t>
      </w:r>
      <w:r>
        <w:rPr/>
        <w:t>苏宁商业保理有限公司提供的无追索权保理服务而终止确认的应收账款金额</w:t>
      </w:r>
      <w:r>
        <w:rPr>
          <w:spacing w:val="1"/>
        </w:rPr>
        <w:t>为</w:t>
      </w:r>
      <w:r>
        <w:rPr>
          <w:rFonts w:ascii="Times New Roman" w:hAnsi="Times New Roman" w:cs="Times New Roman" w:eastAsia="Times New Roman" w:hint="default"/>
          <w:spacing w:val="1"/>
        </w:rPr>
        <w:t>39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2"/>
        <w:ind w:right="0"/>
        <w:jc w:val="left"/>
      </w:pPr>
      <w:r>
        <w:rPr/>
        <w:t>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5、应收款项融资" w:id="240"/>
      <w:bookmarkEnd w:id="240"/>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391,954,244.02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299,260,296.68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391,954,244.02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299,260,296.68</w:t>
            </w:r>
          </w:p>
        </w:tc>
      </w:tr>
    </w:tbl>
    <w:p>
      <w:pPr>
        <w:pStyle w:val="BodyText"/>
        <w:spacing w:line="240" w:lineRule="auto" w:before="49"/>
        <w:ind w:right="0"/>
        <w:jc w:val="left"/>
      </w:pPr>
      <w:r>
        <w:rPr/>
        <w:t>应收款项融资本期增减变动及公允价值变动情况</w:t>
      </w:r>
    </w:p>
    <w:p>
      <w:pPr>
        <w:pStyle w:val="BodyText"/>
        <w:spacing w:line="340" w:lineRule="auto" w:before="115"/>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应收银行承兑汇票期初票面金额</w:t>
      </w:r>
      <w:r>
        <w:rPr>
          <w:rFonts w:ascii="Times New Roman" w:hAnsi="Times New Roman" w:cs="Times New Roman" w:eastAsia="Times New Roman" w:hint="default"/>
          <w:spacing w:val="-1"/>
        </w:rPr>
        <w:t>303,074,695.22</w:t>
      </w:r>
      <w:r>
        <w:rPr>
          <w:spacing w:val="-1"/>
        </w:rPr>
        <w:t>元，公允价值</w:t>
      </w:r>
      <w:r>
        <w:rPr>
          <w:rFonts w:ascii="Times New Roman" w:hAnsi="Times New Roman" w:cs="Times New Roman" w:eastAsia="Times New Roman" w:hint="default"/>
          <w:spacing w:val="-1"/>
        </w:rPr>
        <w:t>299,260,296.68</w:t>
      </w:r>
      <w:r>
        <w:rPr>
          <w:spacing w:val="-1"/>
        </w:rPr>
        <w:t>元；期末票面金额</w:t>
      </w:r>
      <w:r>
        <w:rPr>
          <w:rFonts w:ascii="Times New Roman" w:hAnsi="Times New Roman" w:cs="Times New Roman" w:eastAsia="Times New Roman" w:hint="default"/>
          <w:spacing w:val="-1"/>
        </w:rPr>
        <w:t>396,841,704.81</w:t>
      </w:r>
      <w:r>
        <w:rPr>
          <w:spacing w:val="-1"/>
        </w:rPr>
        <w:t>元，公允价</w:t>
      </w:r>
    </w:p>
    <w:p>
      <w:pPr>
        <w:pStyle w:val="BodyText"/>
        <w:spacing w:line="228" w:lineRule="exact"/>
        <w:ind w:right="0"/>
        <w:jc w:val="left"/>
      </w:pPr>
      <w:r>
        <w:rPr/>
        <w:t>值</w:t>
      </w:r>
      <w:r>
        <w:rPr>
          <w:rFonts w:ascii="Times New Roman" w:hAnsi="Times New Roman" w:cs="Times New Roman" w:eastAsia="Times New Roman" w:hint="default"/>
        </w:rPr>
        <w:t>391,954,244.01</w:t>
      </w:r>
      <w:r>
        <w:rPr/>
        <w:t>元。</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6、预付款项" w:id="241"/>
      <w:bookmarkEnd w:id="24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1,800,126,025.44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1,732,028,830.68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1,801,675,988.15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1,732,054,977.57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43"/>
      <w:bookmarkEnd w:id="24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54" w:firstLine="360"/>
        <w:jc w:val="left"/>
      </w:pPr>
      <w:r>
        <w:rPr/>
        <w:t>按预付对象归集的期末余额前五名预付款项汇总金额</w:t>
      </w:r>
      <w:r>
        <w:rPr>
          <w:rFonts w:ascii="Times New Roman" w:hAnsi="Times New Roman" w:cs="Times New Roman" w:eastAsia="Times New Roman" w:hint="default"/>
        </w:rPr>
        <w:t>956,299,232.86</w:t>
      </w:r>
      <w:r>
        <w:rPr/>
        <w:t>元，占预付款项期末余额合计数的比例为</w:t>
      </w:r>
      <w:r>
        <w:rPr>
          <w:rFonts w:ascii="Times New Roman" w:hAnsi="Times New Roman" w:cs="Times New Roman" w:eastAsia="Times New Roman" w:hint="default"/>
        </w:rPr>
        <w:t>53.09%</w:t>
      </w:r>
      <w:r>
        <w:rPr/>
        <w:t>。 前五名的预付款项单位均为本公司非关联方公司。</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7、其他应收款" w:id="244"/>
      <w:bookmarkEnd w:id="244"/>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183,110,885.61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217,105,631.86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183,110,885.61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217,105,631.86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其他应收款按款项性质分类情况" w:id="245"/>
      <w:bookmarkEnd w:id="245"/>
      <w:r>
        <w:rPr>
          <w:b w:val="0"/>
          <w:bCs w:val="0"/>
        </w:rPr>
      </w:r>
      <w:r>
        <w:rPr/>
        <w:t>（</w:t>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代关联方垫付购买土地款（注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69,464,643.42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104,464,643.42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59,825,925.80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59,239,062.59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48,033,438.89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49,528,484.51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应收广州天酷数码科技有限公司欠款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8,252,215.68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8,252,215.68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CACHEIO,LLC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6,928,664.40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6,809,861.10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7,841,706.02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6,559,736.36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200,346,594.21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234,854,003.66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46"/>
      <w:bookmarkEnd w:id="246"/>
      <w:r>
        <w:rPr>
          <w:b w:val="0"/>
          <w:bCs w:val="0"/>
        </w:rPr>
      </w:r>
      <w:r>
        <w:rPr/>
        <w:t>（</w:t>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1,703,089.06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983,205.96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15,062,076.78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17,748,371.80</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-301,317.62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-330,148.88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-631,466.50</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118,803.30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118,803.30</w:t>
            </w:r>
          </w:p>
        </w:tc>
      </w:tr>
      <w:tr>
        <w:trPr>
          <w:trHeight w:val="40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1,401,771.44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653,057.08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15,180,880.08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17,235,708.60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65,164,792.17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34,396,662.73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20,098,673.06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80,686,466.25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71,396,895.65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5,769,004.91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3,520,565.69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200,346,594.21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47"/>
      <w:bookmarkEnd w:id="247"/>
      <w:r>
        <w:rPr>
          <w:b w:val="0"/>
          <w:bCs w:val="0"/>
        </w:rPr>
      </w: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本期计提坏账准备情况：</w:t>
      </w:r>
    </w:p>
    <w:p>
      <w:pPr>
        <w:spacing w:after="0" w:line="240" w:lineRule="auto"/>
        <w:jc w:val="left"/>
        <w:sectPr>
          <w:type w:val="continuous"/>
          <w:pgSz w:w="11910" w:h="16840"/>
          <w:pgMar w:top="1580" w:bottom="70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9"/>
        <w:gridCol w:w="1342"/>
        <w:gridCol w:w="1457"/>
        <w:gridCol w:w="1594"/>
        <w:gridCol w:w="1334"/>
        <w:gridCol w:w="2122"/>
      </w:tblGrid>
      <w:tr>
        <w:trPr>
          <w:trHeight w:val="206" w:hRule="exact"/>
        </w:trPr>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vMerge/>
            <w:tcBorders>
              <w:left w:val="single" w:sz="4" w:space="0" w:color="000000"/>
              <w:bottom w:val="single" w:sz="4" w:space="0" w:color="000000"/>
              <w:right w:val="single" w:sz="4" w:space="0" w:color="000000"/>
            </w:tcBorders>
            <w:shd w:val="clear" w:color="auto" w:fill="D2D2D2"/>
          </w:tcPr>
          <w:p>
            <w:pPr/>
          </w:p>
        </w:tc>
        <w:tc>
          <w:tcPr>
            <w:tcW w:w="21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212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21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17,748,371.80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-631,466.50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118,803.30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17,235,708.60</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17,748,371.80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-631,466.50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118,803.30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17,235,708.60</w:t>
            </w:r>
          </w:p>
        </w:tc>
      </w:tr>
    </w:tbl>
    <w:p>
      <w:pPr>
        <w:spacing w:line="240" w:lineRule="auto" w:before="7"/>
        <w:rPr>
          <w:rFonts w:ascii="宋体" w:hAnsi="宋体" w:cs="宋体" w:eastAsia="宋体" w:hint="default"/>
          <w:sz w:val="15"/>
          <w:szCs w:val="15"/>
        </w:rPr>
      </w:pPr>
    </w:p>
    <w:p>
      <w:pPr>
        <w:pStyle w:val="BodyText"/>
        <w:spacing w:line="304" w:lineRule="auto" w:before="44"/>
        <w:ind w:right="1130"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日，本公司之子公司神码中国与神州数码软件有限公司签订《联合竞买协议书》，协议约定双方组 成联合体共同参与北京市土地整理储备中心于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日期间举行的北京市海淀区</w:t>
      </w:r>
      <w:r>
        <w:rPr>
          <w:rFonts w:ascii="Times New Roman" w:hAnsi="Times New Roman" w:cs="Times New Roman" w:eastAsia="Times New Roman" w:hint="default"/>
        </w:rPr>
        <w:t>“</w:t>
      </w:r>
      <w:r>
        <w:rPr/>
        <w:t>海淀北部地区整 体开发</w:t>
      </w:r>
      <w:r>
        <w:rPr>
          <w:rFonts w:ascii="Times New Roman" w:hAnsi="Times New Roman" w:cs="Times New Roman" w:eastAsia="Times New Roman" w:hint="default"/>
        </w:rPr>
        <w:t>”HD</w:t>
      </w:r>
      <w:r>
        <w:rPr>
          <w:rFonts w:ascii="Times New Roman" w:hAnsi="Times New Roman" w:cs="Times New Roman" w:eastAsia="Times New Roman" w:hint="default"/>
        </w:rPr>
        <w:t>-0303-0031</w:t>
      </w:r>
      <w:r>
        <w:rPr/>
        <w:t>地块</w:t>
      </w:r>
      <w:r>
        <w:rPr>
          <w:rFonts w:ascii="Times New Roman" w:hAnsi="Times New Roman" w:cs="Times New Roman" w:eastAsia="Times New Roman" w:hint="default"/>
        </w:rPr>
        <w:t>B2</w:t>
      </w:r>
      <w:r>
        <w:rPr/>
        <w:t>商务用地国有建设用地使用权的挂牌出让，双方出资额各</w:t>
      </w:r>
      <w:r>
        <w:rPr>
          <w:rFonts w:ascii="Times New Roman" w:hAnsi="Times New Roman" w:cs="Times New Roman" w:eastAsia="Times New Roman" w:hint="default"/>
        </w:rPr>
        <w:t>50%</w:t>
      </w:r>
      <w:r>
        <w:rPr/>
        <w:t>。同时约定，若联合体成功竞得</w:t>
      </w:r>
      <w:r>
        <w:rPr>
          <w:w w:val="99"/>
        </w:rPr>
        <w:t> </w:t>
      </w:r>
      <w:r>
        <w:rPr>
          <w:spacing w:val="-2"/>
        </w:rPr>
        <w:t>上述土地使用权，联合体各成员承诺将在海淀区注册成立一家新项目公司，由新项目公司全面负责该地块的开发建设，联合</w:t>
      </w:r>
      <w:r>
        <w:rPr>
          <w:spacing w:val="-64"/>
        </w:rPr>
        <w:t> </w:t>
      </w:r>
      <w:r>
        <w:rPr>
          <w:spacing w:val="-64"/>
        </w:rPr>
      </w:r>
      <w:r>
        <w:rPr/>
        <w:t>体各方在新公司中按各自的出资比例承担相应的权利和义务。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日，北京神州数码置业发展有限公司成立。</w:t>
      </w:r>
    </w:p>
    <w:p>
      <w:pPr>
        <w:spacing w:line="240" w:lineRule="auto" w:before="1"/>
        <w:rPr>
          <w:rFonts w:ascii="宋体" w:hAnsi="宋体" w:cs="宋体" w:eastAsia="宋体" w:hint="default"/>
          <w:sz w:val="19"/>
          <w:szCs w:val="19"/>
        </w:rPr>
      </w:pPr>
    </w:p>
    <w:p>
      <w:pPr>
        <w:pStyle w:val="BodyText"/>
        <w:spacing w:line="300" w:lineRule="auto"/>
        <w:ind w:right="1128"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日，神码中国与神州数码软件有限公司组成的联合体与北京市国土资源局签订了《国有建设用地使用权出</w:t>
      </w:r>
      <w:r>
        <w:rPr/>
        <w:t> </w:t>
      </w:r>
      <w:r>
        <w:rPr>
          <w:spacing w:val="-3"/>
        </w:rPr>
        <w:t>让合同》，出让宗地面积为</w:t>
      </w:r>
      <w:r>
        <w:rPr>
          <w:rFonts w:ascii="Times New Roman" w:hAnsi="Times New Roman" w:cs="Times New Roman" w:eastAsia="Times New Roman" w:hint="default"/>
          <w:spacing w:val="-3"/>
        </w:rPr>
        <w:t>17,629.735</w:t>
      </w:r>
      <w:r>
        <w:rPr>
          <w:spacing w:val="-3"/>
        </w:rPr>
        <w:t>平方米。土地的出让价款（包括政府土地收益、土地开发建设补偿款）为</w:t>
      </w:r>
      <w:r>
        <w:rPr>
          <w:rFonts w:ascii="Times New Roman" w:hAnsi="Times New Roman" w:cs="Times New Roman" w:eastAsia="Times New Roman" w:hint="default"/>
          <w:spacing w:val="-3"/>
        </w:rPr>
        <w:t>64,200</w:t>
      </w:r>
      <w:r>
        <w:rPr>
          <w:spacing w:val="-3"/>
        </w:rPr>
        <w:t>万元。</w:t>
      </w:r>
      <w:r>
        <w:rPr>
          <w:spacing w:val="-31"/>
        </w:rPr>
        <w:t> </w:t>
      </w:r>
      <w:r>
        <w:rPr/>
        <w:t>其中神码中国支付了</w:t>
      </w:r>
      <w:r>
        <w:rPr>
          <w:rFonts w:ascii="Times New Roman" w:hAnsi="Times New Roman" w:cs="Times New Roman" w:eastAsia="Times New Roman" w:hint="default"/>
        </w:rPr>
        <w:t>32,100</w:t>
      </w:r>
      <w:r>
        <w:rPr/>
        <w:t>万元。</w:t>
      </w:r>
    </w:p>
    <w:p>
      <w:pPr>
        <w:spacing w:line="240" w:lineRule="auto" w:before="4"/>
        <w:rPr>
          <w:rFonts w:ascii="宋体" w:hAnsi="宋体" w:cs="宋体" w:eastAsia="宋体" w:hint="default"/>
          <w:sz w:val="19"/>
          <w:szCs w:val="19"/>
        </w:rPr>
      </w:pPr>
    </w:p>
    <w:p>
      <w:pPr>
        <w:pStyle w:val="BodyText"/>
        <w:spacing w:line="300" w:lineRule="auto"/>
        <w:ind w:right="1127" w:firstLine="360"/>
        <w:jc w:val="both"/>
      </w:pP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2</w:t>
      </w:r>
      <w:r>
        <w:rPr>
          <w:spacing w:val="12"/>
        </w:rPr>
        <w:t>月，神码中国、神州数码软件有限公司与北京万科企业有限公司签订了《北京市</w:t>
      </w:r>
      <w:r>
        <w:rPr>
          <w:rFonts w:ascii="Times New Roman" w:hAnsi="Times New Roman" w:cs="Times New Roman" w:eastAsia="Times New Roman" w:hint="default"/>
          <w:spacing w:val="12"/>
        </w:rPr>
        <w:t>“</w:t>
      </w:r>
      <w:r>
        <w:rPr>
          <w:spacing w:val="12"/>
        </w:rPr>
        <w:t>海淀北部地区整体开</w:t>
      </w:r>
      <w:r>
        <w:rPr/>
        <w:t> 发</w:t>
      </w:r>
      <w:r>
        <w:rPr>
          <w:rFonts w:ascii="Times New Roman" w:hAnsi="Times New Roman" w:cs="Times New Roman" w:eastAsia="Times New Roman" w:hint="default"/>
        </w:rPr>
        <w:t>”HD</w:t>
      </w:r>
      <w:r>
        <w:rPr>
          <w:rFonts w:ascii="Times New Roman" w:hAnsi="Times New Roman" w:cs="Times New Roman" w:eastAsia="Times New Roman" w:hint="default"/>
        </w:rPr>
        <w:t>-0303-0031</w:t>
      </w:r>
      <w:r>
        <w:rPr/>
        <w:t>地块股权合作协议》，共同对</w:t>
      </w:r>
      <w:r>
        <w:rPr>
          <w:rFonts w:ascii="Times New Roman" w:hAnsi="Times New Roman" w:cs="Times New Roman" w:eastAsia="Times New Roman" w:hint="default"/>
        </w:rPr>
        <w:t>0031</w:t>
      </w:r>
      <w:r>
        <w:rPr/>
        <w:t>地块项目进行开发。北京神州数码置业发展有限公司作为项目公司，股</w:t>
      </w:r>
      <w:r>
        <w:rPr>
          <w:w w:val="99"/>
        </w:rPr>
        <w:t> </w:t>
      </w:r>
      <w:r>
        <w:rPr>
          <w:spacing w:val="-1"/>
        </w:rPr>
        <w:t>权比例变更为神码中国、神州数码软件有限公司各持股</w:t>
      </w:r>
      <w:r>
        <w:rPr>
          <w:rFonts w:ascii="Times New Roman" w:hAnsi="Times New Roman" w:cs="Times New Roman" w:eastAsia="Times New Roman" w:hint="default"/>
          <w:spacing w:val="-1"/>
        </w:rPr>
        <w:t>25%</w:t>
      </w:r>
      <w:r>
        <w:rPr>
          <w:spacing w:val="-1"/>
        </w:rPr>
        <w:t>，北京万科企业有限公司持股</w:t>
      </w:r>
      <w:r>
        <w:rPr>
          <w:rFonts w:ascii="Times New Roman" w:hAnsi="Times New Roman" w:cs="Times New Roman" w:eastAsia="Times New Roman" w:hint="default"/>
          <w:spacing w:val="-1"/>
        </w:rPr>
        <w:t>50%</w:t>
      </w:r>
      <w:r>
        <w:rPr>
          <w:spacing w:val="-1"/>
        </w:rPr>
        <w:t>。北京万科企业有限公司按其</w:t>
      </w:r>
      <w:r>
        <w:rPr>
          <w:spacing w:val="-58"/>
        </w:rPr>
        <w:t> </w:t>
      </w:r>
      <w:r>
        <w:rPr>
          <w:spacing w:val="-58"/>
        </w:rPr>
      </w:r>
      <w:r>
        <w:rPr>
          <w:spacing w:val="-1"/>
        </w:rPr>
        <w:t>权益比例提供股东借款人民币</w:t>
      </w:r>
      <w:r>
        <w:rPr>
          <w:rFonts w:ascii="Times New Roman" w:hAnsi="Times New Roman" w:cs="Times New Roman" w:eastAsia="Times New Roman" w:hint="default"/>
          <w:spacing w:val="-1"/>
        </w:rPr>
        <w:t>3.21</w:t>
      </w:r>
      <w:r>
        <w:rPr>
          <w:spacing w:val="-1"/>
        </w:rPr>
        <w:t>亿元给北京神州数码置业发展有限公司，北京神州数码置业发展有限公司分别向神码中国</w:t>
      </w:r>
      <w:r>
        <w:rPr>
          <w:spacing w:val="-70"/>
        </w:rPr>
        <w:t> </w:t>
      </w:r>
      <w:r>
        <w:rPr>
          <w:spacing w:val="-70"/>
        </w:rPr>
      </w:r>
      <w:r>
        <w:rPr/>
        <w:t>和神州数码软件有限公司支付人民币</w:t>
      </w:r>
      <w:r>
        <w:rPr>
          <w:rFonts w:ascii="Times New Roman" w:hAnsi="Times New Roman" w:cs="Times New Roman" w:eastAsia="Times New Roman" w:hint="default"/>
        </w:rPr>
        <w:t>16,050</w:t>
      </w:r>
      <w:r>
        <w:rPr/>
        <w:t>万元用于偿还二者前期提供的股东借款，并按照年息</w:t>
      </w:r>
      <w:r>
        <w:rPr>
          <w:rFonts w:ascii="Times New Roman" w:hAnsi="Times New Roman" w:cs="Times New Roman" w:eastAsia="Times New Roman" w:hint="default"/>
        </w:rPr>
        <w:t>7%</w:t>
      </w:r>
      <w:r>
        <w:rPr/>
        <w:t>支付利息。</w:t>
      </w:r>
    </w:p>
    <w:p>
      <w:pPr>
        <w:spacing w:line="240" w:lineRule="auto" w:before="4"/>
        <w:rPr>
          <w:rFonts w:ascii="宋体" w:hAnsi="宋体" w:cs="宋体" w:eastAsia="宋体" w:hint="default"/>
          <w:sz w:val="19"/>
          <w:szCs w:val="19"/>
        </w:rPr>
      </w:pPr>
    </w:p>
    <w:p>
      <w:pPr>
        <w:pStyle w:val="BodyText"/>
        <w:spacing w:line="300" w:lineRule="auto"/>
        <w:ind w:right="1137"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日，针对上述未偿还的欠款</w:t>
      </w:r>
      <w:r>
        <w:rPr>
          <w:rFonts w:ascii="Times New Roman" w:hAnsi="Times New Roman" w:cs="Times New Roman" w:eastAsia="Times New Roman" w:hint="default"/>
        </w:rPr>
        <w:t>16,050</w:t>
      </w:r>
      <w:r>
        <w:rPr/>
        <w:t>万元，神码中国与北京神州数码置业发展有限公司签订借款协议，约定 将上述</w:t>
      </w:r>
      <w:r>
        <w:rPr>
          <w:rFonts w:ascii="Times New Roman" w:hAnsi="Times New Roman" w:cs="Times New Roman" w:eastAsia="Times New Roman" w:hint="default"/>
        </w:rPr>
        <w:t>16,050</w:t>
      </w:r>
      <w:r>
        <w:rPr/>
        <w:t>万元视为借款，并按照</w:t>
      </w:r>
      <w:r>
        <w:rPr>
          <w:rFonts w:ascii="Times New Roman" w:hAnsi="Times New Roman" w:cs="Times New Roman" w:eastAsia="Times New Roman" w:hint="default"/>
        </w:rPr>
        <w:t>4.35%</w:t>
      </w:r>
      <w:r>
        <w:rPr/>
        <w:t>支付利息。</w:t>
      </w:r>
    </w:p>
    <w:p>
      <w:pPr>
        <w:pStyle w:val="BodyText"/>
        <w:spacing w:line="300" w:lineRule="auto" w:before="13"/>
        <w:ind w:right="1165" w:firstLine="288"/>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月，北京神州数码置业发展有限公司向神码中国偿还了</w:t>
      </w:r>
      <w:r>
        <w:rPr>
          <w:rFonts w:ascii="Times New Roman" w:hAnsi="Times New Roman" w:cs="Times New Roman" w:eastAsia="Times New Roman" w:hint="default"/>
        </w:rPr>
        <w:t>2,375</w:t>
      </w:r>
      <w:r>
        <w:rPr/>
        <w:t>万元借款；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月，北京神州数码置业发展有 限公司向神码中国偿还了</w:t>
      </w:r>
      <w:r>
        <w:rPr>
          <w:rFonts w:ascii="Times New Roman" w:hAnsi="Times New Roman" w:cs="Times New Roman" w:eastAsia="Times New Roman" w:hint="default"/>
        </w:rPr>
        <w:t>3,229</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月，北京神州数码置业发展有限公司向神码中国偿还了</w:t>
      </w:r>
      <w:r>
        <w:rPr>
          <w:rFonts w:ascii="Times New Roman" w:hAnsi="Times New Roman" w:cs="Times New Roman" w:eastAsia="Times New Roman" w:hint="default"/>
        </w:rPr>
        <w:t>3,500</w:t>
      </w:r>
      <w:r>
        <w:rPr/>
        <w:t>万元。截至</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日，尚余</w:t>
      </w:r>
      <w:r>
        <w:rPr>
          <w:rFonts w:ascii="Times New Roman" w:hAnsi="Times New Roman" w:cs="Times New Roman" w:eastAsia="Times New Roman" w:hint="default"/>
        </w:rPr>
        <w:t>6,946</w:t>
      </w:r>
      <w:r>
        <w:rPr/>
        <w:t>万元借款未偿还。</w:t>
      </w:r>
    </w:p>
    <w:p>
      <w:pPr>
        <w:spacing w:line="240" w:lineRule="auto" w:before="4"/>
        <w:rPr>
          <w:rFonts w:ascii="宋体" w:hAnsi="宋体" w:cs="宋体" w:eastAsia="宋体" w:hint="default"/>
          <w:sz w:val="19"/>
          <w:szCs w:val="19"/>
        </w:rPr>
      </w:pPr>
    </w:p>
    <w:p>
      <w:pPr>
        <w:pStyle w:val="BodyText"/>
        <w:spacing w:line="307" w:lineRule="auto"/>
        <w:ind w:right="1129" w:firstLine="288"/>
        <w:jc w:val="both"/>
      </w:pPr>
      <w:r>
        <w:rPr/>
        <w:t>注</w:t>
      </w:r>
      <w:r>
        <w:rPr>
          <w:rFonts w:ascii="Times New Roman" w:hAnsi="Times New Roman" w:cs="Times New Roman" w:eastAsia="Times New Roman" w:hint="default"/>
        </w:rPr>
        <w:t>2</w:t>
      </w:r>
      <w:r>
        <w:rPr/>
        <w:t>：本公司之子公司神码北京针对其对广州天酷数码科技有限公司的其他应收款向北京市海淀区人民法院提起诉讼， 要求广州天酷数码科技有限公司返还货款</w:t>
      </w:r>
      <w:r>
        <w:rPr>
          <w:rFonts w:ascii="Times New Roman" w:hAnsi="Times New Roman" w:cs="Times New Roman" w:eastAsia="Times New Roman" w:hint="default"/>
        </w:rPr>
        <w:t>9,885,084.07</w:t>
      </w:r>
      <w:r>
        <w:rPr/>
        <w:t>元，北京市海淀区人民法院一审作出（</w:t>
      </w:r>
      <w:r>
        <w:rPr>
          <w:rFonts w:ascii="Times New Roman" w:hAnsi="Times New Roman" w:cs="Times New Roman" w:eastAsia="Times New Roman" w:hint="default"/>
        </w:rPr>
        <w:t>2016</w:t>
      </w:r>
      <w:r>
        <w:rPr/>
        <w:t>）京</w:t>
      </w:r>
      <w:r>
        <w:rPr>
          <w:rFonts w:ascii="Times New Roman" w:hAnsi="Times New Roman" w:cs="Times New Roman" w:eastAsia="Times New Roman" w:hint="default"/>
        </w:rPr>
        <w:t>0108</w:t>
      </w:r>
      <w:r>
        <w:rPr/>
        <w:t>民初</w:t>
      </w:r>
      <w:r>
        <w:rPr>
          <w:rFonts w:ascii="Times New Roman" w:hAnsi="Times New Roman" w:cs="Times New Roman" w:eastAsia="Times New Roman" w:hint="default"/>
        </w:rPr>
        <w:t>3654</w:t>
      </w:r>
      <w:r>
        <w:rPr/>
        <w:t>、</w:t>
      </w:r>
      <w:r>
        <w:rPr>
          <w:rFonts w:ascii="Times New Roman" w:hAnsi="Times New Roman" w:cs="Times New Roman" w:eastAsia="Times New Roman" w:hint="default"/>
        </w:rPr>
        <w:t>3656</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号《北京市海淀区人民法院民事判决书》支持北京神州诉讼主张，北京市海淀区人民法院将广州天酷数码科技有限公司名下</w:t>
      </w:r>
      <w:r>
        <w:rPr>
          <w:spacing w:val="-62"/>
        </w:rPr>
        <w:t> </w:t>
      </w:r>
      <w:r>
        <w:rPr>
          <w:spacing w:val="-62"/>
        </w:rPr>
      </w:r>
      <w:r>
        <w:rPr/>
        <w:t>一处房产进行司法拍卖，目前该房产尚未进行处置，本集团将预计无法收回的其他应收款计提坏账准备</w:t>
      </w:r>
      <w:r>
        <w:rPr>
          <w:rFonts w:ascii="Times New Roman" w:hAnsi="Times New Roman" w:cs="Times New Roman" w:eastAsia="Times New Roman" w:hint="default"/>
        </w:rPr>
        <w:t>8,252,215.68</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00" w:lineRule="auto"/>
        <w:ind w:right="1132" w:firstLine="43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月，本公司之子公司神码香港与</w:t>
      </w:r>
      <w:r>
        <w:rPr>
          <w:rFonts w:ascii="Times New Roman" w:hAnsi="Times New Roman" w:cs="Times New Roman" w:eastAsia="Times New Roman" w:hint="default"/>
        </w:rPr>
        <w:t>CACHEIO,LLC</w:t>
      </w:r>
      <w:r>
        <w:rPr/>
        <w:t>签订可转债买卖协议，协议规定一年期限后可转换为股权，转 股价格按照上一轮融资价格的</w:t>
      </w:r>
      <w:r>
        <w:rPr>
          <w:rFonts w:ascii="Times New Roman" w:hAnsi="Times New Roman" w:cs="Times New Roman" w:eastAsia="Times New Roman" w:hint="default"/>
        </w:rPr>
        <w:t>70%</w:t>
      </w:r>
      <w:r>
        <w:rPr/>
        <w:t>或者</w:t>
      </w:r>
      <w:r>
        <w:rPr>
          <w:rFonts w:ascii="Times New Roman" w:hAnsi="Times New Roman" w:cs="Times New Roman" w:eastAsia="Times New Roman" w:hint="default"/>
        </w:rPr>
        <w:t>900</w:t>
      </w:r>
      <w:r>
        <w:rPr/>
        <w:t>万美元除以转股前的总股数中的较低者。转股后，神码香港拥有</w:t>
      </w:r>
      <w:r>
        <w:rPr>
          <w:rFonts w:ascii="Times New Roman" w:hAnsi="Times New Roman" w:cs="Times New Roman" w:eastAsia="Times New Roman" w:hint="default"/>
        </w:rPr>
        <w:t>10%</w:t>
      </w:r>
      <w:r>
        <w:rPr/>
        <w:t>的股权。截</w:t>
      </w:r>
      <w:r>
        <w:rPr>
          <w:spacing w:val="-31"/>
        </w:rPr>
        <w:t> </w:t>
      </w:r>
      <w:r>
        <w:rPr>
          <w:spacing w:val="-31"/>
        </w:rPr>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月，投资期限已满一年，但由于</w:t>
      </w:r>
      <w:r>
        <w:rPr>
          <w:rFonts w:ascii="Times New Roman" w:hAnsi="Times New Roman" w:cs="Times New Roman" w:eastAsia="Times New Roman" w:hint="default"/>
        </w:rPr>
        <w:t>CACHEIO,LLC</w:t>
      </w:r>
      <w:r>
        <w:rPr/>
        <w:t>经营情况不佳未予偿还债务，神码香港将该投资作为债权转入其</w:t>
      </w:r>
      <w:r>
        <w:rPr>
          <w:spacing w:val="-18"/>
        </w:rPr>
        <w:t> </w:t>
      </w:r>
      <w:r>
        <w:rPr>
          <w:spacing w:val="-18"/>
        </w:rPr>
      </w:r>
      <w:r>
        <w:rPr/>
        <w:t>他应收款，并全额计提坏账准备</w:t>
      </w:r>
      <w:r>
        <w:rPr>
          <w:rFonts w:ascii="Times New Roman" w:hAnsi="Times New Roman" w:cs="Times New Roman" w:eastAsia="Times New Roman" w:hint="default"/>
        </w:rPr>
        <w:t>6,809,861.10</w:t>
      </w:r>
      <w:r>
        <w:rPr/>
        <w:t>元。</w:t>
      </w:r>
    </w:p>
    <w:p>
      <w:pPr>
        <w:spacing w:line="240" w:lineRule="auto" w:before="0"/>
        <w:rPr>
          <w:rFonts w:ascii="宋体" w:hAnsi="宋体" w:cs="宋体" w:eastAsia="宋体" w:hint="default"/>
          <w:sz w:val="18"/>
          <w:szCs w:val="18"/>
        </w:rPr>
      </w:pPr>
    </w:p>
    <w:p>
      <w:pPr>
        <w:pStyle w:val="BodyText"/>
        <w:spacing w:line="316" w:lineRule="auto" w:before="130"/>
        <w:ind w:right="7334"/>
        <w:jc w:val="left"/>
      </w:pPr>
      <w:r>
        <w:rPr/>
        <w:t>其中本期坏账准备转回或收回金额重要的： 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4）按欠款方归集的期末余额前五名的其他应收款情况" w:id="248"/>
      <w:bookmarkEnd w:id="24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代关联方垫付的购 买土地款及借款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117,329,957.31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1,173,299.57</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济南顶安企业管理 </w:t>
            </w:r>
            <w:r>
              <w:rPr>
                <w:rFonts w:ascii="宋体" w:hAnsi="宋体" w:cs="宋体" w:eastAsia="宋体" w:hint="default"/>
                <w:spacing w:val="-10"/>
                <w:sz w:val="18"/>
                <w:szCs w:val="18"/>
              </w:rPr>
              <w:t>咨询合伙企业（有限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广州天酷数码科技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应收欠款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8,252,215.68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北京市海淀区人民 法院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保全保证金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7,781,037.44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217,256.32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CACHEIO</w:t>
            </w:r>
            <w:r>
              <w:rPr>
                <w:rFonts w:ascii="Times New Roman"/>
                <w:spacing w:val="-4"/>
                <w:sz w:val="18"/>
              </w:rPr>
              <w:t> </w:t>
            </w:r>
            <w:r>
              <w:rPr>
                <w:rFonts w:ascii="Times New Roman"/>
                <w:sz w:val="18"/>
              </w:rPr>
              <w:t>LLC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6,928,664.40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6,928,664.40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170,291,874.83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16,721,435.97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存货" w:id="249"/>
      <w:bookmarkEnd w:id="249"/>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6,458,896,457.29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282,105,728.36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6,176,790,728.93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5,577,543,695.79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5,270,473,936.23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1,756,582,620.72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1,756,582,620.72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125,316,025.40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125,316,025.40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1,265,461,867.01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1,265,461,867.01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1,111,278,251.43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1,111,278,251.43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9,480,940,945.02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282,105,728.36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9,198,835,216.66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6,814,137,972.62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6,507,068,213.06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汇兑差异</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136,571,832.77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324,900.81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161,860,764.78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282,105,728.36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307,069,759.56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136,571,832.77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324,900.81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161,860,764.78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282,105,728.36</w:t>
            </w:r>
          </w:p>
        </w:tc>
      </w:tr>
    </w:tbl>
    <w:p>
      <w:pPr>
        <w:pStyle w:val="BodyText"/>
        <w:spacing w:line="300" w:lineRule="auto" w:before="8"/>
        <w:ind w:right="1128" w:firstLine="360"/>
        <w:jc w:val="both"/>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日，本公司参加深圳市南山区深圳湾超级总部基地挂牌竞买事宜，竞得宗地编号为</w:t>
      </w:r>
      <w:r>
        <w:rPr>
          <w:rFonts w:ascii="Times New Roman" w:hAnsi="Times New Roman" w:cs="Times New Roman" w:eastAsia="Times New Roman" w:hint="default"/>
        </w:rPr>
        <w:t>T207-0052</w:t>
      </w:r>
      <w:r>
        <w:rPr/>
        <w:t>的土地使 用权。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w:t>
      </w:r>
      <w:r>
        <w:rPr>
          <w:spacing w:val="-86"/>
        </w:rPr>
        <w:t> </w:t>
      </w:r>
      <w:r>
        <w:rPr>
          <w:spacing w:val="-86"/>
        </w:rPr>
      </w:r>
      <w:r>
        <w:rPr/>
        <w:t>约定</w:t>
      </w:r>
      <w:r>
        <w:rPr>
          <w:rFonts w:ascii="Times New Roman" w:hAnsi="Times New Roman" w:cs="Times New Roman" w:eastAsia="Times New Roman" w:hint="default"/>
        </w:rPr>
        <w:t>:</w:t>
      </w:r>
      <w:r>
        <w:rPr/>
        <w:t>土地用途为商业服务业用地，本宗项目建成后部分可按规定销售，本公司将可用于销售部分占用土地成本计入开发成</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left="441" w:right="1125" w:hanging="289"/>
        <w:jc w:val="left"/>
      </w:pPr>
      <w:r>
        <w:rPr/>
        <w:t>本。该项目已于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日开工，尚在建设中。 本公司之子公司神州数码（深圳）有限公司（以下简称</w:t>
      </w:r>
      <w:r>
        <w:rPr>
          <w:rFonts w:ascii="Times New Roman" w:hAnsi="Times New Roman" w:cs="Times New Roman" w:eastAsia="Times New Roman" w:hint="default"/>
        </w:rPr>
        <w:t>“</w:t>
      </w:r>
      <w:r>
        <w:rPr/>
        <w:t>神码深圳</w:t>
      </w:r>
      <w:r>
        <w:rPr>
          <w:rFonts w:ascii="Times New Roman" w:hAnsi="Times New Roman" w:cs="Times New Roman" w:eastAsia="Times New Roman" w:hint="default"/>
        </w:rPr>
        <w:t>”</w:t>
      </w:r>
      <w:r>
        <w:rPr/>
        <w:t>）向平安银行股份有限公司深圳分行借款，由本公司</w:t>
      </w:r>
    </w:p>
    <w:p>
      <w:pPr>
        <w:pStyle w:val="BodyText"/>
        <w:spacing w:line="228" w:lineRule="exact"/>
        <w:ind w:right="0"/>
        <w:jc w:val="both"/>
      </w:pPr>
      <w:r>
        <w:rPr/>
        <w:t>提供最高额抵押担保，本公司与平安银行股份有限公司深圳分行签订了合同编号为平银</w:t>
      </w:r>
      <w:r>
        <w:rPr>
          <w:rFonts w:ascii="Times New Roman" w:hAnsi="Times New Roman" w:cs="Times New Roman" w:eastAsia="Times New Roman" w:hint="default"/>
        </w:rPr>
        <w:t>(</w:t>
      </w:r>
      <w:r>
        <w:rPr/>
        <w:t>电子</w:t>
      </w:r>
      <w:r>
        <w:rPr>
          <w:rFonts w:ascii="Times New Roman" w:hAnsi="Times New Roman" w:cs="Times New Roman" w:eastAsia="Times New Roman" w:hint="default"/>
        </w:rPr>
        <w:t>)</w:t>
      </w:r>
      <w:r>
        <w:rPr/>
        <w:t>综字第</w:t>
      </w:r>
      <w:r>
        <w:rPr>
          <w:rFonts w:ascii="Times New Roman" w:hAnsi="Times New Roman" w:cs="Times New Roman" w:eastAsia="Times New Roman" w:hint="default"/>
        </w:rPr>
        <w:t>A004201809060002</w:t>
      </w:r>
      <w:r>
        <w:rPr/>
        <w:t>（额</w:t>
      </w:r>
    </w:p>
    <w:p>
      <w:pPr>
        <w:pStyle w:val="BodyText"/>
        <w:spacing w:line="300" w:lineRule="auto" w:before="63"/>
        <w:ind w:right="1131"/>
        <w:jc w:val="both"/>
      </w:pPr>
      <w:r>
        <w:rPr/>
        <w:t>抵</w:t>
      </w:r>
      <w:r>
        <w:rPr>
          <w:rFonts w:ascii="Times New Roman" w:hAnsi="Times New Roman" w:cs="Times New Roman" w:eastAsia="Times New Roman" w:hint="default"/>
        </w:rPr>
        <w:t>002</w:t>
      </w:r>
      <w:r>
        <w:rPr/>
        <w:t>）号的最高额抵押担保合同，本公司以深圳市南山区深圳湾超级总部基地土地使用权作为抵押物进行抵押担保，其中</w:t>
      </w:r>
      <w:r>
        <w:rPr>
          <w:spacing w:val="-85"/>
        </w:rPr>
        <w:t> </w:t>
      </w:r>
      <w:r>
        <w:rPr>
          <w:spacing w:val="-85"/>
        </w:rPr>
      </w:r>
      <w:r>
        <w:rPr>
          <w:spacing w:val="-2"/>
        </w:rPr>
        <w:t>存货</w:t>
      </w:r>
      <w:r>
        <w:rPr>
          <w:rFonts w:ascii="Times New Roman" w:hAnsi="Times New Roman" w:cs="Times New Roman" w:eastAsia="Times New Roman" w:hint="default"/>
          <w:spacing w:val="-2"/>
        </w:rPr>
        <w:t>-</w:t>
      </w:r>
      <w:r>
        <w:rPr>
          <w:spacing w:val="-2"/>
        </w:rPr>
        <w:t>开发成本</w:t>
      </w:r>
      <w:r>
        <w:rPr>
          <w:rFonts w:ascii="Times New Roman" w:hAnsi="Times New Roman" w:cs="Times New Roman" w:eastAsia="Times New Roman" w:hint="default"/>
          <w:spacing w:val="-2"/>
        </w:rPr>
        <w:t>-</w:t>
      </w:r>
      <w:r>
        <w:rPr>
          <w:spacing w:val="-2"/>
        </w:rPr>
        <w:t>土地使用权期末账面价值为</w:t>
      </w:r>
      <w:r>
        <w:rPr>
          <w:rFonts w:ascii="Times New Roman" w:hAnsi="Times New Roman" w:cs="Times New Roman" w:eastAsia="Times New Roman" w:hint="default"/>
          <w:spacing w:val="-2"/>
        </w:rPr>
        <w:t>1,030,615,651.38</w:t>
      </w:r>
      <w:r>
        <w:rPr>
          <w:spacing w:val="-2"/>
        </w:rPr>
        <w:t>元，无形资产</w:t>
      </w:r>
      <w:r>
        <w:rPr>
          <w:rFonts w:ascii="Times New Roman" w:hAnsi="Times New Roman" w:cs="Times New Roman" w:eastAsia="Times New Roman" w:hint="default"/>
          <w:spacing w:val="-2"/>
        </w:rPr>
        <w:t>-</w:t>
      </w:r>
      <w:r>
        <w:rPr>
          <w:spacing w:val="-2"/>
        </w:rPr>
        <w:t>土地使用权期末账面价值为</w:t>
      </w:r>
      <w:r>
        <w:rPr>
          <w:rFonts w:ascii="Times New Roman" w:hAnsi="Times New Roman" w:cs="Times New Roman" w:eastAsia="Times New Roman" w:hint="default"/>
          <w:spacing w:val="-2"/>
        </w:rPr>
        <w:t>2,398,708,741.72</w:t>
      </w:r>
      <w:r>
        <w:rPr>
          <w:spacing w:val="-2"/>
        </w:rPr>
        <w:t>元。本</w:t>
      </w:r>
      <w:r>
        <w:rPr>
          <w:spacing w:val="-36"/>
        </w:rPr>
        <w:t> </w:t>
      </w:r>
      <w:r>
        <w:rPr>
          <w:spacing w:val="-36"/>
        </w:rPr>
      </w:r>
      <w:r>
        <w:rPr/>
        <w:t>公司自平安银行股份有限公司深圳分行借入的</w:t>
      </w:r>
      <w:r>
        <w:rPr>
          <w:rFonts w:ascii="Times New Roman" w:hAnsi="Times New Roman" w:cs="Times New Roman" w:eastAsia="Times New Roman" w:hint="default"/>
        </w:rPr>
        <w:t>5</w:t>
      </w:r>
      <w:r>
        <w:rPr/>
        <w:t>年期长期借款亦是以上述土地使用权进行抵押。</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3）存货期末余额含有借款费用资本化金额的说明" w:id="252"/>
      <w:bookmarkEnd w:id="25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本公司深圳湾土地建设项目于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日开工，相关借款利息应予以资本化。存货期末余额含有借款利息资本化金</w:t>
      </w:r>
      <w:r>
        <w:rPr/>
        <w:t> 额</w:t>
      </w:r>
      <w:r>
        <w:rPr>
          <w:rFonts w:ascii="Times New Roman" w:hAnsi="Times New Roman" w:cs="Times New Roman" w:eastAsia="Times New Roman" w:hint="default"/>
        </w:rPr>
        <w:t>117,169,480.04</w:t>
      </w:r>
      <w:r>
        <w:rPr/>
        <w:t>元。</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9、一年内到期的非流动资产" w:id="253"/>
      <w:bookmarkEnd w:id="25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1,532,681.81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203,640.19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1,532,681.81</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0、其他流动资产" w:id="254"/>
      <w:bookmarkEnd w:id="25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389,940,893.87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398,678,648.39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1,477,714.67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1,961,407.12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2,373,212.60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4,050,862.87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393,791,821.14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404,690,918.38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1、长期应收款" w:id="255"/>
      <w:bookmarkEnd w:id="255"/>
      <w:r>
        <w:rPr>
          <w:b w:val="0"/>
          <w:bCs w:val="0"/>
        </w:rPr>
      </w: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206" w:hRule="exact"/>
        </w:trPr>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404"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3,809,125.04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38,091.25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3,771,033.79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3,574,146.34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35,741.46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3,538,404.88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609,148.96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609,148.96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844,127.66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844,127.66</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53"/>
      </w:tblGrid>
      <w:tr>
        <w:trPr>
          <w:trHeight w:val="40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3,809,125.04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38,091.25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3,771,033.79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3,574,146.34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35,741.46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3,538,404.88</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35,741.46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35,741.46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2,349.79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2,349.79</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38,091.25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38,091.25</w:t>
            </w:r>
          </w:p>
        </w:tc>
      </w:tr>
    </w:tbl>
    <w:p>
      <w:pPr>
        <w:pStyle w:val="BodyText"/>
        <w:spacing w:line="240" w:lineRule="auto" w:before="49"/>
        <w:ind w:right="0"/>
        <w:jc w:val="left"/>
      </w:pPr>
      <w:r>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12、长期股权投资" w:id="256"/>
      <w:bookmarkEnd w:id="256"/>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38"/>
        <w:gridCol w:w="1315"/>
        <w:gridCol w:w="1135"/>
        <w:gridCol w:w="1141"/>
        <w:gridCol w:w="1140"/>
        <w:gridCol w:w="1138"/>
        <w:gridCol w:w="1140"/>
        <w:gridCol w:w="1138"/>
        <w:gridCol w:w="1140"/>
        <w:gridCol w:w="1138"/>
        <w:gridCol w:w="1318"/>
        <w:gridCol w:w="1138"/>
      </w:tblGrid>
      <w:tr>
        <w:trPr>
          <w:trHeight w:val="401" w:hRule="exact"/>
        </w:trPr>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97" w:lineRule="auto"/>
              <w:ind w:left="441" w:right="8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911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97" w:lineRule="auto"/>
              <w:ind w:left="443" w:right="8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81" w:right="24"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24"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4"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北京神州数码 置业发展有限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5,844,377.03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-1,916,820.92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3,927,556.11</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神州云盾信息 安全有限公司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19,248,749.72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4,000,000.00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529,236.23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23,777,985.95</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25,093,126.75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4,000,000.00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-1,387,584.69</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27,705,542.06</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北京卓越信通 电子股份有限 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40,120,875.79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-3,713,440.38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36,407,435.41</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北京迪信通商 贸股份有限公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883,237,804.80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56,269,049.10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-1,000,009.72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577,211.54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15,903,435.94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954,987,491.66</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神州顶联科技 有限公司（注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104,104,256.40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109,564,256.40</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北京神州慧安 科技有限公司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1,968,741.58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2,746,155.00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1,675,472.34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6,390,368.92</w:t>
            </w: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6840" w:h="11910" w:orient="landscape"/>
          <w:pgMar w:header="867" w:footer="980" w:top="1060" w:bottom="1160" w:left="1300" w:right="1280"/>
          <w:pgNumType w:start="179"/>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25"/>
        <w:gridCol w:w="1316"/>
        <w:gridCol w:w="1135"/>
        <w:gridCol w:w="1141"/>
        <w:gridCol w:w="1140"/>
        <w:gridCol w:w="1138"/>
        <w:gridCol w:w="1140"/>
        <w:gridCol w:w="1138"/>
        <w:gridCol w:w="1140"/>
        <w:gridCol w:w="1138"/>
        <w:gridCol w:w="1318"/>
        <w:gridCol w:w="1138"/>
      </w:tblGrid>
      <w:tr>
        <w:trPr>
          <w:trHeight w:val="220" w:hRule="exact"/>
        </w:trPr>
        <w:tc>
          <w:tcPr>
            <w:tcW w:w="1125" w:type="dxa"/>
            <w:vMerge w:val="restart"/>
            <w:tcBorders>
              <w:top w:val="single" w:sz="15" w:space="0" w:color="000000"/>
              <w:left w:val="single" w:sz="4" w:space="0" w:color="000000"/>
              <w:right w:val="single" w:sz="4" w:space="0" w:color="000000"/>
            </w:tcBorders>
            <w:shd w:val="clear" w:color="auto" w:fill="D2D2D2"/>
          </w:tcPr>
          <w:p>
            <w:pPr/>
          </w:p>
        </w:tc>
        <w:tc>
          <w:tcPr>
            <w:tcW w:w="1316" w:type="dxa"/>
            <w:tcBorders>
              <w:top w:val="single" w:sz="15" w:space="0" w:color="000000"/>
              <w:left w:val="single" w:sz="4" w:space="0" w:color="000000"/>
              <w:bottom w:val="nil" w:sz="6" w:space="0" w:color="auto"/>
              <w:right w:val="single" w:sz="4" w:space="0" w:color="000000"/>
            </w:tcBorders>
            <w:shd w:val="clear" w:color="auto" w:fill="D2D2D2"/>
          </w:tcPr>
          <w:p>
            <w:pPr/>
          </w:p>
        </w:tc>
        <w:tc>
          <w:tcPr>
            <w:tcW w:w="9110" w:type="dxa"/>
            <w:gridSpan w:val="8"/>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18"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15" w:space="0" w:color="000000"/>
              <w:left w:val="single" w:sz="4" w:space="0" w:color="000000"/>
              <w:bottom w:val="nil" w:sz="6" w:space="0" w:color="auto"/>
              <w:right w:val="single" w:sz="4" w:space="0" w:color="000000"/>
            </w:tcBorders>
            <w:shd w:val="clear" w:color="auto" w:fill="D2D2D2"/>
          </w:tcPr>
          <w:p>
            <w:pPr/>
          </w:p>
        </w:tc>
      </w:tr>
      <w:tr>
        <w:trPr>
          <w:trHeight w:val="174" w:hRule="exact"/>
        </w:trPr>
        <w:tc>
          <w:tcPr>
            <w:tcW w:w="1125"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300" w:lineRule="auto" w:before="49"/>
              <w:ind w:left="442" w:right="8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9110" w:type="dxa"/>
            <w:gridSpan w:val="8"/>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300" w:lineRule="auto" w:before="49"/>
              <w:ind w:left="443" w:right="8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1" w:right="24"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84" w:hRule="exact"/>
        </w:trPr>
        <w:tc>
          <w:tcPr>
            <w:tcW w:w="11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6"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15" w:right="2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381" w:right="24"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12" w:right="24"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r>
      <w:tr>
        <w:trPr>
          <w:trHeight w:val="192" w:hRule="exact"/>
        </w:trPr>
        <w:tc>
          <w:tcPr>
            <w:tcW w:w="1125"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40"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38" w:type="dxa"/>
            <w:vMerge/>
            <w:tcBorders>
              <w:left w:val="single" w:sz="4" w:space="0" w:color="000000"/>
              <w:right w:val="single" w:sz="4" w:space="0" w:color="000000"/>
            </w:tcBorders>
            <w:shd w:val="clear" w:color="auto" w:fill="D2D2D2"/>
          </w:tcPr>
          <w:p>
            <w:pP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r>
      <w:tr>
        <w:trPr>
          <w:trHeight w:val="188" w:hRule="exact"/>
        </w:trPr>
        <w:tc>
          <w:tcPr>
            <w:tcW w:w="1125"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141" w:type="dxa"/>
            <w:vMerge/>
            <w:tcBorders>
              <w:left w:val="single" w:sz="4" w:space="0" w:color="000000"/>
              <w:bottom w:val="nil" w:sz="6" w:space="0" w:color="auto"/>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bottom w:val="single" w:sz="17" w:space="0" w:color="FFFFFF"/>
              <w:right w:val="single" w:sz="4" w:space="0" w:color="000000"/>
            </w:tcBorders>
            <w:shd w:val="clear" w:color="auto" w:fill="D2D2D2"/>
          </w:tcPr>
          <w:p>
            <w:pPr/>
          </w:p>
        </w:tc>
        <w:tc>
          <w:tcPr>
            <w:tcW w:w="1138" w:type="dxa"/>
            <w:vMerge/>
            <w:tcBorders>
              <w:left w:val="single" w:sz="4" w:space="0" w:color="000000"/>
              <w:bottom w:val="single" w:sz="17" w:space="0" w:color="FFFFFF"/>
              <w:right w:val="single" w:sz="4" w:space="0" w:color="000000"/>
            </w:tcBorders>
            <w:shd w:val="clear" w:color="auto" w:fill="D2D2D2"/>
          </w:tcPr>
          <w:p>
            <w:pPr/>
          </w:p>
        </w:tc>
        <w:tc>
          <w:tcPr>
            <w:tcW w:w="1318" w:type="dxa"/>
            <w:vMerge/>
            <w:tcBorders>
              <w:left w:val="single" w:sz="4" w:space="0" w:color="000000"/>
              <w:bottom w:val="single" w:sz="17" w:space="0" w:color="FFFFFF"/>
              <w:right w:val="single" w:sz="4" w:space="0" w:color="000000"/>
            </w:tcBorders>
            <w:shd w:val="clear" w:color="auto" w:fill="D2D2D2"/>
          </w:tcPr>
          <w:p>
            <w:pPr/>
          </w:p>
        </w:tc>
        <w:tc>
          <w:tcPr>
            <w:tcW w:w="1138" w:type="dxa"/>
            <w:vMerge/>
            <w:tcBorders>
              <w:left w:val="single" w:sz="4" w:space="0" w:color="000000"/>
              <w:bottom w:val="single" w:sz="17" w:space="0" w:color="FFFFFF"/>
              <w:right w:val="single" w:sz="4" w:space="0" w:color="000000"/>
            </w:tcBorders>
            <w:shd w:val="clear" w:color="auto" w:fill="D2D2D2"/>
          </w:tcPr>
          <w:p>
            <w:pPr/>
          </w:p>
        </w:tc>
      </w:tr>
      <w:tr>
        <w:trPr>
          <w:trHeight w:val="166" w:hRule="exact"/>
        </w:trPr>
        <w:tc>
          <w:tcPr>
            <w:tcW w:w="1125"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single" w:sz="17" w:space="0" w:color="FFFFFF"/>
              <w:left w:val="single" w:sz="4" w:space="0" w:color="000000"/>
              <w:bottom w:val="single" w:sz="4" w:space="0" w:color="000000"/>
              <w:right w:val="single" w:sz="4" w:space="0" w:color="000000"/>
            </w:tcBorders>
            <w:shd w:val="clear" w:color="auto" w:fill="D2D2D2"/>
          </w:tcPr>
          <w:p>
            <w:pPr/>
          </w:p>
        </w:tc>
        <w:tc>
          <w:tcPr>
            <w:tcW w:w="1138" w:type="dxa"/>
            <w:tcBorders>
              <w:top w:val="single" w:sz="17" w:space="0" w:color="FFFFFF"/>
              <w:left w:val="single" w:sz="4" w:space="0" w:color="000000"/>
              <w:bottom w:val="single" w:sz="4" w:space="0" w:color="000000"/>
              <w:right w:val="single" w:sz="4" w:space="0" w:color="000000"/>
            </w:tcBorders>
            <w:shd w:val="clear" w:color="auto" w:fill="D2D2D2"/>
          </w:tcPr>
          <w:p>
            <w:pPr/>
          </w:p>
        </w:tc>
        <w:tc>
          <w:tcPr>
            <w:tcW w:w="1318" w:type="dxa"/>
            <w:tcBorders>
              <w:top w:val="single" w:sz="17" w:space="0" w:color="FFFFFF"/>
              <w:left w:val="single" w:sz="4" w:space="0" w:color="000000"/>
              <w:bottom w:val="single" w:sz="4" w:space="0" w:color="000000"/>
              <w:right w:val="single" w:sz="4" w:space="0" w:color="000000"/>
            </w:tcBorders>
            <w:shd w:val="clear" w:color="auto" w:fill="D2D2D2"/>
          </w:tcPr>
          <w:p>
            <w:pPr/>
          </w:p>
        </w:tc>
        <w:tc>
          <w:tcPr>
            <w:tcW w:w="1138" w:type="dxa"/>
            <w:tcBorders>
              <w:top w:val="single" w:sz="17" w:space="0" w:color="FFFFFF"/>
              <w:left w:val="single" w:sz="4" w:space="0" w:color="000000"/>
              <w:bottom w:val="single" w:sz="4" w:space="0" w:color="000000"/>
              <w:right w:val="single" w:sz="4" w:space="0" w:color="000000"/>
            </w:tcBorders>
            <w:shd w:val="clear" w:color="auto" w:fill="D2D2D2"/>
          </w:tcPr>
          <w:p>
            <w:pPr/>
          </w:p>
        </w:tc>
      </w:tr>
      <w:tr>
        <w:trPr>
          <w:trHeight w:val="403" w:hRule="exact"/>
        </w:trPr>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1,029,431,678.57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2,746,155.00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59,691,081.06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-1,000,009.72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577,211.54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15,903,435.94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1,107,349,552.39</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1,054,524,805.32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6,746,155.00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58,303,496.37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-1,000,009.72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577,211.54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15,903,435.94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1,135,055,094.45</w:t>
            </w:r>
          </w:p>
        </w:tc>
        <w:tc>
          <w:tcPr>
            <w:tcW w:w="11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40" w:right="0"/>
        <w:jc w:val="left"/>
      </w:pPr>
      <w:r>
        <w:rPr/>
        <w:t>其他说明</w:t>
      </w:r>
    </w:p>
    <w:p>
      <w:pPr>
        <w:pStyle w:val="BodyText"/>
        <w:spacing w:line="300" w:lineRule="auto" w:before="115"/>
        <w:ind w:left="140" w:right="153" w:firstLine="360"/>
        <w:jc w:val="both"/>
      </w:pPr>
      <w:r>
        <w:rPr/>
        <w:t>注</w:t>
      </w:r>
      <w:r>
        <w:rPr>
          <w:rFonts w:ascii="Times New Roman" w:hAnsi="Times New Roman" w:cs="Times New Roman" w:eastAsia="Times New Roman" w:hint="default"/>
        </w:rPr>
        <w:t>1</w:t>
      </w:r>
      <w:r>
        <w:rPr/>
        <w:t>：北京神州数码置业发展有限公司成立于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日，系由本公司之子公司神州数码（中国）有限公司与神州数码软件有限公司共同组建的有限责任公司，注册资本</w:t>
      </w:r>
      <w:r>
        <w:rPr>
          <w:rFonts w:ascii="Times New Roman" w:hAnsi="Times New Roman" w:cs="Times New Roman" w:eastAsia="Times New Roman" w:hint="default"/>
        </w:rPr>
        <w:t>1 </w:t>
      </w:r>
      <w:r>
        <w:rPr/>
        <w:t>亿元，神州数码（中国）有限公司、神州数码软件有限公司各持股</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月，神州数码（中国）有限公司、神州数码软件有限公司与北京万科企业有限公司签订了《北京</w:t>
      </w:r>
      <w:r>
        <w:rPr>
          <w:spacing w:val="-58"/>
        </w:rPr>
        <w:t> </w:t>
      </w:r>
      <w:r>
        <w:rPr>
          <w:spacing w:val="-58"/>
        </w:rPr>
      </w:r>
      <w:r>
        <w:rPr>
          <w:spacing w:val="-3"/>
        </w:rPr>
        <w:t>市</w:t>
      </w:r>
      <w:r>
        <w:rPr>
          <w:rFonts w:ascii="Times New Roman" w:hAnsi="Times New Roman" w:cs="Times New Roman" w:eastAsia="Times New Roman" w:hint="default"/>
          <w:spacing w:val="-3"/>
        </w:rPr>
        <w:t>“</w:t>
      </w:r>
      <w:r>
        <w:rPr>
          <w:spacing w:val="-3"/>
        </w:rPr>
        <w:t>海淀北部地区整体开发</w:t>
      </w:r>
      <w:r>
        <w:rPr>
          <w:rFonts w:ascii="Times New Roman" w:hAnsi="Times New Roman" w:cs="Times New Roman" w:eastAsia="Times New Roman" w:hint="default"/>
          <w:spacing w:val="-3"/>
        </w:rPr>
        <w:t>”HD</w:t>
      </w:r>
      <w:r>
        <w:rPr>
          <w:rFonts w:ascii="Times New Roman" w:hAnsi="Times New Roman" w:cs="Times New Roman" w:eastAsia="Times New Roman" w:hint="default"/>
          <w:spacing w:val="-3"/>
        </w:rPr>
        <w:t>-0303-0031</w:t>
      </w:r>
      <w:r>
        <w:rPr>
          <w:spacing w:val="-3"/>
        </w:rPr>
        <w:t>地块股权合作协议》，北京神州数码置业发展有限公司的股权比例变更为神州数码（中国）有限公司、神州数码软件有限公司各持股</w:t>
      </w:r>
      <w:r>
        <w:rPr>
          <w:rFonts w:ascii="Times New Roman" w:hAnsi="Times New Roman" w:cs="Times New Roman" w:eastAsia="Times New Roman" w:hint="default"/>
          <w:spacing w:val="-3"/>
        </w:rPr>
        <w:t>25%</w:t>
      </w:r>
      <w:r>
        <w:rPr>
          <w:spacing w:val="-3"/>
        </w:rPr>
        <w:t>，</w:t>
      </w:r>
      <w:r>
        <w:rPr>
          <w:spacing w:val="-67"/>
        </w:rPr>
        <w:t> </w:t>
      </w:r>
      <w:r>
        <w:rPr>
          <w:spacing w:val="-3"/>
        </w:rPr>
        <w:t>北京万科企业有限公司持股</w:t>
      </w:r>
      <w:r>
        <w:rPr>
          <w:rFonts w:ascii="Times New Roman" w:hAnsi="Times New Roman" w:cs="Times New Roman" w:eastAsia="Times New Roman" w:hint="default"/>
          <w:spacing w:val="-3"/>
        </w:rPr>
        <w:t>50%</w:t>
      </w:r>
      <w:r>
        <w:rPr>
          <w:spacing w:val="-3"/>
        </w:rPr>
        <w:t>。根据北京神州数码置业发展有限公司章程规定，股东会为公司的权力机构，股东会决议须经全体股东同意生效。截至本报告期末神州数码（中国）</w:t>
      </w:r>
      <w:r>
        <w:rPr>
          <w:spacing w:val="-82"/>
        </w:rPr>
        <w:t> </w:t>
      </w:r>
      <w:r>
        <w:rPr>
          <w:spacing w:val="-82"/>
        </w:rPr>
      </w:r>
      <w:r>
        <w:rPr/>
        <w:t>有限公司对北京神州数码置业发展有限公司实际出资</w:t>
      </w:r>
      <w:r>
        <w:rPr>
          <w:rFonts w:ascii="Times New Roman" w:hAnsi="Times New Roman" w:cs="Times New Roman" w:eastAsia="Times New Roman" w:hint="default"/>
        </w:rPr>
        <w:t>2,500</w:t>
      </w:r>
      <w:r>
        <w:rPr/>
        <w:t>万元。</w:t>
      </w:r>
    </w:p>
    <w:p>
      <w:pPr>
        <w:pStyle w:val="BodyText"/>
        <w:spacing w:line="300" w:lineRule="auto" w:before="13"/>
        <w:ind w:left="140" w:right="154" w:firstLine="360"/>
        <w:jc w:val="both"/>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日，本公司之子公司北京神州数码云科信息技术有限公司与深圳神州惠众科技有限公司签订股权转让协议，以</w:t>
      </w:r>
      <w:r>
        <w:rPr>
          <w:rFonts w:ascii="Times New Roman" w:hAnsi="Times New Roman" w:cs="Times New Roman" w:eastAsia="Times New Roman" w:hint="default"/>
          <w:spacing w:val="-1"/>
        </w:rPr>
        <w:t>1,390</w:t>
      </w:r>
      <w:r>
        <w:rPr>
          <w:spacing w:val="-1"/>
        </w:rPr>
        <w:t>万元购买其所持有的神州云盾信息安全</w:t>
      </w:r>
      <w:r>
        <w:rPr/>
        <w:t> </w:t>
      </w:r>
      <w:r>
        <w:rPr>
          <w:spacing w:val="-1"/>
        </w:rPr>
        <w:t>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神州云盾</w:t>
      </w:r>
      <w:r>
        <w:rPr>
          <w:rFonts w:ascii="Times New Roman" w:hAnsi="Times New Roman" w:cs="Times New Roman" w:eastAsia="Times New Roman" w:hint="default"/>
          <w:spacing w:val="-1"/>
        </w:rPr>
        <w:t>”)40%</w:t>
      </w:r>
      <w:r>
        <w:rPr>
          <w:spacing w:val="-1"/>
        </w:rPr>
        <w:t>股权。上述款项已于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日支付完毕。根据神州云盾章程的规定，北京神州数码云科信息技术有限公司、秦皇岛开发区国有资产经营有</w:t>
      </w:r>
      <w:r>
        <w:rPr>
          <w:spacing w:val="-72"/>
        </w:rPr>
        <w:t> </w:t>
      </w:r>
      <w:r>
        <w:rPr>
          <w:spacing w:val="-72"/>
        </w:rPr>
      </w:r>
      <w:r>
        <w:rPr/>
        <w:t>限公司、北京中汇智投资管理有限公司对神州云盾共同控制，故对其长期股权投资采用权益法核算。上述股东按持股比例应对神州云盾补足注册资本</w:t>
      </w:r>
      <w:r>
        <w:rPr>
          <w:rFonts w:ascii="Times New Roman" w:hAnsi="Times New Roman" w:cs="Times New Roman" w:eastAsia="Times New Roman" w:hint="default"/>
        </w:rPr>
        <w:t>2,000</w:t>
      </w:r>
      <w:r>
        <w:rPr/>
        <w:t>万元，其中北京神州数</w:t>
      </w:r>
      <w:r>
        <w:rPr>
          <w:spacing w:val="-43"/>
        </w:rPr>
        <w:t> </w:t>
      </w:r>
      <w:r>
        <w:rPr/>
        <w:t>码云科信息技术有限公司按持股比例应出资</w:t>
      </w:r>
      <w:r>
        <w:rPr>
          <w:rFonts w:ascii="Times New Roman" w:hAnsi="Times New Roman" w:cs="Times New Roman" w:eastAsia="Times New Roman" w:hint="default"/>
        </w:rPr>
        <w:t>800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日，北京神州数码云科信息技术有限公司支付了</w:t>
      </w:r>
      <w:r>
        <w:rPr>
          <w:rFonts w:ascii="Times New Roman" w:hAnsi="Times New Roman" w:cs="Times New Roman" w:eastAsia="Times New Roman" w:hint="default"/>
        </w:rPr>
        <w:t>400</w:t>
      </w:r>
      <w:r>
        <w:rPr/>
        <w:t>万元，剩余</w:t>
      </w:r>
      <w:r>
        <w:rPr>
          <w:rFonts w:ascii="Times New Roman" w:hAnsi="Times New Roman" w:cs="Times New Roman" w:eastAsia="Times New Roman" w:hint="default"/>
        </w:rPr>
        <w:t>400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日支付完毕。</w:t>
      </w:r>
    </w:p>
    <w:p>
      <w:pPr>
        <w:pStyle w:val="BodyText"/>
        <w:spacing w:line="300" w:lineRule="auto" w:before="13"/>
        <w:ind w:left="140" w:right="155" w:firstLine="36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日，本公司之子公司</w:t>
      </w:r>
      <w:r>
        <w:rPr>
          <w:rFonts w:ascii="Times New Roman" w:hAnsi="Times New Roman" w:cs="Times New Roman" w:eastAsia="Times New Roman" w:hint="default"/>
        </w:rPr>
        <w:t>Digital China(HK)limited</w:t>
      </w:r>
      <w:r>
        <w:rPr/>
        <w:t>分别与</w:t>
      </w:r>
      <w:r>
        <w:rPr>
          <w:rFonts w:ascii="Times New Roman" w:hAnsi="Times New Roman" w:cs="Times New Roman" w:eastAsia="Times New Roman" w:hint="default"/>
        </w:rPr>
        <w:t>3i Infocomm Limited</w:t>
      </w:r>
      <w:r>
        <w:rPr/>
        <w:t>及</w:t>
      </w:r>
      <w:r>
        <w:rPr>
          <w:rFonts w:ascii="Times New Roman" w:hAnsi="Times New Roman" w:cs="Times New Roman" w:eastAsia="Times New Roman" w:hint="default"/>
        </w:rPr>
        <w:t>CDH</w:t>
      </w:r>
      <w:r>
        <w:rPr>
          <w:rFonts w:ascii="Times New Roman" w:hAnsi="Times New Roman" w:cs="Times New Roman" w:eastAsia="Times New Roman" w:hint="default"/>
          <w:spacing w:val="-18"/>
        </w:rPr>
        <w:t> </w:t>
      </w:r>
      <w:r>
        <w:rPr>
          <w:rFonts w:ascii="Times New Roman" w:hAnsi="Times New Roman" w:cs="Times New Roman" w:eastAsia="Times New Roman" w:hint="default"/>
        </w:rPr>
        <w:t>Mobile(HK)Limited</w:t>
      </w:r>
      <w:r>
        <w:rPr/>
        <w:t>签订股份购买协议，以</w:t>
      </w:r>
      <w:r>
        <w:rPr>
          <w:rFonts w:ascii="Times New Roman" w:hAnsi="Times New Roman" w:cs="Times New Roman" w:eastAsia="Times New Roman" w:hint="default"/>
        </w:rPr>
        <w:t>3.10</w:t>
      </w:r>
      <w:r>
        <w:rPr/>
        <w:t>港币</w:t>
      </w:r>
      <w:r>
        <w:rPr>
          <w:rFonts w:ascii="Times New Roman" w:hAnsi="Times New Roman" w:cs="Times New Roman" w:eastAsia="Times New Roman" w:hint="default"/>
        </w:rPr>
        <w:t>/</w:t>
      </w:r>
      <w:r>
        <w:rPr/>
        <w:t>股购买其所持有的北京迪</w:t>
      </w:r>
      <w:r>
        <w:rPr>
          <w:w w:val="99"/>
        </w:rPr>
        <w:t> </w:t>
      </w:r>
      <w:r>
        <w:rPr/>
        <w:t>信通商贸股份有限公司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迪信通</w:t>
      </w:r>
      <w:r>
        <w:rPr>
          <w:rFonts w:ascii="Times New Roman" w:hAnsi="Times New Roman" w:cs="Times New Roman" w:eastAsia="Times New Roman" w:hint="default"/>
        </w:rPr>
        <w:t>”)15,835</w:t>
      </w:r>
      <w:r>
        <w:rPr/>
        <w:t>万股的股权，价款共计</w:t>
      </w:r>
      <w:r>
        <w:rPr>
          <w:rFonts w:ascii="Times New Roman" w:hAnsi="Times New Roman" w:cs="Times New Roman" w:eastAsia="Times New Roman" w:hint="default"/>
        </w:rPr>
        <w:t>4.926</w:t>
      </w:r>
      <w:r>
        <w:rPr/>
        <w:t>亿港币（含直接相关手续费</w:t>
      </w:r>
      <w:r>
        <w:rPr>
          <w:rFonts w:ascii="Times New Roman" w:hAnsi="Times New Roman" w:cs="Times New Roman" w:eastAsia="Times New Roman" w:hint="default"/>
        </w:rPr>
        <w:t>)</w:t>
      </w:r>
      <w:r>
        <w:rPr/>
        <w:t>，折合人民币</w:t>
      </w:r>
      <w:r>
        <w:rPr>
          <w:rFonts w:ascii="Times New Roman" w:hAnsi="Times New Roman" w:cs="Times New Roman" w:eastAsia="Times New Roman" w:hint="default"/>
        </w:rPr>
        <w:t>4.41</w:t>
      </w:r>
      <w:r>
        <w:rPr/>
        <w:t>亿元，并于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月支付了上述价款。本公司之子公</w:t>
      </w:r>
      <w:r>
        <w:rPr>
          <w:spacing w:val="-32"/>
        </w:rPr>
        <w:t> </w:t>
      </w:r>
      <w:r>
        <w:rPr>
          <w:spacing w:val="-32"/>
        </w:rPr>
      </w:r>
      <w:r>
        <w:rPr/>
        <w:t>司</w:t>
      </w:r>
      <w:r>
        <w:rPr>
          <w:rFonts w:ascii="Times New Roman" w:hAnsi="Times New Roman" w:cs="Times New Roman" w:eastAsia="Times New Roman" w:hint="default"/>
        </w:rPr>
        <w:t>Digital</w:t>
      </w:r>
      <w:r>
        <w:rPr>
          <w:rFonts w:ascii="Times New Roman" w:hAnsi="Times New Roman" w:cs="Times New Roman" w:eastAsia="Times New Roman" w:hint="default"/>
          <w:spacing w:val="-27"/>
        </w:rPr>
        <w:t> </w:t>
      </w:r>
      <w:r>
        <w:rPr>
          <w:rFonts w:ascii="Times New Roman" w:hAnsi="Times New Roman" w:cs="Times New Roman" w:eastAsia="Times New Roman" w:hint="default"/>
        </w:rPr>
        <w:t>China(HK)limited</w:t>
      </w:r>
      <w:r>
        <w:rPr/>
        <w:t>持有迪信通</w:t>
      </w:r>
      <w:r>
        <w:rPr>
          <w:rFonts w:ascii="Times New Roman" w:hAnsi="Times New Roman" w:cs="Times New Roman" w:eastAsia="Times New Roman" w:hint="default"/>
        </w:rPr>
        <w:t>23.75%</w:t>
      </w:r>
      <w:r>
        <w:rPr/>
        <w:t>股权，并向迪信通派驻一名董事。本公司管理层认为本公司之子公司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27"/>
        </w:rPr>
        <w:t> </w:t>
      </w:r>
      <w:r>
        <w:rPr>
          <w:rFonts w:ascii="Times New Roman" w:hAnsi="Times New Roman" w:cs="Times New Roman" w:eastAsia="Times New Roman" w:hint="default"/>
        </w:rPr>
        <w:t>China(HK)limited</w:t>
      </w:r>
      <w:r>
        <w:rPr/>
        <w:t>对迪信通有重大影响，故对其长期股权投</w:t>
      </w:r>
      <w:r>
        <w:rPr>
          <w:w w:val="99"/>
        </w:rPr>
        <w:t> </w:t>
      </w:r>
      <w:r>
        <w:rPr/>
        <w:t>资采用权益法核算。</w:t>
      </w:r>
    </w:p>
    <w:p>
      <w:pPr>
        <w:pStyle w:val="BodyText"/>
        <w:spacing w:line="300" w:lineRule="auto" w:before="31"/>
        <w:ind w:left="140" w:right="157" w:firstLine="360"/>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月，本公司与神州顶联科技有限公司</w:t>
      </w:r>
      <w:r>
        <w:rPr>
          <w:rFonts w:ascii="Times New Roman" w:hAnsi="Times New Roman" w:cs="Times New Roman" w:eastAsia="Times New Roman" w:hint="default"/>
        </w:rPr>
        <w:t>(</w:t>
      </w:r>
      <w:r>
        <w:rPr/>
        <w:t>原顶联信息产业股份公司，以下简称</w:t>
      </w:r>
      <w:r>
        <w:rPr>
          <w:rFonts w:ascii="Times New Roman" w:hAnsi="Times New Roman" w:cs="Times New Roman" w:eastAsia="Times New Roman" w:hint="default"/>
        </w:rPr>
        <w:t>“</w:t>
      </w:r>
      <w:r>
        <w:rPr/>
        <w:t>神州顶联</w:t>
      </w:r>
      <w:r>
        <w:rPr>
          <w:rFonts w:ascii="Times New Roman" w:hAnsi="Times New Roman" w:cs="Times New Roman" w:eastAsia="Times New Roman" w:hint="default"/>
        </w:rPr>
        <w:t>”)</w:t>
      </w:r>
      <w:r>
        <w:rPr/>
        <w:t>部分股东济南顶安企业管理咨询合伙企业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、刘国梁、上海泉桥 资产管理有限公司、李娜、山东中泰天使创业投资基金企业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、山东南海恒蓝人才创业投资合伙企业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、黄习娣、孙水波、慈昌会、许全槐、杨桂清、王大为签</w:t>
      </w:r>
      <w:r>
        <w:rPr>
          <w:spacing w:val="-56"/>
        </w:rPr>
        <w:t> </w:t>
      </w:r>
      <w:r>
        <w:rPr>
          <w:spacing w:val="-56"/>
        </w:rPr>
      </w:r>
      <w:r>
        <w:rPr>
          <w:spacing w:val="-1"/>
        </w:rPr>
        <w:t>订股权转让协议，本公司以现金对价</w:t>
      </w:r>
      <w:r>
        <w:rPr>
          <w:rFonts w:ascii="Times New Roman" w:hAnsi="Times New Roman" w:cs="Times New Roman" w:eastAsia="Times New Roman" w:hint="default"/>
          <w:spacing w:val="-1"/>
        </w:rPr>
        <w:t>10,000</w:t>
      </w:r>
      <w:r>
        <w:rPr>
          <w:spacing w:val="-1"/>
        </w:rPr>
        <w:t>万元购买上述股东持有的神州顶联</w:t>
      </w:r>
      <w:r>
        <w:rPr>
          <w:rFonts w:ascii="Times New Roman" w:hAnsi="Times New Roman" w:cs="Times New Roman" w:eastAsia="Times New Roman" w:hint="default"/>
          <w:spacing w:val="-1"/>
        </w:rPr>
        <w:t>21%</w:t>
      </w:r>
      <w:r>
        <w:rPr>
          <w:spacing w:val="-1"/>
        </w:rPr>
        <w:t>股权，并向神州顶联派驻两名董事，本公司对其有重大影响，故对其长期股权投资采用权益法核</w:t>
      </w:r>
      <w:r>
        <w:rPr>
          <w:spacing w:val="-23"/>
        </w:rPr>
        <w:t> </w:t>
      </w:r>
      <w:r>
        <w:rPr>
          <w:spacing w:val="-23"/>
        </w:rPr>
      </w:r>
      <w:r>
        <w:rPr/>
        <w:t>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日，神州顶联已完成工商变更登记，并变更公司名称为神州顶联科技有限公司。本公司于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日支付完毕上述价款。</w:t>
      </w:r>
    </w:p>
    <w:p>
      <w:pPr>
        <w:pStyle w:val="BodyText"/>
        <w:spacing w:line="300" w:lineRule="auto" w:before="13"/>
        <w:ind w:left="140" w:right="151" w:firstLine="360"/>
        <w:jc w:val="both"/>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月，本公司之子公司北京神州数码云科信息技术有限公司与北京中汇智投资管理有限公司签订投资合作框架协议，共同出资设立北京神州慧安科技有限公司</w:t>
      </w:r>
      <w:r>
        <w:rPr>
          <w:rFonts w:ascii="Times New Roman" w:hAnsi="Times New Roman" w:cs="Times New Roman" w:eastAsia="Times New Roman" w:hint="default"/>
        </w:rPr>
        <w:t>(</w:t>
      </w:r>
      <w:r>
        <w:rPr/>
        <w:t>原 名为北京神州金信网安科技有限公司，其中北京神州数码云科信息技术有限公司出资</w:t>
      </w:r>
      <w:r>
        <w:rPr>
          <w:rFonts w:ascii="Times New Roman" w:hAnsi="Times New Roman" w:cs="Times New Roman" w:eastAsia="Times New Roman" w:hint="default"/>
        </w:rPr>
        <w:t>1,538,462</w:t>
      </w:r>
      <w:r>
        <w:rPr/>
        <w:t>元，持股比例</w:t>
      </w:r>
      <w:r>
        <w:rPr>
          <w:rFonts w:ascii="Times New Roman" w:hAnsi="Times New Roman" w:cs="Times New Roman" w:eastAsia="Times New Roman" w:hint="default"/>
        </w:rPr>
        <w:t>38.46%</w:t>
      </w:r>
      <w:r>
        <w:rPr/>
        <w:t>，并派驻一名董事。北京神州数码云科信息技术有限公司对北</w:t>
      </w:r>
      <w:r>
        <w:rPr>
          <w:spacing w:val="-22"/>
        </w:rPr>
        <w:t> </w:t>
      </w:r>
      <w:r>
        <w:rPr>
          <w:spacing w:val="-22"/>
        </w:rPr>
      </w:r>
      <w:r>
        <w:rPr/>
        <w:t>京神州慧安科技有限公司有重大影响，故对其长期股权投资采用权益法核算。上述投资款项已于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日支付完毕。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月，因其他股东增资导致北京神州数码云科信 </w:t>
      </w:r>
      <w:r>
        <w:rPr>
          <w:spacing w:val="-4"/>
        </w:rPr>
        <w:t>息技术有限公司对其持股比例稀释为</w:t>
      </w:r>
      <w:r>
        <w:rPr>
          <w:rFonts w:ascii="Times New Roman" w:hAnsi="Times New Roman" w:cs="Times New Roman" w:eastAsia="Times New Roman" w:hint="default"/>
          <w:spacing w:val="-4"/>
        </w:rPr>
        <w:t>23.67%</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月，北京神州慧安科技有限公司股东签订增资协议，各方一致同意增加公司注册资本人民币</w:t>
      </w:r>
      <w:r>
        <w:rPr>
          <w:rFonts w:ascii="Times New Roman" w:hAnsi="Times New Roman" w:cs="Times New Roman" w:eastAsia="Times New Roman" w:hint="default"/>
          <w:spacing w:val="-4"/>
        </w:rPr>
        <w:t>663,000</w:t>
      </w:r>
      <w:r>
        <w:rPr>
          <w:spacing w:val="-4"/>
        </w:rPr>
        <w:t>元，注册资本增至</w:t>
      </w:r>
      <w:r>
        <w:rPr>
          <w:rFonts w:ascii="Times New Roman" w:hAnsi="Times New Roman" w:cs="Times New Roman" w:eastAsia="Times New Roman" w:hint="default"/>
          <w:spacing w:val="-4"/>
        </w:rPr>
        <w:t>7,163,000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元，北京神州数码云科信息技术有限公司增资</w:t>
      </w:r>
      <w:r>
        <w:rPr>
          <w:rFonts w:ascii="Times New Roman" w:hAnsi="Times New Roman" w:cs="Times New Roman" w:eastAsia="Times New Roman" w:hint="default"/>
        </w:rPr>
        <w:t>2,746,155.00</w:t>
      </w:r>
      <w:r>
        <w:rPr/>
        <w:t>元，其中</w:t>
      </w:r>
      <w:r>
        <w:rPr>
          <w:rFonts w:ascii="Times New Roman" w:hAnsi="Times New Roman" w:cs="Times New Roman" w:eastAsia="Times New Roman" w:hint="default"/>
        </w:rPr>
        <w:t>255,000</w:t>
      </w:r>
      <w:r>
        <w:rPr/>
        <w:t>元计入注册资本，增资后北京神州数码云科信息技术有限公司持股比例</w:t>
      </w:r>
      <w:r>
        <w:rPr>
          <w:rFonts w:ascii="Times New Roman" w:hAnsi="Times New Roman" w:cs="Times New Roman" w:eastAsia="Times New Roman" w:hint="default"/>
        </w:rPr>
        <w:t>25.04%</w:t>
      </w:r>
      <w:r>
        <w:rPr/>
        <w:t>，增资款已于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spacing w:val="-18"/>
        </w:rPr>
        <w:t> </w:t>
      </w:r>
      <w:r>
        <w:rPr/>
        <w:t>支付完毕。</w:t>
      </w:r>
    </w:p>
    <w:p>
      <w:pPr>
        <w:spacing w:after="0" w:line="300" w:lineRule="auto"/>
        <w:jc w:val="both"/>
        <w:sectPr>
          <w:pgSz w:w="16840" w:h="11910" w:orient="landscape"/>
          <w:pgMar w:header="867" w:footer="980" w:top="1060" w:bottom="1160" w:left="1300" w:right="12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3、其他权益工具投资" w:id="257"/>
      <w:bookmarkEnd w:id="257"/>
      <w:r>
        <w:rPr>
          <w:b w:val="0"/>
          <w:bCs w:val="0"/>
        </w:rPr>
      </w:r>
      <w:r>
        <w:rPr>
          <w:rFonts w:ascii="Times New Roman" w:hAnsi="Times New Roman" w:cs="Times New Roman" w:eastAsia="Times New Roman" w:hint="default"/>
        </w:rPr>
        <w:t>13</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27,085,995.00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23,795,074.50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27,085,995.00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23,795,074.50</w:t>
            </w:r>
          </w:p>
        </w:tc>
      </w:tr>
    </w:tbl>
    <w:p>
      <w:pPr>
        <w:pStyle w:val="BodyText"/>
        <w:spacing w:line="240" w:lineRule="auto" w:before="49"/>
        <w:ind w:right="0"/>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神州数码控股有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210,831.00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7,553,734.57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预计不会在可预 见的未来出售</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4、其他非流动金融资产" w:id="258"/>
      <w:bookmarkEnd w:id="258"/>
      <w:r>
        <w:rPr>
          <w:b w:val="0"/>
          <w:bCs w:val="0"/>
        </w:rPr>
      </w:r>
      <w:r>
        <w:rPr>
          <w:rFonts w:ascii="Times New Roman" w:hAnsi="Times New Roman" w:cs="Times New Roman" w:eastAsia="Times New Roman" w:hint="default"/>
        </w:rPr>
        <w:t>14</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嘉和美康（北京）科技股份有限公司（注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济南趣云信息技术有限公司（注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r>
    </w:tbl>
    <w:p>
      <w:pPr>
        <w:pStyle w:val="BodyText"/>
        <w:spacing w:line="240" w:lineRule="auto" w:before="49"/>
        <w:ind w:right="0"/>
        <w:jc w:val="left"/>
      </w:pPr>
      <w:r>
        <w:rPr/>
        <w:t>其他说明：</w:t>
      </w:r>
    </w:p>
    <w:p>
      <w:pPr>
        <w:pStyle w:val="BodyText"/>
        <w:spacing w:line="300" w:lineRule="auto" w:before="117"/>
        <w:ind w:right="1126"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月公司的全资子公司神州数码（中国）有限公司将持有嘉和美康（北京）科技股份有限公司</w:t>
      </w:r>
      <w:r>
        <w:rPr>
          <w:rFonts w:ascii="Times New Roman" w:hAnsi="Times New Roman" w:cs="Times New Roman" w:eastAsia="Times New Roman" w:hint="default"/>
        </w:rPr>
        <w:t>10.4979%</w:t>
      </w:r>
      <w:r>
        <w:rPr/>
        <w:t>股 </w:t>
      </w:r>
      <w:r>
        <w:rPr>
          <w:spacing w:val="-5"/>
        </w:rPr>
        <w:t>权出售给国寿成达（上海）健康产业股权投资中心（有限合伙），对价人民币</w:t>
      </w:r>
      <w:r>
        <w:rPr>
          <w:rFonts w:ascii="Times New Roman" w:hAnsi="Times New Roman" w:cs="Times New Roman" w:eastAsia="Times New Roman" w:hint="default"/>
          <w:spacing w:val="-5"/>
        </w:rPr>
        <w:t>209,957,757</w:t>
      </w:r>
      <w:r>
        <w:rPr>
          <w:spacing w:val="-5"/>
        </w:rPr>
        <w:t>元。交易完成后，神州数码（中国）</w:t>
      </w:r>
      <w:r>
        <w:rPr>
          <w:spacing w:val="-52"/>
        </w:rPr>
        <w:t> </w:t>
      </w:r>
      <w:r>
        <w:rPr>
          <w:spacing w:val="-52"/>
        </w:rPr>
      </w:r>
      <w:r>
        <w:rPr/>
        <w:t>有限公司不再持有嘉和美康（北京）科技股份有限公司任何股权。</w:t>
      </w:r>
    </w:p>
    <w:p>
      <w:pPr>
        <w:pStyle w:val="BodyText"/>
        <w:spacing w:line="304" w:lineRule="auto" w:before="31"/>
        <w:ind w:right="1131" w:firstLine="36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日公司的全资子公司北京神州数码云计算有限公司与济南趣云信息技术有限公司及其现有股东签署投</w:t>
      </w:r>
      <w:r>
        <w:rPr/>
        <w:t> </w:t>
      </w:r>
      <w:r>
        <w:rPr>
          <w:spacing w:val="-2"/>
        </w:rPr>
        <w:t>资协议，约定北京神州数码云计算有限公司出资人民币</w:t>
      </w:r>
      <w:r>
        <w:rPr>
          <w:rFonts w:ascii="Times New Roman" w:hAnsi="Times New Roman" w:cs="Times New Roman" w:eastAsia="Times New Roman" w:hint="default"/>
          <w:spacing w:val="-2"/>
        </w:rPr>
        <w:t>500</w:t>
      </w:r>
      <w:r>
        <w:rPr>
          <w:spacing w:val="-2"/>
        </w:rPr>
        <w:t>万元，持股</w:t>
      </w:r>
      <w:r>
        <w:rPr>
          <w:rFonts w:ascii="Times New Roman" w:hAnsi="Times New Roman" w:cs="Times New Roman" w:eastAsia="Times New Roman" w:hint="default"/>
          <w:spacing w:val="-2"/>
        </w:rPr>
        <w:t>10.00%</w:t>
      </w:r>
      <w:r>
        <w:rPr>
          <w:spacing w:val="-2"/>
        </w:rPr>
        <w:t>股权，并于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日支付一期出资款</w:t>
      </w:r>
      <w:r>
        <w:rPr>
          <w:rFonts w:ascii="Times New Roman" w:hAnsi="Times New Roman" w:cs="Times New Roman" w:eastAsia="Times New Roman" w:hint="default"/>
          <w:spacing w:val="-2"/>
        </w:rPr>
        <w:t>300</w:t>
      </w:r>
      <w:r>
        <w:rPr>
          <w:rFonts w:ascii="Times New Roman" w:hAnsi="Times New Roman" w:cs="Times New Roman" w:eastAsia="Times New Roman" w:hint="default"/>
          <w:spacing w:val="-26"/>
        </w:rPr>
        <w:t> </w:t>
      </w:r>
      <w:r>
        <w:rPr/>
        <w:t>万元，剩余款项于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月支付。北京神州数码云计算有限公司向济南趣云信息技术有限公司派驻一名董事，根据投资协</w:t>
      </w:r>
      <w:r>
        <w:rPr>
          <w:spacing w:val="-85"/>
        </w:rPr>
        <w:t> </w:t>
      </w:r>
      <w:r>
        <w:rPr>
          <w:spacing w:val="-85"/>
        </w:rPr>
      </w:r>
      <w:r>
        <w:rPr>
          <w:spacing w:val="-2"/>
        </w:rPr>
        <w:t>议约定北京神州数码云计算有限公司对济南趣云信息技术有限公司并无经营表决权，结合管理层持有意图，将其划分为其他</w:t>
      </w:r>
      <w:r>
        <w:rPr>
          <w:spacing w:val="-64"/>
        </w:rPr>
        <w:t> </w:t>
      </w:r>
      <w:r>
        <w:rPr>
          <w:spacing w:val="-64"/>
        </w:rPr>
      </w:r>
      <w:r>
        <w:rPr>
          <w:spacing w:val="-2"/>
        </w:rPr>
        <w:t>非流动金融资产。</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月，因济南趣云信息技术有限公司与其他股东签订增资协议导致北京神州数码云计算有限公司对</w:t>
      </w:r>
      <w:r>
        <w:rPr>
          <w:spacing w:val="-61"/>
        </w:rPr>
        <w:t> </w:t>
      </w:r>
      <w:r>
        <w:rPr>
          <w:spacing w:val="-61"/>
        </w:rPr>
      </w:r>
      <w:r>
        <w:rPr/>
        <w:t>济南趣云信息技术有限公司持股比例稀释为</w:t>
      </w:r>
      <w:r>
        <w:rPr>
          <w:rFonts w:ascii="Times New Roman" w:hAnsi="Times New Roman" w:cs="Times New Roman" w:eastAsia="Times New Roman" w:hint="default"/>
        </w:rPr>
        <w:t>9.25%</w:t>
      </w:r>
      <w:r>
        <w:rPr/>
        <w:t>。</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259"/>
      <w:bookmarkEnd w:id="25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0"/>
      <w:bookmarkEnd w:id="26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after="0" w:line="240" w:lineRule="auto"/>
        <w:jc w:val="right"/>
        <w:sectPr>
          <w:headerReference w:type="default" r:id="rId36"/>
          <w:footerReference w:type="default" r:id="rId37"/>
          <w:pgSz w:w="11910" w:h="16840"/>
          <w:pgMar w:header="877" w:footer="980" w:top="1100" w:bottom="1160" w:left="980" w:right="0"/>
          <w:pgNumType w:start="181"/>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193,130,109.61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193,130,109.61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193,130,109.61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193,130,109.61</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15,506,262.38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15,506,262.38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5,737,640.85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5,737,640.85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5,737,640.85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5,737,640.85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21,243,903.23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21,243,903.23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171,886,206.38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171,886,206.38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177,623,847.23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177,623,847.23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采用公允价值计量模式的投资性房地产" w:id="261"/>
      <w:bookmarkEnd w:id="26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6、固定资产" w:id="262"/>
      <w:bookmarkEnd w:id="26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152,024,086.54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170,344,840.12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152,024,086.54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170,344,840.12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房屋及土地使用权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120,799,765.30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152,239,189.43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6,190,898.01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279,229,852.74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134,526.29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8,734,171.61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2,431,985.14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11,300,683.04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8,667,202.30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2,431,985.14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11,099,187.44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134,526.29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66,969.31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201,495.60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29,043,936.86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242,970.35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29,297,185.21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29,043,936.86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242,970.35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29,297,185.21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120,924,013.59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131,929,424.18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8,379,912.80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261,233,350.57</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21,475,412.31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67,435,812.02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2,342,755.11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91,253,979.44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6,937,444.62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20,293,276.58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1,066,492.03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28,297,213.23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6,916,256.72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20,267,490.79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1,066,492.03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28,250,239.54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21,187.90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25,785.79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46,973.69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13,050,502.27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177,632.76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13,228,135.03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13,050,502.27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177,632.76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13,228,135.03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28,412,856.93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74,678,586.33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3,231,614.38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106,323,057.64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17,631,033.18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17,631,033.18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14,744,826.79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14,744,826.79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14,744,826.79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14,744,826.79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2,886,206.39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2,886,206.39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92,511,156.66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54,364,631.46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5,148,298.42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152,024,086.54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99,324,352.99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67,172,344.23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3,848,142.90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170,344,840.12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通过融资租赁租入的固定资产情况" w:id="264"/>
      <w:bookmarkEnd w:id="264"/>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日照大学科技园项目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3,463,447.66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577,241.27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2,886,206.39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7、在建工程" w:id="265"/>
      <w:bookmarkEnd w:id="26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730,146,171.91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314,493,973.34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730,146,171.91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314,493,973.34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266"/>
      <w:bookmarkEnd w:id="26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智慧校园项目</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10,431,159.81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10,431,159.81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10,431,159.81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10,431,159.81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深圳土地项目</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730,146,171.91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730,146,171.91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304,062,813.53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304,062,813.53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740,577,331.72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10,431,159.81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730,146,171.91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314,493,973.34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314,493,973.34</w:t>
            </w:r>
          </w:p>
        </w:tc>
      </w:tr>
    </w:tbl>
    <w:p>
      <w:pPr>
        <w:pStyle w:val="BodyText"/>
        <w:spacing w:line="240" w:lineRule="auto" w:before="8"/>
        <w:ind w:right="0"/>
        <w:jc w:val="left"/>
      </w:pPr>
      <w:r>
        <w:rPr/>
        <w:t>其他说明：</w:t>
      </w:r>
    </w:p>
    <w:p>
      <w:pPr>
        <w:pStyle w:val="BodyText"/>
        <w:spacing w:line="240" w:lineRule="auto" w:before="76"/>
        <w:ind w:left="513" w:right="0"/>
        <w:jc w:val="left"/>
      </w:pPr>
      <w:r>
        <w:rPr/>
        <w:t>注</w:t>
      </w:r>
      <w:r>
        <w:rPr>
          <w:rFonts w:ascii="宋体" w:hAnsi="宋体" w:cs="宋体" w:eastAsia="宋体" w:hint="default"/>
        </w:rPr>
        <w:t>1:</w:t>
      </w:r>
      <w:r>
        <w:rPr/>
        <w:t>智慧校园项目未验收，本年对其全额计提减值准备</w:t>
      </w:r>
      <w:r>
        <w:rPr>
          <w:rFonts w:ascii="宋体" w:hAnsi="宋体" w:cs="宋体" w:eastAsia="宋体" w:hint="default"/>
        </w:rPr>
        <w:t>10,431,159.81</w:t>
      </w:r>
      <w:r>
        <w:rPr/>
        <w:t>元。</w:t>
      </w:r>
    </w:p>
    <w:p>
      <w:pPr>
        <w:pStyle w:val="BodyText"/>
        <w:spacing w:line="300" w:lineRule="auto" w:before="76"/>
        <w:ind w:right="1128" w:firstLine="36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日，本公司参加深圳市南山区深圳湾超级总部基地挂牌竞买事宜，竞得宗地编号为</w:t>
      </w:r>
      <w:r>
        <w:rPr>
          <w:rFonts w:ascii="Times New Roman" w:hAnsi="Times New Roman" w:cs="Times New Roman" w:eastAsia="Times New Roman" w:hint="default"/>
          <w:spacing w:val="-2"/>
        </w:rPr>
        <w:t>T207-0052</w:t>
      </w:r>
      <w:r>
        <w:rPr>
          <w:spacing w:val="-2"/>
        </w:rPr>
        <w:t>的土地使</w:t>
      </w:r>
      <w:r>
        <w:rPr/>
        <w:t> 用权。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日，本公司与深圳市规划和国土资源委员会南山管理局签署了《深圳市土地使用权出让合同书》，合同</w:t>
      </w:r>
      <w:r>
        <w:rPr>
          <w:spacing w:val="-86"/>
        </w:rPr>
        <w:t> </w:t>
      </w:r>
      <w:r>
        <w:rPr>
          <w:spacing w:val="-86"/>
        </w:rPr>
      </w:r>
      <w:r>
        <w:rPr/>
        <w:t>约定</w:t>
      </w:r>
      <w:r>
        <w:rPr>
          <w:rFonts w:ascii="Times New Roman" w:hAnsi="Times New Roman" w:cs="Times New Roman" w:eastAsia="Times New Roman" w:hint="default"/>
        </w:rPr>
        <w:t>:</w:t>
      </w:r>
      <w:r>
        <w:rPr/>
        <w:t>土地用途为商业服务业用地，本宗项目建成后部分可按规定销售，本公司将可用于销售部分占用土地成本计入开发成</w:t>
      </w:r>
      <w:r>
        <w:rPr>
          <w:spacing w:val="-49"/>
        </w:rPr>
        <w:t> </w:t>
      </w:r>
      <w:r>
        <w:rPr>
          <w:spacing w:val="-49"/>
        </w:rPr>
      </w:r>
      <w:r>
        <w:rPr/>
        <w:t>本。该项目已于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日开工，尚在建设中。</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重要在建工程项目本期变动情况" w:id="267"/>
      <w:bookmarkEnd w:id="26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深圳土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2,138,60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304,062,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426,083,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358.38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730,146,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18.34%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开发建 设阶段</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273,395,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453.44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158,154,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852.58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2,138,60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304,062,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426,083,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358.38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730,146,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171.91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273,395,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453.44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158,154,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852.58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68"/>
      <w:bookmarkEnd w:id="26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智慧校园项目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10,431,159.81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10,431,159.81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8、生产性生物资产" w:id="269"/>
      <w:bookmarkEnd w:id="26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0"/>
      <w:bookmarkEnd w:id="27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71"/>
      <w:bookmarkEnd w:id="27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9、油气资产" w:id="272"/>
      <w:bookmarkEnd w:id="27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0、无形资产" w:id="273"/>
      <w:bookmarkEnd w:id="27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2,614,346,000.00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58,181,708.00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10,645,128.32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11,625,765.57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2,694,798,601.89</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1,703,546.88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1,703,546.88</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1,703,546.88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1,703,546.88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2,614,346,000.00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58,181,708.00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10,645,128.32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13,329,312.45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2,696,502,148.77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128,146,361.93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15,021,199.17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2,293,830.22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3,223,562.94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148,684,954.26</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87,490,896.35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5,818,170.74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1,470,872.25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2,436,945.35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97,216,884.69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87,490,896.35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5,818,170.74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1,470,872.25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2,436,945.35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97,216,884.69</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215,637,258.28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20,839,369.91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3,764,702.47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5,660,508.29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245,901,838.95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2,398,708,741.72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37,342,338.09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6,880,425.85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7,668,804.16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2,450,600,309.82</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2,486,199,638.07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43,160,508.83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8,351,298.10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8,402,202.63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2,546,113,647.63</w:t>
            </w:r>
          </w:p>
        </w:tc>
      </w:tr>
    </w:tbl>
    <w:p>
      <w:pPr>
        <w:pStyle w:val="BodyText"/>
        <w:spacing w:line="240" w:lineRule="auto" w:before="4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0.38%</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1、商誉" w:id="274"/>
      <w:bookmarkEnd w:id="274"/>
      <w:r>
        <w:rPr>
          <w:b w:val="0"/>
          <w:bCs w:val="0"/>
        </w:rPr>
      </w:r>
      <w:r>
        <w:rPr>
          <w:rFonts w:ascii="Times New Roman" w:hAnsi="Times New Roman" w:cs="Times New Roman" w:eastAsia="Times New Roman" w:hint="default"/>
        </w:rPr>
        <w:t>21</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75"/>
      <w:bookmarkEnd w:id="27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收购神州控股下 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分销业务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611,728,930.98</w:t>
            </w:r>
          </w:p>
        </w:tc>
        <w:tc>
          <w:tcPr>
            <w:tcW w:w="1368"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611,728,930.98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上海云角</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319,557,894.07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319,557,894.07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931,286,825.05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931,286,825.05</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24"/>
          <w:szCs w:val="24"/>
        </w:rPr>
      </w:pPr>
    </w:p>
    <w:p>
      <w:pPr>
        <w:pStyle w:val="BodyText"/>
        <w:spacing w:line="297" w:lineRule="auto"/>
        <w:ind w:right="0" w:firstLine="300"/>
        <w:jc w:val="left"/>
      </w:pPr>
      <w:r>
        <w:rPr/>
        <w:t>注</w:t>
      </w:r>
      <w:r>
        <w:rPr>
          <w:rFonts w:ascii="Times New Roman" w:hAnsi="Times New Roman" w:cs="Times New Roman" w:eastAsia="Times New Roman" w:hint="default"/>
        </w:rPr>
        <w:t>1:</w:t>
      </w:r>
      <w:r>
        <w:rPr/>
        <w:t>该商誉为本公司于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月非同一控制收购神码公司</w:t>
      </w:r>
      <w:r>
        <w:rPr>
          <w:rFonts w:ascii="Times New Roman" w:hAnsi="Times New Roman" w:cs="Times New Roman" w:eastAsia="Times New Roman" w:hint="default"/>
        </w:rPr>
        <w:t>100%</w:t>
      </w:r>
      <w:r>
        <w:rPr/>
        <w:t>股权产生，合并对价</w:t>
      </w:r>
      <w:r>
        <w:rPr>
          <w:rFonts w:ascii="Times New Roman" w:hAnsi="Times New Roman" w:cs="Times New Roman" w:eastAsia="Times New Roman" w:hint="default"/>
        </w:rPr>
        <w:t>4,010,000,000.00</w:t>
      </w:r>
      <w:r>
        <w:rPr/>
        <w:t>元，合并日本公司 应享有的神码公司可辨认净资产公允价值为</w:t>
      </w:r>
      <w:r>
        <w:rPr>
          <w:rFonts w:ascii="Times New Roman" w:hAnsi="Times New Roman" w:cs="Times New Roman" w:eastAsia="Times New Roman" w:hint="default"/>
        </w:rPr>
        <w:t>3,398,271,069.02</w:t>
      </w:r>
      <w:r>
        <w:rPr/>
        <w:t>元，差额</w:t>
      </w:r>
      <w:r>
        <w:rPr>
          <w:rFonts w:ascii="Times New Roman" w:hAnsi="Times New Roman" w:cs="Times New Roman" w:eastAsia="Times New Roman" w:hint="default"/>
        </w:rPr>
        <w:t>611,728,930.98</w:t>
      </w:r>
      <w:r>
        <w:rPr/>
        <w:t>元计入商誉。</w:t>
      </w:r>
    </w:p>
    <w:p>
      <w:pPr>
        <w:pStyle w:val="BodyText"/>
        <w:spacing w:line="300" w:lineRule="auto" w:before="15"/>
        <w:ind w:right="0" w:firstLine="300"/>
        <w:jc w:val="left"/>
      </w:pPr>
      <w:r>
        <w:rPr>
          <w:spacing w:val="-2"/>
        </w:rPr>
        <w:t>注</w:t>
      </w:r>
      <w:r>
        <w:rPr>
          <w:rFonts w:ascii="Times New Roman" w:hAnsi="Times New Roman" w:cs="Times New Roman" w:eastAsia="Times New Roman" w:hint="default"/>
          <w:spacing w:val="-2"/>
        </w:rPr>
        <w:t>2:</w:t>
      </w:r>
      <w:r>
        <w:rPr>
          <w:spacing w:val="-2"/>
        </w:rPr>
        <w:t>该商誉为本公司于</w:t>
      </w:r>
      <w:r>
        <w:rPr>
          <w:rFonts w:ascii="Times New Roman" w:hAnsi="Times New Roman" w:cs="Times New Roman" w:eastAsia="Times New Roman" w:hint="default"/>
          <w:spacing w:val="-2"/>
        </w:rPr>
        <w:t>2017</w:t>
      </w:r>
      <w:r>
        <w:rPr>
          <w:spacing w:val="-2"/>
        </w:rPr>
        <w:t>年非同一控制下收购上海云角</w:t>
      </w:r>
      <w:r>
        <w:rPr>
          <w:rFonts w:ascii="Times New Roman" w:hAnsi="Times New Roman" w:cs="Times New Roman" w:eastAsia="Times New Roman" w:hint="default"/>
          <w:spacing w:val="-2"/>
        </w:rPr>
        <w:t>100%</w:t>
      </w:r>
      <w:r>
        <w:rPr>
          <w:spacing w:val="-2"/>
        </w:rPr>
        <w:t>股权产生，合并对价</w:t>
      </w:r>
      <w:r>
        <w:rPr>
          <w:rFonts w:ascii="Times New Roman" w:hAnsi="Times New Roman" w:cs="Times New Roman" w:eastAsia="Times New Roman" w:hint="default"/>
          <w:spacing w:val="-2"/>
        </w:rPr>
        <w:t>360,000,000.00</w:t>
      </w:r>
      <w:r>
        <w:rPr>
          <w:spacing w:val="-2"/>
        </w:rPr>
        <w:t>元，公司应享有的上海</w:t>
      </w:r>
      <w:r>
        <w:rPr/>
        <w:t> 云角可辨认净资产公允价值为</w:t>
      </w:r>
      <w:r>
        <w:rPr>
          <w:rFonts w:ascii="Times New Roman" w:hAnsi="Times New Roman" w:cs="Times New Roman" w:eastAsia="Times New Roman" w:hint="default"/>
        </w:rPr>
        <w:t>40,442,105.93</w:t>
      </w:r>
      <w:r>
        <w:rPr/>
        <w:t>元，差额</w:t>
      </w:r>
      <w:r>
        <w:rPr>
          <w:rFonts w:ascii="Times New Roman" w:hAnsi="Times New Roman" w:cs="Times New Roman" w:eastAsia="Times New Roman" w:hint="default"/>
        </w:rPr>
        <w:t>319,557,894.07</w:t>
      </w:r>
      <w:r>
        <w:rPr/>
        <w:t>元计入商誉。</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商誉减值准备" w:id="276"/>
      <w:bookmarkEnd w:id="27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收购神州控股下 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分销业务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57" w:lineRule="auto" w:before="44"/>
        <w:ind w:left="513" w:right="0" w:hanging="361"/>
        <w:jc w:val="left"/>
      </w:pPr>
      <w:r>
        <w:rPr/>
        <w:t>商誉所在资产组或资产组组合的相关信息 </w:t>
      </w:r>
      <w:r>
        <w:rPr>
          <w:spacing w:val="-2"/>
        </w:rPr>
        <w:t>本公司管理层对因收购神州控股下属</w:t>
      </w:r>
      <w:r>
        <w:rPr>
          <w:rFonts w:ascii="Times New Roman" w:hAnsi="Times New Roman" w:cs="Times New Roman" w:eastAsia="Times New Roman" w:hint="default"/>
          <w:spacing w:val="-2"/>
        </w:rPr>
        <w:t>IT</w:t>
      </w:r>
      <w:r>
        <w:rPr>
          <w:spacing w:val="-2"/>
        </w:rPr>
        <w:t>分销业务公司产生的商誉进行减值测试，考虑神州控股下属</w:t>
      </w:r>
      <w:r>
        <w:rPr>
          <w:rFonts w:ascii="Times New Roman" w:hAnsi="Times New Roman" w:cs="Times New Roman" w:eastAsia="Times New Roman" w:hint="default"/>
          <w:spacing w:val="-2"/>
        </w:rPr>
        <w:t>IT</w:t>
      </w:r>
      <w:r>
        <w:rPr>
          <w:spacing w:val="-2"/>
        </w:rPr>
        <w:t>分销业务公司主营</w:t>
      </w:r>
    </w:p>
    <w:p>
      <w:pPr>
        <w:pStyle w:val="BodyText"/>
        <w:spacing w:line="201" w:lineRule="exact"/>
        <w:ind w:right="0"/>
        <w:jc w:val="left"/>
      </w:pPr>
      <w:r>
        <w:rPr/>
        <w:t>业务明确并且单一，同时其主营业务或产品直接与市场衔接，由市场定价，符合资产组的相关要件，同时企业内不再存在其</w:t>
      </w:r>
    </w:p>
    <w:p>
      <w:pPr>
        <w:pStyle w:val="BodyText"/>
        <w:spacing w:line="300" w:lineRule="auto" w:before="76"/>
        <w:ind w:right="0"/>
        <w:jc w:val="left"/>
      </w:pPr>
      <w:r>
        <w:rPr>
          <w:spacing w:val="-2"/>
        </w:rPr>
        <w:t>他与神州控股下属</w:t>
      </w:r>
      <w:r>
        <w:rPr>
          <w:rFonts w:ascii="Times New Roman" w:hAnsi="Times New Roman" w:cs="Times New Roman" w:eastAsia="Times New Roman" w:hint="default"/>
          <w:spacing w:val="-2"/>
        </w:rPr>
        <w:t>IT</w:t>
      </w:r>
      <w:r>
        <w:rPr>
          <w:spacing w:val="-2"/>
        </w:rPr>
        <w:t>分销业务公司相同条件的经营业务，因此将神州控股下属</w:t>
      </w:r>
      <w:r>
        <w:rPr>
          <w:rFonts w:ascii="Times New Roman" w:hAnsi="Times New Roman" w:cs="Times New Roman" w:eastAsia="Times New Roman" w:hint="default"/>
          <w:spacing w:val="-2"/>
        </w:rPr>
        <w:t>IT</w:t>
      </w:r>
      <w:r>
        <w:rPr>
          <w:spacing w:val="-2"/>
        </w:rPr>
        <w:t>分销业务公司认定为一个资产组，并以该资</w:t>
      </w:r>
      <w:r>
        <w:rPr>
          <w:spacing w:val="-41"/>
        </w:rPr>
        <w:t> </w:t>
      </w:r>
      <w:r>
        <w:rPr>
          <w:spacing w:val="-41"/>
        </w:rPr>
      </w:r>
      <w:r>
        <w:rPr/>
        <w:t>产组为基础进行商誉的减值测试。</w:t>
      </w:r>
    </w:p>
    <w:p>
      <w:pPr>
        <w:pStyle w:val="BodyText"/>
        <w:spacing w:line="316" w:lineRule="auto" w:before="31"/>
        <w:ind w:right="1131" w:firstLine="360"/>
        <w:jc w:val="both"/>
      </w:pPr>
      <w:r>
        <w:rPr>
          <w:spacing w:val="-2"/>
        </w:rPr>
        <w:t>本公司管理层对因收购上海云角产生的商誉进行减值测试，考虑上海云角主营业务明确并且单一，同时其主营业务或产</w:t>
      </w:r>
      <w:r>
        <w:rPr/>
        <w:t> </w:t>
      </w:r>
      <w:r>
        <w:rPr>
          <w:spacing w:val="-2"/>
        </w:rPr>
        <w:t>品直接与市场衔接，由市场定价，符合资产组的相关要件，因此将上海云角认定为一个资产组，并以该资产组为基础进行商</w:t>
      </w:r>
      <w:r>
        <w:rPr>
          <w:spacing w:val="-64"/>
        </w:rPr>
        <w:t> </w:t>
      </w:r>
      <w:r>
        <w:rPr>
          <w:spacing w:val="-64"/>
        </w:rPr>
      </w:r>
      <w:r>
        <w:rPr/>
        <w:t>誉的减值测试。</w:t>
      </w:r>
    </w:p>
    <w:p>
      <w:pPr>
        <w:spacing w:line="240" w:lineRule="auto" w:before="0"/>
        <w:rPr>
          <w:rFonts w:ascii="宋体" w:hAnsi="宋体" w:cs="宋体" w:eastAsia="宋体" w:hint="default"/>
          <w:sz w:val="18"/>
          <w:szCs w:val="18"/>
        </w:rPr>
      </w:pPr>
    </w:p>
    <w:p>
      <w:pPr>
        <w:pStyle w:val="BodyText"/>
        <w:spacing w:line="316" w:lineRule="auto" w:before="136"/>
        <w:ind w:right="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spacing w:line="240" w:lineRule="auto" w:before="0"/>
        <w:rPr>
          <w:rFonts w:ascii="宋体" w:hAnsi="宋体" w:cs="宋体" w:eastAsia="宋体" w:hint="default"/>
          <w:sz w:val="20"/>
          <w:szCs w:val="20"/>
        </w:rPr>
      </w:pPr>
    </w:p>
    <w:p>
      <w:pPr>
        <w:pStyle w:val="BodyText"/>
        <w:spacing w:line="300" w:lineRule="auto"/>
        <w:ind w:right="1131" w:firstLine="300"/>
        <w:jc w:val="both"/>
      </w:pPr>
      <w:r>
        <w:rPr/>
        <w:t>本公司采用收益法对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日资产组未来预计产生的现金流量现值进行估算，依据神码公司管理层制定的未来</w:t>
      </w:r>
      <w:r>
        <w:rPr>
          <w:rFonts w:ascii="Times New Roman" w:hAnsi="Times New Roman" w:cs="Times New Roman" w:eastAsia="Times New Roman" w:hint="default"/>
        </w:rPr>
        <w:t>5 </w:t>
      </w:r>
      <w:r>
        <w:rPr>
          <w:spacing w:val="-1"/>
        </w:rPr>
        <w:t>年财务预算及</w:t>
      </w:r>
      <w:r>
        <w:rPr>
          <w:rFonts w:ascii="Times New Roman" w:hAnsi="Times New Roman" w:cs="Times New Roman" w:eastAsia="Times New Roman" w:hint="default"/>
          <w:spacing w:val="-1"/>
        </w:rPr>
        <w:t>13.05%</w:t>
      </w:r>
      <w:r>
        <w:rPr>
          <w:spacing w:val="-1"/>
        </w:rPr>
        <w:t>折现率预计未来现金流量现值，超过</w:t>
      </w:r>
      <w:r>
        <w:rPr>
          <w:rFonts w:ascii="Times New Roman" w:hAnsi="Times New Roman" w:cs="Times New Roman" w:eastAsia="Times New Roman" w:hint="default"/>
          <w:spacing w:val="-1"/>
        </w:rPr>
        <w:t>5</w:t>
      </w:r>
      <w:r>
        <w:rPr>
          <w:spacing w:val="-1"/>
        </w:rPr>
        <w:t>年财务预算之后年份的现金流量均保持稳定。对神码公司预计未</w:t>
      </w:r>
      <w:r>
        <w:rPr>
          <w:spacing w:val="-43"/>
        </w:rPr>
        <w:t> </w:t>
      </w:r>
      <w:r>
        <w:rPr>
          <w:spacing w:val="-43"/>
        </w:rPr>
      </w:r>
      <w:r>
        <w:rPr>
          <w:spacing w:val="-2"/>
        </w:rPr>
        <w:t>来现金流量现值的计算采用了</w:t>
      </w:r>
      <w:r>
        <w:rPr>
          <w:rFonts w:ascii="Times New Roman" w:hAnsi="Times New Roman" w:cs="Times New Roman" w:eastAsia="Times New Roman" w:hint="default"/>
          <w:spacing w:val="-2"/>
        </w:rPr>
        <w:t>4.15%-4.18%</w:t>
      </w:r>
      <w:r>
        <w:rPr>
          <w:spacing w:val="-2"/>
        </w:rPr>
        <w:t>的毛利率及</w:t>
      </w:r>
      <w:r>
        <w:rPr>
          <w:rFonts w:ascii="Times New Roman" w:hAnsi="Times New Roman" w:cs="Times New Roman" w:eastAsia="Times New Roman" w:hint="default"/>
          <w:spacing w:val="-2"/>
        </w:rPr>
        <w:t>2.40%-6.01%</w:t>
      </w:r>
      <w:r>
        <w:rPr>
          <w:spacing w:val="-2"/>
        </w:rPr>
        <w:t>的营业收入增长率作为关键假设，确定依据是预算期间之</w:t>
      </w:r>
      <w:r>
        <w:rPr>
          <w:spacing w:val="-48"/>
        </w:rPr>
        <w:t> </w:t>
      </w:r>
      <w:r>
        <w:rPr>
          <w:spacing w:val="-48"/>
        </w:rPr>
      </w:r>
      <w:r>
        <w:rPr/>
        <w:t>前的历史情况及对市场发展的预测。</w:t>
      </w:r>
    </w:p>
    <w:p>
      <w:pPr>
        <w:pStyle w:val="BodyText"/>
        <w:spacing w:line="300" w:lineRule="auto" w:before="31"/>
        <w:ind w:right="1132" w:firstLine="300"/>
        <w:jc w:val="both"/>
      </w:pPr>
      <w:r>
        <w:rPr/>
        <w:t>本公司采用收益法对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日资产组未来预计产生的现金流量现值进行估算，依据上海云角管理层制定的未来</w:t>
      </w:r>
      <w:r>
        <w:rPr>
          <w:rFonts w:ascii="Times New Roman" w:hAnsi="Times New Roman" w:cs="Times New Roman" w:eastAsia="Times New Roman" w:hint="default"/>
        </w:rPr>
        <w:t>5 </w:t>
      </w:r>
      <w:r>
        <w:rPr>
          <w:spacing w:val="-1"/>
        </w:rPr>
        <w:t>年财务预算及</w:t>
      </w:r>
      <w:r>
        <w:rPr>
          <w:rFonts w:ascii="Times New Roman" w:hAnsi="Times New Roman" w:cs="Times New Roman" w:eastAsia="Times New Roman" w:hint="default"/>
          <w:spacing w:val="-1"/>
        </w:rPr>
        <w:t>14.46%</w:t>
      </w:r>
      <w:r>
        <w:rPr>
          <w:spacing w:val="-1"/>
        </w:rPr>
        <w:t>折现率预计未来现金流量现值，超过</w:t>
      </w:r>
      <w:r>
        <w:rPr>
          <w:rFonts w:ascii="Times New Roman" w:hAnsi="Times New Roman" w:cs="Times New Roman" w:eastAsia="Times New Roman" w:hint="default"/>
          <w:spacing w:val="-1"/>
        </w:rPr>
        <w:t>5</w:t>
      </w:r>
      <w:r>
        <w:rPr>
          <w:spacing w:val="-1"/>
        </w:rPr>
        <w:t>年财务预算之后年份的现金流量均保持稳定。对上海云角预计未</w:t>
      </w:r>
      <w:r>
        <w:rPr>
          <w:spacing w:val="-43"/>
        </w:rPr>
        <w:t> </w:t>
      </w:r>
      <w:r>
        <w:rPr>
          <w:spacing w:val="-43"/>
        </w:rPr>
      </w:r>
      <w:r>
        <w:rPr/>
        <w:t>来现金流量现值的计算采用了</w:t>
      </w:r>
      <w:r>
        <w:rPr>
          <w:rFonts w:ascii="Times New Roman" w:hAnsi="Times New Roman" w:cs="Times New Roman" w:eastAsia="Times New Roman" w:hint="default"/>
        </w:rPr>
        <w:t>22.00%-28.00%</w:t>
      </w:r>
      <w:r>
        <w:rPr/>
        <w:t>的毛利率及</w:t>
      </w:r>
      <w:r>
        <w:rPr>
          <w:rFonts w:ascii="Times New Roman" w:hAnsi="Times New Roman" w:cs="Times New Roman" w:eastAsia="Times New Roman" w:hint="default"/>
        </w:rPr>
        <w:t>0.00%-55.18%</w:t>
      </w:r>
      <w:r>
        <w:rPr/>
        <w:t>的营业收入增长率作为关键假设，确定依据是预算期 间之前的历史情况及对市场发展的预测。减值测试后，未发现商誉需要计提减值的情况。</w:t>
      </w:r>
    </w:p>
    <w:p>
      <w:pPr>
        <w:spacing w:line="240" w:lineRule="auto" w:before="0"/>
        <w:rPr>
          <w:rFonts w:ascii="宋体" w:hAnsi="宋体" w:cs="宋体" w:eastAsia="宋体" w:hint="default"/>
          <w:sz w:val="18"/>
          <w:szCs w:val="18"/>
        </w:rPr>
      </w:pPr>
    </w:p>
    <w:p>
      <w:pPr>
        <w:pStyle w:val="BodyText"/>
        <w:spacing w:line="357" w:lineRule="auto" w:before="148"/>
        <w:ind w:left="453" w:right="6673" w:hanging="301"/>
        <w:jc w:val="left"/>
      </w:pPr>
      <w:r>
        <w:rPr/>
        <w:t>商誉减值测试的影响 减值测试后，未发现商誉需要计提减值的情况。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2、长期待摊费用" w:id="277"/>
      <w:bookmarkEnd w:id="277"/>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10,565,641.16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1,625,202.91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4,108,314.83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8,082,529.24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4,302,584.45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360,115.04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1,700,213.13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2,962,486.36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14,868,225.61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5,808,527.96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11,045,015.60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3、递延所得税资产/递延所得税负债" w:id="278"/>
      <w:bookmarkEnd w:id="278"/>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9"/>
      <w:bookmarkEnd w:id="27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6" w:right="0"/>
              <w:jc w:val="left"/>
              <w:rPr>
                <w:rFonts w:ascii="Times New Roman" w:hAnsi="Times New Roman" w:cs="Times New Roman" w:eastAsia="Times New Roman" w:hint="default"/>
                <w:sz w:val="18"/>
                <w:szCs w:val="18"/>
              </w:rPr>
            </w:pPr>
            <w:r>
              <w:rPr>
                <w:rFonts w:ascii="Times New Roman"/>
                <w:sz w:val="18"/>
              </w:rPr>
              <w:t>497,429,081.11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3" w:right="0"/>
              <w:jc w:val="left"/>
              <w:rPr>
                <w:rFonts w:ascii="Times New Roman" w:hAnsi="Times New Roman" w:cs="Times New Roman" w:eastAsia="Times New Roman" w:hint="default"/>
                <w:sz w:val="18"/>
                <w:szCs w:val="18"/>
              </w:rPr>
            </w:pPr>
            <w:r>
              <w:rPr>
                <w:rFonts w:ascii="Times New Roman"/>
                <w:sz w:val="18"/>
              </w:rPr>
              <w:t>122,311,746.32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507,669,296.71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3" w:right="0"/>
              <w:jc w:val="left"/>
              <w:rPr>
                <w:rFonts w:ascii="Times New Roman" w:hAnsi="Times New Roman" w:cs="Times New Roman" w:eastAsia="Times New Roman" w:hint="default"/>
                <w:sz w:val="18"/>
                <w:szCs w:val="18"/>
              </w:rPr>
            </w:pPr>
            <w:r>
              <w:rPr>
                <w:rFonts w:ascii="Times New Roman"/>
                <w:sz w:val="18"/>
              </w:rPr>
              <w:t>124,090,883.11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162,261.48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958,621.64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239,655.41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33,171,651.22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8,292,912.80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预提销售折扣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1,057,690,795.21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264,261,150.72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924,607,425.67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228,195,815.47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53,034,031.04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13,258,507.76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金融工具公允价值变动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16,932,151.81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4,233,037.96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3,814,398.54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953,599.64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6,050,000.00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1,673,819,971.87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416,247,920.93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1,461,249,742.56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359,529,953.63</w:t>
            </w:r>
          </w:p>
        </w:tc>
      </w:tr>
    </w:tbl>
    <w:p>
      <w:pPr>
        <w:pStyle w:val="BodyText"/>
        <w:spacing w:line="240" w:lineRule="auto" w:before="49"/>
        <w:ind w:right="0"/>
        <w:jc w:val="left"/>
      </w:pPr>
      <w:r>
        <w:rPr/>
        <w:t>其他说明：</w:t>
      </w:r>
    </w:p>
    <w:p>
      <w:pPr>
        <w:pStyle w:val="BodyText"/>
        <w:spacing w:line="240" w:lineRule="auto" w:before="115"/>
        <w:ind w:right="0"/>
        <w:jc w:val="left"/>
      </w:pPr>
      <w:r>
        <w:rPr/>
        <w:t>注：政府补贴为广州市萝岗开发区财政国库</w:t>
      </w:r>
      <w:r>
        <w:rPr>
          <w:rFonts w:ascii="Times New Roman" w:hAnsi="Times New Roman" w:cs="Times New Roman" w:eastAsia="Times New Roman" w:hint="default"/>
        </w:rPr>
        <w:t>-</w:t>
      </w:r>
      <w:r>
        <w:rPr/>
        <w:t>华南地区总部项目补贴收入确认的递延收益对应确认的递延所得税资产。</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未经抵销的递延所得税负债" w:id="280"/>
      <w:bookmarkEnd w:id="28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109,865,726.00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27,466,431.50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122,977,066.36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30,744,266.59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预扣税金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259,504,351.80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64,876,087.95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112,983,093.24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28,245,773.33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57,207,271.69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14,301,817.92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41,541,587.15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10,385,396.79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金融工具公允价值变动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48,258,058.33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12,063,708.73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采购折扣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238,846,720.25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59,176,480.50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282,163,026.56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70,425,134.50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665,424,069.74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165,820,817.87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607,922,831.64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151,864,279.94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81"/>
      <w:bookmarkEnd w:id="28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58,499,447.25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357,748,473.68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82,488,843.23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277,041,110.40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58,499,447.25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107,321,370.62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82,488,843.23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69,375,436.71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82"/>
      <w:bookmarkEnd w:id="28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617,350,843.17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479,315,056.79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350,753,231.83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208,674,529.73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968,104,075.00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687,989,586.52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283"/>
      <w:bookmarkEnd w:id="28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118,225.68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118,225.68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8,312,055.51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9,132,083.67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120,066,513.74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123,020,409.82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198,126,041.45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198,916,798.11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147,501,191.89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144,811,142.54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143,226,814.90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617,350,843.17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475,998,659.82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4、其他非流动资产" w:id="284"/>
      <w:bookmarkEnd w:id="284"/>
      <w:r>
        <w:rPr>
          <w:b w:val="0"/>
          <w:bCs w:val="0"/>
        </w:rPr>
      </w:r>
      <w:r>
        <w:rPr>
          <w:rFonts w:ascii="Times New Roman" w:hAnsi="Times New Roman" w:cs="Times New Roman" w:eastAsia="Times New Roman" w:hint="default"/>
        </w:rPr>
        <w:t>24</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90,317,630.76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101,236,458.63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90,317,630.76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101,236,458.63</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5、短期借款" w:id="285"/>
      <w:bookmarkEnd w:id="285"/>
      <w:r>
        <w:rPr>
          <w:b w:val="0"/>
          <w:bCs w:val="0"/>
        </w:rPr>
      </w:r>
      <w:r>
        <w:rPr>
          <w:rFonts w:ascii="Times New Roman" w:hAnsi="Times New Roman" w:cs="Times New Roman" w:eastAsia="Times New Roman" w:hint="default"/>
        </w:rPr>
        <w:t>25</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6"/>
      <w:bookmarkEnd w:id="28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5,989,896,267.76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7,646,938,327.86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2,680,845,128.35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1,159,359,033.76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21,011,768.04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12,868,048.81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9,691,753,164.15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8,819,165,410.43</w:t>
            </w:r>
          </w:p>
        </w:tc>
      </w:tr>
    </w:tbl>
    <w:p>
      <w:pPr>
        <w:pStyle w:val="BodyText"/>
        <w:spacing w:line="360" w:lineRule="auto" w:before="49"/>
        <w:ind w:right="8954"/>
        <w:jc w:val="left"/>
      </w:pPr>
      <w:r>
        <w:rPr/>
        <w:t>短期借款分类的说明： 无</w:t>
      </w:r>
    </w:p>
    <w:p>
      <w:pPr>
        <w:spacing w:after="0" w:line="360" w:lineRule="auto"/>
        <w:jc w:val="left"/>
        <w:sectPr>
          <w:type w:val="continuous"/>
          <w:pgSz w:w="11910" w:h="16840"/>
          <w:pgMar w:top="1580" w:bottom="700" w:left="980" w:right="0"/>
        </w:sectPr>
      </w:pPr>
    </w:p>
    <w:p>
      <w:pPr>
        <w:spacing w:line="240" w:lineRule="auto" w:before="11"/>
        <w:rPr>
          <w:rFonts w:ascii="宋体" w:hAnsi="宋体" w:cs="宋体" w:eastAsia="宋体" w:hint="default"/>
          <w:sz w:val="20"/>
          <w:szCs w:val="20"/>
        </w:rPr>
      </w:pPr>
    </w:p>
    <w:p>
      <w:pPr>
        <w:spacing w:line="544" w:lineRule="auto" w:before="36"/>
        <w:ind w:left="152" w:right="6928" w:firstLine="0"/>
        <w:jc w:val="left"/>
        <w:rPr>
          <w:rFonts w:ascii="宋体" w:hAnsi="宋体" w:cs="宋体" w:eastAsia="宋体" w:hint="default"/>
          <w:sz w:val="21"/>
          <w:szCs w:val="21"/>
        </w:rPr>
      </w:pPr>
      <w:bookmarkStart w:name="（2）已逾期未偿还的短期借款情况"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6、交易性金融负债" w:id="288"/>
      <w:bookmarkEnd w:id="288"/>
      <w:r>
        <w:rPr>
          <w:rFonts w:ascii="宋体" w:hAnsi="宋体" w:cs="宋体" w:eastAsia="宋体" w:hint="default"/>
          <w:sz w:val="18"/>
          <w:szCs w:val="18"/>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、交易性金融负债</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22,085,412.30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22,085,412.30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21,091,940.85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22,085,412.30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21,091,940.85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7、应付票据" w:id="289"/>
      <w:bookmarkEnd w:id="289"/>
      <w:r>
        <w:rPr>
          <w:b w:val="0"/>
          <w:bCs w:val="0"/>
        </w:rPr>
      </w:r>
      <w:r>
        <w:rPr>
          <w:rFonts w:ascii="Times New Roman" w:hAnsi="Times New Roman" w:cs="Times New Roman" w:eastAsia="Times New Roman" w:hint="default"/>
        </w:rPr>
        <w:t>27</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357,239,591.14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306,972,867.91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3,201,447,492.54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2,266,999,308.27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3,558,687,083.68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2,573,972,176.18</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8、应付账款" w:id="290"/>
      <w:bookmarkEnd w:id="290"/>
      <w:r>
        <w:rPr>
          <w:b w:val="0"/>
          <w:bCs w:val="0"/>
        </w:rPr>
      </w:r>
      <w:r>
        <w:rPr>
          <w:rFonts w:ascii="Times New Roman" w:hAnsi="Times New Roman" w:cs="Times New Roman" w:eastAsia="Times New Roman" w:hint="default"/>
        </w:rPr>
        <w:t>28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1"/>
      <w:bookmarkEnd w:id="29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5,825,871,423.34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6,044,742,292.99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5,825,871,423.34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6,044,742,292.99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92"/>
      <w:bookmarkEnd w:id="29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43,173,894.23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43,173,894.23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29、预收款项" w:id="293"/>
      <w:bookmarkEnd w:id="293"/>
      <w:r>
        <w:rPr>
          <w:b w:val="0"/>
          <w:bCs w:val="0"/>
        </w:rPr>
      </w:r>
      <w:r>
        <w:rPr>
          <w:rFonts w:ascii="Times New Roman" w:hAnsi="Times New Roman" w:cs="Times New Roman" w:eastAsia="Times New Roman" w:hint="default"/>
        </w:rPr>
        <w:t>29</w:t>
      </w:r>
      <w:r>
        <w:rPr/>
        <w:t>、预收款项</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1,316,996,795.15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1,130,643,920.83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6,393,257.87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5,454,488.29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1,323,390,053.02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1,136,098,409.12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0、应付职工薪酬" w:id="294"/>
      <w:bookmarkEnd w:id="294"/>
      <w:r>
        <w:rPr>
          <w:b w:val="0"/>
          <w:bCs w:val="0"/>
        </w:rPr>
      </w:r>
      <w:r>
        <w:rPr>
          <w:rFonts w:ascii="Times New Roman" w:hAnsi="Times New Roman" w:cs="Times New Roman" w:eastAsia="Times New Roman" w:hint="default"/>
        </w:rPr>
        <w:t>30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5"/>
      <w:bookmarkEnd w:id="29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345,855,377.94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976,191,398.29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898,635,509.28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423,411,266.95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4,733,248.12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73,751,101.21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74,199,988.87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4,284,360.46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9,257,008.98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9,257,008.98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350,588,626.06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1,059,199,508.48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982,092,507.13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427,695,627.41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96"/>
      <w:bookmarkEnd w:id="29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342,842,791.21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852,394,507.04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775,276,595.08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419,960,703.17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14,578,430.41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14,578,430.41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2,267,969.55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44,169,305.09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44,012,889.75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2,424,384.89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2,072,708.77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39,827,814.35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39,681,264.19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2,219,258.93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987,885.93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986,214.06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50,300.09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146,632.56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3,353,604.81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3,345,411.50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154,825.87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331,332.90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52,978,313.53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53,167,810.53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141,835.90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413,284.28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12,070,842.22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11,599,783.51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884,342.99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345,855,377.94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976,191,398.29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898,635,509.28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423,411,266.95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3）设定提存计划列示" w:id="297"/>
      <w:bookmarkEnd w:id="29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4,565,551.14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70,987,650.39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71,447,835.77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4,105,365.76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167,696.98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2,763,450.82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2,752,153.10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178,994.70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4,733,248.12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73,751,101.21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74,199,988.87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4,284,360.46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应交税费" w:id="298"/>
      <w:bookmarkEnd w:id="298"/>
      <w:r>
        <w:rPr>
          <w:b w:val="0"/>
          <w:bCs w:val="0"/>
        </w:rPr>
      </w:r>
      <w:r>
        <w:rPr>
          <w:rFonts w:ascii="Times New Roman" w:hAnsi="Times New Roman" w:cs="Times New Roman" w:eastAsia="Times New Roman" w:hint="default"/>
        </w:rPr>
        <w:t>31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71,373,209.27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62,970,619.61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222,094,923.52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208,369,163.54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2,790,733.66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2,693,381.72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4,955,764.47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4,598,399.57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2,123,899.06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1,970,742.67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1,297,350.31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914,666.07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17,049,282.59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14,416,591.04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45,778.83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321,723,313.03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295,979,343.05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2、其他应付款" w:id="299"/>
      <w:bookmarkEnd w:id="299"/>
      <w:r>
        <w:rPr>
          <w:b w:val="0"/>
          <w:bCs w:val="0"/>
        </w:rPr>
      </w:r>
      <w:r>
        <w:rPr>
          <w:rFonts w:ascii="Times New Roman" w:hAnsi="Times New Roman" w:cs="Times New Roman" w:eastAsia="Times New Roman" w:hint="default"/>
        </w:rPr>
        <w:t>32</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794,739,812.80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603,095,190.94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794,739,812.80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603,095,190.94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按款项性质列示其他应付款" w:id="300"/>
      <w:bookmarkEnd w:id="30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待付合同款项及代收代付款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326,943,176.90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172,366,525.05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282,072,639.86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263,882,562.90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待支付的渠道推广费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69,638,286.57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65,896,844.48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31,084,500.10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19,645,070.42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29,003,763.63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待支付中介机构款项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15,852,051.93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14,937,897.44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待支付员工报销款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11,959,276.36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10,941,694.69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37,544,810.66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46,065,902.75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794,739,812.80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603,095,190.94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01"/>
      <w:bookmarkEnd w:id="30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卓越置业集团有限公司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126"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日，其他应付款</w:t>
      </w:r>
      <w:r>
        <w:rPr>
          <w:rFonts w:ascii="Times New Roman" w:hAnsi="Times New Roman" w:cs="Times New Roman" w:eastAsia="Times New Roman" w:hint="default"/>
          <w:spacing w:val="-1"/>
        </w:rPr>
        <w:t>-</w:t>
      </w:r>
      <w:r>
        <w:rPr>
          <w:spacing w:val="-1"/>
        </w:rPr>
        <w:t>保证金中包括收到卓越置业集团有限公司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卓越置业</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履约保证金</w:t>
      </w:r>
      <w:r>
        <w:rPr>
          <w:rFonts w:ascii="Times New Roman" w:hAnsi="Times New Roman" w:cs="Times New Roman" w:eastAsia="Times New Roman" w:hint="default"/>
          <w:spacing w:val="-1"/>
        </w:rPr>
        <w:t>25,000</w:t>
      </w:r>
      <w:r>
        <w:rPr>
          <w:spacing w:val="-1"/>
        </w:rPr>
        <w:t>万元及</w:t>
      </w:r>
      <w:r>
        <w:rPr>
          <w:w w:val="99"/>
        </w:rPr>
        <w:t> </w:t>
      </w:r>
      <w:r>
        <w:rPr>
          <w:spacing w:val="-1"/>
        </w:rPr>
        <w:t>计提利息</w:t>
      </w:r>
      <w:r>
        <w:rPr>
          <w:rFonts w:ascii="Times New Roman" w:hAnsi="Times New Roman" w:cs="Times New Roman" w:eastAsia="Times New Roman" w:hint="default"/>
          <w:spacing w:val="-1"/>
        </w:rPr>
        <w:t>3,000</w:t>
      </w:r>
      <w:r>
        <w:rPr>
          <w:spacing w:val="-1"/>
        </w:rPr>
        <w:t>万元。该笔款项系</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日，本公司与卓越置业签署了《深圳湾神州数码国际总部项目策划营销综合管</w:t>
      </w:r>
      <w:r>
        <w:rPr>
          <w:spacing w:val="-76"/>
        </w:rPr>
        <w:t> </w:t>
      </w:r>
      <w:r>
        <w:rPr>
          <w:spacing w:val="-76"/>
        </w:rPr>
      </w:r>
      <w:r>
        <w:rPr/>
        <w:t>理服务协议》，协议约定</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卓越置业应分别于合同生效后及</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日前，分次支付给公司</w:t>
      </w:r>
      <w:r>
        <w:rPr>
          <w:rFonts w:ascii="Times New Roman" w:hAnsi="Times New Roman" w:cs="Times New Roman" w:eastAsia="Times New Roman" w:hint="default"/>
        </w:rPr>
        <w:t>5</w:t>
      </w:r>
      <w:r>
        <w:rPr/>
        <w:t>亿元履约保证金，在协议服</w:t>
      </w:r>
      <w:r>
        <w:rPr>
          <w:w w:val="99"/>
        </w:rPr>
        <w:t> </w:t>
      </w:r>
      <w:r>
        <w:rPr>
          <w:spacing w:val="-3"/>
        </w:rPr>
        <w:t>务期限内，若完成销售收入，本公司需按照年利率的</w:t>
      </w:r>
      <w:r>
        <w:rPr>
          <w:rFonts w:ascii="Times New Roman" w:hAnsi="Times New Roman" w:cs="Times New Roman" w:eastAsia="Times New Roman" w:hint="default"/>
          <w:spacing w:val="-3"/>
        </w:rPr>
        <w:t>7.5%</w:t>
      </w:r>
      <w:r>
        <w:rPr>
          <w:spacing w:val="-3"/>
        </w:rPr>
        <w:t>，将卓越置业支付的履约保证金本息一次性退还给卓越置业。</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日，卓越置业已支付履约保证金</w:t>
      </w:r>
      <w:r>
        <w:rPr>
          <w:rFonts w:ascii="Times New Roman" w:hAnsi="Times New Roman" w:cs="Times New Roman" w:eastAsia="Times New Roman" w:hint="default"/>
        </w:rPr>
        <w:t>25,000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日，本公司计提利息</w:t>
      </w:r>
      <w:r>
        <w:rPr>
          <w:rFonts w:ascii="Times New Roman" w:hAnsi="Times New Roman" w:cs="Times New Roman" w:eastAsia="Times New Roman" w:hint="default"/>
        </w:rPr>
        <w:t>3,000</w:t>
      </w:r>
      <w:r>
        <w:rPr/>
        <w:t>万元。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3、一年内到期的非流动负债" w:id="302"/>
      <w:bookmarkEnd w:id="302"/>
      <w:r>
        <w:rPr>
          <w:b w:val="0"/>
          <w:bCs w:val="0"/>
        </w:rPr>
      </w:r>
      <w:r>
        <w:rPr>
          <w:rFonts w:ascii="Times New Roman" w:hAnsi="Times New Roman" w:cs="Times New Roman" w:eastAsia="Times New Roman" w:hint="default"/>
        </w:rPr>
        <w:t>33</w:t>
      </w:r>
      <w:r>
        <w:rPr/>
        <w:t>、一年内到期的非流动负债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1,770,050.53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11,111,943.16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543,770,050.53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461,111,943.16</w:t>
            </w:r>
          </w:p>
        </w:tc>
      </w:tr>
    </w:tbl>
    <w:p>
      <w:pPr>
        <w:pStyle w:val="BodyText"/>
        <w:spacing w:line="360" w:lineRule="auto" w:before="49"/>
        <w:ind w:right="9134"/>
        <w:jc w:val="left"/>
        <w:rPr>
          <w:rFonts w:ascii="Times New Roman" w:hAnsi="Times New Roman" w:cs="Times New Roman" w:eastAsia="Times New Roman" w:hint="default"/>
        </w:rPr>
      </w:pPr>
      <w:r>
        <w:rPr/>
        <w:t>其他说明： 详见附注</w:t>
      </w:r>
      <w:r>
        <w:rPr>
          <w:rFonts w:ascii="Times New Roman" w:hAnsi="Times New Roman" w:cs="Times New Roman" w:eastAsia="Times New Roman" w:hint="default"/>
        </w:rPr>
        <w:t>35</w:t>
      </w:r>
    </w:p>
    <w:p>
      <w:pPr>
        <w:spacing w:line="240" w:lineRule="auto" w:before="1"/>
        <w:rPr>
          <w:rFonts w:ascii="Times New Roman" w:hAnsi="Times New Roman" w:cs="Times New Roman" w:eastAsia="Times New Roman" w:hint="default"/>
          <w:sz w:val="21"/>
          <w:szCs w:val="21"/>
        </w:rPr>
      </w:pPr>
    </w:p>
    <w:p>
      <w:pPr>
        <w:pStyle w:val="Heading3"/>
        <w:spacing w:line="240" w:lineRule="auto"/>
        <w:ind w:right="0"/>
        <w:jc w:val="left"/>
        <w:rPr>
          <w:b w:val="0"/>
          <w:bCs w:val="0"/>
        </w:rPr>
      </w:pPr>
      <w:bookmarkStart w:name="34、其他流动负债" w:id="303"/>
      <w:bookmarkEnd w:id="303"/>
      <w:r>
        <w:rPr>
          <w:b w:val="0"/>
          <w:bCs w:val="0"/>
        </w:rPr>
      </w:r>
      <w:r>
        <w:rPr>
          <w:rFonts w:ascii="Times New Roman" w:hAnsi="Times New Roman" w:cs="Times New Roman" w:eastAsia="Times New Roman" w:hint="default"/>
        </w:rPr>
        <w:t>34</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1,212,125.60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7,076,120.61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1,212,125.60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7,076,120.61</w:t>
            </w:r>
          </w:p>
        </w:tc>
      </w:tr>
    </w:tbl>
    <w:p>
      <w:pPr>
        <w:pStyle w:val="BodyText"/>
        <w:spacing w:line="357" w:lineRule="auto" w:before="49"/>
        <w:ind w:right="9134"/>
        <w:jc w:val="left"/>
      </w:pPr>
      <w:r>
        <w:rPr/>
        <w:t>其他说明： 政府补助详细说明：</w:t>
      </w:r>
    </w:p>
    <w:p>
      <w:pPr>
        <w:spacing w:after="0" w:line="357" w:lineRule="auto"/>
        <w:jc w:val="left"/>
        <w:sectPr>
          <w:type w:val="continuous"/>
          <w:pgSz w:w="11910" w:h="16840"/>
          <w:pgMar w:top="1580" w:bottom="70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19"/>
        <w:gridCol w:w="1277"/>
        <w:gridCol w:w="1274"/>
        <w:gridCol w:w="1275"/>
        <w:gridCol w:w="1277"/>
        <w:gridCol w:w="1277"/>
        <w:gridCol w:w="1702"/>
      </w:tblGrid>
      <w:tr>
        <w:trPr>
          <w:trHeight w:val="656"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63"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88" w:right="0"/>
              <w:jc w:val="left"/>
              <w:rPr>
                <w:rFonts w:ascii="宋体" w:hAnsi="宋体" w:cs="宋体" w:eastAsia="宋体" w:hint="default"/>
                <w:sz w:val="18"/>
                <w:szCs w:val="18"/>
              </w:rPr>
            </w:pPr>
            <w:r>
              <w:rPr>
                <w:rFonts w:ascii="宋体" w:hAnsi="宋体" w:cs="宋体" w:eastAsia="宋体" w:hint="default"/>
                <w:sz w:val="18"/>
                <w:szCs w:val="18"/>
              </w:rPr>
              <w:t>新增补助金额</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3"/>
              <w:ind w:left="359" w:right="89" w:hanging="272"/>
              <w:jc w:val="left"/>
              <w:rPr>
                <w:rFonts w:ascii="宋体" w:hAnsi="宋体" w:cs="宋体" w:eastAsia="宋体" w:hint="default"/>
                <w:sz w:val="18"/>
                <w:szCs w:val="18"/>
              </w:rPr>
            </w:pPr>
            <w:r>
              <w:rPr>
                <w:rFonts w:ascii="宋体" w:hAnsi="宋体" w:cs="宋体" w:eastAsia="宋体" w:hint="default"/>
                <w:sz w:val="18"/>
                <w:szCs w:val="18"/>
              </w:rPr>
              <w:t>计入营业外收 入金额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3"/>
              <w:ind w:left="451" w:right="89" w:hanging="360"/>
              <w:jc w:val="left"/>
              <w:rPr>
                <w:rFonts w:ascii="宋体" w:hAnsi="宋体" w:cs="宋体" w:eastAsia="宋体" w:hint="default"/>
                <w:sz w:val="18"/>
                <w:szCs w:val="18"/>
              </w:rPr>
            </w:pPr>
            <w:r>
              <w:rPr>
                <w:rFonts w:ascii="宋体" w:hAnsi="宋体" w:cs="宋体" w:eastAsia="宋体" w:hint="default"/>
                <w:sz w:val="18"/>
                <w:szCs w:val="18"/>
              </w:rPr>
              <w:t>计入其他收益 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7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3"/>
              <w:ind w:left="751" w:right="7" w:hanging="74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4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25"/>
              <w:jc w:val="both"/>
              <w:rPr>
                <w:rFonts w:ascii="宋体" w:hAnsi="宋体" w:cs="宋体" w:eastAsia="宋体" w:hint="default"/>
                <w:sz w:val="18"/>
                <w:szCs w:val="18"/>
              </w:rPr>
            </w:pPr>
            <w:r>
              <w:rPr>
                <w:rFonts w:ascii="宋体" w:hAnsi="宋体" w:cs="宋体" w:eastAsia="宋体" w:hint="default"/>
                <w:spacing w:val="17"/>
                <w:sz w:val="18"/>
                <w:szCs w:val="18"/>
              </w:rPr>
              <w:t>下一代</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高性</w:t>
            </w:r>
            <w:r>
              <w:rPr>
                <w:rFonts w:ascii="宋体" w:hAnsi="宋体" w:cs="宋体" w:eastAsia="宋体" w:hint="default"/>
                <w:spacing w:val="-64"/>
                <w:sz w:val="18"/>
                <w:szCs w:val="18"/>
              </w:rPr>
              <w:t> </w:t>
            </w:r>
            <w:r>
              <w:rPr>
                <w:rFonts w:ascii="宋体" w:hAnsi="宋体" w:cs="宋体" w:eastAsia="宋体" w:hint="default"/>
                <w:sz w:val="18"/>
                <w:szCs w:val="18"/>
              </w:rPr>
              <w:t>能</w:t>
            </w:r>
            <w:r>
              <w:rPr>
                <w:rFonts w:ascii="宋体" w:hAnsi="宋体" w:cs="宋体" w:eastAsia="宋体" w:hint="default"/>
                <w:spacing w:val="-67"/>
                <w:sz w:val="18"/>
                <w:szCs w:val="18"/>
              </w:rPr>
              <w:t> </w:t>
            </w:r>
            <w:r>
              <w:rPr>
                <w:rFonts w:ascii="宋体" w:hAnsi="宋体" w:cs="宋体" w:eastAsia="宋体" w:hint="default"/>
                <w:sz w:val="18"/>
                <w:szCs w:val="18"/>
              </w:rPr>
              <w:t>路</w:t>
            </w:r>
            <w:r>
              <w:rPr>
                <w:rFonts w:ascii="宋体" w:hAnsi="宋体" w:cs="宋体" w:eastAsia="宋体" w:hint="default"/>
                <w:spacing w:val="-67"/>
                <w:sz w:val="18"/>
                <w:szCs w:val="18"/>
              </w:rPr>
              <w:t> </w:t>
            </w:r>
            <w:r>
              <w:rPr>
                <w:rFonts w:ascii="宋体" w:hAnsi="宋体" w:cs="宋体" w:eastAsia="宋体" w:hint="default"/>
                <w:spacing w:val="10"/>
                <w:sz w:val="18"/>
                <w:szCs w:val="18"/>
              </w:rPr>
              <w:t>由交</w:t>
            </w:r>
            <w:r>
              <w:rPr>
                <w:rFonts w:ascii="宋体" w:hAnsi="宋体" w:cs="宋体" w:eastAsia="宋体" w:hint="default"/>
                <w:spacing w:val="-67"/>
                <w:sz w:val="18"/>
                <w:szCs w:val="18"/>
              </w:rPr>
              <w:t> </w:t>
            </w:r>
            <w:r>
              <w:rPr>
                <w:rFonts w:ascii="宋体" w:hAnsi="宋体" w:cs="宋体" w:eastAsia="宋体" w:hint="default"/>
                <w:sz w:val="18"/>
                <w:szCs w:val="18"/>
              </w:rPr>
              <w:t>换</w:t>
            </w:r>
            <w:r>
              <w:rPr>
                <w:rFonts w:ascii="宋体" w:hAnsi="宋体" w:cs="宋体" w:eastAsia="宋体" w:hint="default"/>
                <w:spacing w:val="-67"/>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备</w:t>
            </w:r>
            <w:r>
              <w:rPr>
                <w:rFonts w:ascii="宋体" w:hAnsi="宋体" w:cs="宋体" w:eastAsia="宋体" w:hint="default"/>
                <w:sz w:val="18"/>
                <w:szCs w:val="18"/>
              </w:rPr>
              <w:t> 研制及产业化</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4,929,504.85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4,929,504.85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934,490.16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469,484.43</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1,403,974.59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pacing w:val="10"/>
                <w:sz w:val="18"/>
                <w:szCs w:val="18"/>
              </w:rPr>
              <w:t>紫竹</w:t>
            </w:r>
            <w:r>
              <w:rPr>
                <w:rFonts w:ascii="宋体" w:hAnsi="宋体" w:cs="宋体" w:eastAsia="宋体" w:hint="default"/>
                <w:spacing w:val="-67"/>
                <w:sz w:val="18"/>
                <w:szCs w:val="18"/>
              </w:rPr>
              <w:t> </w:t>
            </w:r>
            <w:r>
              <w:rPr>
                <w:rFonts w:ascii="宋体" w:hAnsi="宋体" w:cs="宋体" w:eastAsia="宋体" w:hint="default"/>
                <w:sz w:val="18"/>
                <w:szCs w:val="18"/>
              </w:rPr>
              <w:t>高</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pacing w:val="10"/>
                <w:sz w:val="18"/>
                <w:szCs w:val="18"/>
              </w:rPr>
              <w:t>业开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区</w:t>
            </w:r>
            <w:r>
              <w:rPr>
                <w:rFonts w:ascii="宋体" w:hAnsi="宋体" w:cs="宋体" w:eastAsia="宋体" w:hint="default"/>
                <w:spacing w:val="-67"/>
                <w:sz w:val="18"/>
                <w:szCs w:val="18"/>
              </w:rPr>
              <w:t> </w:t>
            </w:r>
            <w:r>
              <w:rPr>
                <w:rFonts w:ascii="宋体" w:hAnsi="宋体" w:cs="宋体" w:eastAsia="宋体" w:hint="default"/>
                <w:sz w:val="18"/>
                <w:szCs w:val="18"/>
              </w:rPr>
              <w:t>专</w:t>
            </w:r>
            <w:r>
              <w:rPr>
                <w:rFonts w:ascii="宋体" w:hAnsi="宋体" w:cs="宋体" w:eastAsia="宋体" w:hint="default"/>
                <w:sz w:val="18"/>
                <w:szCs w:val="18"/>
              </w:rPr>
              <w:t> 项资金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14,100,000.00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14,100,000.00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pacing w:val="10"/>
                <w:sz w:val="18"/>
                <w:szCs w:val="18"/>
              </w:rPr>
              <w:t>市长</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财</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z w:val="18"/>
                <w:szCs w:val="18"/>
              </w:rPr>
              <w:t> 局奖励</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9,724,000.00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9,724,000.00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7"/>
                <w:sz w:val="18"/>
                <w:szCs w:val="18"/>
              </w:rPr>
              <w:t> </w:t>
            </w:r>
            <w:r>
              <w:rPr>
                <w:rFonts w:ascii="宋体" w:hAnsi="宋体" w:cs="宋体" w:eastAsia="宋体" w:hint="default"/>
                <w:sz w:val="18"/>
                <w:szCs w:val="18"/>
              </w:rPr>
              <w:t>汉</w:t>
            </w:r>
            <w:r>
              <w:rPr>
                <w:rFonts w:ascii="宋体" w:hAnsi="宋体" w:cs="宋体" w:eastAsia="宋体" w:hint="default"/>
                <w:spacing w:val="-67"/>
                <w:sz w:val="18"/>
                <w:szCs w:val="18"/>
              </w:rPr>
              <w:t> </w:t>
            </w:r>
            <w:r>
              <w:rPr>
                <w:rFonts w:ascii="宋体" w:hAnsi="宋体" w:cs="宋体" w:eastAsia="宋体" w:hint="default"/>
                <w:spacing w:val="10"/>
                <w:sz w:val="18"/>
                <w:szCs w:val="18"/>
              </w:rPr>
              <w:t>云科</w:t>
            </w:r>
            <w:r>
              <w:rPr>
                <w:rFonts w:ascii="宋体" w:hAnsi="宋体" w:cs="宋体" w:eastAsia="宋体" w:hint="default"/>
                <w:spacing w:val="-67"/>
                <w:sz w:val="18"/>
                <w:szCs w:val="18"/>
              </w:rPr>
              <w:t> </w:t>
            </w:r>
            <w:r>
              <w:rPr>
                <w:rFonts w:ascii="宋体" w:hAnsi="宋体" w:cs="宋体" w:eastAsia="宋体" w:hint="default"/>
                <w:sz w:val="18"/>
                <w:szCs w:val="18"/>
              </w:rPr>
              <w:t>总</w:t>
            </w:r>
            <w:r>
              <w:rPr>
                <w:rFonts w:ascii="宋体" w:hAnsi="宋体" w:cs="宋体" w:eastAsia="宋体" w:hint="default"/>
                <w:spacing w:val="-67"/>
                <w:sz w:val="18"/>
                <w:szCs w:val="18"/>
              </w:rPr>
              <w:t> </w:t>
            </w:r>
            <w:r>
              <w:rPr>
                <w:rFonts w:ascii="宋体" w:hAnsi="宋体" w:cs="宋体" w:eastAsia="宋体" w:hint="default"/>
                <w:sz w:val="18"/>
                <w:szCs w:val="18"/>
              </w:rPr>
              <w:t>部</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pacing w:val="10"/>
                <w:sz w:val="18"/>
                <w:szCs w:val="18"/>
              </w:rPr>
              <w:t>资建</w:t>
            </w:r>
            <w:r>
              <w:rPr>
                <w:rFonts w:ascii="宋体" w:hAnsi="宋体" w:cs="宋体" w:eastAsia="宋体" w:hint="default"/>
                <w:spacing w:val="-67"/>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兑</w:t>
            </w:r>
            <w:r>
              <w:rPr>
                <w:rFonts w:ascii="宋体" w:hAnsi="宋体" w:cs="宋体" w:eastAsia="宋体" w:hint="default"/>
                <w:spacing w:val="-67"/>
                <w:sz w:val="18"/>
                <w:szCs w:val="18"/>
              </w:rPr>
              <w:t> </w:t>
            </w:r>
            <w:r>
              <w:rPr>
                <w:rFonts w:ascii="宋体" w:hAnsi="宋体" w:cs="宋体" w:eastAsia="宋体" w:hint="default"/>
                <w:sz w:val="18"/>
                <w:szCs w:val="18"/>
              </w:rPr>
              <w:t>换</w:t>
            </w:r>
            <w:r>
              <w:rPr>
                <w:rFonts w:ascii="宋体" w:hAnsi="宋体" w:cs="宋体" w:eastAsia="宋体" w:hint="default"/>
                <w:sz w:val="18"/>
                <w:szCs w:val="18"/>
              </w:rPr>
              <w:t> 补贴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7,768,800.00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3,150,000.00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4,618,800.00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pacing w:val="10"/>
                <w:sz w:val="18"/>
                <w:szCs w:val="18"/>
              </w:rPr>
              <w:t>开发</w:t>
            </w:r>
            <w:r>
              <w:rPr>
                <w:rFonts w:ascii="宋体" w:hAnsi="宋体" w:cs="宋体" w:eastAsia="宋体" w:hint="default"/>
                <w:spacing w:val="-67"/>
                <w:sz w:val="18"/>
                <w:szCs w:val="18"/>
              </w:rPr>
              <w:t> </w:t>
            </w:r>
            <w:r>
              <w:rPr>
                <w:rFonts w:ascii="宋体" w:hAnsi="宋体" w:cs="宋体" w:eastAsia="宋体" w:hint="default"/>
                <w:sz w:val="18"/>
                <w:szCs w:val="18"/>
              </w:rPr>
              <w:t>区</w:t>
            </w:r>
            <w:r>
              <w:rPr>
                <w:rFonts w:ascii="宋体" w:hAnsi="宋体" w:cs="宋体" w:eastAsia="宋体" w:hint="default"/>
                <w:spacing w:val="-67"/>
                <w:sz w:val="18"/>
                <w:szCs w:val="18"/>
              </w:rPr>
              <w:t> </w:t>
            </w:r>
            <w:r>
              <w:rPr>
                <w:rFonts w:ascii="宋体" w:hAnsi="宋体" w:cs="宋体" w:eastAsia="宋体" w:hint="default"/>
                <w:sz w:val="18"/>
                <w:szCs w:val="18"/>
              </w:rPr>
              <w:t>促</w:t>
            </w:r>
            <w:r>
              <w:rPr>
                <w:rFonts w:ascii="宋体" w:hAnsi="宋体" w:cs="宋体" w:eastAsia="宋体" w:hint="default"/>
                <w:spacing w:val="-67"/>
                <w:sz w:val="18"/>
                <w:szCs w:val="18"/>
              </w:rPr>
              <w:t> </w:t>
            </w:r>
            <w:r>
              <w:rPr>
                <w:rFonts w:ascii="宋体" w:hAnsi="宋体" w:cs="宋体" w:eastAsia="宋体" w:hint="default"/>
                <w:sz w:val="18"/>
                <w:szCs w:val="18"/>
              </w:rPr>
              <w:t>进</w:t>
            </w:r>
            <w:r>
              <w:rPr>
                <w:rFonts w:ascii="宋体" w:hAnsi="宋体" w:cs="宋体" w:eastAsia="宋体" w:hint="default"/>
                <w:sz w:val="18"/>
                <w:szCs w:val="18"/>
              </w:rPr>
              <w:t> 现</w:t>
            </w:r>
            <w:r>
              <w:rPr>
                <w:rFonts w:ascii="宋体" w:hAnsi="宋体" w:cs="宋体" w:eastAsia="宋体" w:hint="default"/>
                <w:spacing w:val="-67"/>
                <w:sz w:val="18"/>
                <w:szCs w:val="18"/>
              </w:rPr>
              <w:t> </w:t>
            </w:r>
            <w:r>
              <w:rPr>
                <w:rFonts w:ascii="宋体" w:hAnsi="宋体" w:cs="宋体" w:eastAsia="宋体" w:hint="default"/>
                <w:sz w:val="18"/>
                <w:szCs w:val="18"/>
              </w:rPr>
              <w:t>代</w:t>
            </w:r>
            <w:r>
              <w:rPr>
                <w:rFonts w:ascii="宋体" w:hAnsi="宋体" w:cs="宋体" w:eastAsia="宋体" w:hint="default"/>
                <w:spacing w:val="-67"/>
                <w:sz w:val="18"/>
                <w:szCs w:val="18"/>
              </w:rPr>
              <w:t> </w:t>
            </w:r>
            <w:r>
              <w:rPr>
                <w:rFonts w:ascii="宋体" w:hAnsi="宋体" w:cs="宋体" w:eastAsia="宋体" w:hint="default"/>
                <w:spacing w:val="10"/>
                <w:sz w:val="18"/>
                <w:szCs w:val="18"/>
              </w:rPr>
              <w:t>服务</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z w:val="18"/>
                <w:szCs w:val="18"/>
              </w:rPr>
              <w:t> 奖励金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3,590,000.00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3,590,000.00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pacing w:val="10"/>
                <w:sz w:val="18"/>
                <w:szCs w:val="18"/>
              </w:rPr>
              <w:t>市商</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pacing w:val="-67"/>
                <w:sz w:val="18"/>
                <w:szCs w:val="18"/>
              </w:rPr>
              <w:t> </w:t>
            </w:r>
            <w:r>
              <w:rPr>
                <w:rFonts w:ascii="宋体" w:hAnsi="宋体" w:cs="宋体" w:eastAsia="宋体" w:hint="default"/>
                <w:sz w:val="18"/>
                <w:szCs w:val="18"/>
              </w:rPr>
              <w:t>局</w:t>
            </w:r>
            <w:r>
              <w:rPr>
                <w:rFonts w:ascii="宋体" w:hAnsi="宋体" w:cs="宋体" w:eastAsia="宋体" w:hint="default"/>
                <w:spacing w:val="-67"/>
                <w:sz w:val="18"/>
                <w:szCs w:val="18"/>
              </w:rPr>
              <w:t> </w:t>
            </w:r>
            <w:r>
              <w:rPr>
                <w:rFonts w:ascii="宋体" w:hAnsi="宋体" w:cs="宋体" w:eastAsia="宋体" w:hint="default"/>
                <w:sz w:val="18"/>
                <w:szCs w:val="18"/>
              </w:rPr>
              <w:t>关</w:t>
            </w:r>
            <w:r>
              <w:rPr>
                <w:rFonts w:ascii="宋体" w:hAnsi="宋体" w:cs="宋体" w:eastAsia="宋体" w:hint="default"/>
                <w:sz w:val="18"/>
                <w:szCs w:val="18"/>
              </w:rPr>
              <w:t> 于</w:t>
            </w:r>
            <w:r>
              <w:rPr>
                <w:rFonts w:ascii="宋体" w:hAnsi="宋体" w:cs="宋体" w:eastAsia="宋体" w:hint="default"/>
                <w:spacing w:val="-67"/>
                <w:sz w:val="18"/>
                <w:szCs w:val="18"/>
              </w:rPr>
              <w:t> </w:t>
            </w: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pacing w:val="10"/>
                <w:sz w:val="18"/>
                <w:szCs w:val="18"/>
              </w:rPr>
              <w:t>央服</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展专项资金项目</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3,385,414.00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3,385,414.00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pacing w:val="10"/>
                <w:sz w:val="18"/>
                <w:szCs w:val="18"/>
              </w:rPr>
              <w:t>市稳</w:t>
            </w:r>
            <w:r>
              <w:rPr>
                <w:rFonts w:ascii="宋体" w:hAnsi="宋体" w:cs="宋体" w:eastAsia="宋体" w:hint="default"/>
                <w:spacing w:val="-67"/>
                <w:sz w:val="18"/>
                <w:szCs w:val="18"/>
              </w:rPr>
              <w:t> </w:t>
            </w:r>
            <w:r>
              <w:rPr>
                <w:rFonts w:ascii="宋体" w:hAnsi="宋体" w:cs="宋体" w:eastAsia="宋体" w:hint="default"/>
                <w:sz w:val="18"/>
                <w:szCs w:val="18"/>
              </w:rPr>
              <w:t>增</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助项目</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2,444,200.00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2,444,200.00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pacing w:val="10"/>
                <w:sz w:val="18"/>
                <w:szCs w:val="18"/>
              </w:rPr>
              <w:t>流通</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助</w:t>
            </w:r>
            <w:r>
              <w:rPr>
                <w:rFonts w:ascii="宋体" w:hAnsi="宋体" w:cs="宋体" w:eastAsia="宋体" w:hint="default"/>
                <w:sz w:val="18"/>
                <w:szCs w:val="18"/>
              </w:rPr>
              <w:t> 补贴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pacing w:val="10"/>
                <w:sz w:val="18"/>
                <w:szCs w:val="18"/>
              </w:rPr>
              <w:t>市海</w:t>
            </w:r>
            <w:r>
              <w:rPr>
                <w:rFonts w:ascii="宋体" w:hAnsi="宋体" w:cs="宋体" w:eastAsia="宋体" w:hint="default"/>
                <w:spacing w:val="-67"/>
                <w:sz w:val="18"/>
                <w:szCs w:val="18"/>
              </w:rPr>
              <w:t> </w:t>
            </w:r>
            <w:r>
              <w:rPr>
                <w:rFonts w:ascii="宋体" w:hAnsi="宋体" w:cs="宋体" w:eastAsia="宋体" w:hint="default"/>
                <w:sz w:val="18"/>
                <w:szCs w:val="18"/>
              </w:rPr>
              <w:t>淀</w:t>
            </w:r>
            <w:r>
              <w:rPr>
                <w:rFonts w:ascii="宋体" w:hAnsi="宋体" w:cs="宋体" w:eastAsia="宋体" w:hint="default"/>
                <w:spacing w:val="-67"/>
                <w:sz w:val="18"/>
                <w:szCs w:val="18"/>
              </w:rPr>
              <w:t> </w:t>
            </w:r>
            <w:r>
              <w:rPr>
                <w:rFonts w:ascii="宋体" w:hAnsi="宋体" w:cs="宋体" w:eastAsia="宋体" w:hint="default"/>
                <w:sz w:val="18"/>
                <w:szCs w:val="18"/>
              </w:rPr>
              <w:t>区</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务委总部奖励</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pacing w:val="10"/>
                <w:sz w:val="18"/>
                <w:szCs w:val="18"/>
              </w:rPr>
              <w:t>市闵</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区</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展</w:t>
            </w:r>
            <w:r>
              <w:rPr>
                <w:rFonts w:ascii="宋体" w:hAnsi="宋体" w:cs="宋体" w:eastAsia="宋体" w:hint="default"/>
                <w:spacing w:val="-67"/>
                <w:sz w:val="18"/>
                <w:szCs w:val="18"/>
              </w:rPr>
              <w:t> </w:t>
            </w:r>
            <w:r>
              <w:rPr>
                <w:rFonts w:ascii="宋体" w:hAnsi="宋体" w:cs="宋体" w:eastAsia="宋体" w:hint="default"/>
                <w:sz w:val="18"/>
                <w:szCs w:val="18"/>
              </w:rPr>
              <w:t>和</w:t>
            </w:r>
            <w:r>
              <w:rPr>
                <w:rFonts w:ascii="宋体" w:hAnsi="宋体" w:cs="宋体" w:eastAsia="宋体" w:hint="default"/>
                <w:spacing w:val="-67"/>
                <w:sz w:val="18"/>
                <w:szCs w:val="18"/>
              </w:rPr>
              <w:t> </w:t>
            </w:r>
            <w:r>
              <w:rPr>
                <w:rFonts w:ascii="宋体" w:hAnsi="宋体" w:cs="宋体" w:eastAsia="宋体" w:hint="default"/>
                <w:spacing w:val="10"/>
                <w:sz w:val="18"/>
                <w:szCs w:val="18"/>
              </w:rPr>
              <w:t>改革</w:t>
            </w:r>
            <w:r>
              <w:rPr>
                <w:rFonts w:ascii="宋体" w:hAnsi="宋体" w:cs="宋体" w:eastAsia="宋体" w:hint="default"/>
                <w:spacing w:val="-67"/>
                <w:sz w:val="18"/>
                <w:szCs w:val="18"/>
              </w:rPr>
              <w:t> </w:t>
            </w:r>
            <w:r>
              <w:rPr>
                <w:rFonts w:ascii="宋体" w:hAnsi="宋体" w:cs="宋体" w:eastAsia="宋体" w:hint="default"/>
                <w:sz w:val="18"/>
                <w:szCs w:val="18"/>
              </w:rPr>
              <w:t>委</w:t>
            </w:r>
            <w:r>
              <w:rPr>
                <w:rFonts w:ascii="宋体" w:hAnsi="宋体" w:cs="宋体" w:eastAsia="宋体" w:hint="default"/>
                <w:spacing w:val="-67"/>
                <w:sz w:val="18"/>
                <w:szCs w:val="18"/>
              </w:rPr>
              <w:t> </w:t>
            </w:r>
            <w:r>
              <w:rPr>
                <w:rFonts w:ascii="宋体" w:hAnsi="宋体" w:cs="宋体" w:eastAsia="宋体" w:hint="default"/>
                <w:sz w:val="18"/>
                <w:szCs w:val="18"/>
              </w:rPr>
              <w:t>员</w:t>
            </w:r>
            <w:r>
              <w:rPr>
                <w:rFonts w:ascii="宋体" w:hAnsi="宋体" w:cs="宋体" w:eastAsia="宋体" w:hint="default"/>
                <w:spacing w:val="-67"/>
                <w:sz w:val="18"/>
                <w:szCs w:val="18"/>
              </w:rPr>
              <w:t> </w:t>
            </w:r>
            <w:r>
              <w:rPr>
                <w:rFonts w:ascii="宋体" w:hAnsi="宋体" w:cs="宋体" w:eastAsia="宋体" w:hint="default"/>
                <w:sz w:val="18"/>
                <w:szCs w:val="18"/>
              </w:rPr>
              <w:t>会</w:t>
            </w:r>
            <w:r>
              <w:rPr>
                <w:rFonts w:ascii="宋体" w:hAnsi="宋体" w:cs="宋体" w:eastAsia="宋体" w:hint="default"/>
                <w:sz w:val="18"/>
                <w:szCs w:val="18"/>
              </w:rPr>
              <w:t> 服务业引导资金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pacing w:val="10"/>
                <w:sz w:val="18"/>
                <w:szCs w:val="18"/>
              </w:rPr>
              <w:t>教育</w:t>
            </w:r>
            <w:r>
              <w:rPr>
                <w:rFonts w:ascii="宋体" w:hAnsi="宋体" w:cs="宋体" w:eastAsia="宋体" w:hint="default"/>
                <w:spacing w:val="-67"/>
                <w:sz w:val="18"/>
                <w:szCs w:val="18"/>
              </w:rPr>
              <w:t> </w:t>
            </w:r>
            <w:r>
              <w:rPr>
                <w:rFonts w:ascii="宋体" w:hAnsi="宋体" w:cs="宋体" w:eastAsia="宋体" w:hint="default"/>
                <w:sz w:val="18"/>
                <w:szCs w:val="18"/>
              </w:rPr>
              <w:t>培</w:t>
            </w:r>
            <w:r>
              <w:rPr>
                <w:rFonts w:ascii="宋体" w:hAnsi="宋体" w:cs="宋体" w:eastAsia="宋体" w:hint="default"/>
                <w:spacing w:val="-67"/>
                <w:sz w:val="18"/>
                <w:szCs w:val="18"/>
              </w:rPr>
              <w:t> </w:t>
            </w:r>
            <w:r>
              <w:rPr>
                <w:rFonts w:ascii="宋体" w:hAnsi="宋体" w:cs="宋体" w:eastAsia="宋体" w:hint="default"/>
                <w:sz w:val="18"/>
                <w:szCs w:val="18"/>
              </w:rPr>
              <w:t>训</w:t>
            </w:r>
            <w:r>
              <w:rPr>
                <w:rFonts w:ascii="宋体" w:hAnsi="宋体" w:cs="宋体" w:eastAsia="宋体" w:hint="default"/>
                <w:spacing w:val="-67"/>
                <w:sz w:val="18"/>
                <w:szCs w:val="18"/>
              </w:rPr>
              <w:t> </w:t>
            </w:r>
            <w:r>
              <w:rPr>
                <w:rFonts w:ascii="宋体" w:hAnsi="宋体" w:cs="宋体" w:eastAsia="宋体" w:hint="default"/>
                <w:sz w:val="18"/>
                <w:szCs w:val="18"/>
              </w:rPr>
              <w:t>经</w:t>
            </w:r>
            <w:r>
              <w:rPr>
                <w:rFonts w:ascii="宋体" w:hAnsi="宋体" w:cs="宋体" w:eastAsia="宋体" w:hint="default"/>
                <w:sz w:val="18"/>
                <w:szCs w:val="18"/>
              </w:rPr>
              <w:t> 费补贴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535,484.80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535,484.80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5"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高峰论坛补贴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337,600.00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337,600.00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pacing w:val="10"/>
                <w:sz w:val="18"/>
                <w:szCs w:val="18"/>
              </w:rPr>
              <w:t>滨江</w:t>
            </w:r>
            <w:r>
              <w:rPr>
                <w:rFonts w:ascii="宋体" w:hAnsi="宋体" w:cs="宋体" w:eastAsia="宋体" w:hint="default"/>
                <w:spacing w:val="-67"/>
                <w:sz w:val="18"/>
                <w:szCs w:val="18"/>
              </w:rPr>
              <w:t> </w:t>
            </w:r>
            <w:r>
              <w:rPr>
                <w:rFonts w:ascii="宋体" w:hAnsi="宋体" w:cs="宋体" w:eastAsia="宋体" w:hint="default"/>
                <w:sz w:val="18"/>
                <w:szCs w:val="18"/>
              </w:rPr>
              <w:t>区</w:t>
            </w:r>
            <w:r>
              <w:rPr>
                <w:rFonts w:ascii="宋体" w:hAnsi="宋体" w:cs="宋体" w:eastAsia="宋体" w:hint="default"/>
                <w:spacing w:val="-67"/>
                <w:sz w:val="18"/>
                <w:szCs w:val="18"/>
              </w:rPr>
              <w:t> </w:t>
            </w:r>
            <w:r>
              <w:rPr>
                <w:rFonts w:ascii="宋体" w:hAnsi="宋体" w:cs="宋体" w:eastAsia="宋体" w:hint="default"/>
                <w:sz w:val="18"/>
                <w:szCs w:val="18"/>
              </w:rPr>
              <w:t>楼</w:t>
            </w:r>
            <w:r>
              <w:rPr>
                <w:rFonts w:ascii="宋体" w:hAnsi="宋体" w:cs="宋体" w:eastAsia="宋体" w:hint="default"/>
                <w:spacing w:val="-67"/>
                <w:sz w:val="18"/>
                <w:szCs w:val="18"/>
              </w:rPr>
              <w:t> </w:t>
            </w:r>
            <w:r>
              <w:rPr>
                <w:rFonts w:ascii="宋体" w:hAnsi="宋体" w:cs="宋体" w:eastAsia="宋体" w:hint="default"/>
                <w:sz w:val="18"/>
                <w:szCs w:val="18"/>
              </w:rPr>
              <w:t>宇</w:t>
            </w:r>
            <w:r>
              <w:rPr>
                <w:rFonts w:ascii="宋体" w:hAnsi="宋体" w:cs="宋体" w:eastAsia="宋体" w:hint="default"/>
                <w:sz w:val="18"/>
                <w:szCs w:val="18"/>
              </w:rPr>
              <w:t> 经济产业扶持</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332,900.00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332,900.00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6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4" w:right="-15"/>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7"/>
                <w:sz w:val="18"/>
                <w:szCs w:val="18"/>
              </w:rPr>
              <w:t> </w:t>
            </w:r>
            <w:r>
              <w:rPr>
                <w:rFonts w:ascii="宋体" w:hAnsi="宋体" w:cs="宋体" w:eastAsia="宋体" w:hint="default"/>
                <w:sz w:val="18"/>
                <w:szCs w:val="18"/>
              </w:rPr>
              <w:t>汉</w:t>
            </w:r>
            <w:r>
              <w:rPr>
                <w:rFonts w:ascii="宋体" w:hAnsi="宋体" w:cs="宋体" w:eastAsia="宋体" w:hint="default"/>
                <w:spacing w:val="-67"/>
                <w:sz w:val="18"/>
                <w:szCs w:val="18"/>
              </w:rPr>
              <w:t> </w:t>
            </w:r>
            <w:r>
              <w:rPr>
                <w:rFonts w:ascii="宋体" w:hAnsi="宋体" w:cs="宋体" w:eastAsia="宋体" w:hint="default"/>
                <w:spacing w:val="10"/>
                <w:sz w:val="18"/>
                <w:szCs w:val="18"/>
              </w:rPr>
              <w:t>东湖</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z w:val="18"/>
                <w:szCs w:val="18"/>
              </w:rPr>
              <w:t> 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pacing w:val="10"/>
                <w:sz w:val="18"/>
                <w:szCs w:val="18"/>
              </w:rPr>
              <w:t>区第</w:t>
            </w:r>
            <w:r>
              <w:rPr>
                <w:rFonts w:ascii="宋体" w:hAnsi="宋体" w:cs="宋体" w:eastAsia="宋体" w:hint="default"/>
                <w:spacing w:val="-67"/>
                <w:sz w:val="18"/>
                <w:szCs w:val="18"/>
              </w:rPr>
              <w:t> </w:t>
            </w:r>
            <w:r>
              <w:rPr>
                <w:rFonts w:ascii="宋体" w:hAnsi="宋体" w:cs="宋体" w:eastAsia="宋体" w:hint="default"/>
                <w:sz w:val="18"/>
                <w:szCs w:val="18"/>
              </w:rPr>
              <w:t>十</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批</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“3551</w:t>
            </w:r>
            <w:r>
              <w:rPr>
                <w:rFonts w:ascii="宋体" w:hAnsi="宋体" w:cs="宋体" w:eastAsia="宋体" w:hint="default"/>
                <w:spacing w:val="7"/>
                <w:sz w:val="18"/>
                <w:szCs w:val="18"/>
              </w:rPr>
              <w:t>光谷人才计</w:t>
            </w:r>
            <w:r>
              <w:rPr>
                <w:rFonts w:ascii="宋体" w:hAnsi="宋体" w:cs="宋体" w:eastAsia="宋体" w:hint="default"/>
                <w:spacing w:val="12"/>
                <w:sz w:val="18"/>
                <w:szCs w:val="18"/>
              </w:rPr>
              <w:t> </w:t>
            </w: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无偿资金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19"/>
        <w:gridCol w:w="1277"/>
        <w:gridCol w:w="1274"/>
        <w:gridCol w:w="1275"/>
        <w:gridCol w:w="1277"/>
        <w:gridCol w:w="1277"/>
        <w:gridCol w:w="1702"/>
      </w:tblGrid>
      <w:tr>
        <w:trPr>
          <w:trHeight w:val="656"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63"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88" w:right="0"/>
              <w:jc w:val="left"/>
              <w:rPr>
                <w:rFonts w:ascii="宋体" w:hAnsi="宋体" w:cs="宋体" w:eastAsia="宋体" w:hint="default"/>
                <w:sz w:val="18"/>
                <w:szCs w:val="18"/>
              </w:rPr>
            </w:pPr>
            <w:r>
              <w:rPr>
                <w:rFonts w:ascii="宋体" w:hAnsi="宋体" w:cs="宋体" w:eastAsia="宋体" w:hint="default"/>
                <w:sz w:val="18"/>
                <w:szCs w:val="18"/>
              </w:rPr>
              <w:t>新增补助金额</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3"/>
              <w:ind w:left="359" w:right="89" w:hanging="272"/>
              <w:jc w:val="left"/>
              <w:rPr>
                <w:rFonts w:ascii="宋体" w:hAnsi="宋体" w:cs="宋体" w:eastAsia="宋体" w:hint="default"/>
                <w:sz w:val="18"/>
                <w:szCs w:val="18"/>
              </w:rPr>
            </w:pPr>
            <w:r>
              <w:rPr>
                <w:rFonts w:ascii="宋体" w:hAnsi="宋体" w:cs="宋体" w:eastAsia="宋体" w:hint="default"/>
                <w:sz w:val="18"/>
                <w:szCs w:val="18"/>
              </w:rPr>
              <w:t>计入营业外收 入金额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13"/>
              <w:ind w:left="451" w:right="89" w:hanging="360"/>
              <w:jc w:val="left"/>
              <w:rPr>
                <w:rFonts w:ascii="宋体" w:hAnsi="宋体" w:cs="宋体" w:eastAsia="宋体" w:hint="default"/>
                <w:sz w:val="18"/>
                <w:szCs w:val="18"/>
              </w:rPr>
            </w:pPr>
            <w:r>
              <w:rPr>
                <w:rFonts w:ascii="宋体" w:hAnsi="宋体" w:cs="宋体" w:eastAsia="宋体" w:hint="default"/>
                <w:sz w:val="18"/>
                <w:szCs w:val="18"/>
              </w:rPr>
              <w:t>计入其他收益 金额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7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3"/>
              <w:ind w:left="751" w:right="7" w:hanging="74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25"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227,343.98</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227,343.98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pacing w:val="10"/>
                <w:sz w:val="18"/>
                <w:szCs w:val="18"/>
              </w:rPr>
              <w:t>中关</w:t>
            </w:r>
            <w:r>
              <w:rPr>
                <w:rFonts w:ascii="宋体" w:hAnsi="宋体" w:cs="宋体" w:eastAsia="宋体" w:hint="default"/>
                <w:spacing w:val="-67"/>
                <w:sz w:val="18"/>
                <w:szCs w:val="18"/>
              </w:rPr>
              <w:t> </w:t>
            </w:r>
            <w:r>
              <w:rPr>
                <w:rFonts w:ascii="宋体" w:hAnsi="宋体" w:cs="宋体" w:eastAsia="宋体" w:hint="default"/>
                <w:sz w:val="18"/>
                <w:szCs w:val="18"/>
              </w:rPr>
              <w:t>村</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z w:val="18"/>
                <w:szCs w:val="18"/>
              </w:rPr>
              <w:t> 创</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pacing w:val="10"/>
                <w:sz w:val="18"/>
                <w:szCs w:val="18"/>
              </w:rPr>
              <w:t>资源</w:t>
            </w:r>
            <w:r>
              <w:rPr>
                <w:rFonts w:ascii="宋体" w:hAnsi="宋体" w:cs="宋体" w:eastAsia="宋体" w:hint="default"/>
                <w:spacing w:val="-67"/>
                <w:sz w:val="18"/>
                <w:szCs w:val="18"/>
              </w:rPr>
              <w:t> </w:t>
            </w:r>
            <w:r>
              <w:rPr>
                <w:rFonts w:ascii="宋体" w:hAnsi="宋体" w:cs="宋体" w:eastAsia="宋体" w:hint="default"/>
                <w:sz w:val="18"/>
                <w:szCs w:val="18"/>
              </w:rPr>
              <w:t>支</w:t>
            </w:r>
            <w:r>
              <w:rPr>
                <w:rFonts w:ascii="宋体" w:hAnsi="宋体" w:cs="宋体" w:eastAsia="宋体" w:hint="default"/>
                <w:spacing w:val="-67"/>
                <w:sz w:val="18"/>
                <w:szCs w:val="18"/>
              </w:rPr>
              <w:t> </w:t>
            </w:r>
            <w:r>
              <w:rPr>
                <w:rFonts w:ascii="宋体" w:hAnsi="宋体" w:cs="宋体" w:eastAsia="宋体" w:hint="default"/>
                <w:sz w:val="18"/>
                <w:szCs w:val="18"/>
              </w:rPr>
              <w:t>持</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200,900.00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200,900.00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7"/>
                <w:sz w:val="18"/>
                <w:szCs w:val="18"/>
              </w:rPr>
              <w:t> </w:t>
            </w:r>
            <w:r>
              <w:rPr>
                <w:rFonts w:ascii="宋体" w:hAnsi="宋体" w:cs="宋体" w:eastAsia="宋体" w:hint="default"/>
                <w:sz w:val="18"/>
                <w:szCs w:val="18"/>
              </w:rPr>
              <w:t>汉</w:t>
            </w:r>
            <w:r>
              <w:rPr>
                <w:rFonts w:ascii="宋体" w:hAnsi="宋体" w:cs="宋体" w:eastAsia="宋体" w:hint="default"/>
                <w:spacing w:val="-67"/>
                <w:sz w:val="18"/>
                <w:szCs w:val="18"/>
              </w:rPr>
              <w:t> </w:t>
            </w:r>
            <w:r>
              <w:rPr>
                <w:rFonts w:ascii="宋体" w:hAnsi="宋体" w:cs="宋体" w:eastAsia="宋体" w:hint="default"/>
                <w:spacing w:val="10"/>
                <w:sz w:val="18"/>
                <w:szCs w:val="18"/>
              </w:rPr>
              <w:t>市知</w:t>
            </w:r>
            <w:r>
              <w:rPr>
                <w:rFonts w:ascii="宋体" w:hAnsi="宋体" w:cs="宋体" w:eastAsia="宋体" w:hint="default"/>
                <w:spacing w:val="-67"/>
                <w:sz w:val="18"/>
                <w:szCs w:val="18"/>
              </w:rPr>
              <w:t> </w:t>
            </w:r>
            <w:r>
              <w:rPr>
                <w:rFonts w:ascii="宋体" w:hAnsi="宋体" w:cs="宋体" w:eastAsia="宋体" w:hint="default"/>
                <w:sz w:val="18"/>
                <w:szCs w:val="18"/>
              </w:rPr>
              <w:t>识</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权</w:t>
            </w:r>
            <w:r>
              <w:rPr>
                <w:rFonts w:ascii="宋体" w:hAnsi="宋体" w:cs="宋体" w:eastAsia="宋体" w:hint="default"/>
                <w:sz w:val="18"/>
                <w:szCs w:val="18"/>
              </w:rPr>
              <w:t> 局培育项目补贴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1" w:right="0"/>
              <w:jc w:val="left"/>
              <w:rPr>
                <w:rFonts w:ascii="Times New Roman" w:hAnsi="Times New Roman" w:cs="Times New Roman" w:eastAsia="Times New Roman" w:hint="default"/>
                <w:sz w:val="18"/>
                <w:szCs w:val="18"/>
              </w:rPr>
            </w:pPr>
            <w:r>
              <w:rPr>
                <w:rFonts w:ascii="Times New Roman"/>
                <w:sz w:val="18"/>
              </w:rPr>
              <w:t>1,212,125.60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212,253.72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61,675.79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150,577.93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4" w:right="0"/>
              <w:jc w:val="left"/>
              <w:rPr>
                <w:rFonts w:ascii="Times New Roman" w:hAnsi="Times New Roman" w:cs="Times New Roman" w:eastAsia="Times New Roman" w:hint="default"/>
                <w:sz w:val="18"/>
                <w:szCs w:val="18"/>
              </w:rPr>
            </w:pPr>
            <w:r>
              <w:rPr>
                <w:rFonts w:ascii="Times New Roman"/>
                <w:sz w:val="18"/>
              </w:rPr>
              <w:t>1,212,125.60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11" w:right="0"/>
              <w:jc w:val="left"/>
              <w:rPr>
                <w:rFonts w:ascii="Times New Roman" w:hAnsi="Times New Roman" w:cs="Times New Roman" w:eastAsia="Times New Roman" w:hint="default"/>
                <w:sz w:val="18"/>
                <w:szCs w:val="18"/>
              </w:rPr>
            </w:pPr>
            <w:r>
              <w:rPr>
                <w:rFonts w:ascii="Times New Roman"/>
                <w:b/>
                <w:sz w:val="18"/>
              </w:rPr>
              <w:t>7,076,120.61</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b/>
                <w:spacing w:val="-1"/>
                <w:sz w:val="18"/>
              </w:rPr>
              <w:t>46,228,380.93</w:t>
            </w:r>
            <w:r>
              <w:rPr>
                <w:rFonts w:ascii="Times New Roman"/>
                <w:spacing w:val="-1"/>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b/>
                <w:spacing w:val="-1"/>
                <w:sz w:val="18"/>
              </w:rPr>
              <w:t>4,261,675.79</w:t>
            </w:r>
            <w:r>
              <w:rPr>
                <w:rFonts w:ascii="Times New Roman"/>
                <w:spacing w:val="-1"/>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b/>
                <w:spacing w:val="-1"/>
                <w:sz w:val="18"/>
              </w:rPr>
              <w:t>47,830,700.15</w:t>
            </w:r>
            <w:r>
              <w:rPr>
                <w:rFonts w:ascii="Times New Roman"/>
                <w:spacing w:val="-1"/>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14" w:right="0"/>
              <w:jc w:val="left"/>
              <w:rPr>
                <w:rFonts w:ascii="Times New Roman" w:hAnsi="Times New Roman" w:cs="Times New Roman" w:eastAsia="Times New Roman" w:hint="default"/>
                <w:sz w:val="18"/>
                <w:szCs w:val="18"/>
              </w:rPr>
            </w:pPr>
            <w:r>
              <w:rPr>
                <w:rFonts w:ascii="Times New Roman"/>
                <w:b/>
                <w:sz w:val="18"/>
              </w:rPr>
              <w:t>1,212,125.60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pStyle w:val="Heading3"/>
        <w:spacing w:line="240" w:lineRule="auto" w:before="36"/>
        <w:ind w:right="0"/>
        <w:jc w:val="left"/>
        <w:rPr>
          <w:b w:val="0"/>
          <w:bCs w:val="0"/>
        </w:rPr>
      </w:pPr>
      <w:bookmarkStart w:name="35、长期借款" w:id="304"/>
      <w:bookmarkEnd w:id="304"/>
      <w:r>
        <w:rPr>
          <w:b w:val="0"/>
          <w:bCs w:val="0"/>
        </w:rPr>
      </w:r>
      <w:r>
        <w:rPr>
          <w:rFonts w:ascii="Times New Roman" w:hAnsi="Times New Roman" w:cs="Times New Roman" w:eastAsia="Times New Roman" w:hint="default"/>
        </w:rPr>
        <w:t>35</w:t>
      </w:r>
      <w:r>
        <w:rPr/>
        <w:t>、长期借款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1,566,522,052.07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17,856,192.47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3,570,416.67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2,102,378,244.54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1,713,570,416.67</w:t>
            </w:r>
          </w:p>
        </w:tc>
      </w:tr>
    </w:tbl>
    <w:p>
      <w:pPr>
        <w:pStyle w:val="BodyText"/>
        <w:spacing w:line="360" w:lineRule="auto" w:before="49"/>
        <w:ind w:left="513" w:right="0" w:hanging="361"/>
        <w:jc w:val="left"/>
      </w:pPr>
      <w:r>
        <w:rPr/>
        <w:t>长期借款分类的说明： 本公司为购买神州控股下属</w:t>
      </w:r>
      <w:r>
        <w:rPr>
          <w:rFonts w:ascii="Times New Roman" w:hAnsi="Times New Roman" w:cs="Times New Roman" w:eastAsia="Times New Roman" w:hint="default"/>
        </w:rPr>
        <w:t>IT</w:t>
      </w:r>
      <w:r>
        <w:rPr/>
        <w:t>分销业务公司自北京银行股份有限公司中关村科技园支行借入的</w:t>
      </w:r>
      <w:r>
        <w:rPr>
          <w:rFonts w:ascii="Times New Roman" w:hAnsi="Times New Roman" w:cs="Times New Roman" w:eastAsia="Times New Roman" w:hint="default"/>
        </w:rPr>
        <w:t>5</w:t>
      </w:r>
      <w:r>
        <w:rPr/>
        <w:t>年期长期借款，利率为</w:t>
      </w:r>
    </w:p>
    <w:p>
      <w:pPr>
        <w:pStyle w:val="BodyText"/>
        <w:spacing w:line="212" w:lineRule="exact"/>
        <w:ind w:right="0"/>
        <w:jc w:val="left"/>
      </w:pPr>
      <w:r>
        <w:rPr>
          <w:rFonts w:ascii="Times New Roman" w:hAnsi="Times New Roman" w:cs="Times New Roman" w:eastAsia="Times New Roman" w:hint="default"/>
        </w:rPr>
        <w:t>4.75%</w:t>
      </w:r>
      <w:r>
        <w:rPr/>
        <w:t>，本公司以持有的神码中国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p>
    <w:p>
      <w:pPr>
        <w:pStyle w:val="BodyText"/>
        <w:spacing w:line="300" w:lineRule="auto" w:before="63"/>
        <w:ind w:right="0" w:firstLine="360"/>
        <w:jc w:val="left"/>
      </w:pPr>
      <w:r>
        <w:rPr/>
        <w:t>本公司自中国民生银行股份有限公司北京中关村分行借入的</w:t>
      </w:r>
      <w:r>
        <w:rPr>
          <w:rFonts w:ascii="Times New Roman" w:hAnsi="Times New Roman" w:cs="Times New Roman" w:eastAsia="Times New Roman" w:hint="default"/>
        </w:rPr>
        <w:t>3</w:t>
      </w:r>
      <w:r>
        <w:rPr/>
        <w:t>年期长期借款，利率为</w:t>
      </w:r>
      <w:r>
        <w:rPr>
          <w:rFonts w:ascii="Times New Roman" w:hAnsi="Times New Roman" w:cs="Times New Roman" w:eastAsia="Times New Roman" w:hint="default"/>
        </w:rPr>
        <w:t>5.9375%</w:t>
      </w:r>
      <w:r>
        <w:rPr/>
        <w:t>，本公司以持有的上海云 角</w:t>
      </w:r>
      <w:r>
        <w:rPr>
          <w:rFonts w:ascii="Times New Roman" w:hAnsi="Times New Roman" w:cs="Times New Roman" w:eastAsia="Times New Roman" w:hint="default"/>
        </w:rPr>
        <w:t>100%</w:t>
      </w:r>
      <w:r>
        <w:rPr/>
        <w:t>股权进行质押。</w:t>
      </w:r>
    </w:p>
    <w:p>
      <w:pPr>
        <w:pStyle w:val="BodyText"/>
        <w:spacing w:line="300" w:lineRule="auto" w:before="13"/>
        <w:ind w:right="0" w:firstLine="360"/>
        <w:jc w:val="left"/>
      </w:pPr>
      <w:r>
        <w:rPr/>
        <w:t>本公司自平安银行股份有限公司深圳分行借入的</w:t>
      </w:r>
      <w:r>
        <w:rPr>
          <w:rFonts w:ascii="Times New Roman" w:hAnsi="Times New Roman" w:cs="Times New Roman" w:eastAsia="Times New Roman" w:hint="default"/>
        </w:rPr>
        <w:t>5</w:t>
      </w:r>
      <w:r>
        <w:rPr/>
        <w:t>年期长期借款，利率</w:t>
      </w:r>
      <w:r>
        <w:rPr>
          <w:rFonts w:ascii="Times New Roman" w:hAnsi="Times New Roman" w:cs="Times New Roman" w:eastAsia="Times New Roman" w:hint="default"/>
        </w:rPr>
        <w:t>5.9375%</w:t>
      </w:r>
      <w:r>
        <w:rPr/>
        <w:t>，以深圳市南山区深圳湾超级总部基地 土地使用权进行抵押。</w:t>
      </w:r>
    </w:p>
    <w:p>
      <w:pPr>
        <w:pStyle w:val="BodyText"/>
        <w:spacing w:line="300" w:lineRule="auto" w:before="31"/>
        <w:ind w:right="1109" w:firstLine="360"/>
        <w:jc w:val="left"/>
      </w:pPr>
      <w:r>
        <w:rPr/>
        <w:t>本公司之子公司神码深圳自平安银行股份有限公司深圳分行借入的</w:t>
      </w:r>
      <w:r>
        <w:rPr>
          <w:rFonts w:ascii="Times New Roman" w:hAnsi="Times New Roman" w:cs="Times New Roman" w:eastAsia="Times New Roman" w:hint="default"/>
        </w:rPr>
        <w:t>3</w:t>
      </w:r>
      <w:r>
        <w:rPr/>
        <w:t>年期长期借款，利率</w:t>
      </w:r>
      <w:r>
        <w:rPr>
          <w:rFonts w:ascii="Times New Roman" w:hAnsi="Times New Roman" w:cs="Times New Roman" w:eastAsia="Times New Roman" w:hint="default"/>
        </w:rPr>
        <w:t>6.175%</w:t>
      </w:r>
      <w:r>
        <w:rPr/>
        <w:t>，以深圳市南山区深圳 湾超级总部基地土地使用权进行抵押。</w:t>
      </w:r>
    </w:p>
    <w:p>
      <w:pPr>
        <w:pStyle w:val="BodyText"/>
        <w:spacing w:line="300" w:lineRule="auto" w:before="31"/>
        <w:ind w:right="0" w:firstLine="360"/>
        <w:jc w:val="left"/>
      </w:pPr>
      <w:r>
        <w:rPr/>
        <w:t>本公司之子公司神码深圳自平安银行股份有限公司深圳分行借入的</w:t>
      </w:r>
      <w:r>
        <w:rPr>
          <w:rFonts w:ascii="Times New Roman" w:hAnsi="Times New Roman" w:cs="Times New Roman" w:eastAsia="Times New Roman" w:hint="default"/>
        </w:rPr>
        <w:t>3</w:t>
      </w:r>
      <w:r>
        <w:rPr/>
        <w:t>年期长期借款，利率</w:t>
      </w:r>
      <w:r>
        <w:rPr>
          <w:rFonts w:ascii="Times New Roman" w:hAnsi="Times New Roman" w:cs="Times New Roman" w:eastAsia="Times New Roman" w:hint="default"/>
        </w:rPr>
        <w:t>5.75%</w:t>
      </w:r>
      <w:r>
        <w:rPr/>
        <w:t>，以深圳市南山区深圳</w:t>
      </w:r>
      <w:r>
        <w:rPr>
          <w:spacing w:val="2"/>
        </w:rPr>
        <w:t> </w:t>
      </w:r>
      <w:r>
        <w:rPr/>
        <w:t>湾超级总部基地土地使用权进行抵押。</w:t>
      </w:r>
    </w:p>
    <w:p>
      <w:pPr>
        <w:pStyle w:val="BodyText"/>
        <w:spacing w:line="240" w:lineRule="auto" w:before="32"/>
        <w:ind w:left="513" w:right="0"/>
        <w:jc w:val="left"/>
      </w:pPr>
      <w:r>
        <w:rPr/>
        <w:t>本报告期末按照还款计划预计于未来一年内到期的款项已结转至</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列示。</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6、长期应付款" w:id="305"/>
      <w:bookmarkEnd w:id="305"/>
      <w:r>
        <w:rPr>
          <w:b w:val="0"/>
          <w:bCs w:val="0"/>
        </w:rPr>
      </w:r>
      <w:r>
        <w:rPr>
          <w:rFonts w:ascii="Times New Roman" w:hAnsi="Times New Roman" w:cs="Times New Roman" w:eastAsia="Times New Roman" w:hint="default"/>
        </w:rPr>
        <w:t>36</w:t>
      </w:r>
      <w:r>
        <w:rPr/>
        <w:t>、长期应付款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310,007,671.47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310,007,671.47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资产证券化业务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306,471,780.82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设备融资租赁费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3,535,890.65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310,007,671.47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13,817,213.09</w:t>
            </w:r>
          </w:p>
        </w:tc>
      </w:tr>
    </w:tbl>
    <w:p>
      <w:pPr>
        <w:pStyle w:val="BodyText"/>
        <w:spacing w:line="240" w:lineRule="auto" w:before="49"/>
        <w:ind w:right="0"/>
        <w:jc w:val="left"/>
      </w:pPr>
      <w:r>
        <w:rPr/>
        <w:t>其他说明：</w:t>
      </w:r>
    </w:p>
    <w:p>
      <w:pPr>
        <w:pStyle w:val="BodyText"/>
        <w:spacing w:line="300" w:lineRule="auto" w:before="117"/>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日，本公司之子公司神码中国发行资产支持证券，以特定应收账款回款作为还款来源，其中向外部投资者 发行的优先级资产支持证券总面值</w:t>
      </w:r>
      <w:r>
        <w:rPr>
          <w:rFonts w:ascii="Times New Roman" w:hAnsi="Times New Roman" w:cs="Times New Roman" w:eastAsia="Times New Roman" w:hint="default"/>
        </w:rPr>
        <w:t>300,000,000.00</w:t>
      </w:r>
      <w:r>
        <w:rPr/>
        <w:t>元计入长期应付款。截至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日，计提利息</w:t>
      </w:r>
      <w:r>
        <w:rPr>
          <w:rFonts w:ascii="Times New Roman" w:hAnsi="Times New Roman" w:cs="Times New Roman" w:eastAsia="Times New Roman" w:hint="default"/>
        </w:rPr>
        <w:t>6,471,780.82</w:t>
      </w:r>
      <w:r>
        <w:rPr/>
        <w:t>元。</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7、递延收益" w:id="307"/>
      <w:bookmarkEnd w:id="307"/>
      <w:r>
        <w:rPr>
          <w:b w:val="0"/>
          <w:bCs w:val="0"/>
        </w:rPr>
      </w:r>
      <w:r>
        <w:rPr>
          <w:rFonts w:ascii="Times New Roman" w:hAnsi="Times New Roman" w:cs="Times New Roman" w:eastAsia="Times New Roman" w:hint="default"/>
        </w:rPr>
        <w:t>37</w:t>
      </w:r>
      <w:r>
        <w:rPr/>
        <w:t>、递延收益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9"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24,200,000.00</w:t>
            </w: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8,800,000.00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15,400,000.00</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关于给予神州数码 有限公司华南地区 总部扶持的函</w:t>
            </w:r>
          </w:p>
        </w:tc>
      </w:tr>
      <w:tr>
        <w:trPr>
          <w:trHeight w:val="391"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未实现售后租回损 益（注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5,077,180.46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5,077,180.46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未实现售后回租损 益</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29,277,180.46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13,877,180.46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15,400,000.00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7" w:lineRule="auto" w:before="115"/>
        <w:ind w:right="1131" w:firstLine="360"/>
        <w:jc w:val="both"/>
      </w:pPr>
      <w:r>
        <w:rPr>
          <w:spacing w:val="-4"/>
        </w:rPr>
        <w:t>注</w:t>
      </w:r>
      <w:r>
        <w:rPr>
          <w:rFonts w:ascii="Times New Roman" w:hAnsi="Times New Roman" w:cs="Times New Roman" w:eastAsia="Times New Roman" w:hint="default"/>
          <w:spacing w:val="-4"/>
        </w:rPr>
        <w:t>1</w:t>
      </w:r>
      <w:r>
        <w:rPr>
          <w:spacing w:val="-4"/>
        </w:rPr>
        <w:t>：未实现售后租回损益即本集团将存货设备出售给第三方租赁公司，然后再将该部分设备租回并用于智慧校园项目，</w:t>
      </w:r>
      <w:r>
        <w:rPr/>
        <w:t> 上述交易形成融资租赁的售后租回交易。销售设备的收入与设备账面价值之间的差额计入递延收益</w:t>
      </w:r>
      <w:r>
        <w:rPr>
          <w:rFonts w:ascii="Times New Roman" w:hAnsi="Times New Roman" w:cs="Times New Roman" w:eastAsia="Times New Roman" w:hint="default"/>
        </w:rPr>
        <w:t>-</w:t>
      </w:r>
      <w:r>
        <w:rPr/>
        <w:t>未实现售后租回损益，</w:t>
      </w:r>
      <w:r>
        <w:rPr>
          <w:spacing w:val="-55"/>
        </w:rPr>
        <w:t> </w:t>
      </w:r>
      <w:r>
        <w:rPr>
          <w:spacing w:val="-55"/>
        </w:rPr>
      </w:r>
      <w:r>
        <w:rPr>
          <w:spacing w:val="-2"/>
        </w:rPr>
        <w:t>作为未实现售后租回损益递延并按资产的折旧进度进行分摊，作为折旧费用的调整。本年减少金额包括因固定资产计提减值</w:t>
      </w:r>
      <w:r>
        <w:rPr>
          <w:spacing w:val="-64"/>
        </w:rPr>
        <w:t> </w:t>
      </w:r>
      <w:r>
        <w:rPr>
          <w:spacing w:val="-64"/>
        </w:rPr>
      </w:r>
      <w:r>
        <w:rPr/>
        <w:t>而一次性摊销的未实现售后租回损益</w:t>
      </w:r>
      <w:r>
        <w:rPr>
          <w:rFonts w:ascii="Times New Roman" w:hAnsi="Times New Roman" w:cs="Times New Roman" w:eastAsia="Times New Roman" w:hint="default"/>
        </w:rPr>
        <w:t>5,077,180.46</w:t>
      </w:r>
      <w:r>
        <w:rPr/>
        <w:t>元，相应冲减资产减值损失。</w:t>
      </w:r>
    </w:p>
    <w:p>
      <w:pPr>
        <w:spacing w:line="240" w:lineRule="auto" w:before="3"/>
        <w:rPr>
          <w:rFonts w:ascii="宋体" w:hAnsi="宋体" w:cs="宋体" w:eastAsia="宋体" w:hint="default"/>
          <w:sz w:val="27"/>
          <w:szCs w:val="27"/>
        </w:rPr>
      </w:pPr>
    </w:p>
    <w:p>
      <w:pPr>
        <w:pStyle w:val="BodyText"/>
        <w:spacing w:line="240" w:lineRule="auto" w:before="44"/>
        <w:ind w:right="0"/>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 地区总部项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24,200,000.00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8,800,000.00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15,400,000.00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252" w:right="1128"/>
        <w:jc w:val="left"/>
        <w:rPr>
          <w:b w:val="0"/>
          <w:bCs w:val="0"/>
        </w:rPr>
      </w:pPr>
      <w:bookmarkStart w:name="38、股本" w:id="308"/>
      <w:bookmarkEnd w:id="308"/>
      <w:r>
        <w:rPr>
          <w:b w:val="0"/>
          <w:bCs w:val="0"/>
        </w:rPr>
      </w:r>
      <w:r>
        <w:rPr>
          <w:rFonts w:ascii="Times New Roman" w:hAnsi="Times New Roman" w:cs="Times New Roman" w:eastAsia="Times New Roman" w:hint="default"/>
        </w:rPr>
        <w:t>38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654,070,434.00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654,070,434.00</w:t>
            </w:r>
          </w:p>
        </w:tc>
      </w:tr>
    </w:tbl>
    <w:p>
      <w:pPr>
        <w:spacing w:line="240" w:lineRule="auto" w:before="3"/>
        <w:rPr>
          <w:rFonts w:ascii="宋体" w:hAnsi="宋体" w:cs="宋体" w:eastAsia="宋体" w:hint="default"/>
          <w:sz w:val="19"/>
          <w:szCs w:val="19"/>
        </w:rPr>
      </w:pPr>
    </w:p>
    <w:p>
      <w:pPr>
        <w:pStyle w:val="Heading3"/>
        <w:spacing w:line="240" w:lineRule="auto" w:before="36"/>
        <w:ind w:left="252" w:right="1128"/>
        <w:jc w:val="left"/>
        <w:rPr>
          <w:b w:val="0"/>
          <w:bCs w:val="0"/>
        </w:rPr>
      </w:pPr>
      <w:bookmarkStart w:name="39、资本公积" w:id="309"/>
      <w:bookmarkEnd w:id="309"/>
      <w:r>
        <w:rPr>
          <w:b w:val="0"/>
          <w:bCs w:val="0"/>
        </w:rPr>
      </w:r>
      <w:r>
        <w:rPr>
          <w:rFonts w:ascii="Times New Roman" w:hAnsi="Times New Roman" w:cs="Times New Roman" w:eastAsia="Times New Roman" w:hint="default"/>
        </w:rPr>
        <w:t>39</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2,131,234,346.71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12,918,749.90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2,118,315,596.81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249,107,187.24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8,701,969.75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257,809,156.99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2,380,341,533.95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8,701,969.75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12,918,749.90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2,376,124,753.80</w:t>
            </w:r>
          </w:p>
        </w:tc>
      </w:tr>
    </w:tbl>
    <w:p>
      <w:pPr>
        <w:pStyle w:val="BodyText"/>
        <w:spacing w:line="240" w:lineRule="auto" w:before="49"/>
        <w:ind w:left="252" w:right="1128"/>
        <w:jc w:val="left"/>
      </w:pPr>
      <w:r>
        <w:rPr/>
        <w:t>其他说明，包括本期增减变动情况、变动原因说明：</w:t>
      </w:r>
    </w:p>
    <w:p>
      <w:pPr>
        <w:pStyle w:val="BodyText"/>
        <w:spacing w:line="300" w:lineRule="auto" w:before="117"/>
        <w:ind w:left="252" w:right="1128" w:firstLine="360"/>
        <w:jc w:val="left"/>
      </w:pPr>
      <w:r>
        <w:rPr/>
        <w:t>资本公积</w:t>
      </w:r>
      <w:r>
        <w:rPr>
          <w:rFonts w:ascii="Times New Roman" w:hAnsi="Times New Roman" w:cs="Times New Roman" w:eastAsia="Times New Roman" w:hint="default"/>
        </w:rPr>
        <w:t>-</w:t>
      </w:r>
      <w:r>
        <w:rPr/>
        <w:t>股本溢价本报告期减少系本公司回购流通股股票用于限制性股票激励计划，回购的库存股成本</w:t>
      </w:r>
      <w:r>
        <w:rPr>
          <w:rFonts w:ascii="Times New Roman" w:hAnsi="Times New Roman" w:cs="Times New Roman" w:eastAsia="Times New Roman" w:hint="default"/>
        </w:rPr>
        <w:t>44,003,250.00 </w:t>
      </w:r>
      <w:r>
        <w:rPr/>
        <w:t>元与员工入资款</w:t>
      </w:r>
      <w:r>
        <w:rPr>
          <w:rFonts w:ascii="Times New Roman" w:hAnsi="Times New Roman" w:cs="Times New Roman" w:eastAsia="Times New Roman" w:hint="default"/>
        </w:rPr>
        <w:t>31,084,500.10</w:t>
      </w:r>
      <w:r>
        <w:rPr/>
        <w:t>元的差额</w:t>
      </w:r>
      <w:r>
        <w:rPr>
          <w:rFonts w:ascii="Times New Roman" w:hAnsi="Times New Roman" w:cs="Times New Roman" w:eastAsia="Times New Roman" w:hint="default"/>
        </w:rPr>
        <w:t>12,918,749.90</w:t>
      </w:r>
      <w:r>
        <w:rPr/>
        <w:t>元冲减</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300" w:lineRule="auto" w:before="13"/>
        <w:ind w:left="252" w:right="1128"/>
        <w:jc w:val="left"/>
      </w:pPr>
      <w:r>
        <w:rPr>
          <w:spacing w:val="-1"/>
        </w:rPr>
        <w:t>资本公积</w:t>
      </w:r>
      <w:r>
        <w:rPr>
          <w:rFonts w:ascii="Times New Roman" w:hAnsi="Times New Roman" w:cs="Times New Roman" w:eastAsia="Times New Roman" w:hint="default"/>
          <w:spacing w:val="-1"/>
        </w:rPr>
        <w:t>-</w:t>
      </w:r>
      <w:r>
        <w:rPr>
          <w:spacing w:val="-1"/>
        </w:rPr>
        <w:t>其他资本公积本报告期增加</w:t>
      </w:r>
      <w:r>
        <w:rPr>
          <w:rFonts w:ascii="Times New Roman" w:hAnsi="Times New Roman" w:cs="Times New Roman" w:eastAsia="Times New Roman" w:hint="default"/>
          <w:spacing w:val="-1"/>
        </w:rPr>
        <w:t>8,701,969.75</w:t>
      </w:r>
      <w:r>
        <w:rPr>
          <w:spacing w:val="-1"/>
        </w:rPr>
        <w:t>元，其中本集团向激励对象授予股票期权与限制性股票确认的股份支付费</w:t>
      </w:r>
      <w:r>
        <w:rPr>
          <w:spacing w:val="-40"/>
        </w:rPr>
        <w:t> </w:t>
      </w:r>
      <w:r>
        <w:rPr>
          <w:spacing w:val="-40"/>
        </w:rPr>
      </w:r>
      <w:r>
        <w:rPr/>
        <w:t>用</w:t>
      </w:r>
      <w:r>
        <w:rPr>
          <w:rFonts w:ascii="Times New Roman" w:hAnsi="Times New Roman" w:cs="Times New Roman" w:eastAsia="Times New Roman" w:hint="default"/>
        </w:rPr>
        <w:t>8,124,758.21</w:t>
      </w:r>
      <w:r>
        <w:rPr/>
        <w:t>元，本集团之联营企业迪信通资本公积增加导致本集团资本公积增加</w:t>
      </w:r>
      <w:r>
        <w:rPr>
          <w:rFonts w:ascii="Times New Roman" w:hAnsi="Times New Roman" w:cs="Times New Roman" w:eastAsia="Times New Roman" w:hint="default"/>
        </w:rPr>
        <w:t>577,211.54</w:t>
      </w:r>
      <w:r>
        <w:rPr/>
        <w:t>元。</w:t>
      </w:r>
    </w:p>
    <w:p>
      <w:pPr>
        <w:spacing w:line="240" w:lineRule="auto" w:before="4"/>
        <w:rPr>
          <w:rFonts w:ascii="宋体" w:hAnsi="宋体" w:cs="宋体" w:eastAsia="宋体" w:hint="default"/>
          <w:sz w:val="22"/>
          <w:szCs w:val="22"/>
        </w:rPr>
      </w:pPr>
    </w:p>
    <w:p>
      <w:pPr>
        <w:pStyle w:val="Heading3"/>
        <w:spacing w:line="240" w:lineRule="auto"/>
        <w:ind w:left="252" w:right="1128"/>
        <w:jc w:val="left"/>
        <w:rPr>
          <w:b w:val="0"/>
          <w:bCs w:val="0"/>
        </w:rPr>
      </w:pPr>
      <w:bookmarkStart w:name="40、库存股" w:id="310"/>
      <w:bookmarkEnd w:id="310"/>
      <w:r>
        <w:rPr>
          <w:b w:val="0"/>
          <w:bCs w:val="0"/>
        </w:rPr>
      </w:r>
      <w:r>
        <w:rPr>
          <w:rFonts w:ascii="Times New Roman" w:hAnsi="Times New Roman" w:cs="Times New Roman" w:eastAsia="Times New Roman" w:hint="default"/>
        </w:rPr>
        <w:t>40</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回购流通股股票及授予 员工限制性股票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50,009,066.93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44,003,250.00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6,005,816.93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31,084,500.10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31,084,500.10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81,093,567.03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44,003,250.00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37,090,317.03</w:t>
            </w:r>
          </w:p>
        </w:tc>
      </w:tr>
    </w:tbl>
    <w:p>
      <w:pPr>
        <w:pStyle w:val="BodyText"/>
        <w:spacing w:line="357" w:lineRule="auto" w:before="49"/>
        <w:ind w:left="613" w:right="1123" w:hanging="361"/>
        <w:jc w:val="left"/>
      </w:pPr>
      <w:r>
        <w:rPr/>
        <w:t>其他说明，包括本期增减变动情况、变动原因说明： 库存股本报告期增加</w:t>
      </w:r>
      <w:r>
        <w:rPr>
          <w:rFonts w:ascii="Times New Roman" w:hAnsi="Times New Roman" w:cs="Times New Roman" w:eastAsia="Times New Roman" w:hint="default"/>
        </w:rPr>
        <w:t>81,093,567.03</w:t>
      </w:r>
      <w:r>
        <w:rPr/>
        <w:t>元系本公司从二级市场回购股份用于股权激励计划总耗资</w:t>
      </w:r>
      <w:r>
        <w:rPr>
          <w:rFonts w:ascii="Times New Roman" w:hAnsi="Times New Roman" w:cs="Times New Roman" w:eastAsia="Times New Roman" w:hint="default"/>
        </w:rPr>
        <w:t>50,009,066.93</w:t>
      </w:r>
      <w:r>
        <w:rPr/>
        <w:t>元，授予日确</w:t>
      </w:r>
    </w:p>
    <w:p>
      <w:pPr>
        <w:pStyle w:val="BodyText"/>
        <w:spacing w:line="214" w:lineRule="exact"/>
        <w:ind w:left="252" w:right="0"/>
        <w:jc w:val="left"/>
      </w:pPr>
      <w:r>
        <w:rPr/>
        <w:t>认限制性股票回购义务</w:t>
      </w:r>
      <w:r>
        <w:rPr>
          <w:rFonts w:ascii="Times New Roman" w:hAnsi="Times New Roman" w:cs="Times New Roman" w:eastAsia="Times New Roman" w:hint="default"/>
        </w:rPr>
        <w:t>31,084,500.10</w:t>
      </w:r>
      <w:r>
        <w:rPr/>
        <w:t>元；减少</w:t>
      </w:r>
      <w:r>
        <w:rPr>
          <w:rFonts w:ascii="Times New Roman" w:hAnsi="Times New Roman" w:cs="Times New Roman" w:eastAsia="Times New Roman" w:hint="default"/>
        </w:rPr>
        <w:t>44,003,250.00</w:t>
      </w:r>
      <w:r>
        <w:rPr/>
        <w:t>元系本公司首次授予员工限制性股票，按本公司回购股份平均价</w:t>
      </w:r>
    </w:p>
    <w:p>
      <w:pPr>
        <w:pStyle w:val="BodyText"/>
        <w:spacing w:line="240" w:lineRule="auto" w:before="63"/>
        <w:ind w:left="252" w:right="1128"/>
        <w:jc w:val="left"/>
      </w:pPr>
      <w:r>
        <w:rPr/>
        <w:t>减少库存股</w:t>
      </w:r>
      <w:r>
        <w:rPr>
          <w:rFonts w:ascii="Times New Roman" w:hAnsi="Times New Roman" w:cs="Times New Roman" w:eastAsia="Times New Roman" w:hint="default"/>
        </w:rPr>
        <w:t>44,003,250.00</w:t>
      </w:r>
      <w:r>
        <w:rPr/>
        <w:t>元。</w:t>
      </w:r>
    </w:p>
    <w:p>
      <w:pPr>
        <w:spacing w:line="240" w:lineRule="auto" w:before="2"/>
        <w:rPr>
          <w:rFonts w:ascii="宋体" w:hAnsi="宋体" w:cs="宋体" w:eastAsia="宋体" w:hint="default"/>
          <w:sz w:val="26"/>
          <w:szCs w:val="26"/>
        </w:rPr>
      </w:pPr>
    </w:p>
    <w:p>
      <w:pPr>
        <w:pStyle w:val="Heading3"/>
        <w:spacing w:line="240" w:lineRule="auto"/>
        <w:ind w:left="252" w:right="1128"/>
        <w:jc w:val="left"/>
        <w:rPr>
          <w:b w:val="0"/>
          <w:bCs w:val="0"/>
        </w:rPr>
      </w:pPr>
      <w:bookmarkStart w:name="41、其他综合收益" w:id="311"/>
      <w:bookmarkEnd w:id="311"/>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44"/>
        <w:gridCol w:w="1277"/>
        <w:gridCol w:w="5670"/>
        <w:gridCol w:w="1133"/>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880" w:right="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21"/>
        <w:gridCol w:w="1286"/>
        <w:gridCol w:w="1135"/>
        <w:gridCol w:w="852"/>
        <w:gridCol w:w="850"/>
        <w:gridCol w:w="991"/>
        <w:gridCol w:w="1136"/>
        <w:gridCol w:w="708"/>
        <w:gridCol w:w="1133"/>
      </w:tblGrid>
      <w:tr>
        <w:trPr>
          <w:trHeight w:val="473"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9" w:right="60"/>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9" w:right="5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11" w:right="38" w:hanging="272"/>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7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133" w:type="dxa"/>
            <w:vMerge w:val="restart"/>
            <w:tcBorders>
              <w:top w:val="single" w:sz="4" w:space="0" w:color="000000"/>
              <w:left w:val="single" w:sz="4" w:space="0" w:color="000000"/>
              <w:right w:val="single" w:sz="4" w:space="0" w:color="000000"/>
            </w:tcBorders>
            <w:shd w:val="clear" w:color="auto" w:fill="D2D2D2"/>
          </w:tcPr>
          <w:p>
            <w:pPr/>
          </w:p>
        </w:tc>
      </w:tr>
      <w:tr>
        <w:trPr>
          <w:trHeight w:val="703" w:hRule="exact"/>
        </w:trPr>
        <w:tc>
          <w:tcPr>
            <w:tcW w:w="1821"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3"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473"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的其他综合收益</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2,207,301.98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2,207,301.98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-8,637,353.09</w:t>
            </w:r>
          </w:p>
        </w:tc>
      </w:tr>
      <w:tr>
        <w:trPr>
          <w:trHeight w:val="102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6" w:firstLine="540"/>
              <w:jc w:val="both"/>
              <w:rPr>
                <w:rFonts w:ascii="宋体" w:hAnsi="宋体" w:cs="宋体" w:eastAsia="宋体" w:hint="default"/>
                <w:sz w:val="18"/>
                <w:szCs w:val="18"/>
              </w:rPr>
            </w:pPr>
            <w:r>
              <w:rPr>
                <w:rFonts w:ascii="宋体" w:hAnsi="宋体" w:cs="宋体" w:eastAsia="宋体" w:hint="default"/>
                <w:sz w:val="18"/>
                <w:szCs w:val="18"/>
              </w:rPr>
              <w:t>权益法下不能 转损益的其他综合收 益</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-1,083,618.52</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-1,083,618.52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-1,083,618.52</w:t>
            </w:r>
          </w:p>
        </w:tc>
      </w:tr>
      <w:tr>
        <w:trPr>
          <w:trHeight w:val="716"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6" w:firstLine="540"/>
              <w:jc w:val="left"/>
              <w:rPr>
                <w:rFonts w:ascii="宋体" w:hAnsi="宋体" w:cs="宋体" w:eastAsia="宋体" w:hint="default"/>
                <w:sz w:val="18"/>
                <w:szCs w:val="18"/>
              </w:rPr>
            </w:pPr>
            <w:r>
              <w:rPr>
                <w:rFonts w:ascii="宋体" w:hAnsi="宋体" w:cs="宋体" w:eastAsia="宋体" w:hint="default"/>
                <w:sz w:val="18"/>
                <w:szCs w:val="18"/>
              </w:rPr>
              <w:t>其他权益工具 投资公允价值变动</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-10,844,655.07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3,290,920.50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3,290,920.50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-7,553,734.57</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其他综合收益</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14,251,730.89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11,725,235.30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-268,060.24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11,993,295.54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26,245,026.43</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益的其他综合收益</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620,211.96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83,608.80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83,608.80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703,820.76</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6" w:firstLine="540"/>
              <w:jc w:val="left"/>
              <w:rPr>
                <w:rFonts w:ascii="宋体" w:hAnsi="宋体" w:cs="宋体" w:eastAsia="宋体" w:hint="default"/>
                <w:sz w:val="18"/>
                <w:szCs w:val="18"/>
              </w:rPr>
            </w:pPr>
            <w:r>
              <w:rPr>
                <w:rFonts w:ascii="宋体" w:hAnsi="宋体" w:cs="宋体" w:eastAsia="宋体" w:hint="default"/>
                <w:sz w:val="18"/>
                <w:szCs w:val="18"/>
              </w:rPr>
              <w:t>其他债权投资 公允价值变动</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-2,860,798.90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-1,073,062.25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-268,060.24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-805,002.01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-3,665,800.91</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6" w:firstLine="54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16,492,317.83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12,714,688.75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12,714,688.75</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29,207,006.58</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3,407,075.82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13,932,537.28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-268,060.24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14,200,597.52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17,607,673.34</w:t>
            </w:r>
          </w:p>
        </w:tc>
      </w:tr>
    </w:tbl>
    <w:p>
      <w:pPr>
        <w:pStyle w:val="BodyText"/>
        <w:spacing w:line="357" w:lineRule="auto" w:before="49"/>
        <w:ind w:left="252" w:right="4094"/>
        <w:jc w:val="left"/>
      </w:pPr>
      <w:r>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3"/>
        <w:spacing w:line="240" w:lineRule="auto"/>
        <w:ind w:left="252" w:right="1128"/>
        <w:jc w:val="left"/>
        <w:rPr>
          <w:b w:val="0"/>
          <w:bCs w:val="0"/>
        </w:rPr>
      </w:pPr>
      <w:bookmarkStart w:name="42、盈余公积" w:id="312"/>
      <w:bookmarkEnd w:id="312"/>
      <w:r>
        <w:rPr>
          <w:b w:val="0"/>
          <w:bCs w:val="0"/>
        </w:rPr>
      </w:r>
      <w:r>
        <w:rPr>
          <w:rFonts w:ascii="Times New Roman" w:hAnsi="Times New Roman" w:cs="Times New Roman" w:eastAsia="Times New Roman" w:hint="default"/>
        </w:rPr>
        <w:t>42</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84,202,949.86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15,330,325.76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99,533,275.62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84,202,949.86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15,330,325.76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99,533,275.62</w:t>
            </w:r>
          </w:p>
        </w:tc>
      </w:tr>
    </w:tbl>
    <w:p>
      <w:pPr>
        <w:spacing w:line="240" w:lineRule="auto" w:before="3"/>
        <w:rPr>
          <w:rFonts w:ascii="宋体" w:hAnsi="宋体" w:cs="宋体" w:eastAsia="宋体" w:hint="default"/>
          <w:sz w:val="19"/>
          <w:szCs w:val="19"/>
        </w:rPr>
      </w:pPr>
    </w:p>
    <w:p>
      <w:pPr>
        <w:pStyle w:val="Heading3"/>
        <w:spacing w:line="240" w:lineRule="auto" w:before="36"/>
        <w:ind w:left="252" w:right="1128"/>
        <w:jc w:val="left"/>
        <w:rPr>
          <w:b w:val="0"/>
          <w:bCs w:val="0"/>
        </w:rPr>
      </w:pPr>
      <w:bookmarkStart w:name="43、未分配利润" w:id="313"/>
      <w:bookmarkEnd w:id="313"/>
      <w:r>
        <w:rPr>
          <w:b w:val="0"/>
          <w:bCs w:val="0"/>
        </w:rPr>
      </w:r>
      <w:r>
        <w:rPr>
          <w:rFonts w:ascii="Times New Roman" w:hAnsi="Times New Roman" w:cs="Times New Roman" w:eastAsia="Times New Roman" w:hint="default"/>
        </w:rPr>
        <w:t>43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716,563,287.65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247,474,296.03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23,593,058.49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740,156,346.14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247,474,296.03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701,410,697.57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512,408,008.06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8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15,330,325.76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18,464,356.36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164,336,822.25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24,854,660.08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1,261,899,895.70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716,563,287.65</w:t>
            </w:r>
          </w:p>
        </w:tc>
      </w:tr>
    </w:tbl>
    <w:p>
      <w:pPr>
        <w:pStyle w:val="BodyText"/>
        <w:spacing w:line="240" w:lineRule="auto" w:before="49"/>
        <w:ind w:right="0"/>
        <w:jc w:val="left"/>
      </w:pPr>
      <w:r>
        <w:rPr/>
        <w:t>调整期初未分配利润明细：</w:t>
      </w:r>
    </w:p>
    <w:p>
      <w:pPr>
        <w:pStyle w:val="BodyText"/>
        <w:spacing w:line="240" w:lineRule="auto" w:before="115"/>
        <w:ind w:left="513" w:right="0"/>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23,593,058.49</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t>（</w:t>
      </w: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513" w:right="0"/>
        <w:jc w:val="left"/>
      </w:pPr>
      <w:r>
        <w:rPr/>
        <w:t>（</w:t>
      </w: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left="513" w:right="0"/>
        <w:jc w:val="left"/>
      </w:pPr>
      <w:r>
        <w:rPr/>
        <w:t>（</w:t>
      </w: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513" w:right="0"/>
        <w:jc w:val="left"/>
      </w:pPr>
      <w:r>
        <w:rPr/>
        <w:t>（</w:t>
      </w: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44、营业收入和营业成本" w:id="314"/>
      <w:bookmarkEnd w:id="314"/>
      <w:r>
        <w:rPr>
          <w:b w:val="0"/>
          <w:bCs w:val="0"/>
        </w:rPr>
      </w:r>
      <w:r>
        <w:rPr>
          <w:rFonts w:ascii="Times New Roman" w:hAnsi="Times New Roman" w:cs="Times New Roman" w:eastAsia="Times New Roman" w:hint="default"/>
        </w:rPr>
        <w:t>44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86,789,846,776.64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83,311,012,221.67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81,847,909,155.88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78,555,947,264.12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13,529,613.49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5,638,640.87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10,145,337.35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5,638,640.87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86,803,376,390.13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83,316,650,862.54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81,858,054,493.23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78,561,585,904.99</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5、税金及附加" w:id="315"/>
      <w:bookmarkEnd w:id="315"/>
      <w:r>
        <w:rPr>
          <w:b w:val="0"/>
          <w:bCs w:val="0"/>
        </w:rPr>
      </w:r>
      <w:r>
        <w:rPr>
          <w:rFonts w:ascii="Times New Roman" w:hAnsi="Times New Roman" w:cs="Times New Roman" w:eastAsia="Times New Roman" w:hint="default"/>
        </w:rPr>
        <w:t>45</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23,877,430.90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24,936,096.64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10,251,075.27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10,686,898.56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1,952,260.46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1,863,649.45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39,502,232.33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37,611,789.93</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6,794,794.40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6,727,801.19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105,396.75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127,334.91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82,483,190.11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81,953,570.68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6、销售费用" w:id="316"/>
      <w:bookmarkEnd w:id="316"/>
      <w:r>
        <w:rPr>
          <w:b w:val="0"/>
          <w:bCs w:val="0"/>
        </w:rPr>
      </w:r>
      <w:r>
        <w:rPr>
          <w:rFonts w:ascii="Times New Roman" w:hAnsi="Times New Roman" w:cs="Times New Roman" w:eastAsia="Times New Roman" w:hint="default"/>
        </w:rPr>
        <w:t>46</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818,890,889.89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759,674,658.69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283,139,365.92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288,094,114.00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218,544,034.44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205,434,799.80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125,779,774.14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120,521,310.14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91,009,199.24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95,092,335.38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68,364,164.00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69,915,948.31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海关申报费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18,385,166.44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18,086,292.16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11,468,338.64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6,719,817.49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11,266,866.47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7,883,243.73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11,180,280.24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14,036,723.66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7,976,921.37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9,487,081.30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5,900,270.85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9,657,637.48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26,309,931.88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29,311,906.34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1,698,215,203.52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1,633,915,868.48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7、管理费用" w:id="317"/>
      <w:bookmarkEnd w:id="317"/>
      <w:r>
        <w:rPr>
          <w:b w:val="0"/>
          <w:bCs w:val="0"/>
        </w:rPr>
      </w:r>
      <w:r>
        <w:rPr>
          <w:rFonts w:ascii="Times New Roman" w:hAnsi="Times New Roman" w:cs="Times New Roman" w:eastAsia="Times New Roman" w:hint="default"/>
        </w:rPr>
        <w:t>47</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157,394,069.64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143,662,219.07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24,692,436.39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32,122,910.02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14,837,852.43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21,371,583.13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13,587,499.14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17,510,662.54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13,293,073.33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12,005,722.48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11,688,880.84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3,547,787.22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10,786,908.57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11,775,295.45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3,814,345.24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4,054,295.67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1,483,145.80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1,846,494.09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307,323.24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786,312.62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12,568,544.53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10,749,837.15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264,454,079.15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259,433,119.44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48、研发费用" w:id="318"/>
      <w:bookmarkEnd w:id="318"/>
      <w:r>
        <w:rPr>
          <w:b w:val="0"/>
          <w:bCs w:val="0"/>
        </w:rPr>
      </w:r>
      <w:r>
        <w:rPr>
          <w:rFonts w:ascii="Times New Roman" w:hAnsi="Times New Roman" w:cs="Times New Roman" w:eastAsia="Times New Roman" w:hint="default"/>
        </w:rPr>
        <w:t>48</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38"/>
          <w:pgSz w:w="11910" w:h="16840"/>
          <w:pgMar w:footer="980"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91,039,307.16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55,827,392.37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16,766,088.54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12,273,022.65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10,499,273.99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8,465,140.58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9,599,162.97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5,984,413.91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8,619,461.74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3,726,847.71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3,715,797.16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1,591,560.08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1,079,552.65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395,139.72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办公室供应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156,557.28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市场及其推广费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430,267.37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法律及业务咨询费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35,377.35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3,944,064.78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7,879,133.23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145,505,051.85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96,764,852.25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9、财务费用" w:id="319"/>
      <w:bookmarkEnd w:id="319"/>
      <w:r>
        <w:rPr>
          <w:b w:val="0"/>
          <w:bCs w:val="0"/>
        </w:rPr>
      </w:r>
      <w:r>
        <w:rPr>
          <w:rFonts w:ascii="Times New Roman" w:hAnsi="Times New Roman" w:cs="Times New Roman" w:eastAsia="Times New Roman" w:hint="default"/>
        </w:rPr>
        <w:t>49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438,197,857.53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411,486,723.12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22,485,348.94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26,090,244.95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加：汇兑损失（收益以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24,354,014.73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175,028,935.75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50,220,483.77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16,593,250.06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490,287,007.09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577,018,663.98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0、其他收益" w:id="320"/>
      <w:bookmarkEnd w:id="320"/>
      <w:r>
        <w:rPr>
          <w:b w:val="0"/>
          <w:bCs w:val="0"/>
        </w:rPr>
      </w:r>
      <w:r>
        <w:rPr>
          <w:rFonts w:ascii="Times New Roman" w:hAnsi="Times New Roman" w:cs="Times New Roman" w:eastAsia="Times New Roman" w:hint="default"/>
        </w:rPr>
        <w:t>50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56,868,577.72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45,044,709.71</w:t>
            </w:r>
          </w:p>
        </w:tc>
      </w:tr>
      <w:tr>
        <w:trPr>
          <w:trHeight w:val="45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2,087,100.43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58,955,678.15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45,044,709.71</w:t>
            </w:r>
          </w:p>
        </w:tc>
      </w:tr>
    </w:tbl>
    <w:p>
      <w:pPr>
        <w:pStyle w:val="BodyText"/>
        <w:spacing w:line="240" w:lineRule="auto" w:before="49"/>
        <w:ind w:right="0"/>
        <w:jc w:val="left"/>
      </w:pPr>
      <w:r>
        <w:rPr/>
        <w:t>政府补助明细如下：</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086"/>
        <w:gridCol w:w="1904"/>
        <w:gridCol w:w="4218"/>
        <w:gridCol w:w="1452"/>
      </w:tblGrid>
      <w:tr>
        <w:trPr>
          <w:trHeight w:val="738" w:hRule="exact"/>
        </w:trPr>
        <w:tc>
          <w:tcPr>
            <w:tcW w:w="208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421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来源和依据</w:t>
            </w:r>
          </w:p>
        </w:tc>
        <w:tc>
          <w:tcPr>
            <w:tcW w:w="14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58"/>
              <w:ind w:left="448" w:right="41"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p>
        </w:tc>
      </w:tr>
      <w:tr>
        <w:trPr>
          <w:trHeight w:val="740"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0"/>
              <w:jc w:val="left"/>
              <w:rPr>
                <w:rFonts w:ascii="宋体" w:hAnsi="宋体" w:cs="宋体" w:eastAsia="宋体" w:hint="default"/>
                <w:sz w:val="18"/>
                <w:szCs w:val="18"/>
              </w:rPr>
            </w:pPr>
            <w:r>
              <w:rPr>
                <w:rFonts w:ascii="宋体" w:hAnsi="宋体" w:cs="宋体" w:eastAsia="宋体" w:hint="default"/>
                <w:spacing w:val="7"/>
                <w:sz w:val="18"/>
                <w:szCs w:val="18"/>
              </w:rPr>
              <w:t>上海紫竹高新技术产业开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发区专项资金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14,100,000.00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1"/>
              <w:jc w:val="left"/>
              <w:rPr>
                <w:rFonts w:ascii="宋体" w:hAnsi="宋体" w:cs="宋体" w:eastAsia="宋体" w:hint="default"/>
                <w:sz w:val="18"/>
                <w:szCs w:val="18"/>
              </w:rPr>
            </w:pPr>
            <w:r>
              <w:rPr>
                <w:rFonts w:ascii="宋体" w:hAnsi="宋体" w:cs="宋体" w:eastAsia="宋体" w:hint="default"/>
                <w:spacing w:val="2"/>
                <w:sz w:val="18"/>
                <w:szCs w:val="18"/>
              </w:rPr>
              <w:t>《上海紫竹高新技术产业开发区专项发展资金使用和 </w:t>
            </w:r>
            <w:r>
              <w:rPr>
                <w:rFonts w:ascii="宋体" w:hAnsi="宋体" w:cs="宋体" w:eastAsia="宋体" w:hint="default"/>
                <w:sz w:val="18"/>
                <w:szCs w:val="18"/>
              </w:rPr>
              <w:t>管理办法》沪财预【</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146</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39"/>
          <w:pgSz w:w="11910" w:h="16840"/>
          <w:pgMar w:footer="980" w:header="877" w:top="1100" w:bottom="1160" w:left="980" w:right="0"/>
          <w:pgNumType w:start="201"/>
        </w:sectPr>
      </w:pPr>
    </w:p>
    <w:p>
      <w:pPr>
        <w:spacing w:line="240" w:lineRule="auto" w:before="11"/>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086"/>
        <w:gridCol w:w="1904"/>
        <w:gridCol w:w="4218"/>
        <w:gridCol w:w="1452"/>
      </w:tblGrid>
      <w:tr>
        <w:trPr>
          <w:trHeight w:val="740" w:hRule="exact"/>
        </w:trPr>
        <w:tc>
          <w:tcPr>
            <w:tcW w:w="208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421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来源和依据</w:t>
            </w:r>
          </w:p>
        </w:tc>
        <w:tc>
          <w:tcPr>
            <w:tcW w:w="14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9" w:lineRule="auto" w:before="58"/>
              <w:ind w:left="448" w:right="41"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p>
        </w:tc>
      </w:tr>
      <w:tr>
        <w:trPr>
          <w:trHeight w:val="42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上海市长宁财政局奖励</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9,724,000.00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《关于印发长宁区十二五期间产业发展导向目录》</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9,037,877.57</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《财政部、国家税务总局关于软件产品增值税退税政 </w:t>
            </w:r>
            <w:r>
              <w:rPr>
                <w:rFonts w:ascii="宋体" w:hAnsi="宋体" w:cs="宋体" w:eastAsia="宋体" w:hint="default"/>
                <w:spacing w:val="-6"/>
                <w:sz w:val="18"/>
                <w:szCs w:val="18"/>
              </w:rPr>
              <w:t>策的通知》（财税【</w:t>
            </w:r>
            <w:r>
              <w:rPr>
                <w:rFonts w:ascii="宋体" w:hAnsi="宋体" w:cs="宋体" w:eastAsia="宋体" w:hint="default"/>
                <w:spacing w:val="-6"/>
                <w:sz w:val="18"/>
                <w:szCs w:val="18"/>
              </w:rPr>
              <w:t>2011</w:t>
            </w:r>
            <w:r>
              <w:rPr>
                <w:rFonts w:ascii="宋体" w:hAnsi="宋体" w:cs="宋体" w:eastAsia="宋体" w:hint="default"/>
                <w:spacing w:val="-6"/>
                <w:sz w:val="18"/>
                <w:szCs w:val="18"/>
              </w:rPr>
              <w:t>】</w:t>
            </w:r>
            <w:r>
              <w:rPr>
                <w:rFonts w:ascii="宋体" w:hAnsi="宋体" w:cs="宋体" w:eastAsia="宋体" w:hint="default"/>
                <w:spacing w:val="-6"/>
                <w:sz w:val="18"/>
                <w:szCs w:val="18"/>
              </w:rPr>
              <w:t>100</w:t>
            </w:r>
            <w:r>
              <w:rPr>
                <w:rFonts w:ascii="宋体" w:hAnsi="宋体" w:cs="宋体" w:eastAsia="宋体" w:hint="default"/>
                <w:spacing w:val="-36"/>
                <w:sz w:val="18"/>
                <w:szCs w:val="18"/>
              </w:rPr>
              <w:t> </w:t>
            </w:r>
            <w:r>
              <w:rPr>
                <w:rFonts w:ascii="宋体" w:hAnsi="宋体" w:cs="宋体" w:eastAsia="宋体" w:hint="default"/>
                <w:sz w:val="18"/>
                <w:szCs w:val="18"/>
              </w:rPr>
              <w:t>号）</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
              <w:jc w:val="both"/>
              <w:rPr>
                <w:rFonts w:ascii="宋体" w:hAnsi="宋体" w:cs="宋体" w:eastAsia="宋体" w:hint="default"/>
                <w:sz w:val="18"/>
                <w:szCs w:val="18"/>
              </w:rPr>
            </w:pPr>
            <w:r>
              <w:rPr>
                <w:rFonts w:ascii="宋体" w:hAnsi="宋体" w:cs="宋体" w:eastAsia="宋体" w:hint="default"/>
                <w:sz w:val="18"/>
                <w:szCs w:val="18"/>
              </w:rPr>
              <w:t>下一代基于 </w:t>
            </w:r>
            <w:r>
              <w:rPr>
                <w:rFonts w:ascii="宋体" w:hAnsi="宋体" w:cs="宋体" w:eastAsia="宋体" w:hint="default"/>
                <w:sz w:val="18"/>
                <w:szCs w:val="18"/>
              </w:rPr>
              <w:t>SDN</w:t>
            </w:r>
            <w:r>
              <w:rPr>
                <w:rFonts w:ascii="宋体" w:hAnsi="宋体" w:cs="宋体" w:eastAsia="宋体" w:hint="default"/>
                <w:spacing w:val="-2"/>
                <w:sz w:val="18"/>
                <w:szCs w:val="18"/>
              </w:rPr>
              <w:t> </w:t>
            </w:r>
            <w:r>
              <w:rPr>
                <w:rFonts w:ascii="宋体" w:hAnsi="宋体" w:cs="宋体" w:eastAsia="宋体" w:hint="default"/>
                <w:sz w:val="18"/>
                <w:szCs w:val="18"/>
              </w:rPr>
              <w:t>的高性能 </w:t>
            </w:r>
            <w:r>
              <w:rPr>
                <w:rFonts w:ascii="宋体" w:hAnsi="宋体" w:cs="宋体" w:eastAsia="宋体" w:hint="default"/>
                <w:spacing w:val="7"/>
                <w:sz w:val="18"/>
                <w:szCs w:val="18"/>
              </w:rPr>
              <w:t>路由交换设备研发及产业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化项目补贴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4,929,504.85</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19"/>
                <w:sz w:val="18"/>
                <w:szCs w:val="18"/>
              </w:rPr>
              <w:t>国家发改委重点产业振兴和技术改造高技术产业</w:t>
            </w:r>
          </w:p>
          <w:p>
            <w:pPr>
              <w:pStyle w:val="TableParagraph"/>
              <w:spacing w:line="316"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15"/>
                <w:sz w:val="18"/>
                <w:szCs w:val="18"/>
              </w:rPr>
              <w:t> </w:t>
            </w:r>
            <w:r>
              <w:rPr>
                <w:rFonts w:ascii="宋体" w:hAnsi="宋体" w:cs="宋体" w:eastAsia="宋体" w:hint="default"/>
                <w:spacing w:val="-3"/>
                <w:sz w:val="18"/>
                <w:szCs w:val="18"/>
              </w:rPr>
              <w:t>年第三批中央预算内投资项目】《下一代基于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SDN</w:t>
            </w:r>
            <w:r>
              <w:rPr>
                <w:rFonts w:ascii="宋体" w:hAnsi="宋体" w:cs="宋体" w:eastAsia="宋体" w:hint="default"/>
                <w:spacing w:val="-48"/>
                <w:sz w:val="18"/>
                <w:szCs w:val="18"/>
              </w:rPr>
              <w:t> </w:t>
            </w:r>
            <w:r>
              <w:rPr>
                <w:rFonts w:ascii="宋体" w:hAnsi="宋体" w:cs="宋体" w:eastAsia="宋体" w:hint="default"/>
                <w:sz w:val="18"/>
                <w:szCs w:val="18"/>
              </w:rPr>
              <w:t>的高性能路由交换设备及产业化》</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pacing w:val="7"/>
                <w:sz w:val="18"/>
                <w:szCs w:val="18"/>
              </w:rPr>
              <w:t>武汉云科总部项目投资建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设兑换补贴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4,618,800.00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《武汉神州数码云科网络技术有限公司项目政策扶持 </w:t>
            </w:r>
            <w:r>
              <w:rPr>
                <w:rFonts w:ascii="宋体" w:hAnsi="宋体" w:cs="宋体" w:eastAsia="宋体" w:hint="default"/>
                <w:sz w:val="18"/>
                <w:szCs w:val="18"/>
              </w:rPr>
              <w:t>资金专项审计报告》</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0"/>
              <w:jc w:val="left"/>
              <w:rPr>
                <w:rFonts w:ascii="宋体" w:hAnsi="宋体" w:cs="宋体" w:eastAsia="宋体" w:hint="default"/>
                <w:sz w:val="18"/>
                <w:szCs w:val="18"/>
              </w:rPr>
            </w:pPr>
            <w:r>
              <w:rPr>
                <w:rFonts w:ascii="宋体" w:hAnsi="宋体" w:cs="宋体" w:eastAsia="宋体" w:hint="default"/>
                <w:spacing w:val="7"/>
                <w:sz w:val="18"/>
                <w:szCs w:val="18"/>
              </w:rPr>
              <w:t>广州开发区促进现代服务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业发展奖励金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3,590,000.00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《广州市黄埔区人民政府管理委员会办公室文件》</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7"/>
                <w:sz w:val="18"/>
                <w:szCs w:val="18"/>
              </w:rPr>
              <w:t>深圳市商务局关于中央服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务业发展专项资金项目</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3,385,414.00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《深圳市商务局关于中央服务业发展专项资金供应链 </w:t>
            </w:r>
            <w:r>
              <w:rPr>
                <w:rFonts w:ascii="宋体" w:hAnsi="宋体" w:cs="宋体" w:eastAsia="宋体" w:hint="default"/>
                <w:sz w:val="18"/>
                <w:szCs w:val="18"/>
              </w:rPr>
              <w:t>体系建设资助计划拟资助项目公示的通知》</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深圳市稳增长资助项目</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2,444,200.00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37"/>
                <w:sz w:val="18"/>
                <w:szCs w:val="18"/>
              </w:rPr>
              <w:t> </w:t>
            </w:r>
            <w:r>
              <w:rPr>
                <w:rFonts w:ascii="宋体" w:hAnsi="宋体" w:cs="宋体" w:eastAsia="宋体" w:hint="default"/>
                <w:sz w:val="18"/>
                <w:szCs w:val="18"/>
              </w:rPr>
              <w:t>年南山区自主创新产业发展专项资金第二批拟 资助单位公示》</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51"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1,403,974.59</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《人力资源社会保障部</w:t>
            </w:r>
            <w:r>
              <w:rPr>
                <w:rFonts w:ascii="宋体" w:hAnsi="宋体" w:cs="宋体" w:eastAsia="宋体" w:hint="default"/>
                <w:spacing w:val="23"/>
                <w:sz w:val="18"/>
                <w:szCs w:val="18"/>
              </w:rPr>
              <w:t> </w:t>
            </w:r>
            <w:r>
              <w:rPr>
                <w:rFonts w:ascii="宋体" w:hAnsi="宋体" w:cs="宋体" w:eastAsia="宋体" w:hint="default"/>
                <w:sz w:val="18"/>
                <w:szCs w:val="18"/>
              </w:rPr>
              <w:t>财政部</w:t>
            </w:r>
            <w:r>
              <w:rPr>
                <w:rFonts w:ascii="宋体" w:hAnsi="宋体" w:cs="宋体" w:eastAsia="宋体" w:hint="default"/>
                <w:spacing w:val="23"/>
                <w:sz w:val="18"/>
                <w:szCs w:val="18"/>
              </w:rPr>
              <w:t> </w:t>
            </w:r>
            <w:r>
              <w:rPr>
                <w:rFonts w:ascii="宋体" w:hAnsi="宋体" w:cs="宋体" w:eastAsia="宋体" w:hint="default"/>
                <w:sz w:val="18"/>
                <w:szCs w:val="18"/>
              </w:rPr>
              <w:t>国家发展改革委工业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和信息化部关于事业保险支持企业稳定岗位有关问题</w:t>
            </w:r>
            <w:r>
              <w:rPr>
                <w:rFonts w:ascii="宋体" w:hAnsi="宋体" w:cs="宋体" w:eastAsia="宋体" w:hint="default"/>
                <w:spacing w:val="2"/>
                <w:sz w:val="18"/>
                <w:szCs w:val="18"/>
              </w:rPr>
              <w:t> </w:t>
            </w:r>
            <w:r>
              <w:rPr>
                <w:rFonts w:ascii="宋体" w:hAnsi="宋体" w:cs="宋体" w:eastAsia="宋体" w:hint="default"/>
                <w:sz w:val="18"/>
                <w:szCs w:val="18"/>
              </w:rPr>
              <w:t>的通知》人社【</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76</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0"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商贸流通业资助补贴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2"/>
                <w:sz w:val="18"/>
                <w:szCs w:val="18"/>
              </w:rPr>
              <w:t>《南山区自主创新产业发展专项资金</w:t>
            </w:r>
            <w:r>
              <w:rPr>
                <w:rFonts w:ascii="宋体" w:hAnsi="宋体" w:cs="宋体" w:eastAsia="宋体" w:hint="default"/>
                <w:spacing w:val="2"/>
                <w:sz w:val="18"/>
                <w:szCs w:val="18"/>
              </w:rPr>
              <w:t>--</w:t>
            </w:r>
            <w:r>
              <w:rPr>
                <w:rFonts w:ascii="宋体" w:hAnsi="宋体" w:cs="宋体" w:eastAsia="宋体" w:hint="default"/>
                <w:spacing w:val="2"/>
                <w:sz w:val="18"/>
                <w:szCs w:val="18"/>
              </w:rPr>
              <w:t>经济发展分项</w:t>
            </w:r>
            <w:r>
              <w:rPr>
                <w:rFonts w:ascii="宋体" w:hAnsi="宋体" w:cs="宋体" w:eastAsia="宋体" w:hint="default"/>
                <w:spacing w:val="-88"/>
                <w:sz w:val="18"/>
                <w:szCs w:val="18"/>
              </w:rPr>
              <w:t> </w:t>
            </w:r>
            <w:r>
              <w:rPr>
                <w:rFonts w:ascii="宋体" w:hAnsi="宋体" w:cs="宋体" w:eastAsia="宋体" w:hint="default"/>
                <w:sz w:val="18"/>
                <w:szCs w:val="18"/>
              </w:rPr>
              <w:t>资金商贸流通业资助项目操作规程（</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23"/>
                <w:sz w:val="18"/>
                <w:szCs w:val="18"/>
              </w:rPr>
              <w:t>年度）》</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0"/>
              <w:jc w:val="left"/>
              <w:rPr>
                <w:rFonts w:ascii="宋体" w:hAnsi="宋体" w:cs="宋体" w:eastAsia="宋体" w:hint="default"/>
                <w:sz w:val="18"/>
                <w:szCs w:val="18"/>
              </w:rPr>
            </w:pPr>
            <w:r>
              <w:rPr>
                <w:rFonts w:ascii="宋体" w:hAnsi="宋体" w:cs="宋体" w:eastAsia="宋体" w:hint="default"/>
                <w:spacing w:val="7"/>
                <w:sz w:val="18"/>
                <w:szCs w:val="18"/>
              </w:rPr>
              <w:t>上海市闵行区发展和改革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委员会服务业引导资金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750,000.00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《上海市</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年服务业发展引导资金》</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职工教育培训经费补贴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535,484.80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《长宁区地方政府附加专项资金开展职工职业培训工 </w:t>
            </w:r>
            <w:r>
              <w:rPr>
                <w:rFonts w:ascii="宋体" w:hAnsi="宋体" w:cs="宋体" w:eastAsia="宋体" w:hint="default"/>
                <w:spacing w:val="-7"/>
                <w:sz w:val="18"/>
                <w:szCs w:val="18"/>
              </w:rPr>
              <w:t>作实施办法补充意见（试行）》</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高峰论坛补贴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337,600.00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《关于申请向神州云科“云岭变革”高峰论坛给予相 </w:t>
            </w:r>
            <w:r>
              <w:rPr>
                <w:rFonts w:ascii="宋体" w:hAnsi="宋体" w:cs="宋体" w:eastAsia="宋体" w:hint="default"/>
                <w:sz w:val="18"/>
                <w:szCs w:val="18"/>
              </w:rPr>
              <w:t>关支持的请示》</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pacing w:val="7"/>
                <w:sz w:val="18"/>
                <w:szCs w:val="18"/>
              </w:rPr>
              <w:t>杭州滨江区楼宇经济产业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扶持</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332,900.00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9"/>
                <w:sz w:val="18"/>
                <w:szCs w:val="18"/>
              </w:rPr>
              <w:t>《中共杭州市滨江区西兴街道工作委员会文件西街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0"/>
                <w:sz w:val="18"/>
                <w:szCs w:val="18"/>
              </w:rPr>
              <w:t>党》【</w:t>
            </w:r>
            <w:r>
              <w:rPr>
                <w:rFonts w:ascii="宋体" w:hAnsi="宋体" w:cs="宋体" w:eastAsia="宋体" w:hint="default"/>
                <w:spacing w:val="-10"/>
                <w:sz w:val="18"/>
                <w:szCs w:val="18"/>
              </w:rPr>
              <w:t>2013</w:t>
            </w:r>
            <w:r>
              <w:rPr>
                <w:rFonts w:ascii="宋体" w:hAnsi="宋体" w:cs="宋体" w:eastAsia="宋体" w:hint="default"/>
                <w:spacing w:val="-10"/>
                <w:sz w:val="18"/>
                <w:szCs w:val="18"/>
              </w:rPr>
              <w:t>】</w:t>
            </w:r>
            <w:r>
              <w:rPr>
                <w:rFonts w:ascii="宋体" w:hAnsi="宋体" w:cs="宋体" w:eastAsia="宋体" w:hint="default"/>
                <w:spacing w:val="-10"/>
                <w:sz w:val="18"/>
                <w:szCs w:val="18"/>
              </w:rPr>
              <w:t>69</w:t>
            </w:r>
            <w:r>
              <w:rPr>
                <w:rFonts w:ascii="宋体" w:hAnsi="宋体" w:cs="宋体" w:eastAsia="宋体" w:hint="default"/>
                <w:spacing w:val="-36"/>
                <w:sz w:val="18"/>
                <w:szCs w:val="18"/>
              </w:rPr>
              <w:t> </w:t>
            </w:r>
            <w:r>
              <w:rPr>
                <w:rFonts w:ascii="宋体" w:hAnsi="宋体" w:cs="宋体" w:eastAsia="宋体" w:hint="default"/>
                <w:sz w:val="18"/>
                <w:szCs w:val="18"/>
              </w:rPr>
              <w:t>号</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8"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227,343.98</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《中华人民共和国个人所得税法》</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pacing w:val="7"/>
                <w:sz w:val="18"/>
                <w:szCs w:val="18"/>
              </w:rPr>
              <w:t>北京中关村国际创新资源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支持资金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200,900.00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《中关村国际创新资源支持资金申报指南》</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pacing w:val="7"/>
                <w:sz w:val="18"/>
                <w:szCs w:val="18"/>
              </w:rPr>
              <w:t>武汉市知识产权局培育项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目补贴</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w:t>
            </w:r>
          </w:p>
        </w:tc>
        <w:tc>
          <w:tcPr>
            <w:tcW w:w="4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《市科技关于组织申报</w:t>
            </w:r>
            <w:r>
              <w:rPr>
                <w:rFonts w:ascii="宋体" w:hAnsi="宋体" w:cs="宋体" w:eastAsia="宋体" w:hint="default"/>
                <w:spacing w:val="-64"/>
                <w:sz w:val="18"/>
                <w:szCs w:val="18"/>
              </w:rPr>
              <w:t> </w:t>
            </w:r>
            <w:r>
              <w:rPr>
                <w:rFonts w:ascii="宋体" w:hAnsi="宋体" w:cs="宋体" w:eastAsia="宋体" w:hint="default"/>
                <w:sz w:val="18"/>
                <w:szCs w:val="18"/>
              </w:rPr>
              <w:t>2019</w:t>
            </w:r>
            <w:r>
              <w:rPr>
                <w:rFonts w:ascii="宋体" w:hAnsi="宋体" w:cs="宋体" w:eastAsia="宋体" w:hint="default"/>
                <w:spacing w:val="-63"/>
                <w:sz w:val="18"/>
                <w:szCs w:val="18"/>
              </w:rPr>
              <w:t> </w:t>
            </w:r>
            <w:r>
              <w:rPr>
                <w:rFonts w:ascii="宋体" w:hAnsi="宋体" w:cs="宋体" w:eastAsia="宋体" w:hint="default"/>
                <w:sz w:val="18"/>
                <w:szCs w:val="18"/>
              </w:rPr>
              <w:t>年度培育企业等补贴的通 知》 武科计【</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5"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150,577.93</w:t>
            </w:r>
          </w:p>
        </w:tc>
        <w:tc>
          <w:tcPr>
            <w:tcW w:w="4218"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30"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56,868,577.72</w:t>
            </w:r>
          </w:p>
        </w:tc>
        <w:tc>
          <w:tcPr>
            <w:tcW w:w="4218"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51、投资收益" w:id="321"/>
      <w:bookmarkEnd w:id="321"/>
      <w:r>
        <w:rPr>
          <w:b w:val="0"/>
          <w:bCs w:val="0"/>
        </w:rPr>
      </w:r>
      <w:r>
        <w:rPr>
          <w:rFonts w:ascii="Times New Roman" w:hAnsi="Times New Roman" w:cs="Times New Roman" w:eastAsia="Times New Roman" w:hint="default"/>
        </w:rPr>
        <w:t>51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59,517,314.09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76,936,699.85</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-1,701,868.38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-21,267,282.11</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210,831.00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3,497,197.04</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99,957,757.00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应收账款保理费用</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-72,193,825.52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-91,075,242.54</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银行承兑汇票贴现息</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-26,273,051.87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-6,189,302.92</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59,517,156.32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-38,098,863.74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2、公允价值变动收益" w:id="322"/>
      <w:bookmarkEnd w:id="322"/>
      <w:r>
        <w:rPr>
          <w:b w:val="0"/>
          <w:bCs w:val="0"/>
        </w:rPr>
      </w:r>
      <w:r>
        <w:rPr>
          <w:rFonts w:ascii="Times New Roman" w:hAnsi="Times New Roman" w:cs="Times New Roman" w:eastAsia="Times New Roman" w:hint="default"/>
        </w:rPr>
        <w:t>52</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50,146,978.14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397,002.56</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50,146,978.14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397,002.56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-14,341,923.94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2,603,953.26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37,245,054.20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3,000,955.82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3、信用减值损失" w:id="323"/>
      <w:bookmarkEnd w:id="323"/>
      <w:r>
        <w:rPr>
          <w:b w:val="0"/>
          <w:bCs w:val="0"/>
        </w:rPr>
      </w:r>
      <w:r>
        <w:rPr>
          <w:rFonts w:ascii="Times New Roman" w:hAnsi="Times New Roman" w:cs="Times New Roman" w:eastAsia="Times New Roman" w:hint="default"/>
        </w:rPr>
        <w:t>53</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631,466.50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5,565,983.34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-69,924,005.43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-63,728,905.38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54、资产减值损失" w:id="324"/>
      <w:bookmarkEnd w:id="324"/>
      <w:r>
        <w:rPr>
          <w:b w:val="0"/>
          <w:bCs w:val="0"/>
        </w:rPr>
      </w:r>
      <w:r>
        <w:rPr>
          <w:rFonts w:ascii="Times New Roman" w:hAnsi="Times New Roman" w:cs="Times New Roman" w:eastAsia="Times New Roman" w:hint="default"/>
        </w:rPr>
        <w:t>54</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3,849,588.70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25,288,932.01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-8,460,688.26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-2,958,000.00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-9,089,650.52</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-5,353,979.35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19,934,952.66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-16,658,750.08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5、资产处置收益" w:id="325"/>
      <w:bookmarkEnd w:id="325"/>
      <w:r>
        <w:rPr>
          <w:b w:val="0"/>
          <w:bCs w:val="0"/>
        </w:rPr>
      </w:r>
      <w:r>
        <w:rPr>
          <w:rFonts w:ascii="Times New Roman" w:hAnsi="Times New Roman" w:cs="Times New Roman" w:eastAsia="Times New Roman" w:hint="default"/>
        </w:rPr>
        <w:t>55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2,546,957.87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694,540.29</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4"/>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未划分为持有待售的非流动资产处 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2,546,957.87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694,540.29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2,546,957.87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694,540.29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2,546,957.87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694,540.29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6、营业外收入" w:id="326"/>
      <w:bookmarkEnd w:id="326"/>
      <w:r>
        <w:rPr>
          <w:b w:val="0"/>
          <w:bCs w:val="0"/>
        </w:rPr>
      </w:r>
      <w:r>
        <w:rPr>
          <w:rFonts w:ascii="Times New Roman" w:hAnsi="Times New Roman" w:cs="Times New Roman" w:eastAsia="Times New Roman" w:hint="default"/>
        </w:rPr>
        <w:t>56</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13,061,675.79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22,558,100.00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13,061,675.79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3,379,848.77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5,862,741.95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3,379,848.77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16,441,524.56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28,420,841.95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16,441,524.56</w:t>
            </w:r>
          </w:p>
        </w:tc>
      </w:tr>
    </w:tbl>
    <w:p>
      <w:pPr>
        <w:pStyle w:val="BodyText"/>
        <w:spacing w:line="240" w:lineRule="auto" w:before="49"/>
        <w:ind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297"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69"/>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r>
              <w:rPr>
                <w:rFonts w:ascii="Times New Roman" w:hAnsi="Times New Roman" w:cs="Times New Roman" w:eastAsia="Times New Roman" w:hint="default"/>
                <w:sz w:val="18"/>
                <w:szCs w:val="18"/>
              </w:rPr>
              <w:t>-</w:t>
            </w:r>
            <w:r>
              <w:rPr>
                <w:rFonts w:ascii="宋体" w:hAnsi="宋体" w:cs="宋体" w:eastAsia="宋体" w:hint="default"/>
                <w:sz w:val="18"/>
                <w:szCs w:val="18"/>
              </w:rPr>
              <w:t>华南地 区总部项目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广州市萝岗 开发区财政 国库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武汉云科总 部项目投资 建设兑换补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武汉东湖综 合保税区建 设管理办公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北京市海淀 区商务委总 部奖励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北京市海淀 区商务委员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武汉东湖新 技术开发区 第十一批 </w:t>
            </w: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光谷人 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无偿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127"/>
              <w:jc w:val="both"/>
              <w:rPr>
                <w:rFonts w:ascii="宋体" w:hAnsi="宋体" w:cs="宋体" w:eastAsia="宋体" w:hint="default"/>
                <w:sz w:val="18"/>
                <w:szCs w:val="18"/>
              </w:rPr>
            </w:pPr>
            <w:r>
              <w:rPr>
                <w:rFonts w:ascii="宋体" w:hAnsi="宋体" w:cs="宋体" w:eastAsia="宋体" w:hint="default"/>
                <w:sz w:val="18"/>
                <w:szCs w:val="18"/>
              </w:rPr>
              <w:t>深圳南山区 企业首次入 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强企 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深圳市投资 推广署产业 链薄弱环节 投资项目奖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30"/>
              <w:jc w:val="both"/>
              <w:rPr>
                <w:rFonts w:ascii="宋体" w:hAnsi="宋体" w:cs="宋体" w:eastAsia="宋体" w:hint="default"/>
                <w:sz w:val="18"/>
                <w:szCs w:val="18"/>
              </w:rPr>
            </w:pPr>
            <w:r>
              <w:rPr>
                <w:rFonts w:ascii="宋体" w:hAnsi="宋体" w:cs="宋体" w:eastAsia="宋体" w:hint="default"/>
                <w:sz w:val="18"/>
                <w:szCs w:val="18"/>
              </w:rPr>
              <w:t>深圳市南山 区投资推广 署产业链薄 弱环节投资 项目奖励资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成都武侯区 产业发展专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成都武侯新 城建设管理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北京海淀区 工业及软件 和信息服务 业平稳发展 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6"/>
              <w:ind w:left="24" w:right="22"/>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2"/>
                <w:sz w:val="18"/>
                <w:szCs w:val="18"/>
              </w:rPr>
              <w:t>强、研发投资</w:t>
            </w:r>
            <w:r>
              <w:rPr>
                <w:rFonts w:ascii="宋体" w:hAnsi="宋体" w:cs="宋体" w:eastAsia="宋体" w:hint="default"/>
                <w:sz w:val="18"/>
                <w:szCs w:val="18"/>
              </w:rPr>
              <w:t> 开办费补助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武汉市财政 局国库收付 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深圳南山区 上市企业并 购重组中介 费用补贴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61,675.79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13,061,675.7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22,558,100.0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7、营业外支出" w:id="327"/>
      <w:bookmarkEnd w:id="327"/>
      <w:r>
        <w:rPr>
          <w:b w:val="0"/>
          <w:bCs w:val="0"/>
        </w:rPr>
      </w:r>
      <w:r>
        <w:rPr>
          <w:rFonts w:ascii="Times New Roman" w:hAnsi="Times New Roman" w:cs="Times New Roman" w:eastAsia="Times New Roman" w:hint="default"/>
        </w:rPr>
        <w:t>57</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核销资产损失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2,207,675.96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2,111,753.57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2,162,064.54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2,111,753.57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625,003.43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451,267.75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625,003.43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131,094.68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85,243.84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131,094.68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636,585.31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1,672,164.34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636,585.31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5,204,436.99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8,278,416.43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5,204,436.99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8、所得税费用" w:id="328"/>
      <w:bookmarkEnd w:id="328"/>
      <w:r>
        <w:rPr>
          <w:b w:val="0"/>
          <w:bCs w:val="0"/>
        </w:rPr>
      </w:r>
      <w:r>
        <w:rPr>
          <w:rFonts w:ascii="Times New Roman" w:hAnsi="Times New Roman" w:cs="Times New Roman" w:eastAsia="Times New Roman" w:hint="default"/>
        </w:rPr>
        <w:t>58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272,325,038.86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233,633,827.91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-42,493,369.11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-88,152,799.53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229,831,669.75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145,481,028.38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931,488,977.26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234,114,666.00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-23,110,504.32</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-9,134,881.36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-17,198,603.96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1,027,354.57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-11,940,773.26</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56,074,412.07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229,831,669.75</w:t>
            </w:r>
          </w:p>
        </w:tc>
      </w:tr>
    </w:tbl>
    <w:p>
      <w:pPr>
        <w:spacing w:line="240" w:lineRule="auto" w:before="3"/>
        <w:rPr>
          <w:rFonts w:ascii="宋体" w:hAnsi="宋体" w:cs="宋体" w:eastAsia="宋体" w:hint="default"/>
          <w:sz w:val="19"/>
          <w:szCs w:val="19"/>
        </w:rPr>
      </w:pPr>
    </w:p>
    <w:p>
      <w:pPr>
        <w:spacing w:line="547" w:lineRule="auto" w:before="36"/>
        <w:ind w:left="152" w:right="8857" w:firstLine="0"/>
        <w:jc w:val="left"/>
        <w:rPr>
          <w:rFonts w:ascii="宋体" w:hAnsi="宋体" w:cs="宋体" w:eastAsia="宋体" w:hint="default"/>
          <w:sz w:val="21"/>
          <w:szCs w:val="21"/>
        </w:rPr>
      </w:pPr>
      <w:bookmarkStart w:name="59、其他综合收益" w:id="331"/>
      <w:bookmarkEnd w:id="331"/>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 </w:t>
      </w:r>
      <w:bookmarkStart w:name="60、现金流量表项目" w:id="332"/>
      <w:bookmarkEnd w:id="332"/>
      <w:r>
        <w:rPr>
          <w:rFonts w:ascii="宋体" w:hAnsi="宋体" w:cs="宋体" w:eastAsia="宋体" w:hint="default"/>
          <w:sz w:val="18"/>
          <w:szCs w:val="18"/>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28,592,797.08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46,228,380.93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48,726,755.81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18,843,895.82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21,654,500.38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560,785.97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771,249.20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94,225,859.80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71,152,505.39</w:t>
            </w:r>
          </w:p>
        </w:tc>
      </w:tr>
    </w:tbl>
    <w:p>
      <w:pPr>
        <w:pStyle w:val="BodyText"/>
        <w:spacing w:line="357" w:lineRule="auto" w:before="49"/>
        <w:ind w:right="751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1,132,586,463.97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1,007,066,336.27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支付受限资金净额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166,223,454.24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275,208,346.98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预付卓越置业集团有限公司销售佣金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5,847,122.62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3,092,683.42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4,215,578.86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1,311,902,601.63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1,292,337,384.73</w:t>
            </w:r>
          </w:p>
        </w:tc>
      </w:tr>
    </w:tbl>
    <w:p>
      <w:pPr>
        <w:pStyle w:val="BodyText"/>
        <w:spacing w:line="357" w:lineRule="auto" w:before="49"/>
        <w:ind w:right="751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支付的其他与投资活动有关的现金" w:id="335"/>
      <w:bookmarkEnd w:id="335"/>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支付济南顶安企业管理咨询合伙企业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支付的其他与投资活动有关的现金说明：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支付的其他与筹资活动有关的现金" w:id="336"/>
      <w:bookmarkEnd w:id="336"/>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回购流通股票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50,009,066.93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16,812,347.30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14,664,150.91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子公司注销退回少数股东投资款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2,545,660.81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534.369995pt;width:151.25pt;height:40.8pt;mso-position-horizontal-relative:page;mso-position-vertical-relative:page;z-index:-1665208" coordorigin="4467,10687" coordsize="3025,816">
            <v:group style="position:absolute;left:4478;top:10698;width:2;height:392" coordorigin="4478,10698" coordsize="2,392">
              <v:shape style="position:absolute;left:4478;top:10698;width:2;height:392" coordorigin="4478,10698" coordsize="0,392" path="m4478,10698l4478,11089e" filled="false" stroked="true" strokeweight="1.08pt" strokecolor="#ffffff">
                <v:path arrowok="t"/>
              </v:shape>
            </v:group>
            <v:group style="position:absolute;left:4489;top:10698;width:3003;height:392" coordorigin="4489,10698" coordsize="3003,392">
              <v:shape style="position:absolute;left:4489;top:10698;width:3003;height:392" coordorigin="4489,10698" coordsize="3003,392" path="m4489,11089l7492,11089,7492,10698,4489,10698,4489,11089xe" filled="true" fillcolor="#ffffff" stroked="false">
                <v:path arrowok="t"/>
                <v:fill type="solid"/>
              </v:shape>
            </v:group>
            <v:group style="position:absolute;left:4478;top:11099;width:2;height:394" coordorigin="4478,11099" coordsize="2,394">
              <v:shape style="position:absolute;left:4478;top:11099;width:2;height:394" coordorigin="4478,11099" coordsize="0,394" path="m4478,11099l4478,11493e" filled="false" stroked="true" strokeweight="1.08pt" strokecolor="#ffffff">
                <v:path arrowok="t"/>
              </v:shape>
            </v:group>
            <v:group style="position:absolute;left:4489;top:11099;width:3003;height:394" coordorigin="4489,11099" coordsize="3003,394">
              <v:shape style="position:absolute;left:4489;top:11099;width:3003;height:394" coordorigin="4489,11099" coordsize="3003,394" path="m4489,11493l7492,11493,7492,11099,4489,11099,4489,1149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购买少数股东持有神州云计算股权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6,694,627.04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69,367,075.04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21,358,777.95</w:t>
            </w:r>
          </w:p>
        </w:tc>
      </w:tr>
    </w:tbl>
    <w:p>
      <w:pPr>
        <w:pStyle w:val="BodyText"/>
        <w:spacing w:line="357" w:lineRule="auto" w:before="49"/>
        <w:ind w:right="751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61、现金流量表补充资料" w:id="337"/>
      <w:bookmarkEnd w:id="337"/>
      <w:r>
        <w:rPr>
          <w:b w:val="0"/>
          <w:bCs w:val="0"/>
        </w:rPr>
      </w:r>
      <w:r>
        <w:rPr>
          <w:rFonts w:ascii="Times New Roman" w:hAnsi="Times New Roman" w:cs="Times New Roman" w:eastAsia="Times New Roman" w:hint="default"/>
        </w:rPr>
        <w:t>61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8"/>
      <w:bookmarkEnd w:id="33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09"/>
        <w:gridCol w:w="205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701,657,307.51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516,026,502.55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-19,934,952.66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16,658,750.08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63,728,905.38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33,987,880.39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44,720,993.07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9,725,988.34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9,614,196.08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5,808,527.96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8,463,042.30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-2,546,957.87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-694,540.29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2,111,753.57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2,162,064.54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-37,245,054.20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-3,000,955.82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459,505,264.80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582,079,914.28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-59,517,156.32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38,098,863.74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-80,439,303.02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-70,540,466.77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37,945,933.91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-17,612,332.76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07" w:right="0"/>
              <w:jc w:val="left"/>
              <w:rPr>
                <w:rFonts w:ascii="Times New Roman" w:hAnsi="Times New Roman" w:cs="Times New Roman" w:eastAsia="Times New Roman" w:hint="default"/>
                <w:sz w:val="18"/>
                <w:szCs w:val="18"/>
              </w:rPr>
            </w:pPr>
            <w:r>
              <w:rPr>
                <w:rFonts w:ascii="Times New Roman"/>
                <w:sz w:val="18"/>
              </w:rPr>
              <w:t>-2,596,076,196.29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283,600,347.83</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7" w:right="0"/>
              <w:jc w:val="left"/>
              <w:rPr>
                <w:rFonts w:ascii="Times New Roman" w:hAnsi="Times New Roman" w:cs="Times New Roman" w:eastAsia="Times New Roman" w:hint="default"/>
                <w:sz w:val="18"/>
                <w:szCs w:val="18"/>
              </w:rPr>
            </w:pPr>
            <w:r>
              <w:rPr>
                <w:rFonts w:ascii="Times New Roman"/>
                <w:sz w:val="18"/>
              </w:rPr>
              <w:t>1,796,201,827.78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-1,820,382,844.14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7" w:right="0"/>
              <w:jc w:val="left"/>
              <w:rPr>
                <w:rFonts w:ascii="Times New Roman" w:hAnsi="Times New Roman" w:cs="Times New Roman" w:eastAsia="Times New Roman" w:hint="default"/>
                <w:sz w:val="18"/>
                <w:szCs w:val="18"/>
              </w:rPr>
            </w:pPr>
            <w:r>
              <w:rPr>
                <w:rFonts w:ascii="Times New Roman"/>
                <w:sz w:val="18"/>
              </w:rPr>
              <w:t>1,184,714,931.04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771,346,082.85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1,499,628,700.32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360,539,617.54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3,075,275,681.51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968,621,437.86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968,621,437.86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1,470,744,696.88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2,096,654,243.65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-492,123,259.02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现金和现金等价物的构成" w:id="339"/>
      <w:bookmarkEnd w:id="33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3,075,275,681.51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968,621,437.86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24,577.31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45,922.24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3,074,961,778.24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967,451,373.64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289,325.96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1,124,141.98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3,075,275,681.51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978,621,437.86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924,758,227.87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648,534,773.63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2、所有者权益变动表项目注释" w:id="340"/>
      <w:bookmarkEnd w:id="340"/>
      <w:r>
        <w:rPr>
          <w:b w:val="0"/>
          <w:bCs w:val="0"/>
        </w:rPr>
      </w:r>
      <w:r>
        <w:rPr>
          <w:rFonts w:ascii="Times New Roman" w:hAnsi="Times New Roman" w:cs="Times New Roman" w:eastAsia="Times New Roman" w:hint="default"/>
        </w:rPr>
        <w:t>62</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63、所有权或使用权受到限制的资产" w:id="341"/>
      <w:bookmarkEnd w:id="341"/>
      <w:r>
        <w:rPr>
          <w:b w:val="0"/>
          <w:bCs w:val="0"/>
        </w:rPr>
      </w:r>
      <w:r>
        <w:rPr>
          <w:rFonts w:ascii="Times New Roman" w:hAnsi="Times New Roman" w:cs="Times New Roman" w:eastAsia="Times New Roman" w:hint="default"/>
        </w:rPr>
        <w:t>63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73" w:hRule="exact"/>
        </w:trPr>
        <w:tc>
          <w:tcPr>
            <w:tcW w:w="3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924,758,227.87</w:t>
            </w:r>
          </w:p>
        </w:tc>
        <w:tc>
          <w:tcPr>
            <w:tcW w:w="3185"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未决诉讼被冻结的资金、信贷资金监管 账户存款余额受限、受限制定期存款及 结构性存款、保函保证金、信用证保证 金、银行承兑汇票保证金</w:t>
            </w:r>
          </w:p>
        </w:tc>
      </w:tr>
      <w:tr>
        <w:trPr>
          <w:trHeight w:val="391" w:hRule="exact"/>
        </w:trPr>
        <w:tc>
          <w:tcPr>
            <w:tcW w:w="3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473" w:hRule="exact"/>
        </w:trPr>
        <w:tc>
          <w:tcPr>
            <w:tcW w:w="3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1,030,615,651.38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2,398,708,741.72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长期借款抵押</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4,354,082,620.97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126" w:firstLine="360"/>
        <w:jc w:val="both"/>
      </w:pPr>
      <w:r>
        <w:rPr>
          <w:spacing w:val="-2"/>
        </w:rPr>
        <w:t>本公司除上述受限资产外，</w:t>
      </w:r>
      <w:r>
        <w:rPr>
          <w:rFonts w:ascii="Times New Roman" w:hAnsi="Times New Roman" w:cs="Times New Roman" w:eastAsia="Times New Roman" w:hint="default"/>
          <w:spacing w:val="-2"/>
        </w:rPr>
        <w:t>2016</w:t>
      </w:r>
      <w:r>
        <w:rPr>
          <w:spacing w:val="-2"/>
        </w:rPr>
        <w:t>年为购买神州控股下属</w:t>
      </w:r>
      <w:r>
        <w:rPr>
          <w:rFonts w:ascii="Times New Roman" w:hAnsi="Times New Roman" w:cs="Times New Roman" w:eastAsia="Times New Roman" w:hint="default"/>
          <w:spacing w:val="-2"/>
        </w:rPr>
        <w:t>IT</w:t>
      </w:r>
      <w:r>
        <w:rPr>
          <w:spacing w:val="-2"/>
        </w:rPr>
        <w:t>分销业务公司，自北京银行股份有限公司中关村科技园支行借</w:t>
      </w:r>
      <w:r>
        <w:rPr/>
        <w:t> 入的</w:t>
      </w:r>
      <w:r>
        <w:rPr>
          <w:rFonts w:ascii="Times New Roman" w:hAnsi="Times New Roman" w:cs="Times New Roman" w:eastAsia="Times New Roman" w:hint="default"/>
        </w:rPr>
        <w:t>5</w:t>
      </w:r>
      <w:r>
        <w:rPr/>
        <w:t>年期长期借款，本公司以持有的神码中国</w:t>
      </w:r>
      <w:r>
        <w:rPr>
          <w:rFonts w:ascii="Times New Roman" w:hAnsi="Times New Roman" w:cs="Times New Roman" w:eastAsia="Times New Roman" w:hint="default"/>
        </w:rPr>
        <w:t>100%</w:t>
      </w:r>
      <w:r>
        <w:rPr/>
        <w:t>股权、神码上海</w:t>
      </w:r>
      <w:r>
        <w:rPr>
          <w:rFonts w:ascii="Times New Roman" w:hAnsi="Times New Roman" w:cs="Times New Roman" w:eastAsia="Times New Roman" w:hint="default"/>
        </w:rPr>
        <w:t>100%</w:t>
      </w:r>
      <w:r>
        <w:rPr/>
        <w:t>股权、神码广州</w:t>
      </w:r>
      <w:r>
        <w:rPr>
          <w:rFonts w:ascii="Times New Roman" w:hAnsi="Times New Roman" w:cs="Times New Roman" w:eastAsia="Times New Roman" w:hint="default"/>
        </w:rPr>
        <w:t>100%</w:t>
      </w:r>
      <w:r>
        <w:rPr/>
        <w:t>股权进行质押；</w:t>
      </w:r>
      <w:r>
        <w:rPr>
          <w:rFonts w:ascii="Times New Roman" w:hAnsi="Times New Roman" w:cs="Times New Roman" w:eastAsia="Times New Roman" w:hint="default"/>
        </w:rPr>
        <w:t>2019</w:t>
      </w:r>
      <w:r>
        <w:rPr/>
        <w:t>年自中</w:t>
      </w:r>
      <w:r>
        <w:rPr>
          <w:spacing w:val="-83"/>
        </w:rPr>
        <w:t> </w:t>
      </w:r>
      <w:r>
        <w:rPr/>
        <w:t>国民生银行股份有限公司北京中关村分行借入的</w:t>
      </w:r>
      <w:r>
        <w:rPr>
          <w:rFonts w:ascii="Times New Roman" w:hAnsi="Times New Roman" w:cs="Times New Roman" w:eastAsia="Times New Roman" w:hint="default"/>
        </w:rPr>
        <w:t>3</w:t>
      </w:r>
      <w:r>
        <w:rPr/>
        <w:t>年期长期借款，本公司以持有的上海云角</w:t>
      </w:r>
      <w:r>
        <w:rPr>
          <w:rFonts w:ascii="Times New Roman" w:hAnsi="Times New Roman" w:cs="Times New Roman" w:eastAsia="Times New Roman" w:hint="default"/>
        </w:rPr>
        <w:t>100%</w:t>
      </w:r>
      <w:r>
        <w:rPr/>
        <w:t>股权进行质押。</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64、外币货币性项目" w:id="342"/>
      <w:bookmarkEnd w:id="342"/>
      <w:r>
        <w:rPr>
          <w:b w:val="0"/>
          <w:bCs w:val="0"/>
        </w:rPr>
      </w:r>
      <w:r>
        <w:rPr>
          <w:rFonts w:ascii="Times New Roman" w:hAnsi="Times New Roman" w:cs="Times New Roman" w:eastAsia="Times New Roman" w:hint="default"/>
        </w:rPr>
        <w:t>64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43"/>
      <w:bookmarkEnd w:id="34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8"/>
        <w:gridCol w:w="2309"/>
        <w:gridCol w:w="2391"/>
        <w:gridCol w:w="2391"/>
      </w:tblGrid>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56,088,233.47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392,617,634.29</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204,666.02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1,600,488.28</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220,584,744.36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196,699,828.24</w:t>
            </w:r>
          </w:p>
        </w:tc>
      </w:tr>
      <w:tr>
        <w:trPr>
          <w:trHeight w:val="404"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390,625.46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340,730.87</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105,795.40</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2,678,829.55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4,573,619.27</w:t>
            </w:r>
          </w:p>
        </w:tc>
      </w:tr>
      <w:tr>
        <w:trPr>
          <w:trHeight w:val="401" w:hRule="exact"/>
        </w:trPr>
        <w:tc>
          <w:tcPr>
            <w:tcW w:w="247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9"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23,780,283.35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166,461,983.45</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516,812.77</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62,405,019.39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55,647,803.89</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347,452.81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303,072.66</w:t>
            </w:r>
          </w:p>
        </w:tc>
      </w:tr>
      <w:tr>
        <w:trPr>
          <w:trHeight w:val="403" w:hRule="exact"/>
        </w:trPr>
        <w:tc>
          <w:tcPr>
            <w:tcW w:w="247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9"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1,006,954.68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7,048,682.76</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8,276,760.46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7,380,552.84</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522,461.66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892,009.24</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132,165,846.74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925,160,927.18</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1,130,218,836.52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1,007,838,740.90</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219,024,504.53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1,533,171,531.71</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279,902.53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2,188,837.78</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36,470,140.11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32,521,153.34</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09"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3,135,023.00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21,945,161.00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2,767,096.08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734,505.70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654,973.42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67,604.85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7,513.81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12,828.48</w:t>
            </w:r>
          </w:p>
        </w:tc>
      </w:tr>
    </w:tbl>
    <w:p>
      <w:pPr>
        <w:spacing w:line="240" w:lineRule="auto" w:before="3"/>
        <w:rPr>
          <w:rFonts w:ascii="宋体" w:hAnsi="宋体" w:cs="宋体" w:eastAsia="宋体" w:hint="default"/>
          <w:sz w:val="19"/>
          <w:szCs w:val="19"/>
        </w:rPr>
      </w:pPr>
    </w:p>
    <w:p>
      <w:pPr>
        <w:pStyle w:val="Heading3"/>
        <w:spacing w:line="259" w:lineRule="auto" w:before="36"/>
        <w:ind w:right="0"/>
        <w:jc w:val="left"/>
        <w:rPr>
          <w:b w:val="0"/>
          <w:bCs w:val="0"/>
        </w:rPr>
      </w:pPr>
      <w:bookmarkStart w:name="（2）境外经营实体说明，包括对于重要的境外经营实体，应披露其境外主要经营地、记账" w:id="344"/>
      <w:bookmarkEnd w:id="34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65、政府补助" w:id="345"/>
      <w:bookmarkEnd w:id="345"/>
      <w:r>
        <w:rPr>
          <w:b w:val="0"/>
          <w:bCs w:val="0"/>
        </w:rPr>
      </w:r>
      <w:r>
        <w:rPr>
          <w:rFonts w:ascii="Times New Roman" w:hAnsi="Times New Roman" w:cs="Times New Roman" w:eastAsia="Times New Roman" w:hint="default"/>
        </w:rPr>
        <w:t>65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46"/>
      <w:bookmarkEnd w:id="34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上海紫竹高新技术产业开发 区专项资金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上海市长宁财政局奖励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9,724,000.00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9,005,673.30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9,037,877.57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广州市萝岗开发区财政国库</w:t>
            </w:r>
            <w:r>
              <w:rPr>
                <w:rFonts w:ascii="Times New Roman" w:hAnsi="Times New Roman" w:cs="Times New Roman" w:eastAsia="Times New Roman" w:hint="default"/>
                <w:sz w:val="18"/>
                <w:szCs w:val="18"/>
              </w:rPr>
              <w:t>- </w:t>
            </w:r>
            <w:r>
              <w:rPr>
                <w:rFonts w:ascii="宋体" w:hAnsi="宋体" w:cs="宋体" w:eastAsia="宋体" w:hint="default"/>
                <w:sz w:val="18"/>
                <w:szCs w:val="18"/>
              </w:rPr>
              <w:t>华南地区总部项目（注）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武汉云科总部项目投资建设 兑换补贴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7,768,800.00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下一代基于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的高性能路 由交换设备研发及产业化项 目补贴（注）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4,929,504.85</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广州开发区促进现代服务业 发展奖励金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深圳市商务局关于中央服务 业发展专项资金项目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3,385,414.00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3,385,414.00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深圳市稳增长资助项目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2,444,200.00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1,403,974.59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1,403,974.59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商贸流通业资助补贴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北京市海淀区商务委总部奖 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上海市闵行区发展和改革委 员会服务业引导资金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职工教育培训经费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535,484.80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535,484.80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高峰论坛补贴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杭州滨江区楼宇经济产业扶 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332,900.00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武汉东湖新技术开发区第十 一批</w:t>
            </w: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光谷人才计划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无偿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227,343.98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227,343.98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北京中关村国际创新资源支 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武汉市知识产权局培育项目 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212,253.72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212,253.72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b/>
                <w:spacing w:val="-1"/>
                <w:sz w:val="18"/>
              </w:rPr>
              <w:t>69,930,253.51</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政府补助退回情况" w:id="347"/>
      <w:bookmarkEnd w:id="34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3"/>
        <w:ind w:right="0"/>
        <w:jc w:val="left"/>
      </w:pPr>
      <w:r>
        <w:rPr/>
        <w:t>注：该项目系以前年度收到的与资产相关的政府补助</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48"/>
      <w:bookmarkEnd w:id="348"/>
      <w:r>
        <w:rPr>
          <w:b w:val="0"/>
          <w:bCs w:val="0"/>
        </w:rPr>
      </w:r>
      <w:r>
        <w:rPr/>
        <w:t>八、合并范围的变更</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3" w:firstLine="360"/>
        <w:jc w:val="both"/>
      </w:pPr>
      <w:r>
        <w:rPr/>
        <w:t>本集团合并财务报表范围包括本公司、神码中国、神码上海、神码广州等</w:t>
      </w:r>
      <w:r>
        <w:rPr>
          <w:rFonts w:ascii="Times New Roman" w:hAnsi="Times New Roman" w:cs="Times New Roman" w:eastAsia="Times New Roman" w:hint="default"/>
        </w:rPr>
        <w:t>41</w:t>
      </w:r>
      <w:r>
        <w:rPr/>
        <w:t>家公司，结构化主体</w:t>
      </w:r>
      <w:r>
        <w:rPr>
          <w:rFonts w:ascii="Times New Roman" w:hAnsi="Times New Roman" w:cs="Times New Roman" w:eastAsia="Times New Roman" w:hint="default"/>
        </w:rPr>
        <w:t>1</w:t>
      </w:r>
      <w:r>
        <w:rPr/>
        <w:t>个。与上年相比，本 </w:t>
      </w:r>
      <w:r>
        <w:rPr>
          <w:spacing w:val="-2"/>
        </w:rPr>
        <w:t>年因设立新增武汉神州数码有限公司，因开展应收账款资产支持专项计划新增结构化主体，因清算关闭重庆神州数码有限公</w:t>
      </w:r>
      <w:r>
        <w:rPr>
          <w:spacing w:val="-64"/>
        </w:rPr>
        <w:t> </w:t>
      </w:r>
      <w:r>
        <w:rPr>
          <w:spacing w:val="-64"/>
        </w:rPr>
      </w:r>
      <w:r>
        <w:rPr/>
        <w:t>司，济南神州数码有限公司，深圳神州数码云科信息安全有限公司，深圳神州数码云科系统科技有限公司共</w:t>
      </w:r>
      <w:r>
        <w:rPr>
          <w:rFonts w:ascii="Times New Roman" w:hAnsi="Times New Roman" w:cs="Times New Roman" w:eastAsia="Times New Roman" w:hint="default"/>
        </w:rPr>
        <w:t>4</w:t>
      </w:r>
      <w:r>
        <w:rPr/>
        <w:t>家公司。</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49"/>
      <w:bookmarkEnd w:id="349"/>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50"/>
      <w:bookmarkEnd w:id="35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51"/>
      <w:bookmarkEnd w:id="35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9"/>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0" w:top="1100" w:bottom="1160" w:left="980" w:right="0"/>
        </w:sectPr>
      </w:pPr>
    </w:p>
    <w:p>
      <w:pPr>
        <w:spacing w:line="240" w:lineRule="auto" w:before="11"/>
        <w:rPr>
          <w:rFonts w:ascii="宋体" w:hAnsi="宋体" w:cs="宋体" w:eastAsia="宋体" w:hint="default"/>
          <w:b/>
          <w:bCs/>
          <w:sz w:val="18"/>
          <w:szCs w:val="18"/>
        </w:rPr>
      </w:pPr>
    </w:p>
    <w:p>
      <w:pPr>
        <w:pStyle w:val="BodyText"/>
        <w:tabs>
          <w:tab w:pos="1756" w:val="left" w:leader="none"/>
          <w:tab w:pos="3304" w:val="left" w:leader="none"/>
          <w:tab w:pos="4584" w:val="left" w:leader="none"/>
        </w:tabs>
        <w:spacing w:line="240" w:lineRule="auto"/>
        <w:ind w:left="388" w:right="-20"/>
        <w:jc w:val="left"/>
      </w:pPr>
      <w:r>
        <w:rPr/>
        <w:t>子公司名称</w:t>
        <w:tab/>
        <w:t>主要经营地</w:t>
        <w:tab/>
        <w:t>注册地</w:t>
        <w:tab/>
        <w:t>业务性质</w:t>
      </w:r>
    </w:p>
    <w:p>
      <w:pPr>
        <w:pStyle w:val="BodyText"/>
        <w:spacing w:line="240" w:lineRule="auto" w:before="44"/>
        <w:ind w:left="383" w:right="0"/>
        <w:jc w:val="center"/>
      </w:pPr>
      <w:r>
        <w:rPr/>
        <w:br w:type="column"/>
      </w:r>
      <w:r>
        <w:rPr/>
        <w:t>持股比例</w:t>
      </w:r>
    </w:p>
    <w:p>
      <w:pPr>
        <w:spacing w:line="240" w:lineRule="auto" w:before="11"/>
        <w:rPr>
          <w:rFonts w:ascii="宋体" w:hAnsi="宋体" w:cs="宋体" w:eastAsia="宋体" w:hint="default"/>
          <w:sz w:val="12"/>
          <w:szCs w:val="12"/>
        </w:rPr>
      </w:pPr>
    </w:p>
    <w:p>
      <w:pPr>
        <w:pStyle w:val="BodyText"/>
        <w:tabs>
          <w:tab w:pos="1756" w:val="left" w:leader="none"/>
        </w:tabs>
        <w:spacing w:line="240" w:lineRule="auto"/>
        <w:ind w:left="388" w:right="0"/>
        <w:jc w:val="center"/>
      </w:pPr>
      <w:r>
        <w:rPr/>
        <w:t>直接</w:t>
        <w:tab/>
        <w:t>间接</w:t>
      </w:r>
    </w:p>
    <w:p>
      <w:pPr>
        <w:spacing w:line="240" w:lineRule="auto" w:before="11"/>
        <w:rPr>
          <w:rFonts w:ascii="宋体" w:hAnsi="宋体" w:cs="宋体" w:eastAsia="宋体" w:hint="default"/>
          <w:sz w:val="18"/>
          <w:szCs w:val="18"/>
        </w:rPr>
      </w:pPr>
      <w:r>
        <w:rPr/>
        <w:br w:type="column"/>
      </w:r>
      <w:r>
        <w:rPr>
          <w:rFonts w:ascii="宋体"/>
          <w:sz w:val="18"/>
        </w:rPr>
      </w:r>
    </w:p>
    <w:p>
      <w:pPr>
        <w:pStyle w:val="BodyText"/>
        <w:spacing w:line="240" w:lineRule="auto"/>
        <w:ind w:left="388" w:right="0"/>
        <w:jc w:val="left"/>
      </w:pPr>
      <w:r>
        <w:rPr/>
        <w:t>取得方式</w:t>
      </w:r>
    </w:p>
    <w:p>
      <w:pPr>
        <w:spacing w:after="0" w:line="240" w:lineRule="auto"/>
        <w:jc w:val="left"/>
        <w:sectPr>
          <w:type w:val="continuous"/>
          <w:pgSz w:w="11910" w:h="16840"/>
          <w:pgMar w:top="1580" w:bottom="700" w:left="980" w:right="0"/>
          <w:cols w:num="3" w:equalWidth="0">
            <w:col w:w="5305" w:space="437"/>
            <w:col w:w="2117" w:space="437"/>
            <w:col w:w="2634"/>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700" w:left="980" w:right="0"/>
        </w:sectPr>
      </w:pPr>
    </w:p>
    <w:p>
      <w:pPr>
        <w:pStyle w:val="BodyText"/>
        <w:spacing w:line="196" w:lineRule="exact" w:before="44"/>
        <w:ind w:left="181" w:right="-19"/>
        <w:jc w:val="left"/>
      </w:pPr>
      <w:r>
        <w:rPr>
          <w:spacing w:val="-5"/>
        </w:rPr>
        <w:t>神州数码（中国）</w:t>
      </w:r>
    </w:p>
    <w:p>
      <w:pPr>
        <w:pStyle w:val="BodyText"/>
        <w:tabs>
          <w:tab w:pos="2920" w:val="left" w:leader="none"/>
          <w:tab w:pos="4288" w:val="left" w:leader="none"/>
          <w:tab w:pos="6319" w:val="left" w:leader="none"/>
        </w:tabs>
        <w:spacing w:line="163" w:lineRule="exact"/>
        <w:ind w:left="1552" w:right="-19"/>
        <w:jc w:val="left"/>
        <w:rPr>
          <w:rFonts w:ascii="Times New Roman" w:hAnsi="Times New Roman" w:cs="Times New Roman" w:eastAsia="Times New Roman" w:hint="default"/>
        </w:rPr>
      </w:pPr>
      <w:r>
        <w:rPr/>
        <w:t>境内子公司</w:t>
        <w:tab/>
        <w:t>北京</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203" w:lineRule="exact"/>
        <w:ind w:left="181" w:right="-19"/>
        <w:jc w:val="left"/>
      </w:pPr>
      <w:r>
        <w:rPr/>
        <w:t>有限公司（注</w:t>
      </w:r>
      <w:r>
        <w:rPr>
          <w:spacing w:val="-43"/>
        </w:rPr>
        <w:t> </w:t>
      </w:r>
      <w:r>
        <w:rPr>
          <w:rFonts w:ascii="Times New Roman" w:hAnsi="Times New Roman" w:cs="Times New Roman" w:eastAsia="Times New Roman" w:hint="default"/>
        </w:rPr>
        <w:t>1</w:t>
      </w:r>
      <w:r>
        <w:rPr/>
        <w:t>）</w:t>
      </w:r>
    </w:p>
    <w:p>
      <w:pPr>
        <w:pStyle w:val="BodyText"/>
        <w:spacing w:line="316" w:lineRule="auto" w:before="44"/>
        <w:ind w:left="181" w:right="1257"/>
        <w:jc w:val="left"/>
      </w:pPr>
      <w:r>
        <w:rPr/>
        <w:br w:type="column"/>
      </w:r>
      <w:r>
        <w:rPr/>
        <w:t>非同一控制下企 业合并</w:t>
      </w:r>
    </w:p>
    <w:p>
      <w:pPr>
        <w:spacing w:after="0" w:line="316" w:lineRule="auto"/>
        <w:jc w:val="left"/>
        <w:sectPr>
          <w:type w:val="continuous"/>
          <w:pgSz w:w="11910" w:h="16840"/>
          <w:pgMar w:top="1580" w:bottom="700" w:left="980" w:right="0"/>
          <w:cols w:num="2" w:equalWidth="0">
            <w:col w:w="6966" w:space="1241"/>
            <w:col w:w="2723"/>
          </w:cols>
        </w:sectPr>
      </w:pPr>
    </w:p>
    <w:p>
      <w:pPr>
        <w:pStyle w:val="BodyText"/>
        <w:spacing w:line="314" w:lineRule="auto" w:before="110"/>
        <w:ind w:left="181" w:right="-20"/>
        <w:jc w:val="left"/>
      </w:pPr>
      <w:r>
        <w:rPr/>
        <w:t>上海神州数码有 限公司（注</w:t>
      </w:r>
      <w:r>
        <w:rPr>
          <w:spacing w:val="-43"/>
        </w:rPr>
        <w:t> </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20"/>
          <w:szCs w:val="20"/>
        </w:rPr>
      </w:pPr>
      <w:r>
        <w:rPr/>
        <w:br w:type="column"/>
      </w:r>
      <w:r>
        <w:rPr>
          <w:rFonts w:ascii="宋体"/>
          <w:sz w:val="20"/>
        </w:rPr>
      </w:r>
    </w:p>
    <w:p>
      <w:pPr>
        <w:pStyle w:val="BodyText"/>
        <w:tabs>
          <w:tab w:pos="1439" w:val="left" w:leader="none"/>
          <w:tab w:pos="2807" w:val="left" w:leader="none"/>
          <w:tab w:pos="4838" w:val="left" w:leader="none"/>
        </w:tabs>
        <w:spacing w:line="240" w:lineRule="auto"/>
        <w:ind w:left="70" w:right="-19"/>
        <w:jc w:val="left"/>
        <w:rPr>
          <w:rFonts w:ascii="Times New Roman" w:hAnsi="Times New Roman" w:cs="Times New Roman" w:eastAsia="Times New Roman" w:hint="default"/>
        </w:rPr>
      </w:pPr>
      <w:r>
        <w:rPr/>
        <w:t>境内子公司</w:t>
        <w:tab/>
        <w:t>上海</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314" w:lineRule="auto" w:before="110"/>
        <w:ind w:left="181" w:right="1257"/>
        <w:jc w:val="left"/>
      </w:pPr>
      <w:r>
        <w:rPr/>
        <w:br w:type="column"/>
      </w:r>
      <w:r>
        <w:rPr/>
        <w:t>非同一控制下企 业合并</w:t>
      </w:r>
    </w:p>
    <w:p>
      <w:pPr>
        <w:spacing w:after="0" w:line="314" w:lineRule="auto"/>
        <w:jc w:val="left"/>
        <w:sectPr>
          <w:type w:val="continuous"/>
          <w:pgSz w:w="11910" w:h="16840"/>
          <w:pgMar w:top="1580" w:bottom="700" w:left="980" w:right="0"/>
          <w:cols w:num="3" w:equalWidth="0">
            <w:col w:w="1442" w:space="40"/>
            <w:col w:w="5485" w:space="1241"/>
            <w:col w:w="2722"/>
          </w:cols>
        </w:sectPr>
      </w:pPr>
    </w:p>
    <w:p>
      <w:pPr>
        <w:pStyle w:val="BodyText"/>
        <w:spacing w:line="316" w:lineRule="auto" w:before="92"/>
        <w:ind w:left="181" w:right="-20"/>
        <w:jc w:val="left"/>
      </w:pPr>
      <w:r>
        <w:rPr/>
        <w:t>广州神州数码有 限公司（注</w:t>
      </w:r>
      <w:r>
        <w:rPr>
          <w:spacing w:val="-43"/>
        </w:rPr>
        <w:t> </w:t>
      </w:r>
      <w:r>
        <w:rPr>
          <w:rFonts w:ascii="Times New Roman" w:hAnsi="Times New Roman" w:cs="Times New Roman" w:eastAsia="Times New Roman" w:hint="default"/>
        </w:rPr>
        <w:t>3</w:t>
      </w:r>
      <w:r>
        <w:rPr/>
        <w:t>）</w:t>
      </w:r>
    </w:p>
    <w:p>
      <w:pPr>
        <w:spacing w:line="240" w:lineRule="auto" w:before="13"/>
        <w:rPr>
          <w:rFonts w:ascii="宋体" w:hAnsi="宋体" w:cs="宋体" w:eastAsia="宋体" w:hint="default"/>
          <w:sz w:val="18"/>
          <w:szCs w:val="18"/>
        </w:rPr>
      </w:pPr>
      <w:r>
        <w:rPr/>
        <w:br w:type="column"/>
      </w:r>
      <w:r>
        <w:rPr>
          <w:rFonts w:ascii="宋体"/>
          <w:sz w:val="18"/>
        </w:rPr>
      </w:r>
    </w:p>
    <w:p>
      <w:pPr>
        <w:pStyle w:val="BodyText"/>
        <w:tabs>
          <w:tab w:pos="1439" w:val="left" w:leader="none"/>
          <w:tab w:pos="2807" w:val="left" w:leader="none"/>
          <w:tab w:pos="6206" w:val="left" w:leader="none"/>
        </w:tabs>
        <w:spacing w:line="240" w:lineRule="auto"/>
        <w:ind w:left="70" w:right="-19"/>
        <w:jc w:val="left"/>
        <w:rPr>
          <w:rFonts w:ascii="Times New Roman" w:hAnsi="Times New Roman" w:cs="Times New Roman" w:eastAsia="Times New Roman" w:hint="default"/>
        </w:rPr>
      </w:pPr>
      <w:r>
        <w:rPr/>
        <w:t>境内子公司</w:t>
        <w:tab/>
        <w:t>广州</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316" w:lineRule="auto" w:before="92"/>
        <w:ind w:left="15" w:right="1257"/>
        <w:jc w:val="left"/>
      </w:pPr>
      <w:r>
        <w:rPr/>
        <w:br w:type="column"/>
      </w:r>
      <w:r>
        <w:rPr/>
        <w:t>非同一控制下企 业合并</w:t>
      </w:r>
    </w:p>
    <w:p>
      <w:pPr>
        <w:spacing w:after="0" w:line="316" w:lineRule="auto"/>
        <w:jc w:val="left"/>
        <w:sectPr>
          <w:type w:val="continuous"/>
          <w:pgSz w:w="11910" w:h="16840"/>
          <w:pgMar w:top="1580" w:bottom="700" w:left="980" w:right="0"/>
          <w:cols w:num="3" w:equalWidth="0">
            <w:col w:w="1442" w:space="40"/>
            <w:col w:w="6853" w:space="40"/>
            <w:col w:w="2555"/>
          </w:cols>
        </w:sectPr>
      </w:pPr>
    </w:p>
    <w:p>
      <w:pPr>
        <w:pStyle w:val="BodyText"/>
        <w:spacing w:line="314" w:lineRule="auto" w:before="90"/>
        <w:ind w:left="181" w:right="-20"/>
        <w:jc w:val="left"/>
      </w:pPr>
      <w:r>
        <w:rPr/>
        <w:t>沈阳神州数码有 限公司（注</w:t>
      </w:r>
      <w:r>
        <w:rPr>
          <w:spacing w:val="-43"/>
        </w:rPr>
        <w:t> </w:t>
      </w:r>
      <w:r>
        <w:rPr>
          <w:rFonts w:ascii="Times New Roman" w:hAnsi="Times New Roman" w:cs="Times New Roman" w:eastAsia="Times New Roman" w:hint="default"/>
        </w:rPr>
        <w:t>4</w:t>
      </w:r>
      <w:r>
        <w:rPr/>
        <w:t>）</w:t>
      </w:r>
    </w:p>
    <w:p>
      <w:pPr>
        <w:spacing w:line="240" w:lineRule="auto" w:before="11"/>
        <w:rPr>
          <w:rFonts w:ascii="宋体" w:hAnsi="宋体" w:cs="宋体" w:eastAsia="宋体" w:hint="default"/>
          <w:sz w:val="18"/>
          <w:szCs w:val="18"/>
        </w:rPr>
      </w:pPr>
      <w:r>
        <w:rPr/>
        <w:br w:type="column"/>
      </w:r>
      <w:r>
        <w:rPr>
          <w:rFonts w:ascii="宋体"/>
          <w:sz w:val="18"/>
        </w:rPr>
      </w:r>
    </w:p>
    <w:p>
      <w:pPr>
        <w:pStyle w:val="BodyText"/>
        <w:tabs>
          <w:tab w:pos="1439" w:val="left" w:leader="none"/>
          <w:tab w:pos="2807" w:val="left" w:leader="none"/>
          <w:tab w:pos="6206" w:val="left" w:leader="none"/>
        </w:tabs>
        <w:spacing w:line="240" w:lineRule="auto"/>
        <w:ind w:left="70" w:right="-19"/>
        <w:jc w:val="left"/>
        <w:rPr>
          <w:rFonts w:ascii="Times New Roman" w:hAnsi="Times New Roman" w:cs="Times New Roman" w:eastAsia="Times New Roman" w:hint="default"/>
        </w:rPr>
      </w:pPr>
      <w:r>
        <w:rPr/>
        <w:t>境内子公司</w:t>
        <w:tab/>
        <w:t>沈阳</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314" w:lineRule="auto" w:before="90"/>
        <w:ind w:left="15" w:right="1257"/>
        <w:jc w:val="left"/>
      </w:pPr>
      <w:r>
        <w:rPr/>
        <w:br w:type="column"/>
      </w:r>
      <w:r>
        <w:rPr/>
        <w:t>非同一控制下企 业合并</w:t>
      </w:r>
    </w:p>
    <w:p>
      <w:pPr>
        <w:spacing w:after="0" w:line="314" w:lineRule="auto"/>
        <w:jc w:val="left"/>
        <w:sectPr>
          <w:type w:val="continuous"/>
          <w:pgSz w:w="11910" w:h="16840"/>
          <w:pgMar w:top="1580" w:bottom="700" w:left="980" w:right="0"/>
          <w:cols w:num="3" w:equalWidth="0">
            <w:col w:w="1442" w:space="40"/>
            <w:col w:w="6853" w:space="40"/>
            <w:col w:w="2555"/>
          </w:cols>
        </w:sectPr>
      </w:pPr>
    </w:p>
    <w:p>
      <w:pPr>
        <w:pStyle w:val="BodyText"/>
        <w:tabs>
          <w:tab w:pos="8389" w:val="left" w:leader="none"/>
        </w:tabs>
        <w:spacing w:line="240" w:lineRule="auto" w:before="93"/>
        <w:ind w:left="181" w:right="0"/>
        <w:jc w:val="left"/>
      </w:pPr>
      <w:r>
        <w:rPr/>
        <w:pict>
          <v:shape style="position:absolute;margin-left:56.639999pt;margin-top:15.227337pt;width:478.7pt;height:217.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4"/>
                    <w:gridCol w:w="1098"/>
                    <w:gridCol w:w="2833"/>
                    <w:gridCol w:w="1743"/>
                    <w:gridCol w:w="1364"/>
                  </w:tblGrid>
                  <w:tr>
                    <w:trPr>
                      <w:trHeight w:val="447" w:hRule="exact"/>
                    </w:trPr>
                    <w:tc>
                      <w:tcPr>
                        <w:tcW w:w="2534" w:type="dxa"/>
                        <w:tcBorders>
                          <w:top w:val="nil" w:sz="6" w:space="0" w:color="auto"/>
                          <w:left w:val="nil" w:sz="6" w:space="0" w:color="auto"/>
                          <w:bottom w:val="nil" w:sz="6" w:space="0" w:color="auto"/>
                          <w:right w:val="nil" w:sz="6" w:space="0" w:color="auto"/>
                        </w:tcBorders>
                      </w:tcPr>
                      <w:p>
                        <w:pPr>
                          <w:pStyle w:val="TableParagraph"/>
                          <w:spacing w:line="158" w:lineRule="auto" w:before="16"/>
                          <w:ind w:left="28" w:right="232" w:firstLine="1370"/>
                          <w:jc w:val="left"/>
                          <w:rPr>
                            <w:rFonts w:ascii="宋体" w:hAnsi="宋体" w:cs="宋体" w:eastAsia="宋体" w:hint="default"/>
                            <w:sz w:val="18"/>
                            <w:szCs w:val="18"/>
                          </w:rPr>
                        </w:pPr>
                        <w:r>
                          <w:rPr>
                            <w:rFonts w:ascii="宋体" w:hAnsi="宋体" w:cs="宋体" w:eastAsia="宋体" w:hint="default"/>
                            <w:sz w:val="18"/>
                            <w:szCs w:val="18"/>
                          </w:rPr>
                          <w:t>境内子公司 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180" w:lineRule="exact"/>
                          <w:ind w:left="23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833" w:type="dxa"/>
                        <w:tcBorders>
                          <w:top w:val="nil" w:sz="6" w:space="0" w:color="auto"/>
                          <w:left w:val="nil" w:sz="6" w:space="0" w:color="auto"/>
                          <w:bottom w:val="nil" w:sz="6" w:space="0" w:color="auto"/>
                          <w:right w:val="nil" w:sz="6" w:space="0" w:color="auto"/>
                        </w:tcBorders>
                      </w:tcPr>
                      <w:p>
                        <w:pPr>
                          <w:pStyle w:val="TableParagraph"/>
                          <w:spacing w:line="194" w:lineRule="exact"/>
                          <w:ind w:left="503"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743" w:type="dxa"/>
                        <w:tcBorders>
                          <w:top w:val="nil" w:sz="6" w:space="0" w:color="auto"/>
                          <w:left w:val="nil" w:sz="6" w:space="0" w:color="auto"/>
                          <w:bottom w:val="nil" w:sz="6" w:space="0" w:color="auto"/>
                          <w:right w:val="nil" w:sz="6" w:space="0" w:color="auto"/>
                        </w:tcBorders>
                      </w:tcPr>
                      <w:p>
                        <w:pPr>
                          <w:pStyle w:val="TableParagraph"/>
                          <w:spacing w:line="194" w:lineRule="exact"/>
                          <w:ind w:left="1069"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280" w:hRule="exact"/>
                    </w:trPr>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南京神州数码有</w:t>
                        </w:r>
                      </w:p>
                    </w:tc>
                    <w:tc>
                      <w:tcPr>
                        <w:tcW w:w="1098"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r>
                    <w:trPr>
                      <w:trHeight w:val="435" w:hRule="exact"/>
                    </w:trPr>
                    <w:tc>
                      <w:tcPr>
                        <w:tcW w:w="2534" w:type="dxa"/>
                        <w:tcBorders>
                          <w:top w:val="nil" w:sz="6" w:space="0" w:color="auto"/>
                          <w:left w:val="nil" w:sz="6" w:space="0" w:color="auto"/>
                          <w:bottom w:val="single" w:sz="4" w:space="0" w:color="000000"/>
                          <w:right w:val="nil" w:sz="6" w:space="0" w:color="auto"/>
                        </w:tcBorders>
                      </w:tcPr>
                      <w:p>
                        <w:pPr>
                          <w:pStyle w:val="TableParagraph"/>
                          <w:spacing w:line="139" w:lineRule="exact"/>
                          <w:ind w:left="1399" w:right="0"/>
                          <w:jc w:val="left"/>
                          <w:rPr>
                            <w:rFonts w:ascii="宋体" w:hAnsi="宋体" w:cs="宋体" w:eastAsia="宋体" w:hint="default"/>
                            <w:sz w:val="18"/>
                            <w:szCs w:val="18"/>
                          </w:rPr>
                        </w:pPr>
                        <w:r>
                          <w:rPr>
                            <w:rFonts w:ascii="宋体" w:hAnsi="宋体" w:cs="宋体" w:eastAsia="宋体" w:hint="default"/>
                            <w:sz w:val="18"/>
                            <w:szCs w:val="18"/>
                          </w:rPr>
                          <w:t>境内子公司</w:t>
                        </w:r>
                      </w:p>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180" w:lineRule="exact"/>
                          <w:ind w:left="23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2833" w:type="dxa"/>
                        <w:tcBorders>
                          <w:top w:val="nil" w:sz="6" w:space="0" w:color="auto"/>
                          <w:left w:val="nil" w:sz="6" w:space="0" w:color="auto"/>
                          <w:bottom w:val="single" w:sz="4" w:space="0" w:color="000000"/>
                          <w:right w:val="nil" w:sz="6" w:space="0" w:color="auto"/>
                        </w:tcBorders>
                      </w:tcPr>
                      <w:p>
                        <w:pPr>
                          <w:pStyle w:val="TableParagraph"/>
                          <w:spacing w:line="194" w:lineRule="exact"/>
                          <w:ind w:left="503"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3108" w:type="dxa"/>
                        <w:gridSpan w:val="2"/>
                        <w:tcBorders>
                          <w:top w:val="nil" w:sz="6" w:space="0" w:color="auto"/>
                          <w:left w:val="nil" w:sz="6" w:space="0" w:color="auto"/>
                          <w:bottom w:val="single" w:sz="4" w:space="0" w:color="000000"/>
                          <w:right w:val="nil" w:sz="6" w:space="0" w:color="auto"/>
                        </w:tcBorders>
                      </w:tcPr>
                      <w:p>
                        <w:pPr>
                          <w:pStyle w:val="TableParagraph"/>
                          <w:spacing w:line="194" w:lineRule="exact"/>
                          <w:ind w:right="320"/>
                          <w:jc w:val="center"/>
                          <w:rPr>
                            <w:rFonts w:ascii="Times New Roman" w:hAnsi="Times New Roman" w:cs="Times New Roman" w:eastAsia="Times New Roman" w:hint="default"/>
                            <w:sz w:val="18"/>
                            <w:szCs w:val="18"/>
                          </w:rPr>
                        </w:pPr>
                        <w:r>
                          <w:rPr>
                            <w:rFonts w:ascii="Times New Roman"/>
                            <w:sz w:val="18"/>
                          </w:rPr>
                          <w:t>100.00%</w:t>
                        </w:r>
                      </w:p>
                    </w:tc>
                  </w:tr>
                  <w:tr>
                    <w:trPr>
                      <w:trHeight w:val="421" w:hRule="exact"/>
                    </w:trPr>
                    <w:tc>
                      <w:tcPr>
                        <w:tcW w:w="25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武汉神州数码有</w:t>
                        </w:r>
                      </w:p>
                    </w:tc>
                    <w:tc>
                      <w:tcPr>
                        <w:tcW w:w="1098" w:type="dxa"/>
                        <w:tcBorders>
                          <w:top w:val="single" w:sz="4" w:space="0" w:color="000000"/>
                          <w:left w:val="nil" w:sz="6" w:space="0" w:color="auto"/>
                          <w:bottom w:val="nil" w:sz="6" w:space="0" w:color="auto"/>
                          <w:right w:val="nil" w:sz="6" w:space="0" w:color="auto"/>
                        </w:tcBorders>
                      </w:tcPr>
                      <w:p>
                        <w:pPr/>
                      </w:p>
                    </w:tc>
                    <w:tc>
                      <w:tcPr>
                        <w:tcW w:w="283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计算机软硬件及</w:t>
                        </w:r>
                      </w:p>
                    </w:tc>
                    <w:tc>
                      <w:tcPr>
                        <w:tcW w:w="3108" w:type="dxa"/>
                        <w:gridSpan w:val="2"/>
                        <w:tcBorders>
                          <w:top w:val="single" w:sz="4" w:space="0" w:color="000000"/>
                          <w:left w:val="nil" w:sz="6" w:space="0" w:color="auto"/>
                          <w:bottom w:val="nil" w:sz="6" w:space="0" w:color="auto"/>
                          <w:right w:val="nil" w:sz="6" w:space="0" w:color="auto"/>
                        </w:tcBorders>
                      </w:tcPr>
                      <w:p>
                        <w:pPr/>
                      </w:p>
                    </w:tc>
                  </w:tr>
                  <w:tr>
                    <w:trPr>
                      <w:trHeight w:val="603" w:hRule="exact"/>
                    </w:trPr>
                    <w:tc>
                      <w:tcPr>
                        <w:tcW w:w="2534" w:type="dxa"/>
                        <w:tcBorders>
                          <w:top w:val="nil" w:sz="6" w:space="0" w:color="auto"/>
                          <w:left w:val="nil" w:sz="6" w:space="0" w:color="auto"/>
                          <w:bottom w:val="nil" w:sz="6" w:space="0" w:color="auto"/>
                          <w:right w:val="nil" w:sz="6" w:space="0" w:color="auto"/>
                        </w:tcBorders>
                      </w:tcPr>
                      <w:p>
                        <w:pPr>
                          <w:pStyle w:val="TableParagraph"/>
                          <w:spacing w:line="140" w:lineRule="exact"/>
                          <w:ind w:left="1399" w:right="0"/>
                          <w:jc w:val="left"/>
                          <w:rPr>
                            <w:rFonts w:ascii="宋体" w:hAnsi="宋体" w:cs="宋体" w:eastAsia="宋体" w:hint="default"/>
                            <w:sz w:val="18"/>
                            <w:szCs w:val="18"/>
                          </w:rPr>
                        </w:pPr>
                        <w:r>
                          <w:rPr>
                            <w:rFonts w:ascii="宋体" w:hAnsi="宋体" w:cs="宋体" w:eastAsia="宋体" w:hint="default"/>
                            <w:sz w:val="18"/>
                            <w:szCs w:val="18"/>
                          </w:rPr>
                          <w:t>境内子公司</w:t>
                        </w:r>
                      </w:p>
                      <w:p>
                        <w:pPr>
                          <w:pStyle w:val="TableParagraph"/>
                          <w:spacing w:line="209" w:lineRule="exact"/>
                          <w:ind w:left="28"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180" w:lineRule="exact"/>
                          <w:ind w:left="23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833" w:type="dxa"/>
                        <w:tcBorders>
                          <w:top w:val="nil" w:sz="6" w:space="0" w:color="auto"/>
                          <w:left w:val="nil" w:sz="6" w:space="0" w:color="auto"/>
                          <w:bottom w:val="nil" w:sz="6" w:space="0" w:color="auto"/>
                          <w:right w:val="nil" w:sz="6" w:space="0" w:color="auto"/>
                        </w:tcBorders>
                      </w:tcPr>
                      <w:p>
                        <w:pPr>
                          <w:pStyle w:val="TableParagraph"/>
                          <w:spacing w:line="180" w:lineRule="exact"/>
                          <w:ind w:left="503" w:right="0"/>
                          <w:jc w:val="left"/>
                          <w:rPr>
                            <w:rFonts w:ascii="宋体" w:hAnsi="宋体" w:cs="宋体" w:eastAsia="宋体" w:hint="default"/>
                            <w:sz w:val="18"/>
                            <w:szCs w:val="18"/>
                          </w:rPr>
                        </w:pPr>
                        <w:r>
                          <w:rPr>
                            <w:rFonts w:ascii="宋体" w:hAnsi="宋体" w:cs="宋体" w:eastAsia="宋体" w:hint="default"/>
                            <w:sz w:val="18"/>
                            <w:szCs w:val="18"/>
                          </w:rPr>
                          <w:t>辅助设备的制造</w:t>
                        </w:r>
                      </w:p>
                      <w:p>
                        <w:pPr>
                          <w:pStyle w:val="TableParagraph"/>
                          <w:spacing w:line="240" w:lineRule="auto" w:before="76"/>
                          <w:ind w:left="503" w:right="0"/>
                          <w:jc w:val="left"/>
                          <w:rPr>
                            <w:rFonts w:ascii="宋体" w:hAnsi="宋体" w:cs="宋体" w:eastAsia="宋体" w:hint="default"/>
                            <w:sz w:val="18"/>
                            <w:szCs w:val="18"/>
                          </w:rPr>
                        </w:pPr>
                        <w:r>
                          <w:rPr>
                            <w:rFonts w:ascii="宋体" w:hAnsi="宋体" w:cs="宋体" w:eastAsia="宋体" w:hint="default"/>
                            <w:sz w:val="18"/>
                            <w:szCs w:val="18"/>
                          </w:rPr>
                          <w:t>及技术咨询服务</w:t>
                        </w:r>
                      </w:p>
                    </w:tc>
                    <w:tc>
                      <w:tcPr>
                        <w:tcW w:w="3108"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left="10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设立</w:t>
                        </w:r>
                      </w:p>
                    </w:tc>
                  </w:tr>
                  <w:tr>
                    <w:trPr>
                      <w:trHeight w:val="715" w:hRule="exact"/>
                    </w:trPr>
                    <w:tc>
                      <w:tcPr>
                        <w:tcW w:w="2534" w:type="dxa"/>
                        <w:tcBorders>
                          <w:top w:val="nil" w:sz="6" w:space="0" w:color="auto"/>
                          <w:left w:val="nil" w:sz="6" w:space="0" w:color="auto"/>
                          <w:bottom w:val="single" w:sz="4" w:space="0" w:color="000000"/>
                          <w:right w:val="nil" w:sz="6" w:space="0" w:color="auto"/>
                        </w:tcBorders>
                      </w:tcPr>
                      <w:p>
                        <w:pPr>
                          <w:pStyle w:val="TableParagraph"/>
                          <w:spacing w:line="196" w:lineRule="exact" w:before="56"/>
                          <w:ind w:left="28" w:right="0"/>
                          <w:jc w:val="left"/>
                          <w:rPr>
                            <w:rFonts w:ascii="宋体" w:hAnsi="宋体" w:cs="宋体" w:eastAsia="宋体" w:hint="default"/>
                            <w:sz w:val="18"/>
                            <w:szCs w:val="18"/>
                          </w:rPr>
                        </w:pPr>
                        <w:r>
                          <w:rPr>
                            <w:rFonts w:ascii="宋体" w:hAnsi="宋体" w:cs="宋体" w:eastAsia="宋体" w:hint="default"/>
                            <w:sz w:val="18"/>
                            <w:szCs w:val="18"/>
                          </w:rPr>
                          <w:t>杭州神州数码有</w:t>
                        </w:r>
                      </w:p>
                      <w:p>
                        <w:pPr>
                          <w:pStyle w:val="TableParagraph"/>
                          <w:spacing w:line="155" w:lineRule="exact"/>
                          <w:ind w:left="1399" w:right="0"/>
                          <w:jc w:val="left"/>
                          <w:rPr>
                            <w:rFonts w:ascii="宋体" w:hAnsi="宋体" w:cs="宋体" w:eastAsia="宋体" w:hint="default"/>
                            <w:sz w:val="18"/>
                            <w:szCs w:val="18"/>
                          </w:rPr>
                        </w:pPr>
                        <w:r>
                          <w:rPr>
                            <w:rFonts w:ascii="宋体" w:hAnsi="宋体" w:cs="宋体" w:eastAsia="宋体" w:hint="default"/>
                            <w:sz w:val="18"/>
                            <w:szCs w:val="18"/>
                          </w:rPr>
                          <w:t>境内子公司</w:t>
                        </w:r>
                      </w:p>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83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3108" w:type="dxa"/>
                        <w:gridSpan w:val="2"/>
                        <w:tcBorders>
                          <w:top w:val="nil" w:sz="6" w:space="0" w:color="auto"/>
                          <w:left w:val="nil" w:sz="6" w:space="0" w:color="auto"/>
                          <w:bottom w:val="single" w:sz="4" w:space="0" w:color="000000"/>
                          <w:right w:val="nil" w:sz="6" w:space="0" w:color="auto"/>
                        </w:tcBorders>
                      </w:tcPr>
                      <w:p>
                        <w:pPr>
                          <w:pStyle w:val="TableParagraph"/>
                          <w:spacing w:line="217" w:lineRule="exact" w:before="56"/>
                          <w:ind w:left="1770" w:right="0"/>
                          <w:jc w:val="left"/>
                          <w:rPr>
                            <w:rFonts w:ascii="宋体" w:hAnsi="宋体" w:cs="宋体" w:eastAsia="宋体" w:hint="default"/>
                            <w:sz w:val="18"/>
                            <w:szCs w:val="18"/>
                          </w:rPr>
                        </w:pPr>
                        <w:r>
                          <w:rPr>
                            <w:rFonts w:ascii="宋体" w:hAnsi="宋体" w:cs="宋体" w:eastAsia="宋体" w:hint="default"/>
                            <w:sz w:val="18"/>
                            <w:szCs w:val="18"/>
                          </w:rPr>
                          <w:t>非同一控制下企</w:t>
                        </w:r>
                      </w:p>
                      <w:p>
                        <w:pPr>
                          <w:pStyle w:val="TableParagraph"/>
                          <w:spacing w:line="188" w:lineRule="exact"/>
                          <w:ind w:right="320"/>
                          <w:jc w:val="center"/>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2534" w:type="dxa"/>
                        <w:tcBorders>
                          <w:top w:val="single" w:sz="4" w:space="0" w:color="000000"/>
                          <w:left w:val="nil" w:sz="6" w:space="0" w:color="auto"/>
                          <w:bottom w:val="single" w:sz="4" w:space="0" w:color="000000"/>
                          <w:right w:val="nil" w:sz="6" w:space="0" w:color="auto"/>
                        </w:tcBorders>
                      </w:tcPr>
                      <w:p>
                        <w:pPr>
                          <w:pStyle w:val="TableParagraph"/>
                          <w:spacing w:line="196" w:lineRule="exact" w:before="49"/>
                          <w:ind w:left="28" w:right="0"/>
                          <w:jc w:val="left"/>
                          <w:rPr>
                            <w:rFonts w:ascii="宋体" w:hAnsi="宋体" w:cs="宋体" w:eastAsia="宋体" w:hint="default"/>
                            <w:sz w:val="18"/>
                            <w:szCs w:val="18"/>
                          </w:rPr>
                        </w:pPr>
                        <w:r>
                          <w:rPr>
                            <w:rFonts w:ascii="宋体" w:hAnsi="宋体" w:cs="宋体" w:eastAsia="宋体" w:hint="default"/>
                            <w:sz w:val="18"/>
                            <w:szCs w:val="18"/>
                          </w:rPr>
                          <w:t>西安神州数码有</w:t>
                        </w:r>
                      </w:p>
                      <w:p>
                        <w:pPr>
                          <w:pStyle w:val="TableParagraph"/>
                          <w:spacing w:line="156" w:lineRule="exact"/>
                          <w:ind w:left="1399" w:right="0"/>
                          <w:jc w:val="left"/>
                          <w:rPr>
                            <w:rFonts w:ascii="宋体" w:hAnsi="宋体" w:cs="宋体" w:eastAsia="宋体" w:hint="default"/>
                            <w:sz w:val="18"/>
                            <w:szCs w:val="18"/>
                          </w:rPr>
                        </w:pPr>
                        <w:r>
                          <w:rPr>
                            <w:rFonts w:ascii="宋体" w:hAnsi="宋体" w:cs="宋体" w:eastAsia="宋体" w:hint="default"/>
                            <w:sz w:val="18"/>
                            <w:szCs w:val="18"/>
                          </w:rPr>
                          <w:t>境内子公司</w:t>
                        </w:r>
                      </w:p>
                      <w:p>
                        <w:pPr>
                          <w:pStyle w:val="TableParagraph"/>
                          <w:spacing w:line="209" w:lineRule="exact"/>
                          <w:ind w:left="28"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9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283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3108" w:type="dxa"/>
                        <w:gridSpan w:val="2"/>
                        <w:tcBorders>
                          <w:top w:val="single" w:sz="4" w:space="0" w:color="000000"/>
                          <w:left w:val="nil" w:sz="6" w:space="0" w:color="auto"/>
                          <w:bottom w:val="single" w:sz="4" w:space="0" w:color="000000"/>
                          <w:right w:val="nil" w:sz="6" w:space="0" w:color="auto"/>
                        </w:tcBorders>
                      </w:tcPr>
                      <w:p>
                        <w:pPr>
                          <w:pStyle w:val="TableParagraph"/>
                          <w:spacing w:line="217" w:lineRule="exact" w:before="49"/>
                          <w:ind w:left="1770" w:right="0"/>
                          <w:jc w:val="left"/>
                          <w:rPr>
                            <w:rFonts w:ascii="宋体" w:hAnsi="宋体" w:cs="宋体" w:eastAsia="宋体" w:hint="default"/>
                            <w:sz w:val="18"/>
                            <w:szCs w:val="18"/>
                          </w:rPr>
                        </w:pPr>
                        <w:r>
                          <w:rPr>
                            <w:rFonts w:ascii="宋体" w:hAnsi="宋体" w:cs="宋体" w:eastAsia="宋体" w:hint="default"/>
                            <w:sz w:val="18"/>
                            <w:szCs w:val="18"/>
                          </w:rPr>
                          <w:t>非同一控制下企</w:t>
                        </w:r>
                      </w:p>
                      <w:p>
                        <w:pPr>
                          <w:pStyle w:val="TableParagraph"/>
                          <w:spacing w:line="188" w:lineRule="exact"/>
                          <w:ind w:right="320"/>
                          <w:jc w:val="center"/>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534" w:type="dxa"/>
                        <w:tcBorders>
                          <w:top w:val="single" w:sz="4" w:space="0" w:color="000000"/>
                          <w:left w:val="nil" w:sz="6" w:space="0" w:color="auto"/>
                          <w:bottom w:val="single" w:sz="4" w:space="0" w:color="000000"/>
                          <w:right w:val="nil" w:sz="6" w:space="0" w:color="auto"/>
                        </w:tcBorders>
                      </w:tcPr>
                      <w:p>
                        <w:pPr>
                          <w:pStyle w:val="TableParagraph"/>
                          <w:spacing w:line="196" w:lineRule="exact" w:before="51"/>
                          <w:ind w:left="28" w:right="0"/>
                          <w:jc w:val="left"/>
                          <w:rPr>
                            <w:rFonts w:ascii="宋体" w:hAnsi="宋体" w:cs="宋体" w:eastAsia="宋体" w:hint="default"/>
                            <w:sz w:val="18"/>
                            <w:szCs w:val="18"/>
                          </w:rPr>
                        </w:pPr>
                        <w:r>
                          <w:rPr>
                            <w:rFonts w:ascii="宋体" w:hAnsi="宋体" w:cs="宋体" w:eastAsia="宋体" w:hint="default"/>
                            <w:sz w:val="18"/>
                            <w:szCs w:val="18"/>
                          </w:rPr>
                          <w:t>福州神州数码有</w:t>
                        </w:r>
                      </w:p>
                      <w:p>
                        <w:pPr>
                          <w:pStyle w:val="TableParagraph"/>
                          <w:spacing w:line="155" w:lineRule="exact"/>
                          <w:ind w:left="1399" w:right="0"/>
                          <w:jc w:val="left"/>
                          <w:rPr>
                            <w:rFonts w:ascii="宋体" w:hAnsi="宋体" w:cs="宋体" w:eastAsia="宋体" w:hint="default"/>
                            <w:sz w:val="18"/>
                            <w:szCs w:val="18"/>
                          </w:rPr>
                        </w:pPr>
                        <w:r>
                          <w:rPr>
                            <w:rFonts w:ascii="宋体" w:hAnsi="宋体" w:cs="宋体" w:eastAsia="宋体" w:hint="default"/>
                            <w:sz w:val="18"/>
                            <w:szCs w:val="18"/>
                          </w:rPr>
                          <w:t>境内子公司</w:t>
                        </w:r>
                      </w:p>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09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28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3108" w:type="dxa"/>
                        <w:gridSpan w:val="2"/>
                        <w:tcBorders>
                          <w:top w:val="single" w:sz="4" w:space="0" w:color="000000"/>
                          <w:left w:val="nil" w:sz="6" w:space="0" w:color="auto"/>
                          <w:bottom w:val="single" w:sz="4" w:space="0" w:color="000000"/>
                          <w:right w:val="nil" w:sz="6" w:space="0" w:color="auto"/>
                        </w:tcBorders>
                      </w:tcPr>
                      <w:p>
                        <w:pPr>
                          <w:pStyle w:val="TableParagraph"/>
                          <w:spacing w:line="217" w:lineRule="exact" w:before="51"/>
                          <w:ind w:left="1770" w:right="0"/>
                          <w:jc w:val="left"/>
                          <w:rPr>
                            <w:rFonts w:ascii="宋体" w:hAnsi="宋体" w:cs="宋体" w:eastAsia="宋体" w:hint="default"/>
                            <w:sz w:val="18"/>
                            <w:szCs w:val="18"/>
                          </w:rPr>
                        </w:pPr>
                        <w:r>
                          <w:rPr>
                            <w:rFonts w:ascii="宋体" w:hAnsi="宋体" w:cs="宋体" w:eastAsia="宋体" w:hint="default"/>
                            <w:sz w:val="18"/>
                            <w:szCs w:val="18"/>
                          </w:rPr>
                          <w:t>非同一控制下企</w:t>
                        </w:r>
                      </w:p>
                      <w:p>
                        <w:pPr>
                          <w:pStyle w:val="TableParagraph"/>
                          <w:spacing w:line="141" w:lineRule="exact"/>
                          <w:ind w:right="32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188" w:lineRule="exact"/>
                          <w:ind w:left="1770" w:right="0"/>
                          <w:jc w:val="left"/>
                          <w:rPr>
                            <w:rFonts w:ascii="宋体" w:hAnsi="宋体" w:cs="宋体" w:eastAsia="宋体" w:hint="default"/>
                            <w:sz w:val="18"/>
                            <w:szCs w:val="18"/>
                          </w:rPr>
                        </w:pPr>
                        <w:r>
                          <w:rPr>
                            <w:rFonts w:ascii="宋体" w:hAnsi="宋体" w:cs="宋体" w:eastAsia="宋体" w:hint="default"/>
                            <w:sz w:val="18"/>
                            <w:szCs w:val="18"/>
                          </w:rPr>
                          <w:t>业合并</w:t>
                        </w:r>
                      </w:p>
                    </w:tc>
                  </w:tr>
                </w:tbl>
                <w:p>
                  <w:pPr/>
                </w:p>
              </w:txbxContent>
            </v:textbox>
            <w10:wrap type="none"/>
          </v:shape>
        </w:pict>
      </w:r>
      <w:r>
        <w:rPr>
          <w:spacing w:val="-5"/>
        </w:rPr>
        <w:t>神州数码（深圳）</w:t>
        <w:tab/>
      </w:r>
      <w:r>
        <w:rPr/>
        <w:t>非同一控制下企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995"/>
        <w:jc w:val="right"/>
      </w:pPr>
      <w:r>
        <w:rPr/>
        <w:t>业合并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995"/>
        <w:jc w:val="right"/>
      </w:pPr>
      <w:r>
        <w:rPr/>
        <w:t>业合并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995"/>
        <w:jc w:val="right"/>
      </w:pPr>
      <w:r>
        <w:rPr/>
        <w:t>业合并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700" w:left="980" w:right="0"/>
        </w:sectPr>
      </w:pPr>
    </w:p>
    <w:p>
      <w:pPr>
        <w:pStyle w:val="BodyText"/>
        <w:spacing w:line="316" w:lineRule="auto" w:before="44"/>
        <w:ind w:left="181" w:right="-20"/>
        <w:jc w:val="left"/>
      </w:pPr>
      <w:r>
        <w:rPr/>
        <w:t>广州神州数码信 息科技有限公司</w:t>
      </w:r>
    </w:p>
    <w:p>
      <w:pPr>
        <w:pStyle w:val="BodyText"/>
        <w:spacing w:line="240" w:lineRule="auto" w:before="19"/>
        <w:ind w:left="181" w:right="-20"/>
        <w:jc w:val="left"/>
      </w:pPr>
      <w:r>
        <w:rPr/>
        <w:t>（注</w:t>
      </w:r>
      <w:r>
        <w:rPr>
          <w:spacing w:val="-49"/>
        </w:rPr>
        <w:t> </w:t>
      </w:r>
      <w:r>
        <w:rPr>
          <w:rFonts w:ascii="Times New Roman" w:hAnsi="Times New Roman" w:cs="Times New Roman" w:eastAsia="Times New Roman" w:hint="default"/>
        </w:rPr>
        <w:t>11</w:t>
      </w:r>
      <w:r>
        <w:rPr/>
        <w:t>）</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439" w:val="left" w:leader="none"/>
          <w:tab w:pos="2807" w:val="left" w:leader="none"/>
          <w:tab w:pos="4838" w:val="left" w:leader="none"/>
        </w:tabs>
        <w:spacing w:line="240" w:lineRule="auto" w:before="121"/>
        <w:ind w:left="70" w:right="-19"/>
        <w:jc w:val="left"/>
        <w:rPr>
          <w:rFonts w:ascii="Times New Roman" w:hAnsi="Times New Roman" w:cs="Times New Roman" w:eastAsia="Times New Roman" w:hint="default"/>
        </w:rPr>
      </w:pPr>
      <w:r>
        <w:rPr/>
        <w:t>境内子公司</w:t>
        <w:tab/>
        <w:t>广州</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pStyle w:val="BodyText"/>
        <w:spacing w:line="316" w:lineRule="auto"/>
        <w:ind w:left="181" w:right="1257"/>
        <w:jc w:val="left"/>
      </w:pPr>
      <w:r>
        <w:rPr/>
        <w:t>非同一控制下企 业合并</w:t>
      </w:r>
    </w:p>
    <w:p>
      <w:pPr>
        <w:spacing w:after="0" w:line="316" w:lineRule="auto"/>
        <w:jc w:val="left"/>
        <w:sectPr>
          <w:type w:val="continuous"/>
          <w:pgSz w:w="11910" w:h="16840"/>
          <w:pgMar w:top="1580" w:bottom="700" w:left="980" w:right="0"/>
          <w:cols w:num="3" w:equalWidth="0">
            <w:col w:w="1442" w:space="40"/>
            <w:col w:w="5485" w:space="1241"/>
            <w:col w:w="2722"/>
          </w:cols>
        </w:sectPr>
      </w:pP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700" w:left="980" w:right="0"/>
        </w:sectPr>
      </w:pPr>
    </w:p>
    <w:p>
      <w:pPr>
        <w:pStyle w:val="BodyText"/>
        <w:spacing w:line="314" w:lineRule="auto" w:before="44"/>
        <w:ind w:left="181" w:right="-19"/>
        <w:jc w:val="left"/>
      </w:pPr>
      <w:r>
        <w:rPr/>
        <w:t>成都神州数码有 限公司（注</w:t>
      </w:r>
      <w:r>
        <w:rPr>
          <w:spacing w:val="-42"/>
        </w:rPr>
        <w:t> </w:t>
      </w:r>
      <w:r>
        <w:rPr>
          <w:rFonts w:ascii="Times New Roman" w:hAnsi="Times New Roman" w:cs="Times New Roman" w:eastAsia="Times New Roman" w:hint="default"/>
        </w:rPr>
        <w:t>12</w:t>
      </w:r>
      <w:r>
        <w:rPr/>
        <w:t>）</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390" w:val="left" w:leader="none"/>
          <w:tab w:pos="2758" w:val="left" w:leader="none"/>
          <w:tab w:pos="6157" w:val="left" w:leader="none"/>
        </w:tabs>
        <w:spacing w:line="240" w:lineRule="auto"/>
        <w:ind w:left="22" w:right="-19"/>
        <w:jc w:val="left"/>
        <w:rPr>
          <w:rFonts w:ascii="Times New Roman" w:hAnsi="Times New Roman" w:cs="Times New Roman" w:eastAsia="Times New Roman" w:hint="default"/>
        </w:rPr>
      </w:pPr>
      <w:r>
        <w:rPr/>
        <w:t>境内子公司</w:t>
        <w:tab/>
        <w:t>成都</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314" w:lineRule="auto" w:before="44"/>
        <w:ind w:left="15" w:right="1257"/>
        <w:jc w:val="left"/>
      </w:pPr>
      <w:r>
        <w:rPr/>
        <w:br w:type="column"/>
      </w:r>
      <w:r>
        <w:rPr/>
        <w:t>非同一控制下企 业合并</w:t>
      </w:r>
    </w:p>
    <w:p>
      <w:pPr>
        <w:spacing w:after="0" w:line="314" w:lineRule="auto"/>
        <w:jc w:val="left"/>
        <w:sectPr>
          <w:type w:val="continuous"/>
          <w:pgSz w:w="11910" w:h="16840"/>
          <w:pgMar w:top="1580" w:bottom="700" w:left="980" w:right="0"/>
          <w:cols w:num="3" w:equalWidth="0">
            <w:col w:w="1491" w:space="40"/>
            <w:col w:w="6804" w:space="40"/>
            <w:col w:w="2555"/>
          </w:cols>
        </w:sectPr>
      </w:pPr>
    </w:p>
    <w:p>
      <w:pPr>
        <w:pStyle w:val="BodyText"/>
        <w:spacing w:line="316" w:lineRule="auto" w:before="92"/>
        <w:ind w:left="181" w:right="-19"/>
        <w:jc w:val="left"/>
      </w:pPr>
      <w:r>
        <w:rPr/>
        <w:t>北京神州数码有 限公司（注</w:t>
      </w:r>
      <w:r>
        <w:rPr>
          <w:spacing w:val="-42"/>
        </w:rPr>
        <w:t> </w:t>
      </w:r>
      <w:r>
        <w:rPr>
          <w:rFonts w:ascii="Times New Roman" w:hAnsi="Times New Roman" w:cs="Times New Roman" w:eastAsia="Times New Roman" w:hint="default"/>
        </w:rPr>
        <w:t>13</w:t>
      </w:r>
      <w:r>
        <w:rPr/>
        <w:t>）</w:t>
      </w:r>
    </w:p>
    <w:p>
      <w:pPr>
        <w:spacing w:line="240" w:lineRule="auto" w:before="13"/>
        <w:rPr>
          <w:rFonts w:ascii="宋体" w:hAnsi="宋体" w:cs="宋体" w:eastAsia="宋体" w:hint="default"/>
          <w:sz w:val="18"/>
          <w:szCs w:val="18"/>
        </w:rPr>
      </w:pPr>
      <w:r>
        <w:rPr/>
        <w:br w:type="column"/>
      </w:r>
      <w:r>
        <w:rPr>
          <w:rFonts w:ascii="宋体"/>
          <w:sz w:val="18"/>
        </w:rPr>
      </w:r>
    </w:p>
    <w:p>
      <w:pPr>
        <w:pStyle w:val="BodyText"/>
        <w:tabs>
          <w:tab w:pos="1390" w:val="left" w:leader="none"/>
          <w:tab w:pos="2758" w:val="left" w:leader="none"/>
          <w:tab w:pos="6157" w:val="left" w:leader="none"/>
        </w:tabs>
        <w:spacing w:line="240" w:lineRule="auto"/>
        <w:ind w:left="22" w:right="-19"/>
        <w:jc w:val="left"/>
        <w:rPr>
          <w:rFonts w:ascii="Times New Roman" w:hAnsi="Times New Roman" w:cs="Times New Roman" w:eastAsia="Times New Roman" w:hint="default"/>
        </w:rPr>
      </w:pPr>
      <w:r>
        <w:rPr/>
        <w:t>境内子公司</w:t>
        <w:tab/>
        <w:t>北京</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316" w:lineRule="auto" w:before="92"/>
        <w:ind w:left="15" w:right="1257"/>
        <w:jc w:val="left"/>
      </w:pPr>
      <w:r>
        <w:rPr/>
        <w:br w:type="column"/>
      </w:r>
      <w:r>
        <w:rPr/>
        <w:t>非同一控制下企 业合并</w:t>
      </w:r>
    </w:p>
    <w:p>
      <w:pPr>
        <w:spacing w:after="0" w:line="316" w:lineRule="auto"/>
        <w:jc w:val="left"/>
        <w:sectPr>
          <w:type w:val="continuous"/>
          <w:pgSz w:w="11910" w:h="16840"/>
          <w:pgMar w:top="1580" w:bottom="700" w:left="980" w:right="0"/>
          <w:cols w:num="3" w:equalWidth="0">
            <w:col w:w="1491" w:space="40"/>
            <w:col w:w="6804" w:space="40"/>
            <w:col w:w="2555"/>
          </w:cols>
        </w:sectPr>
      </w:pPr>
    </w:p>
    <w:p>
      <w:pPr>
        <w:pStyle w:val="BodyText"/>
        <w:spacing w:line="316" w:lineRule="auto" w:before="90"/>
        <w:ind w:left="181" w:right="0"/>
        <w:jc w:val="both"/>
      </w:pPr>
      <w:r>
        <w:rPr/>
        <w:t>北京神州数码供 应链服务有限公 司（注</w:t>
      </w:r>
      <w:r>
        <w:rPr>
          <w:spacing w:val="-42"/>
        </w:rPr>
        <w:t> </w:t>
      </w:r>
      <w:r>
        <w:rPr>
          <w:rFonts w:ascii="Times New Roman" w:hAnsi="Times New Roman" w:cs="Times New Roman" w:eastAsia="Times New Roman" w:hint="default"/>
        </w:rPr>
        <w:t>14</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pStyle w:val="BodyText"/>
        <w:tabs>
          <w:tab w:pos="1439" w:val="left" w:leader="none"/>
          <w:tab w:pos="2807" w:val="left" w:leader="none"/>
          <w:tab w:pos="6206" w:val="left" w:leader="none"/>
        </w:tabs>
        <w:spacing w:line="240" w:lineRule="auto"/>
        <w:ind w:left="70" w:right="-19"/>
        <w:jc w:val="left"/>
        <w:rPr>
          <w:rFonts w:ascii="Times New Roman" w:hAnsi="Times New Roman" w:cs="Times New Roman" w:eastAsia="Times New Roman" w:hint="default"/>
        </w:rPr>
      </w:pPr>
      <w:r>
        <w:rPr/>
        <w:t>境内子公司</w:t>
        <w:tab/>
        <w:t>北京</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spacing w:line="240" w:lineRule="auto" w:before="5"/>
        <w:rPr>
          <w:rFonts w:ascii="Times New Roman" w:hAnsi="Times New Roman" w:cs="Times New Roman" w:eastAsia="Times New Roman" w:hint="default"/>
          <w:sz w:val="21"/>
          <w:szCs w:val="21"/>
        </w:rPr>
      </w:pPr>
      <w:r>
        <w:rPr/>
        <w:br w:type="column"/>
      </w:r>
      <w:r>
        <w:rPr>
          <w:rFonts w:ascii="Times New Roman"/>
          <w:sz w:val="21"/>
        </w:rPr>
      </w:r>
    </w:p>
    <w:p>
      <w:pPr>
        <w:pStyle w:val="BodyText"/>
        <w:spacing w:line="314" w:lineRule="auto"/>
        <w:ind w:left="15" w:right="1257"/>
        <w:jc w:val="left"/>
      </w:pPr>
      <w:r>
        <w:rPr/>
        <w:t>非同一控制下企 业合并</w:t>
      </w:r>
    </w:p>
    <w:p>
      <w:pPr>
        <w:spacing w:after="0" w:line="314" w:lineRule="auto"/>
        <w:jc w:val="left"/>
        <w:sectPr>
          <w:type w:val="continuous"/>
          <w:pgSz w:w="11910" w:h="16840"/>
          <w:pgMar w:top="1580" w:bottom="700" w:left="980" w:right="0"/>
          <w:cols w:num="3" w:equalWidth="0">
            <w:col w:w="1442" w:space="40"/>
            <w:col w:w="6853" w:space="40"/>
            <w:col w:w="2555"/>
          </w:cols>
        </w:sectPr>
      </w:pPr>
    </w:p>
    <w:p>
      <w:pPr>
        <w:pStyle w:val="BodyText"/>
        <w:spacing w:line="196" w:lineRule="exact" w:before="90"/>
        <w:ind w:left="181" w:right="-19"/>
        <w:jc w:val="left"/>
      </w:pPr>
      <w:r>
        <w:rPr>
          <w:spacing w:val="-5"/>
        </w:rPr>
        <w:t>神州数码（郑州）</w:t>
      </w:r>
    </w:p>
    <w:p>
      <w:pPr>
        <w:pStyle w:val="BodyText"/>
        <w:tabs>
          <w:tab w:pos="2920" w:val="left" w:leader="none"/>
          <w:tab w:pos="4288" w:val="left" w:leader="none"/>
          <w:tab w:pos="7687" w:val="left" w:leader="none"/>
        </w:tabs>
        <w:spacing w:line="163" w:lineRule="exact"/>
        <w:ind w:left="1552" w:right="-19"/>
        <w:jc w:val="left"/>
        <w:rPr>
          <w:rFonts w:ascii="Times New Roman" w:hAnsi="Times New Roman" w:cs="Times New Roman" w:eastAsia="Times New Roman" w:hint="default"/>
        </w:rPr>
      </w:pPr>
      <w:r>
        <w:rPr/>
        <w:t>境内子公司</w:t>
        <w:tab/>
        <w:t>郑州</w:t>
        <w:tab/>
        <w:t>分销</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w:t>
        <w:tab/>
      </w:r>
      <w:r>
        <w:rPr>
          <w:rFonts w:ascii="Times New Roman" w:hAnsi="Times New Roman" w:cs="Times New Roman" w:eastAsia="Times New Roman" w:hint="default"/>
        </w:rPr>
        <w:t>100.00%</w:t>
      </w:r>
    </w:p>
    <w:p>
      <w:pPr>
        <w:pStyle w:val="BodyText"/>
        <w:spacing w:line="203" w:lineRule="exact"/>
        <w:ind w:left="181" w:right="-19"/>
        <w:jc w:val="left"/>
      </w:pPr>
      <w:r>
        <w:rPr/>
        <w:t>有限公</w:t>
      </w:r>
      <w:r>
        <w:rPr>
          <w:spacing w:val="-80"/>
        </w:rPr>
        <w:t>司</w:t>
      </w:r>
      <w:r>
        <w:rPr/>
        <w:t>（注</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t>）</w:t>
      </w:r>
    </w:p>
    <w:p>
      <w:pPr>
        <w:pStyle w:val="BodyText"/>
        <w:spacing w:line="316" w:lineRule="auto" w:before="90"/>
        <w:ind w:left="15" w:right="1257"/>
        <w:jc w:val="left"/>
      </w:pPr>
      <w:r>
        <w:rPr/>
        <w:br w:type="column"/>
      </w:r>
      <w:r>
        <w:rPr/>
        <w:t>非同一控制下企 业合并</w:t>
      </w:r>
    </w:p>
    <w:p>
      <w:pPr>
        <w:spacing w:after="0" w:line="316" w:lineRule="auto"/>
        <w:jc w:val="left"/>
        <w:sectPr>
          <w:type w:val="continuous"/>
          <w:pgSz w:w="11910" w:h="16840"/>
          <w:pgMar w:top="1580" w:bottom="700" w:left="980" w:right="0"/>
          <w:cols w:num="2" w:equalWidth="0">
            <w:col w:w="8334" w:space="40"/>
            <w:col w:w="2556"/>
          </w:cols>
        </w:sectPr>
      </w:pPr>
    </w:p>
    <w:p>
      <w:pPr>
        <w:pStyle w:val="BodyText"/>
        <w:spacing w:line="307" w:lineRule="auto" w:before="110"/>
        <w:ind w:left="181" w:right="-20"/>
        <w:jc w:val="left"/>
      </w:pPr>
      <w:r>
        <w:rPr/>
        <w:pict>
          <v:group style="position:absolute;margin-left:56.400002pt;margin-top:71.759979pt;width:479.15pt;height:674.9pt;mso-position-horizontal-relative:page;mso-position-vertical-relative:page;z-index:-1665184" coordorigin="1128,1435" coordsize="9583,13498">
            <v:group style="position:absolute;left:1140;top:1450;width:1362;height:202" coordorigin="1140,1450" coordsize="1362,202">
              <v:shape style="position:absolute;left:1140;top:1450;width:1362;height:202" coordorigin="1140,1450" coordsize="1362,202" path="m1140,1651l2501,1651,2501,1450,1140,1450,1140,1651xe" filled="true" fillcolor="#d2d2d2" stroked="false">
                <v:path arrowok="t"/>
                <v:fill type="solid"/>
              </v:shape>
            </v:group>
            <v:group style="position:absolute;left:1151;top:1651;width:2;height:392" coordorigin="1151,1651" coordsize="2,392">
              <v:shape style="position:absolute;left:1151;top:1651;width:2;height:392" coordorigin="1151,1651" coordsize="0,392" path="m1151,1651l1151,2043e" filled="false" stroked="true" strokeweight="1.08pt" strokecolor="#d2d2d2">
                <v:path arrowok="t"/>
              </v:shape>
            </v:group>
            <v:group style="position:absolute;left:2489;top:1651;width:2;height:392" coordorigin="2489,1651" coordsize="2,392">
              <v:shape style="position:absolute;left:2489;top:1651;width:2;height:392" coordorigin="2489,1651" coordsize="0,392" path="m2489,1651l2489,2043e" filled="false" stroked="true" strokeweight="1.2pt" strokecolor="#d2d2d2">
                <v:path arrowok="t"/>
              </v:shape>
            </v:group>
            <v:group style="position:absolute;left:1140;top:2043;width:1362;height:202" coordorigin="1140,2043" coordsize="1362,202">
              <v:shape style="position:absolute;left:1140;top:2043;width:1362;height:202" coordorigin="1140,2043" coordsize="1362,202" path="m1140,2244l2501,2244,2501,2043,1140,2043,1140,2244xe" filled="true" fillcolor="#d2d2d2" stroked="false">
                <v:path arrowok="t"/>
                <v:fill type="solid"/>
              </v:shape>
            </v:group>
            <v:group style="position:absolute;left:1162;top:1651;width:1316;height:392" coordorigin="1162,1651" coordsize="1316,392">
              <v:shape style="position:absolute;left:1162;top:1651;width:1316;height:392" coordorigin="1162,1651" coordsize="1316,392" path="m1162,2043l2477,2043,2477,1651,1162,1651,1162,2043xe" filled="true" fillcolor="#d2d2d2" stroked="false">
                <v:path arrowok="t"/>
                <v:fill type="solid"/>
              </v:shape>
            </v:group>
            <v:group style="position:absolute;left:2511;top:1450;width:1357;height:202" coordorigin="2511,1450" coordsize="1357,202">
              <v:shape style="position:absolute;left:2511;top:1450;width:1357;height:202" coordorigin="2511,1450" coordsize="1357,202" path="m2511,1651l3867,1651,3867,1450,2511,1450,2511,1651xe" filled="true" fillcolor="#d2d2d2" stroked="false">
                <v:path arrowok="t"/>
                <v:fill type="solid"/>
              </v:shape>
            </v:group>
            <v:group style="position:absolute;left:2522;top:1651;width:2;height:392" coordorigin="2522,1651" coordsize="2,392">
              <v:shape style="position:absolute;left:2522;top:1651;width:2;height:392" coordorigin="2522,1651" coordsize="0,392" path="m2522,1651l2522,2043e" filled="false" stroked="true" strokeweight="1.08pt" strokecolor="#d2d2d2">
                <v:path arrowok="t"/>
              </v:shape>
            </v:group>
            <v:group style="position:absolute;left:3857;top:1651;width:2;height:392" coordorigin="3857,1651" coordsize="2,392">
              <v:shape style="position:absolute;left:3857;top:1651;width:2;height:392" coordorigin="3857,1651" coordsize="0,392" path="m3857,1651l3857,2043e" filled="false" stroked="true" strokeweight="1.08pt" strokecolor="#d2d2d2">
                <v:path arrowok="t"/>
              </v:shape>
            </v:group>
            <v:group style="position:absolute;left:2511;top:2043;width:1357;height:202" coordorigin="2511,2043" coordsize="1357,202">
              <v:shape style="position:absolute;left:2511;top:2043;width:1357;height:202" coordorigin="2511,2043" coordsize="1357,202" path="m2511,2244l3867,2244,3867,2043,2511,2043,2511,2244xe" filled="true" fillcolor="#d2d2d2" stroked="false">
                <v:path arrowok="t"/>
                <v:fill type="solid"/>
              </v:shape>
            </v:group>
            <v:group style="position:absolute;left:2532;top:1651;width:1314;height:392" coordorigin="2532,1651" coordsize="1314,392">
              <v:shape style="position:absolute;left:2532;top:1651;width:1314;height:392" coordorigin="2532,1651" coordsize="1314,392" path="m2532,2043l3846,2043,3846,1651,2532,1651,2532,2043xe" filled="true" fillcolor="#d2d2d2" stroked="false">
                <v:path arrowok="t"/>
                <v:fill type="solid"/>
              </v:shape>
            </v:group>
            <v:group style="position:absolute;left:3877;top:1450;width:1359;height:202" coordorigin="3877,1450" coordsize="1359,202">
              <v:shape style="position:absolute;left:3877;top:1450;width:1359;height:202" coordorigin="3877,1450" coordsize="1359,202" path="m3877,1651l5235,1651,5235,1450,3877,1450,3877,1651xe" filled="true" fillcolor="#d2d2d2" stroked="false">
                <v:path arrowok="t"/>
                <v:fill type="solid"/>
              </v:shape>
            </v:group>
            <v:group style="position:absolute;left:3889;top:1651;width:2;height:392" coordorigin="3889,1651" coordsize="2,392">
              <v:shape style="position:absolute;left:3889;top:1651;width:2;height:392" coordorigin="3889,1651" coordsize="0,392" path="m3889,1651l3889,2043e" filled="false" stroked="true" strokeweight="1.2pt" strokecolor="#d2d2d2">
                <v:path arrowok="t"/>
              </v:shape>
            </v:group>
            <v:group style="position:absolute;left:5223;top:1651;width:2;height:392" coordorigin="5223,1651" coordsize="2,392">
              <v:shape style="position:absolute;left:5223;top:1651;width:2;height:392" coordorigin="5223,1651" coordsize="0,392" path="m5223,1651l5223,2043e" filled="false" stroked="true" strokeweight="1.2pt" strokecolor="#d2d2d2">
                <v:path arrowok="t"/>
              </v:shape>
            </v:group>
            <v:group style="position:absolute;left:3877;top:2043;width:1359;height:202" coordorigin="3877,2043" coordsize="1359,202">
              <v:shape style="position:absolute;left:3877;top:2043;width:1359;height:202" coordorigin="3877,2043" coordsize="1359,202" path="m3877,2244l5235,2244,5235,2043,3877,2043,3877,2244xe" filled="true" fillcolor="#d2d2d2" stroked="false">
                <v:path arrowok="t"/>
                <v:fill type="solid"/>
              </v:shape>
            </v:group>
            <v:group style="position:absolute;left:3901;top:1651;width:1311;height:392" coordorigin="3901,1651" coordsize="1311,392">
              <v:shape style="position:absolute;left:3901;top:1651;width:1311;height:392" coordorigin="3901,1651" coordsize="1311,392" path="m3901,2043l5211,2043,5211,1651,3901,1651,3901,2043xe" filled="true" fillcolor="#d2d2d2" stroked="false">
                <v:path arrowok="t"/>
                <v:fill type="solid"/>
              </v:shape>
            </v:group>
            <v:group style="position:absolute;left:5245;top:1450;width:1357;height:202" coordorigin="5245,1450" coordsize="1357,202">
              <v:shape style="position:absolute;left:5245;top:1450;width:1357;height:202" coordorigin="5245,1450" coordsize="1357,202" path="m5245,1651l6601,1651,6601,1450,5245,1450,5245,1651xe" filled="true" fillcolor="#d2d2d2" stroked="false">
                <v:path arrowok="t"/>
                <v:fill type="solid"/>
              </v:shape>
            </v:group>
            <v:group style="position:absolute;left:5257;top:1651;width:2;height:392" coordorigin="5257,1651" coordsize="2,392">
              <v:shape style="position:absolute;left:5257;top:1651;width:2;height:392" coordorigin="5257,1651" coordsize="0,392" path="m5257,1651l5257,2043e" filled="false" stroked="true" strokeweight="1.2pt" strokecolor="#d2d2d2">
                <v:path arrowok="t"/>
              </v:shape>
            </v:group>
            <v:group style="position:absolute;left:6591;top:1651;width:2;height:392" coordorigin="6591,1651" coordsize="2,392">
              <v:shape style="position:absolute;left:6591;top:1651;width:2;height:392" coordorigin="6591,1651" coordsize="0,392" path="m6591,1651l6591,2043e" filled="false" stroked="true" strokeweight="1.08pt" strokecolor="#d2d2d2">
                <v:path arrowok="t"/>
              </v:shape>
            </v:group>
            <v:group style="position:absolute;left:5245;top:2043;width:1357;height:202" coordorigin="5245,2043" coordsize="1357,202">
              <v:shape style="position:absolute;left:5245;top:2043;width:1357;height:202" coordorigin="5245,2043" coordsize="1357,202" path="m5245,2244l6601,2244,6601,2043,5245,2043,5245,2244xe" filled="true" fillcolor="#d2d2d2" stroked="false">
                <v:path arrowok="t"/>
                <v:fill type="solid"/>
              </v:shape>
            </v:group>
            <v:group style="position:absolute;left:5269;top:1651;width:1311;height:392" coordorigin="5269,1651" coordsize="1311,392">
              <v:shape style="position:absolute;left:5269;top:1651;width:1311;height:392" coordorigin="5269,1651" coordsize="1311,392" path="m5269,2043l6580,2043,6580,1651,5269,1651,5269,2043xe" filled="true" fillcolor="#d2d2d2" stroked="false">
                <v:path arrowok="t"/>
                <v:fill type="solid"/>
              </v:shape>
            </v:group>
            <v:group style="position:absolute;left:6624;top:1450;width:2;height:392" coordorigin="6624,1450" coordsize="2,392">
              <v:shape style="position:absolute;left:6624;top:1450;width:2;height:392" coordorigin="6624,1450" coordsize="0,392" path="m6624,1450l6624,1841e" filled="false" stroked="true" strokeweight="1.08pt" strokecolor="#d2d2d2">
                <v:path arrowok="t"/>
              </v:shape>
            </v:group>
            <v:group style="position:absolute;left:9325;top:1450;width:2;height:392" coordorigin="9325,1450" coordsize="2,392">
              <v:shape style="position:absolute;left:9325;top:1450;width:2;height:392" coordorigin="9325,1450" coordsize="0,392" path="m9325,1450l9325,1841e" filled="false" stroked="true" strokeweight="1.08pt" strokecolor="#d2d2d2">
                <v:path arrowok="t"/>
              </v:shape>
            </v:group>
            <v:group style="position:absolute;left:6635;top:1450;width:2679;height:392" coordorigin="6635,1450" coordsize="2679,392">
              <v:shape style="position:absolute;left:6635;top:1450;width:2679;height:392" coordorigin="6635,1450" coordsize="2679,392" path="m6635,1841l9314,1841,9314,1450,6635,1450,6635,1841xe" filled="true" fillcolor="#d2d2d2" stroked="false">
                <v:path arrowok="t"/>
                <v:fill type="solid"/>
              </v:shape>
            </v:group>
            <v:group style="position:absolute;left:9345;top:1450;width:1356;height:202" coordorigin="9345,1450" coordsize="1356,202">
              <v:shape style="position:absolute;left:9345;top:1450;width:1356;height:202" coordorigin="9345,1450" coordsize="1356,202" path="m9345,1651l10701,1651,10701,1450,9345,1450,9345,1651xe" filled="true" fillcolor="#d2d2d2" stroked="false">
                <v:path arrowok="t"/>
                <v:fill type="solid"/>
              </v:shape>
            </v:group>
            <v:group style="position:absolute;left:9357;top:1651;width:2;height:392" coordorigin="9357,1651" coordsize="2,392">
              <v:shape style="position:absolute;left:9357;top:1651;width:2;height:392" coordorigin="9357,1651" coordsize="0,392" path="m9357,1651l9357,2043e" filled="false" stroked="true" strokeweight="1.2pt" strokecolor="#d2d2d2">
                <v:path arrowok="t"/>
              </v:shape>
            </v:group>
            <v:group style="position:absolute;left:10690;top:1651;width:2;height:392" coordorigin="10690,1651" coordsize="2,392">
              <v:shape style="position:absolute;left:10690;top:1651;width:2;height:392" coordorigin="10690,1651" coordsize="0,392" path="m10690,1651l10690,2043e" filled="false" stroked="true" strokeweight="1.08pt" strokecolor="#d2d2d2">
                <v:path arrowok="t"/>
              </v:shape>
            </v:group>
            <v:group style="position:absolute;left:9345;top:2043;width:1356;height:202" coordorigin="9345,2043" coordsize="1356,202">
              <v:shape style="position:absolute;left:9345;top:2043;width:1356;height:202" coordorigin="9345,2043" coordsize="1356,202" path="m9345,2244l10701,2244,10701,2043,9345,2043,9345,2244xe" filled="true" fillcolor="#d2d2d2" stroked="false">
                <v:path arrowok="t"/>
                <v:fill type="solid"/>
              </v:shape>
            </v:group>
            <v:group style="position:absolute;left:9369;top:1651;width:1311;height:392" coordorigin="9369,1651" coordsize="1311,392">
              <v:shape style="position:absolute;left:9369;top:1651;width:1311;height:392" coordorigin="9369,1651" coordsize="1311,392" path="m9369,2043l10680,2043,10680,1651,9369,1651,9369,2043xe" filled="true" fillcolor="#d2d2d2" stroked="false">
                <v:path arrowok="t"/>
                <v:fill type="solid"/>
              </v:shape>
            </v:group>
            <v:group style="position:absolute;left:1138;top:1445;width:1362;height:2" coordorigin="1138,1445" coordsize="1362,2">
              <v:shape style="position:absolute;left:1138;top:1445;width:1362;height:2" coordorigin="1138,1445" coordsize="1362,0" path="m1138,1445l2499,1445e" filled="false" stroked="true" strokeweight=".48pt" strokecolor="#000000">
                <v:path arrowok="t"/>
              </v:shape>
            </v:group>
            <v:group style="position:absolute;left:2508;top:1445;width:1359;height:2" coordorigin="2508,1445" coordsize="1359,2">
              <v:shape style="position:absolute;left:2508;top:1445;width:1359;height:2" coordorigin="2508,1445" coordsize="1359,0" path="m2508,1445l3867,1445e" filled="false" stroked="true" strokeweight=".48pt" strokecolor="#000000">
                <v:path arrowok="t"/>
              </v:shape>
            </v:group>
            <v:group style="position:absolute;left:3877;top:1445;width:1356;height:2" coordorigin="3877,1445" coordsize="1356,2">
              <v:shape style="position:absolute;left:3877;top:1445;width:1356;height:2" coordorigin="3877,1445" coordsize="1356,0" path="m3877,1445l5233,1445e" filled="false" stroked="true" strokeweight=".48pt" strokecolor="#000000">
                <v:path arrowok="t"/>
              </v:shape>
            </v:group>
            <v:group style="position:absolute;left:5243;top:1445;width:1359;height:2" coordorigin="5243,1445" coordsize="1359,2">
              <v:shape style="position:absolute;left:5243;top:1445;width:1359;height:2" coordorigin="5243,1445" coordsize="1359,0" path="m5243,1445l6601,1445e" filled="false" stroked="true" strokeweight=".48pt" strokecolor="#000000">
                <v:path arrowok="t"/>
              </v:shape>
            </v:group>
            <v:group style="position:absolute;left:6611;top:1445;width:2725;height:2" coordorigin="6611,1445" coordsize="2725,2">
              <v:shape style="position:absolute;left:6611;top:1445;width:2725;height:2" coordorigin="6611,1445" coordsize="2725,0" path="m6611,1445l9335,1445e" filled="false" stroked="true" strokeweight=".48pt" strokecolor="#000000">
                <v:path arrowok="t"/>
              </v:shape>
            </v:group>
            <v:group style="position:absolute;left:9345;top:1445;width:1356;height:2" coordorigin="9345,1445" coordsize="1356,2">
              <v:shape style="position:absolute;left:9345;top:1445;width:1356;height:2" coordorigin="9345,1445" coordsize="1356,0" path="m9345,1445l10701,1445e" filled="false" stroked="true" strokeweight=".48pt" strokecolor="#000000">
                <v:path arrowok="t"/>
              </v:shape>
            </v:group>
            <v:group style="position:absolute;left:6624;top:1853;width:2;height:392" coordorigin="6624,1853" coordsize="2,392">
              <v:shape style="position:absolute;left:6624;top:1853;width:2;height:392" coordorigin="6624,1853" coordsize="0,392" path="m6624,1853l6624,2244e" filled="false" stroked="true" strokeweight="1.08pt" strokecolor="#d2d2d2">
                <v:path arrowok="t"/>
              </v:shape>
            </v:group>
            <v:group style="position:absolute;left:7957;top:1853;width:2;height:392" coordorigin="7957,1853" coordsize="2,392">
              <v:shape style="position:absolute;left:7957;top:1853;width:2;height:392" coordorigin="7957,1853" coordsize="0,392" path="m7957,1853l7957,2244e" filled="false" stroked="true" strokeweight="1.2pt" strokecolor="#d2d2d2">
                <v:path arrowok="t"/>
              </v:shape>
            </v:group>
            <v:group style="position:absolute;left:6635;top:1853;width:1311;height:392" coordorigin="6635,1853" coordsize="1311,392">
              <v:shape style="position:absolute;left:6635;top:1853;width:1311;height:392" coordorigin="6635,1853" coordsize="1311,392" path="m6635,2244l7945,2244,7945,1853,6635,1853,6635,2244xe" filled="true" fillcolor="#d2d2d2" stroked="false">
                <v:path arrowok="t"/>
                <v:fill type="solid"/>
              </v:shape>
            </v:group>
            <v:group style="position:absolute;left:7991;top:1853;width:2;height:392" coordorigin="7991,1853" coordsize="2,392">
              <v:shape style="position:absolute;left:7991;top:1853;width:2;height:392" coordorigin="7991,1853" coordsize="0,392" path="m7991,1853l7991,2244e" filled="false" stroked="true" strokeweight="1.2pt" strokecolor="#d2d2d2">
                <v:path arrowok="t"/>
              </v:shape>
            </v:group>
            <v:group style="position:absolute;left:9325;top:1853;width:2;height:392" coordorigin="9325,1853" coordsize="2,392">
              <v:shape style="position:absolute;left:9325;top:1853;width:2;height:392" coordorigin="9325,1853" coordsize="0,392" path="m9325,1853l9325,2244e" filled="false" stroked="true" strokeweight="1.08pt" strokecolor="#d2d2d2">
                <v:path arrowok="t"/>
              </v:shape>
            </v:group>
            <v:group style="position:absolute;left:8003;top:1853;width:1311;height:392" coordorigin="8003,1853" coordsize="1311,392">
              <v:shape style="position:absolute;left:8003;top:1853;width:1311;height:392" coordorigin="8003,1853" coordsize="1311,392" path="m8003,2244l9314,2244,9314,1853,8003,1853,8003,2244xe" filled="true" fillcolor="#d2d2d2" stroked="false">
                <v:path arrowok="t"/>
                <v:fill type="solid"/>
              </v:shape>
            </v:group>
            <v:group style="position:absolute;left:6611;top:1846;width:1359;height:2" coordorigin="6611,1846" coordsize="1359,2">
              <v:shape style="position:absolute;left:6611;top:1846;width:1359;height:2" coordorigin="6611,1846" coordsize="1359,0" path="m6611,1846l7969,1846e" filled="false" stroked="true" strokeweight=".48pt" strokecolor="#000000">
                <v:path arrowok="t"/>
              </v:shape>
            </v:group>
            <v:group style="position:absolute;left:7979;top:1846;width:1357;height:2" coordorigin="7979,1846" coordsize="1357,2">
              <v:shape style="position:absolute;left:7979;top:1846;width:1357;height:2" coordorigin="7979,1846" coordsize="1357,0" path="m7979,1846l9335,1846e" filled="false" stroked="true" strokeweight=".48pt" strokecolor="#000000">
                <v:path arrowok="t"/>
              </v:shape>
            </v:group>
            <v:group style="position:absolute;left:2511;top:2254;width:1357;height:156" coordorigin="2511,2254" coordsize="1357,156">
              <v:shape style="position:absolute;left:2511;top:2254;width:1357;height:156" coordorigin="2511,2254" coordsize="1357,156" path="m2511,2410l3867,2410,3867,2254,2511,2254,2511,2410xe" filled="true" fillcolor="#ffffff" stroked="false">
                <v:path arrowok="t"/>
                <v:fill type="solid"/>
              </v:shape>
            </v:group>
            <v:group style="position:absolute;left:2522;top:2410;width:2;height:392" coordorigin="2522,2410" coordsize="2,392">
              <v:shape style="position:absolute;left:2522;top:2410;width:2;height:392" coordorigin="2522,2410" coordsize="0,392" path="m2522,2410l2522,2801e" filled="false" stroked="true" strokeweight="1.08pt" strokecolor="#ffffff">
                <v:path arrowok="t"/>
              </v:shape>
            </v:group>
            <v:group style="position:absolute;left:2511;top:2801;width:1357;height:156" coordorigin="2511,2801" coordsize="1357,156">
              <v:shape style="position:absolute;left:2511;top:2801;width:1357;height:156" coordorigin="2511,2801" coordsize="1357,156" path="m2511,2957l3867,2957,3867,2801,2511,2801,2511,2957xe" filled="true" fillcolor="#ffffff" stroked="false">
                <v:path arrowok="t"/>
                <v:fill type="solid"/>
              </v:shape>
            </v:group>
            <v:group style="position:absolute;left:2532;top:2410;width:1314;height:392" coordorigin="2532,2410" coordsize="1314,392">
              <v:shape style="position:absolute;left:2532;top:2410;width:1314;height:392" coordorigin="2532,2410" coordsize="1314,392" path="m2532,2801l3846,2801,3846,2410,2532,2410,2532,2801xe" filled="true" fillcolor="#ffffff" stroked="false">
                <v:path arrowok="t"/>
                <v:fill type="solid"/>
              </v:shape>
            </v:group>
            <v:group style="position:absolute;left:1138;top:2249;width:1362;height:2" coordorigin="1138,2249" coordsize="1362,2">
              <v:shape style="position:absolute;left:1138;top:2249;width:1362;height:2" coordorigin="1138,2249" coordsize="1362,0" path="m1138,2249l2499,2249e" filled="false" stroked="true" strokeweight=".48pt" strokecolor="#000000">
                <v:path arrowok="t"/>
              </v:shape>
            </v:group>
            <v:group style="position:absolute;left:2508;top:2249;width:1359;height:2" coordorigin="2508,2249" coordsize="1359,2">
              <v:shape style="position:absolute;left:2508;top:2249;width:1359;height:2" coordorigin="2508,2249" coordsize="1359,0" path="m2508,2249l3867,2249e" filled="false" stroked="true" strokeweight=".48pt" strokecolor="#000000">
                <v:path arrowok="t"/>
              </v:shape>
            </v:group>
            <v:group style="position:absolute;left:3877;top:2249;width:1356;height:2" coordorigin="3877,2249" coordsize="1356,2">
              <v:shape style="position:absolute;left:3877;top:2249;width:1356;height:2" coordorigin="3877,2249" coordsize="1356,0" path="m3877,2249l5233,2249e" filled="false" stroked="true" strokeweight=".48pt" strokecolor="#000000">
                <v:path arrowok="t"/>
              </v:shape>
            </v:group>
            <v:group style="position:absolute;left:5243;top:2249;width:1359;height:2" coordorigin="5243,2249" coordsize="1359,2">
              <v:shape style="position:absolute;left:5243;top:2249;width:1359;height:2" coordorigin="5243,2249" coordsize="1359,0" path="m5243,2249l6601,2249e" filled="false" stroked="true" strokeweight=".48pt" strokecolor="#000000">
                <v:path arrowok="t"/>
              </v:shape>
            </v:group>
            <v:group style="position:absolute;left:6611;top:2249;width:1359;height:2" coordorigin="6611,2249" coordsize="1359,2">
              <v:shape style="position:absolute;left:6611;top:2249;width:1359;height:2" coordorigin="6611,2249" coordsize="1359,0" path="m6611,2249l7969,2249e" filled="false" stroked="true" strokeweight=".48pt" strokecolor="#000000">
                <v:path arrowok="t"/>
              </v:shape>
            </v:group>
            <v:group style="position:absolute;left:7979;top:2249;width:1357;height:2" coordorigin="7979,2249" coordsize="1357,2">
              <v:shape style="position:absolute;left:7979;top:2249;width:1357;height:2" coordorigin="7979,2249" coordsize="1357,0" path="m7979,2249l9335,2249e" filled="false" stroked="true" strokeweight=".48pt" strokecolor="#000000">
                <v:path arrowok="t"/>
              </v:shape>
            </v:group>
            <v:group style="position:absolute;left:9345;top:2249;width:1356;height:2" coordorigin="9345,2249" coordsize="1356,2">
              <v:shape style="position:absolute;left:9345;top:2249;width:1356;height:2" coordorigin="9345,2249" coordsize="1356,0" path="m9345,2249l10701,2249e" filled="false" stroked="true" strokeweight=".48pt" strokecolor="#000000">
                <v:path arrowok="t"/>
              </v:shape>
            </v:group>
            <v:group style="position:absolute;left:1138;top:2962;width:1362;height:2" coordorigin="1138,2962" coordsize="1362,2">
              <v:shape style="position:absolute;left:1138;top:2962;width:1362;height:2" coordorigin="1138,2962" coordsize="1362,0" path="m1138,2962l2499,2962e" filled="false" stroked="true" strokeweight=".48pt" strokecolor="#000000">
                <v:path arrowok="t"/>
              </v:shape>
            </v:group>
            <v:group style="position:absolute;left:2508;top:2962;width:1359;height:2" coordorigin="2508,2962" coordsize="1359,2">
              <v:shape style="position:absolute;left:2508;top:2962;width:1359;height:2" coordorigin="2508,2962" coordsize="1359,0" path="m2508,2962l3867,2962e" filled="false" stroked="true" strokeweight=".48pt" strokecolor="#000000">
                <v:path arrowok="t"/>
              </v:shape>
            </v:group>
            <v:group style="position:absolute;left:3877;top:2962;width:1356;height:2" coordorigin="3877,2962" coordsize="1356,2">
              <v:shape style="position:absolute;left:3877;top:2962;width:1356;height:2" coordorigin="3877,2962" coordsize="1356,0" path="m3877,2962l5233,2962e" filled="false" stroked="true" strokeweight=".48pt" strokecolor="#000000">
                <v:path arrowok="t"/>
              </v:shape>
            </v:group>
            <v:group style="position:absolute;left:5243;top:2962;width:1359;height:2" coordorigin="5243,2962" coordsize="1359,2">
              <v:shape style="position:absolute;left:5243;top:2962;width:1359;height:2" coordorigin="5243,2962" coordsize="1359,0" path="m5243,2962l6601,2962e" filled="false" stroked="true" strokeweight=".48pt" strokecolor="#000000">
                <v:path arrowok="t"/>
              </v:shape>
            </v:group>
            <v:group style="position:absolute;left:6611;top:2962;width:1359;height:2" coordorigin="6611,2962" coordsize="1359,2">
              <v:shape style="position:absolute;left:6611;top:2962;width:1359;height:2" coordorigin="6611,2962" coordsize="1359,0" path="m6611,2962l7969,2962e" filled="false" stroked="true" strokeweight=".48pt" strokecolor="#000000">
                <v:path arrowok="t"/>
              </v:shape>
            </v:group>
            <v:group style="position:absolute;left:7979;top:2962;width:1357;height:2" coordorigin="7979,2962" coordsize="1357,2">
              <v:shape style="position:absolute;left:7979;top:2962;width:1357;height:2" coordorigin="7979,2962" coordsize="1357,0" path="m7979,2962l9335,2962e" filled="false" stroked="true" strokeweight=".48pt" strokecolor="#000000">
                <v:path arrowok="t"/>
              </v:shape>
            </v:group>
            <v:group style="position:absolute;left:9345;top:2962;width:1356;height:2" coordorigin="9345,2962" coordsize="1356,2">
              <v:shape style="position:absolute;left:9345;top:2962;width:1356;height:2" coordorigin="9345,2962" coordsize="1356,0" path="m9345,2962l10701,2962e" filled="false" stroked="true" strokeweight=".48pt" strokecolor="#000000">
                <v:path arrowok="t"/>
              </v:shape>
            </v:group>
            <v:group style="position:absolute;left:1138;top:3677;width:1362;height:2" coordorigin="1138,3677" coordsize="1362,2">
              <v:shape style="position:absolute;left:1138;top:3677;width:1362;height:2" coordorigin="1138,3677" coordsize="1362,0" path="m1138,3677l2499,3677e" filled="false" stroked="true" strokeweight=".48pt" strokecolor="#000000">
                <v:path arrowok="t"/>
              </v:shape>
            </v:group>
            <v:group style="position:absolute;left:2508;top:3677;width:1359;height:2" coordorigin="2508,3677" coordsize="1359,2">
              <v:shape style="position:absolute;left:2508;top:3677;width:1359;height:2" coordorigin="2508,3677" coordsize="1359,0" path="m2508,3677l3867,3677e" filled="false" stroked="true" strokeweight=".48pt" strokecolor="#000000">
                <v:path arrowok="t"/>
              </v:shape>
            </v:group>
            <v:group style="position:absolute;left:3877;top:3677;width:1356;height:2" coordorigin="3877,3677" coordsize="1356,2">
              <v:shape style="position:absolute;left:3877;top:3677;width:1356;height:2" coordorigin="3877,3677" coordsize="1356,0" path="m3877,3677l5233,3677e" filled="false" stroked="true" strokeweight=".48pt" strokecolor="#000000">
                <v:path arrowok="t"/>
              </v:shape>
            </v:group>
            <v:group style="position:absolute;left:5243;top:3677;width:1359;height:2" coordorigin="5243,3677" coordsize="1359,2">
              <v:shape style="position:absolute;left:5243;top:3677;width:1359;height:2" coordorigin="5243,3677" coordsize="1359,0" path="m5243,3677l6601,3677e" filled="false" stroked="true" strokeweight=".48pt" strokecolor="#000000">
                <v:path arrowok="t"/>
              </v:shape>
            </v:group>
            <v:group style="position:absolute;left:6611;top:3677;width:1359;height:2" coordorigin="6611,3677" coordsize="1359,2">
              <v:shape style="position:absolute;left:6611;top:3677;width:1359;height:2" coordorigin="6611,3677" coordsize="1359,0" path="m6611,3677l7969,3677e" filled="false" stroked="true" strokeweight=".48pt" strokecolor="#000000">
                <v:path arrowok="t"/>
              </v:shape>
            </v:group>
            <v:group style="position:absolute;left:7979;top:3677;width:1357;height:2" coordorigin="7979,3677" coordsize="1357,2">
              <v:shape style="position:absolute;left:7979;top:3677;width:1357;height:2" coordorigin="7979,3677" coordsize="1357,0" path="m7979,3677l9335,3677e" filled="false" stroked="true" strokeweight=".48pt" strokecolor="#000000">
                <v:path arrowok="t"/>
              </v:shape>
            </v:group>
            <v:group style="position:absolute;left:9345;top:3677;width:1356;height:2" coordorigin="9345,3677" coordsize="1356,2">
              <v:shape style="position:absolute;left:9345;top:3677;width:1356;height:2" coordorigin="9345,3677" coordsize="1356,0" path="m9345,3677l10701,3677e" filled="false" stroked="true" strokeweight=".48pt" strokecolor="#000000">
                <v:path arrowok="t"/>
              </v:shape>
            </v:group>
            <v:group style="position:absolute;left:1138;top:4390;width:1362;height:2" coordorigin="1138,4390" coordsize="1362,2">
              <v:shape style="position:absolute;left:1138;top:4390;width:1362;height:2" coordorigin="1138,4390" coordsize="1362,0" path="m1138,4390l2499,4390e" filled="false" stroked="true" strokeweight=".48pt" strokecolor="#000000">
                <v:path arrowok="t"/>
              </v:shape>
            </v:group>
            <v:group style="position:absolute;left:2508;top:4390;width:1359;height:2" coordorigin="2508,4390" coordsize="1359,2">
              <v:shape style="position:absolute;left:2508;top:4390;width:1359;height:2" coordorigin="2508,4390" coordsize="1359,0" path="m2508,4390l3867,4390e" filled="false" stroked="true" strokeweight=".48pt" strokecolor="#000000">
                <v:path arrowok="t"/>
              </v:shape>
            </v:group>
            <v:group style="position:absolute;left:3877;top:4390;width:1356;height:2" coordorigin="3877,4390" coordsize="1356,2">
              <v:shape style="position:absolute;left:3877;top:4390;width:1356;height:2" coordorigin="3877,4390" coordsize="1356,0" path="m3877,4390l5233,4390e" filled="false" stroked="true" strokeweight=".48pt" strokecolor="#000000">
                <v:path arrowok="t"/>
              </v:shape>
            </v:group>
            <v:group style="position:absolute;left:5243;top:4390;width:1359;height:2" coordorigin="5243,4390" coordsize="1359,2">
              <v:shape style="position:absolute;left:5243;top:4390;width:1359;height:2" coordorigin="5243,4390" coordsize="1359,0" path="m5243,4390l6601,4390e" filled="false" stroked="true" strokeweight=".48pt" strokecolor="#000000">
                <v:path arrowok="t"/>
              </v:shape>
            </v:group>
            <v:group style="position:absolute;left:6611;top:4390;width:1359;height:2" coordorigin="6611,4390" coordsize="1359,2">
              <v:shape style="position:absolute;left:6611;top:4390;width:1359;height:2" coordorigin="6611,4390" coordsize="1359,0" path="m6611,4390l7969,4390e" filled="false" stroked="true" strokeweight=".48pt" strokecolor="#000000">
                <v:path arrowok="t"/>
              </v:shape>
            </v:group>
            <v:group style="position:absolute;left:7979;top:4390;width:1357;height:2" coordorigin="7979,4390" coordsize="1357,2">
              <v:shape style="position:absolute;left:7979;top:4390;width:1357;height:2" coordorigin="7979,4390" coordsize="1357,0" path="m7979,4390l9335,4390e" filled="false" stroked="true" strokeweight=".48pt" strokecolor="#000000">
                <v:path arrowok="t"/>
              </v:shape>
            </v:group>
            <v:group style="position:absolute;left:9345;top:4390;width:1356;height:2" coordorigin="9345,4390" coordsize="1356,2">
              <v:shape style="position:absolute;left:9345;top:4390;width:1356;height:2" coordorigin="9345,4390" coordsize="1356,0" path="m9345,4390l10701,4390e" filled="false" stroked="true" strokeweight=".48pt" strokecolor="#000000">
                <v:path arrowok="t"/>
              </v:shape>
            </v:group>
            <v:group style="position:absolute;left:2511;top:5110;width:1357;height:156" coordorigin="2511,5110" coordsize="1357,156">
              <v:shape style="position:absolute;left:2511;top:5110;width:1357;height:156" coordorigin="2511,5110" coordsize="1357,156" path="m2511,5266l3867,5266,3867,5110,2511,5110,2511,5266xe" filled="true" fillcolor="#ffffff" stroked="false">
                <v:path arrowok="t"/>
                <v:fill type="solid"/>
              </v:shape>
            </v:group>
            <v:group style="position:absolute;left:2522;top:5266;width:2;height:392" coordorigin="2522,5266" coordsize="2,392">
              <v:shape style="position:absolute;left:2522;top:5266;width:2;height:392" coordorigin="2522,5266" coordsize="0,392" path="m2522,5266l2522,5658e" filled="false" stroked="true" strokeweight="1.08pt" strokecolor="#ffffff">
                <v:path arrowok="t"/>
              </v:shape>
            </v:group>
            <v:group style="position:absolute;left:2511;top:5658;width:1357;height:156" coordorigin="2511,5658" coordsize="1357,156">
              <v:shape style="position:absolute;left:2511;top:5658;width:1357;height:156" coordorigin="2511,5658" coordsize="1357,156" path="m2511,5814l3867,5814,3867,5658,2511,5658,2511,5814xe" filled="true" fillcolor="#ffffff" stroked="false">
                <v:path arrowok="t"/>
                <v:fill type="solid"/>
              </v:shape>
            </v:group>
            <v:group style="position:absolute;left:2532;top:5266;width:1314;height:392" coordorigin="2532,5266" coordsize="1314,392">
              <v:shape style="position:absolute;left:2532;top:5266;width:1314;height:392" coordorigin="2532,5266" coordsize="1314,392" path="m2532,5658l3846,5658,3846,5266,2532,5266,2532,5658xe" filled="true" fillcolor="#ffffff" stroked="false">
                <v:path arrowok="t"/>
                <v:fill type="solid"/>
              </v:shape>
            </v:group>
            <v:group style="position:absolute;left:1138;top:5105;width:1362;height:2" coordorigin="1138,5105" coordsize="1362,2">
              <v:shape style="position:absolute;left:1138;top:5105;width:1362;height:2" coordorigin="1138,5105" coordsize="1362,0" path="m1138,5105l2499,5105e" filled="false" stroked="true" strokeweight=".48pt" strokecolor="#000000">
                <v:path arrowok="t"/>
              </v:shape>
            </v:group>
            <v:group style="position:absolute;left:2508;top:5105;width:1359;height:2" coordorigin="2508,5105" coordsize="1359,2">
              <v:shape style="position:absolute;left:2508;top:5105;width:1359;height:2" coordorigin="2508,5105" coordsize="1359,0" path="m2508,5105l3867,5105e" filled="false" stroked="true" strokeweight=".48pt" strokecolor="#000000">
                <v:path arrowok="t"/>
              </v:shape>
            </v:group>
            <v:group style="position:absolute;left:3877;top:5105;width:1356;height:2" coordorigin="3877,5105" coordsize="1356,2">
              <v:shape style="position:absolute;left:3877;top:5105;width:1356;height:2" coordorigin="3877,5105" coordsize="1356,0" path="m3877,5105l5233,5105e" filled="false" stroked="true" strokeweight=".48pt" strokecolor="#000000">
                <v:path arrowok="t"/>
              </v:shape>
            </v:group>
            <v:group style="position:absolute;left:5243;top:5105;width:1359;height:2" coordorigin="5243,5105" coordsize="1359,2">
              <v:shape style="position:absolute;left:5243;top:5105;width:1359;height:2" coordorigin="5243,5105" coordsize="1359,0" path="m5243,5105l6601,5105e" filled="false" stroked="true" strokeweight=".48pt" strokecolor="#000000">
                <v:path arrowok="t"/>
              </v:shape>
            </v:group>
            <v:group style="position:absolute;left:6611;top:5105;width:1359;height:2" coordorigin="6611,5105" coordsize="1359,2">
              <v:shape style="position:absolute;left:6611;top:5105;width:1359;height:2" coordorigin="6611,5105" coordsize="1359,0" path="m6611,5105l7969,5105e" filled="false" stroked="true" strokeweight=".48pt" strokecolor="#000000">
                <v:path arrowok="t"/>
              </v:shape>
            </v:group>
            <v:group style="position:absolute;left:7979;top:5105;width:1357;height:2" coordorigin="7979,5105" coordsize="1357,2">
              <v:shape style="position:absolute;left:7979;top:5105;width:1357;height:2" coordorigin="7979,5105" coordsize="1357,0" path="m7979,5105l9335,5105e" filled="false" stroked="true" strokeweight=".48pt" strokecolor="#000000">
                <v:path arrowok="t"/>
              </v:shape>
            </v:group>
            <v:group style="position:absolute;left:9345;top:5105;width:1356;height:2" coordorigin="9345,5105" coordsize="1356,2">
              <v:shape style="position:absolute;left:9345;top:5105;width:1356;height:2" coordorigin="9345,5105" coordsize="1356,0" path="m9345,5105l10701,5105e" filled="false" stroked="true" strokeweight=".48pt" strokecolor="#000000">
                <v:path arrowok="t"/>
              </v:shape>
            </v:group>
            <v:group style="position:absolute;left:1138;top:5819;width:1362;height:2" coordorigin="1138,5819" coordsize="1362,2">
              <v:shape style="position:absolute;left:1138;top:5819;width:1362;height:2" coordorigin="1138,5819" coordsize="1362,0" path="m1138,5819l2499,5819e" filled="false" stroked="true" strokeweight=".48001pt" strokecolor="#000000">
                <v:path arrowok="t"/>
              </v:shape>
            </v:group>
            <v:group style="position:absolute;left:2508;top:5819;width:1359;height:2" coordorigin="2508,5819" coordsize="1359,2">
              <v:shape style="position:absolute;left:2508;top:5819;width:1359;height:2" coordorigin="2508,5819" coordsize="1359,0" path="m2508,5819l3867,5819e" filled="false" stroked="true" strokeweight=".48001pt" strokecolor="#000000">
                <v:path arrowok="t"/>
              </v:shape>
            </v:group>
            <v:group style="position:absolute;left:3877;top:5819;width:1356;height:2" coordorigin="3877,5819" coordsize="1356,2">
              <v:shape style="position:absolute;left:3877;top:5819;width:1356;height:2" coordorigin="3877,5819" coordsize="1356,0" path="m3877,5819l5233,5819e" filled="false" stroked="true" strokeweight=".48001pt" strokecolor="#000000">
                <v:path arrowok="t"/>
              </v:shape>
            </v:group>
            <v:group style="position:absolute;left:5243;top:5819;width:1359;height:2" coordorigin="5243,5819" coordsize="1359,2">
              <v:shape style="position:absolute;left:5243;top:5819;width:1359;height:2" coordorigin="5243,5819" coordsize="1359,0" path="m5243,5819l6601,5819e" filled="false" stroked="true" strokeweight=".48001pt" strokecolor="#000000">
                <v:path arrowok="t"/>
              </v:shape>
            </v:group>
            <v:group style="position:absolute;left:6611;top:5819;width:1359;height:2" coordorigin="6611,5819" coordsize="1359,2">
              <v:shape style="position:absolute;left:6611;top:5819;width:1359;height:2" coordorigin="6611,5819" coordsize="1359,0" path="m6611,5819l7969,5819e" filled="false" stroked="true" strokeweight=".48001pt" strokecolor="#000000">
                <v:path arrowok="t"/>
              </v:shape>
            </v:group>
            <v:group style="position:absolute;left:7979;top:5819;width:1357;height:2" coordorigin="7979,5819" coordsize="1357,2">
              <v:shape style="position:absolute;left:7979;top:5819;width:1357;height:2" coordorigin="7979,5819" coordsize="1357,0" path="m7979,5819l9335,5819e" filled="false" stroked="true" strokeweight=".48001pt" strokecolor="#000000">
                <v:path arrowok="t"/>
              </v:shape>
            </v:group>
            <v:group style="position:absolute;left:9345;top:5819;width:1356;height:2" coordorigin="9345,5819" coordsize="1356,2">
              <v:shape style="position:absolute;left:9345;top:5819;width:1356;height:2" coordorigin="9345,5819" coordsize="1356,0" path="m9345,5819l10701,5819e" filled="false" stroked="true" strokeweight=".48001pt" strokecolor="#000000">
                <v:path arrowok="t"/>
              </v:shape>
            </v:group>
            <v:group style="position:absolute;left:1138;top:7559;width:1362;height:2" coordorigin="1138,7559" coordsize="1362,2">
              <v:shape style="position:absolute;left:1138;top:7559;width:1362;height:2" coordorigin="1138,7559" coordsize="1362,0" path="m1138,7559l2499,7559e" filled="false" stroked="true" strokeweight=".48001pt" strokecolor="#000000">
                <v:path arrowok="t"/>
              </v:shape>
            </v:group>
            <v:group style="position:absolute;left:2508;top:7559;width:1359;height:2" coordorigin="2508,7559" coordsize="1359,2">
              <v:shape style="position:absolute;left:2508;top:7559;width:1359;height:2" coordorigin="2508,7559" coordsize="1359,0" path="m2508,7559l3867,7559e" filled="false" stroked="true" strokeweight=".48001pt" strokecolor="#000000">
                <v:path arrowok="t"/>
              </v:shape>
            </v:group>
            <v:group style="position:absolute;left:3877;top:7559;width:1356;height:2" coordorigin="3877,7559" coordsize="1356,2">
              <v:shape style="position:absolute;left:3877;top:7559;width:1356;height:2" coordorigin="3877,7559" coordsize="1356,0" path="m3877,7559l5233,7559e" filled="false" stroked="true" strokeweight=".48001pt" strokecolor="#000000">
                <v:path arrowok="t"/>
              </v:shape>
            </v:group>
            <v:group style="position:absolute;left:5243;top:7559;width:1359;height:2" coordorigin="5243,7559" coordsize="1359,2">
              <v:shape style="position:absolute;left:5243;top:7559;width:1359;height:2" coordorigin="5243,7559" coordsize="1359,0" path="m5243,7559l6601,7559e" filled="false" stroked="true" strokeweight=".48001pt" strokecolor="#000000">
                <v:path arrowok="t"/>
              </v:shape>
            </v:group>
            <v:group style="position:absolute;left:6611;top:7559;width:1359;height:2" coordorigin="6611,7559" coordsize="1359,2">
              <v:shape style="position:absolute;left:6611;top:7559;width:1359;height:2" coordorigin="6611,7559" coordsize="1359,0" path="m6611,7559l7969,7559e" filled="false" stroked="true" strokeweight=".48001pt" strokecolor="#000000">
                <v:path arrowok="t"/>
              </v:shape>
            </v:group>
            <v:group style="position:absolute;left:7979;top:7559;width:1357;height:2" coordorigin="7979,7559" coordsize="1357,2">
              <v:shape style="position:absolute;left:7979;top:7559;width:1357;height:2" coordorigin="7979,7559" coordsize="1357,0" path="m7979,7559l9335,7559e" filled="false" stroked="true" strokeweight=".48001pt" strokecolor="#000000">
                <v:path arrowok="t"/>
              </v:shape>
            </v:group>
            <v:group style="position:absolute;left:9345;top:7559;width:1356;height:2" coordorigin="9345,7559" coordsize="1356,2">
              <v:shape style="position:absolute;left:9345;top:7559;width:1356;height:2" coordorigin="9345,7559" coordsize="1356,0" path="m9345,7559l10701,7559e" filled="false" stroked="true" strokeweight=".48001pt" strokecolor="#000000">
                <v:path arrowok="t"/>
              </v:shape>
            </v:group>
            <v:group style="position:absolute;left:1138;top:10727;width:1362;height:2" coordorigin="1138,10727" coordsize="1362,2">
              <v:shape style="position:absolute;left:1138;top:10727;width:1362;height:2" coordorigin="1138,10727" coordsize="1362,0" path="m1138,10727l2499,10727e" filled="false" stroked="true" strokeweight=".47998pt" strokecolor="#000000">
                <v:path arrowok="t"/>
              </v:shape>
            </v:group>
            <v:group style="position:absolute;left:2508;top:10727;width:1359;height:2" coordorigin="2508,10727" coordsize="1359,2">
              <v:shape style="position:absolute;left:2508;top:10727;width:1359;height:2" coordorigin="2508,10727" coordsize="1359,0" path="m2508,10727l3867,10727e" filled="false" stroked="true" strokeweight=".47998pt" strokecolor="#000000">
                <v:path arrowok="t"/>
              </v:shape>
            </v:group>
            <v:group style="position:absolute;left:3877;top:10727;width:1356;height:2" coordorigin="3877,10727" coordsize="1356,2">
              <v:shape style="position:absolute;left:3877;top:10727;width:1356;height:2" coordorigin="3877,10727" coordsize="1356,0" path="m3877,10727l5233,10727e" filled="false" stroked="true" strokeweight=".47998pt" strokecolor="#000000">
                <v:path arrowok="t"/>
              </v:shape>
            </v:group>
            <v:group style="position:absolute;left:5243;top:10727;width:1359;height:2" coordorigin="5243,10727" coordsize="1359,2">
              <v:shape style="position:absolute;left:5243;top:10727;width:1359;height:2" coordorigin="5243,10727" coordsize="1359,0" path="m5243,10727l6601,10727e" filled="false" stroked="true" strokeweight=".47998pt" strokecolor="#000000">
                <v:path arrowok="t"/>
              </v:shape>
            </v:group>
            <v:group style="position:absolute;left:6611;top:10727;width:1359;height:2" coordorigin="6611,10727" coordsize="1359,2">
              <v:shape style="position:absolute;left:6611;top:10727;width:1359;height:2" coordorigin="6611,10727" coordsize="1359,0" path="m6611,10727l7969,10727e" filled="false" stroked="true" strokeweight=".47998pt" strokecolor="#000000">
                <v:path arrowok="t"/>
              </v:shape>
            </v:group>
            <v:group style="position:absolute;left:7979;top:10727;width:1357;height:2" coordorigin="7979,10727" coordsize="1357,2">
              <v:shape style="position:absolute;left:7979;top:10727;width:1357;height:2" coordorigin="7979,10727" coordsize="1357,0" path="m7979,10727l9335,10727e" filled="false" stroked="true" strokeweight=".47998pt" strokecolor="#000000">
                <v:path arrowok="t"/>
              </v:shape>
            </v:group>
            <v:group style="position:absolute;left:9345;top:10727;width:1356;height:2" coordorigin="9345,10727" coordsize="1356,2">
              <v:shape style="position:absolute;left:9345;top:10727;width:1356;height:2" coordorigin="9345,10727" coordsize="1356,0" path="m9345,10727l10701,10727e" filled="false" stroked="true" strokeweight=".47998pt" strokecolor="#000000">
                <v:path arrowok="t"/>
              </v:shape>
            </v:group>
            <v:group style="position:absolute;left:1138;top:11442;width:1362;height:2" coordorigin="1138,11442" coordsize="1362,2">
              <v:shape style="position:absolute;left:1138;top:11442;width:1362;height:2" coordorigin="1138,11442" coordsize="1362,0" path="m1138,11442l2499,11442e" filled="false" stroked="true" strokeweight=".47998pt" strokecolor="#000000">
                <v:path arrowok="t"/>
              </v:shape>
            </v:group>
            <v:group style="position:absolute;left:2508;top:11442;width:1359;height:2" coordorigin="2508,11442" coordsize="1359,2">
              <v:shape style="position:absolute;left:2508;top:11442;width:1359;height:2" coordorigin="2508,11442" coordsize="1359,0" path="m2508,11442l3867,11442e" filled="false" stroked="true" strokeweight=".47998pt" strokecolor="#000000">
                <v:path arrowok="t"/>
              </v:shape>
            </v:group>
            <v:group style="position:absolute;left:3877;top:11442;width:1356;height:2" coordorigin="3877,11442" coordsize="1356,2">
              <v:shape style="position:absolute;left:3877;top:11442;width:1356;height:2" coordorigin="3877,11442" coordsize="1356,0" path="m3877,11442l5233,11442e" filled="false" stroked="true" strokeweight=".47998pt" strokecolor="#000000">
                <v:path arrowok="t"/>
              </v:shape>
            </v:group>
            <v:group style="position:absolute;left:5243;top:11442;width:1359;height:2" coordorigin="5243,11442" coordsize="1359,2">
              <v:shape style="position:absolute;left:5243;top:11442;width:1359;height:2" coordorigin="5243,11442" coordsize="1359,0" path="m5243,11442l6601,11442e" filled="false" stroked="true" strokeweight=".47998pt" strokecolor="#000000">
                <v:path arrowok="t"/>
              </v:shape>
            </v:group>
            <v:group style="position:absolute;left:6611;top:11442;width:1359;height:2" coordorigin="6611,11442" coordsize="1359,2">
              <v:shape style="position:absolute;left:6611;top:11442;width:1359;height:2" coordorigin="6611,11442" coordsize="1359,0" path="m6611,11442l7969,11442e" filled="false" stroked="true" strokeweight=".47998pt" strokecolor="#000000">
                <v:path arrowok="t"/>
              </v:shape>
            </v:group>
            <v:group style="position:absolute;left:7979;top:11442;width:1357;height:2" coordorigin="7979,11442" coordsize="1357,2">
              <v:shape style="position:absolute;left:7979;top:11442;width:1357;height:2" coordorigin="7979,11442" coordsize="1357,0" path="m7979,11442l9335,11442e" filled="false" stroked="true" strokeweight=".47998pt" strokecolor="#000000">
                <v:path arrowok="t"/>
              </v:shape>
            </v:group>
            <v:group style="position:absolute;left:9345;top:11442;width:1356;height:2" coordorigin="9345,11442" coordsize="1356,2">
              <v:shape style="position:absolute;left:9345;top:11442;width:1356;height:2" coordorigin="9345,11442" coordsize="1356,0" path="m9345,11442l10701,11442e" filled="false" stroked="true" strokeweight=".47998pt" strokecolor="#000000">
                <v:path arrowok="t"/>
              </v:shape>
            </v:group>
            <v:group style="position:absolute;left:1138;top:12155;width:1362;height:2" coordorigin="1138,12155" coordsize="1362,2">
              <v:shape style="position:absolute;left:1138;top:12155;width:1362;height:2" coordorigin="1138,12155" coordsize="1362,0" path="m1138,12155l2499,12155e" filled="false" stroked="true" strokeweight=".47998pt" strokecolor="#000000">
                <v:path arrowok="t"/>
              </v:shape>
            </v:group>
            <v:group style="position:absolute;left:2508;top:12155;width:1359;height:2" coordorigin="2508,12155" coordsize="1359,2">
              <v:shape style="position:absolute;left:2508;top:12155;width:1359;height:2" coordorigin="2508,12155" coordsize="1359,0" path="m2508,12155l3867,12155e" filled="false" stroked="true" strokeweight=".47998pt" strokecolor="#000000">
                <v:path arrowok="t"/>
              </v:shape>
            </v:group>
            <v:group style="position:absolute;left:3877;top:12155;width:1356;height:2" coordorigin="3877,12155" coordsize="1356,2">
              <v:shape style="position:absolute;left:3877;top:12155;width:1356;height:2" coordorigin="3877,12155" coordsize="1356,0" path="m3877,12155l5233,12155e" filled="false" stroked="true" strokeweight=".47998pt" strokecolor="#000000">
                <v:path arrowok="t"/>
              </v:shape>
            </v:group>
            <v:group style="position:absolute;left:5243;top:12155;width:1359;height:2" coordorigin="5243,12155" coordsize="1359,2">
              <v:shape style="position:absolute;left:5243;top:12155;width:1359;height:2" coordorigin="5243,12155" coordsize="1359,0" path="m5243,12155l6601,12155e" filled="false" stroked="true" strokeweight=".47998pt" strokecolor="#000000">
                <v:path arrowok="t"/>
              </v:shape>
            </v:group>
            <v:group style="position:absolute;left:6611;top:12155;width:1359;height:2" coordorigin="6611,12155" coordsize="1359,2">
              <v:shape style="position:absolute;left:6611;top:12155;width:1359;height:2" coordorigin="6611,12155" coordsize="1359,0" path="m6611,12155l7969,12155e" filled="false" stroked="true" strokeweight=".47998pt" strokecolor="#000000">
                <v:path arrowok="t"/>
              </v:shape>
            </v:group>
            <v:group style="position:absolute;left:7979;top:12155;width:1357;height:2" coordorigin="7979,12155" coordsize="1357,2">
              <v:shape style="position:absolute;left:7979;top:12155;width:1357;height:2" coordorigin="7979,12155" coordsize="1357,0" path="m7979,12155l9335,12155e" filled="false" stroked="true" strokeweight=".47998pt" strokecolor="#000000">
                <v:path arrowok="t"/>
              </v:shape>
            </v:group>
            <v:group style="position:absolute;left:9345;top:12155;width:1356;height:2" coordorigin="9345,12155" coordsize="1356,2">
              <v:shape style="position:absolute;left:9345;top:12155;width:1356;height:2" coordorigin="9345,12155" coordsize="1356,0" path="m9345,12155l10701,12155e" filled="false" stroked="true" strokeweight=".47998pt" strokecolor="#000000">
                <v:path arrowok="t"/>
              </v:shape>
            </v:group>
            <v:group style="position:absolute;left:2511;top:13188;width:1357;height:156" coordorigin="2511,13188" coordsize="1357,156">
              <v:shape style="position:absolute;left:2511;top:13188;width:1357;height:156" coordorigin="2511,13188" coordsize="1357,156" path="m2511,13344l3867,13344,3867,13188,2511,13188,2511,13344xe" filled="true" fillcolor="#ffffff" stroked="false">
                <v:path arrowok="t"/>
                <v:fill type="solid"/>
              </v:shape>
            </v:group>
            <v:group style="position:absolute;left:2522;top:13344;width:2;height:392" coordorigin="2522,13344" coordsize="2,392">
              <v:shape style="position:absolute;left:2522;top:13344;width:2;height:392" coordorigin="2522,13344" coordsize="0,392" path="m2522,13344l2522,13735e" filled="false" stroked="true" strokeweight="1.08pt" strokecolor="#ffffff">
                <v:path arrowok="t"/>
              </v:shape>
            </v:group>
            <v:group style="position:absolute;left:2511;top:13735;width:1357;height:156" coordorigin="2511,13735" coordsize="1357,156">
              <v:shape style="position:absolute;left:2511;top:13735;width:1357;height:156" coordorigin="2511,13735" coordsize="1357,156" path="m2511,13891l3867,13891,3867,13735,2511,13735,2511,13891xe" filled="true" fillcolor="#ffffff" stroked="false">
                <v:path arrowok="t"/>
                <v:fill type="solid"/>
              </v:shape>
            </v:group>
            <v:group style="position:absolute;left:2532;top:13344;width:1314;height:392" coordorigin="2532,13344" coordsize="1314,392">
              <v:shape style="position:absolute;left:2532;top:13344;width:1314;height:392" coordorigin="2532,13344" coordsize="1314,392" path="m2532,13735l3846,13735,3846,13344,2532,13344,2532,13735xe" filled="true" fillcolor="#ffffff" stroked="false">
                <v:path arrowok="t"/>
                <v:fill type="solid"/>
              </v:shape>
            </v:group>
            <v:group style="position:absolute;left:1138;top:13183;width:1362;height:2" coordorigin="1138,13183" coordsize="1362,2">
              <v:shape style="position:absolute;left:1138;top:13183;width:1362;height:2" coordorigin="1138,13183" coordsize="1362,0" path="m1138,13183l2499,13183e" filled="false" stroked="true" strokeweight=".47998pt" strokecolor="#000000">
                <v:path arrowok="t"/>
              </v:shape>
            </v:group>
            <v:group style="position:absolute;left:2508;top:13183;width:1359;height:2" coordorigin="2508,13183" coordsize="1359,2">
              <v:shape style="position:absolute;left:2508;top:13183;width:1359;height:2" coordorigin="2508,13183" coordsize="1359,0" path="m2508,13183l3867,13183e" filled="false" stroked="true" strokeweight=".47998pt" strokecolor="#000000">
                <v:path arrowok="t"/>
              </v:shape>
            </v:group>
            <v:group style="position:absolute;left:3877;top:13183;width:1356;height:2" coordorigin="3877,13183" coordsize="1356,2">
              <v:shape style="position:absolute;left:3877;top:13183;width:1356;height:2" coordorigin="3877,13183" coordsize="1356,0" path="m3877,13183l5233,13183e" filled="false" stroked="true" strokeweight=".47998pt" strokecolor="#000000">
                <v:path arrowok="t"/>
              </v:shape>
            </v:group>
            <v:group style="position:absolute;left:5243;top:13183;width:1359;height:2" coordorigin="5243,13183" coordsize="1359,2">
              <v:shape style="position:absolute;left:5243;top:13183;width:1359;height:2" coordorigin="5243,13183" coordsize="1359,0" path="m5243,13183l6601,13183e" filled="false" stroked="true" strokeweight=".47998pt" strokecolor="#000000">
                <v:path arrowok="t"/>
              </v:shape>
            </v:group>
            <v:group style="position:absolute;left:6611;top:13183;width:1359;height:2" coordorigin="6611,13183" coordsize="1359,2">
              <v:shape style="position:absolute;left:6611;top:13183;width:1359;height:2" coordorigin="6611,13183" coordsize="1359,0" path="m6611,13183l7969,13183e" filled="false" stroked="true" strokeweight=".47998pt" strokecolor="#000000">
                <v:path arrowok="t"/>
              </v:shape>
            </v:group>
            <v:group style="position:absolute;left:7979;top:13183;width:1357;height:2" coordorigin="7979,13183" coordsize="1357,2">
              <v:shape style="position:absolute;left:7979;top:13183;width:1357;height:2" coordorigin="7979,13183" coordsize="1357,0" path="m7979,13183l9335,13183e" filled="false" stroked="true" strokeweight=".47998pt" strokecolor="#000000">
                <v:path arrowok="t"/>
              </v:shape>
            </v:group>
            <v:group style="position:absolute;left:9345;top:13183;width:1356;height:2" coordorigin="9345,13183" coordsize="1356,2">
              <v:shape style="position:absolute;left:9345;top:13183;width:1356;height:2" coordorigin="9345,13183" coordsize="1356,0" path="m9345,13183l10701,13183e" filled="false" stroked="true" strokeweight=".47998pt" strokecolor="#000000">
                <v:path arrowok="t"/>
              </v:shape>
            </v:group>
            <v:group style="position:absolute;left:1138;top:13896;width:1362;height:2" coordorigin="1138,13896" coordsize="1362,2">
              <v:shape style="position:absolute;left:1138;top:13896;width:1362;height:2" coordorigin="1138,13896" coordsize="1362,0" path="m1138,13896l2499,13896e" filled="false" stroked="true" strokeweight=".47998pt" strokecolor="#000000">
                <v:path arrowok="t"/>
              </v:shape>
            </v:group>
            <v:group style="position:absolute;left:2508;top:13896;width:1359;height:2" coordorigin="2508,13896" coordsize="1359,2">
              <v:shape style="position:absolute;left:2508;top:13896;width:1359;height:2" coordorigin="2508,13896" coordsize="1359,0" path="m2508,13896l3867,13896e" filled="false" stroked="true" strokeweight=".47998pt" strokecolor="#000000">
                <v:path arrowok="t"/>
              </v:shape>
            </v:group>
            <v:group style="position:absolute;left:3877;top:13896;width:1356;height:2" coordorigin="3877,13896" coordsize="1356,2">
              <v:shape style="position:absolute;left:3877;top:13896;width:1356;height:2" coordorigin="3877,13896" coordsize="1356,0" path="m3877,13896l5233,13896e" filled="false" stroked="true" strokeweight=".47998pt" strokecolor="#000000">
                <v:path arrowok="t"/>
              </v:shape>
            </v:group>
            <v:group style="position:absolute;left:5243;top:13896;width:1359;height:2" coordorigin="5243,13896" coordsize="1359,2">
              <v:shape style="position:absolute;left:5243;top:13896;width:1359;height:2" coordorigin="5243,13896" coordsize="1359,0" path="m5243,13896l6601,13896e" filled="false" stroked="true" strokeweight=".47998pt" strokecolor="#000000">
                <v:path arrowok="t"/>
              </v:shape>
            </v:group>
            <v:group style="position:absolute;left:6611;top:13896;width:1359;height:2" coordorigin="6611,13896" coordsize="1359,2">
              <v:shape style="position:absolute;left:6611;top:13896;width:1359;height:2" coordorigin="6611,13896" coordsize="1359,0" path="m6611,13896l7969,13896e" filled="false" stroked="true" strokeweight=".47998pt" strokecolor="#000000">
                <v:path arrowok="t"/>
              </v:shape>
            </v:group>
            <v:group style="position:absolute;left:7979;top:13896;width:1357;height:2" coordorigin="7979,13896" coordsize="1357,2">
              <v:shape style="position:absolute;left:7979;top:13896;width:1357;height:2" coordorigin="7979,13896" coordsize="1357,0" path="m7979,13896l9335,13896e" filled="false" stroked="true" strokeweight=".47998pt" strokecolor="#000000">
                <v:path arrowok="t"/>
              </v:shape>
            </v:group>
            <v:group style="position:absolute;left:9345;top:13896;width:1356;height:2" coordorigin="9345,13896" coordsize="1356,2">
              <v:shape style="position:absolute;left:9345;top:13896;width:1356;height:2" coordorigin="9345,13896" coordsize="1356,0" path="m9345,13896l10701,13896e" filled="false" stroked="true" strokeweight=".47998pt" strokecolor="#000000">
                <v:path arrowok="t"/>
              </v:shape>
            </v:group>
            <v:group style="position:absolute;left:1133;top:1440;width:2;height:13488" coordorigin="1133,1440" coordsize="2,13488">
              <v:shape style="position:absolute;left:1133;top:1440;width:2;height:13488" coordorigin="1133,1440" coordsize="0,13488" path="m1133,1440l1133,14928e" filled="false" stroked="true" strokeweight=".48pt" strokecolor="#000000">
                <v:path arrowok="t"/>
              </v:shape>
            </v:group>
            <v:group style="position:absolute;left:1138;top:14923;width:1362;height:2" coordorigin="1138,14923" coordsize="1362,2">
              <v:shape style="position:absolute;left:1138;top:14923;width:1362;height:2" coordorigin="1138,14923" coordsize="1362,0" path="m1138,14923l2499,14923e" filled="false" stroked="true" strokeweight=".47998pt" strokecolor="#000000">
                <v:path arrowok="t"/>
              </v:shape>
            </v:group>
            <v:group style="position:absolute;left:2504;top:1440;width:2;height:13488" coordorigin="2504,1440" coordsize="2,13488">
              <v:shape style="position:absolute;left:2504;top:1440;width:2;height:13488" coordorigin="2504,1440" coordsize="0,13488" path="m2504,1440l2504,14928e" filled="false" stroked="true" strokeweight=".48pt" strokecolor="#000000">
                <v:path arrowok="t"/>
              </v:shape>
            </v:group>
            <v:group style="position:absolute;left:2508;top:14923;width:1359;height:2" coordorigin="2508,14923" coordsize="1359,2">
              <v:shape style="position:absolute;left:2508;top:14923;width:1359;height:2" coordorigin="2508,14923" coordsize="1359,0" path="m2508,14923l3867,14923e" filled="false" stroked="true" strokeweight=".47998pt" strokecolor="#000000">
                <v:path arrowok="t"/>
              </v:shape>
            </v:group>
            <v:group style="position:absolute;left:3872;top:1440;width:2;height:13488" coordorigin="3872,1440" coordsize="2,13488">
              <v:shape style="position:absolute;left:3872;top:1440;width:2;height:13488" coordorigin="3872,1440" coordsize="0,13488" path="m3872,1440l3872,14928e" filled="false" stroked="true" strokeweight=".48001pt" strokecolor="#000000">
                <v:path arrowok="t"/>
              </v:shape>
            </v:group>
            <v:group style="position:absolute;left:3877;top:14923;width:1356;height:2" coordorigin="3877,14923" coordsize="1356,2">
              <v:shape style="position:absolute;left:3877;top:14923;width:1356;height:2" coordorigin="3877,14923" coordsize="1356,0" path="m3877,14923l5233,14923e" filled="false" stroked="true" strokeweight=".47998pt" strokecolor="#000000">
                <v:path arrowok="t"/>
              </v:shape>
            </v:group>
            <v:group style="position:absolute;left:5238;top:1440;width:2;height:13488" coordorigin="5238,1440" coordsize="2,13488">
              <v:shape style="position:absolute;left:5238;top:1440;width:2;height:13488" coordorigin="5238,1440" coordsize="0,13488" path="m5238,1440l5238,14928e" filled="false" stroked="true" strokeweight=".47998pt" strokecolor="#000000">
                <v:path arrowok="t"/>
              </v:shape>
            </v:group>
            <v:group style="position:absolute;left:5243;top:14923;width:1359;height:2" coordorigin="5243,14923" coordsize="1359,2">
              <v:shape style="position:absolute;left:5243;top:14923;width:1359;height:2" coordorigin="5243,14923" coordsize="1359,0" path="m5243,14923l6601,14923e" filled="false" stroked="true" strokeweight=".47998pt" strokecolor="#000000">
                <v:path arrowok="t"/>
              </v:shape>
            </v:group>
            <v:group style="position:absolute;left:6606;top:1440;width:2;height:13488" coordorigin="6606,1440" coordsize="2,13488">
              <v:shape style="position:absolute;left:6606;top:1440;width:2;height:13488" coordorigin="6606,1440" coordsize="0,13488" path="m6606,1440l6606,14928e" filled="false" stroked="true" strokeweight=".48001pt" strokecolor="#000000">
                <v:path arrowok="t"/>
              </v:shape>
            </v:group>
            <v:group style="position:absolute;left:6611;top:14923;width:1359;height:2" coordorigin="6611,14923" coordsize="1359,2">
              <v:shape style="position:absolute;left:6611;top:14923;width:1359;height:2" coordorigin="6611,14923" coordsize="1359,0" path="m6611,14923l7969,14923e" filled="false" stroked="true" strokeweight=".47998pt" strokecolor="#000000">
                <v:path arrowok="t"/>
              </v:shape>
            </v:group>
            <v:group style="position:absolute;left:7974;top:1841;width:2;height:13087" coordorigin="7974,1841" coordsize="2,13087">
              <v:shape style="position:absolute;left:7974;top:1841;width:2;height:13087" coordorigin="7974,1841" coordsize="0,13087" path="m7974,1841l7974,14928e" filled="false" stroked="true" strokeweight=".47998pt" strokecolor="#000000">
                <v:path arrowok="t"/>
              </v:shape>
            </v:group>
            <v:group style="position:absolute;left:7979;top:14923;width:1357;height:2" coordorigin="7979,14923" coordsize="1357,2">
              <v:shape style="position:absolute;left:7979;top:14923;width:1357;height:2" coordorigin="7979,14923" coordsize="1357,0" path="m7979,14923l9335,14923e" filled="false" stroked="true" strokeweight=".47998pt" strokecolor="#000000">
                <v:path arrowok="t"/>
              </v:shape>
            </v:group>
            <v:group style="position:absolute;left:9340;top:1440;width:2;height:13488" coordorigin="9340,1440" coordsize="2,13488">
              <v:shape style="position:absolute;left:9340;top:1440;width:2;height:13488" coordorigin="9340,1440" coordsize="0,13488" path="m9340,1440l9340,14928e" filled="false" stroked="true" strokeweight=".48001pt" strokecolor="#000000">
                <v:path arrowok="t"/>
              </v:shape>
            </v:group>
            <v:group style="position:absolute;left:9345;top:14923;width:1356;height:2" coordorigin="9345,14923" coordsize="1356,2">
              <v:shape style="position:absolute;left:9345;top:14923;width:1356;height:2" coordorigin="9345,14923" coordsize="1356,0" path="m9345,14923l10701,14923e" filled="false" stroked="true" strokeweight=".47998pt" strokecolor="#000000">
                <v:path arrowok="t"/>
              </v:shape>
            </v:group>
            <v:group style="position:absolute;left:10706;top:1440;width:2;height:13488" coordorigin="10706,1440" coordsize="2,13488">
              <v:shape style="position:absolute;left:10706;top:1440;width:2;height:13488" coordorigin="10706,1440" coordsize="0,13488" path="m10706,1440l10706,14928e" filled="false" stroked="true" strokeweight=".47998pt" strokecolor="#000000">
                <v:path arrowok="t"/>
              </v:shape>
            </v:group>
            <w10:wrap type="none"/>
          </v:group>
        </w:pict>
      </w:r>
      <w:r>
        <w:rPr/>
        <w:t>智慧神州</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 </w:t>
      </w:r>
      <w:r>
        <w:rPr/>
        <w:t>投资管理有限公 司（注</w:t>
      </w:r>
      <w:r>
        <w:rPr>
          <w:spacing w:val="-42"/>
        </w:rPr>
        <w:t> </w:t>
      </w:r>
      <w:r>
        <w:rPr>
          <w:rFonts w:ascii="Times New Roman" w:hAnsi="Times New Roman" w:cs="Times New Roman" w:eastAsia="Times New Roman" w:hint="default"/>
        </w:rPr>
        <w:t>16</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tabs>
          <w:tab w:pos="1439" w:val="left" w:leader="none"/>
          <w:tab w:pos="2807" w:val="left" w:leader="none"/>
          <w:tab w:pos="6206" w:val="left" w:leader="none"/>
        </w:tabs>
        <w:spacing w:line="240" w:lineRule="auto"/>
        <w:ind w:left="70" w:right="-19"/>
        <w:jc w:val="left"/>
        <w:rPr>
          <w:rFonts w:ascii="Times New Roman" w:hAnsi="Times New Roman" w:cs="Times New Roman" w:eastAsia="Times New Roman" w:hint="default"/>
        </w:rPr>
      </w:pPr>
      <w:r>
        <w:rPr/>
        <w:t>境内子公司</w:t>
        <w:tab/>
        <w:t>北京</w:t>
        <w:tab/>
        <w:t>投资管理</w:t>
        <w:tab/>
      </w:r>
      <w:r>
        <w:rPr>
          <w:rFonts w:ascii="Times New Roman" w:hAnsi="Times New Roman" w:cs="Times New Roman" w:eastAsia="Times New Roman" w:hint="default"/>
        </w:rPr>
        <w:t>100.00%</w:t>
      </w:r>
    </w:p>
    <w:p>
      <w:pPr>
        <w:spacing w:line="240" w:lineRule="auto" w:before="2"/>
        <w:rPr>
          <w:rFonts w:ascii="Times New Roman" w:hAnsi="Times New Roman" w:cs="Times New Roman" w:eastAsia="Times New Roman" w:hint="default"/>
          <w:sz w:val="23"/>
          <w:szCs w:val="23"/>
        </w:rPr>
      </w:pPr>
      <w:r>
        <w:rPr/>
        <w:br w:type="column"/>
      </w:r>
      <w:r>
        <w:rPr>
          <w:rFonts w:ascii="Times New Roman"/>
          <w:sz w:val="23"/>
        </w:rPr>
      </w:r>
    </w:p>
    <w:p>
      <w:pPr>
        <w:pStyle w:val="BodyText"/>
        <w:spacing w:line="314" w:lineRule="auto"/>
        <w:ind w:left="15" w:right="1257"/>
        <w:jc w:val="left"/>
      </w:pPr>
      <w:r>
        <w:rPr/>
        <w:t>非同一控制下企 业合并</w:t>
      </w:r>
    </w:p>
    <w:p>
      <w:pPr>
        <w:spacing w:after="0" w:line="314" w:lineRule="auto"/>
        <w:jc w:val="left"/>
        <w:sectPr>
          <w:type w:val="continuous"/>
          <w:pgSz w:w="11910" w:h="16840"/>
          <w:pgMar w:top="1580" w:bottom="700" w:left="980" w:right="0"/>
          <w:cols w:num="3" w:equalWidth="0">
            <w:col w:w="1442" w:space="40"/>
            <w:col w:w="6853" w:space="40"/>
            <w:col w:w="2555"/>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北京神州数码云 科信息技术有限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上海神州数码通 信技术有限公司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z w:val="18"/>
                <w:szCs w:val="18"/>
              </w:rPr>
              <w:t> Marketing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z w:val="18"/>
                <w:szCs w:val="18"/>
              </w:rPr>
              <w:t> Services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w:t>
            </w:r>
          </w:p>
          <w:p>
            <w:pPr>
              <w:pStyle w:val="TableParagraph"/>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神州数码科技发 展有限公司（注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神州数码（香港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有限公司（注</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21</w:t>
            </w:r>
            <w:r>
              <w:rPr>
                <w:rFonts w:ascii="Times New Roman" w:hAnsi="Times New Roman" w:cs="Times New Roman" w:eastAsia="Times New Roman"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3" w:right="0"/>
              <w:jc w:val="left"/>
              <w:rPr>
                <w:rFonts w:ascii="宋体" w:hAnsi="宋体" w:cs="宋体" w:eastAsia="宋体" w:hint="default"/>
                <w:sz w:val="18"/>
                <w:szCs w:val="18"/>
              </w:rPr>
            </w:pPr>
            <w:r>
              <w:rPr>
                <w:rFonts w:ascii="宋体" w:hAnsi="宋体" w:cs="宋体" w:eastAsia="宋体" w:hint="default"/>
                <w:sz w:val="18"/>
                <w:szCs w:val="18"/>
              </w:rPr>
              <w:t>境外</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703"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7.850pt;height:35.2pt;mso-position-horizontal-relative:char;mso-position-vertical-relative:line" coordorigin="0,0" coordsize="1357,704">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0;top:547;width:1357;height:156" coordorigin="0,547" coordsize="1357,156">
                    <v:shape style="position:absolute;left:0;top:547;width:1357;height:156" coordorigin="0,547" coordsize="1357,156" path="m0,703l1356,703,1356,547,0,547,0,703xe" filled="true" fillcolor="#ffffff" stroked="false">
                      <v:path arrowok="t"/>
                      <v:fill type="solid"/>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1"/>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产品、投</w:t>
            </w:r>
            <w:r>
              <w:rPr>
                <w:rFonts w:ascii="宋体" w:hAnsi="宋体" w:cs="宋体" w:eastAsia="宋体" w:hint="default"/>
                <w:sz w:val="18"/>
                <w:szCs w:val="18"/>
              </w:rPr>
              <w:t> 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神州数码数据服 务（香港）有限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无业务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神州数码澳门离 岸商业服务有限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系统信息科技</w:t>
            </w:r>
          </w:p>
          <w:p>
            <w:pPr>
              <w:pStyle w:val="TableParagraph"/>
              <w:spacing w:line="316" w:lineRule="auto" w:before="74"/>
              <w:ind w:left="24" w:right="75"/>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神州数码网络</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（香港）有限公 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北京神州数码智 慧生活科技有限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神州数码澳门有 限公司（注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神州数码科技服 务有限公司（注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北京神州数码电 商科技有限公司</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30.670013pt;margin-top:415.549988pt;width:66.6pt;height:20.65pt;mso-position-horizontal-relative:page;mso-position-vertical-relative:page;z-index:-1665088" coordorigin="6613,8311" coordsize="1332,413">
            <v:group style="position:absolute;left:6624;top:8322;width:2;height:392" coordorigin="6624,8322" coordsize="2,392">
              <v:shape style="position:absolute;left:6624;top:8322;width:2;height:392" coordorigin="6624,8322" coordsize="0,392" path="m6624,8322l6624,8713e" filled="false" stroked="true" strokeweight="1.08pt" strokecolor="#ffffff">
                <v:path arrowok="t"/>
              </v:shape>
            </v:group>
            <v:group style="position:absolute;left:6635;top:8322;width:1311;height:392" coordorigin="6635,8322" coordsize="1311,392">
              <v:shape style="position:absolute;left:6635;top:8322;width:1311;height:392" coordorigin="6635,8322" coordsize="1311,392" path="m6635,8713l7945,8713,7945,8322,6635,8322,6635,871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北京神州数码云 计算有限公司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贵州神州数码云 计算有限公司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深圳神州数码云 科数据技术有限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存储、虚拟化、 超融合产品的研 发、生产及销售</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233"/>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Technology International (Sin) PTE</w:t>
            </w:r>
            <w:r>
              <w:rPr>
                <w:rFonts w:ascii="Times New Roman"/>
                <w:spacing w:val="-2"/>
                <w:sz w:val="18"/>
              </w:rPr>
              <w:t> </w:t>
            </w:r>
            <w:r>
              <w:rPr>
                <w:rFonts w:ascii="Times New Roman"/>
                <w:spacing w:val="-7"/>
                <w:sz w:val="18"/>
              </w:rPr>
              <w:t>LTD</w:t>
            </w:r>
          </w:p>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武汉神州数码云 科网络技术有限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生产、分销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 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上海云角信息技 术有限公司（注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计算机科技领域 </w:t>
            </w:r>
            <w:r>
              <w:rPr>
                <w:rFonts w:ascii="宋体" w:hAnsi="宋体" w:cs="宋体" w:eastAsia="宋体" w:hint="default"/>
                <w:spacing w:val="-6"/>
                <w:sz w:val="18"/>
                <w:szCs w:val="18"/>
              </w:rPr>
              <w:t>技术开发、咨询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北京神州数码云 角信息技术有限 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3"/>
              <w:ind w:left="24"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4"/>
                <w:sz w:val="18"/>
                <w:szCs w:val="18"/>
              </w:rPr>
              <w:t>Yungoal</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6"/>
                <w:sz w:val="18"/>
                <w:szCs w:val="18"/>
              </w:rPr>
              <w:t>Tech</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USA</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境外</w:t>
            </w: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412" w:lineRule="exact"/>
              <w:ind w:left="2"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6.75pt;height:20.65pt;mso-position-horizontal-relative:char;mso-position-vertical-relative:line" coordorigin="0,0" coordsize="1335,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4"/>
                <w:sz w:val="18"/>
                <w:szCs w:val="18"/>
              </w:rPr>
              <w:t> Yungoal</w:t>
            </w:r>
            <w:r>
              <w:rPr>
                <w:rFonts w:ascii="Times New Roman" w:hAnsi="Times New Roman" w:cs="Times New Roman" w:eastAsia="Times New Roman" w:hint="default"/>
                <w:sz w:val="18"/>
                <w:szCs w:val="18"/>
              </w:rPr>
              <w:t> Info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Tech</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HK</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信息技术开发与 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深圳神州数码电 商服务有限公司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电子商务运营管 理</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11"/>
              <w:jc w:val="left"/>
              <w:rPr>
                <w:rFonts w:ascii="宋体" w:hAnsi="宋体" w:cs="宋体" w:eastAsia="宋体" w:hint="default"/>
                <w:sz w:val="18"/>
                <w:szCs w:val="18"/>
              </w:rPr>
            </w:pP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z w:val="18"/>
                <w:szCs w:val="18"/>
              </w:rPr>
              <w:t> Technology (Malaysia)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Sdn.Bhd. </w:t>
            </w:r>
            <w:r>
              <w:rPr>
                <w:rFonts w:ascii="宋体" w:hAnsi="宋体" w:cs="宋体" w:eastAsia="宋体" w:hint="default"/>
                <w:sz w:val="18"/>
                <w:szCs w:val="18"/>
              </w:rPr>
              <w:t>（注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广州证券</w:t>
            </w:r>
            <w:r>
              <w:rPr>
                <w:rFonts w:ascii="Times New Roman" w:hAnsi="Times New Roman" w:cs="Times New Roman" w:eastAsia="Times New Roman" w:hint="default"/>
                <w:sz w:val="18"/>
                <w:szCs w:val="18"/>
              </w:rPr>
              <w:t>-</w:t>
            </w:r>
            <w:r>
              <w:rPr>
                <w:rFonts w:ascii="宋体" w:hAnsi="宋体" w:cs="宋体" w:eastAsia="宋体" w:hint="default"/>
                <w:sz w:val="18"/>
                <w:szCs w:val="18"/>
              </w:rPr>
              <w:t>神州 数码应收账款资 产支持专项计划</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证券公司资产支 持专项计划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6974"/>
        <w:jc w:val="left"/>
      </w:pPr>
      <w:r>
        <w:rPr/>
        <w:t>在子公司的持股比例不同于表决权比例的说明： 无</w:t>
      </w:r>
    </w:p>
    <w:p>
      <w:pPr>
        <w:pStyle w:val="BodyText"/>
        <w:spacing w:line="357" w:lineRule="auto" w:before="29"/>
        <w:ind w:right="2834"/>
        <w:jc w:val="left"/>
      </w:pPr>
      <w:r>
        <w:rPr/>
        <w:t>持有半数或以下表决权但仍控制被投资单位、以及持有半数以上表决权但不控制被投资单位的依据： 无</w:t>
      </w:r>
    </w:p>
    <w:p>
      <w:pPr>
        <w:pStyle w:val="BodyText"/>
        <w:spacing w:line="240" w:lineRule="auto" w:before="29"/>
        <w:ind w:right="0"/>
        <w:jc w:val="both"/>
      </w:pPr>
      <w:r>
        <w:rPr/>
        <w:t>对于纳入合并范围的重要的结构化主体，控制的依据：</w:t>
      </w:r>
    </w:p>
    <w:p>
      <w:pPr>
        <w:pStyle w:val="BodyText"/>
        <w:spacing w:line="319" w:lineRule="auto" w:before="117"/>
        <w:ind w:right="1128" w:firstLine="360"/>
        <w:jc w:val="both"/>
      </w:pPr>
      <w:r>
        <w:rPr/>
        <w:t>针对广州证券</w:t>
      </w:r>
      <w:r>
        <w:rPr>
          <w:rFonts w:ascii="宋体" w:hAnsi="宋体" w:cs="宋体" w:eastAsia="宋体" w:hint="default"/>
        </w:rPr>
        <w:t>-</w:t>
      </w:r>
      <w:r>
        <w:rPr/>
        <w:t>神州数码应收账款资产支持证券专项计划，神码中国持有全部次级资产支持证券，在专项计划费用、优 </w:t>
      </w:r>
      <w:r>
        <w:rPr>
          <w:spacing w:val="-2"/>
        </w:rPr>
        <w:t>先级资产支持证券的预期收益及</w:t>
      </w:r>
      <w:r>
        <w:rPr>
          <w:rFonts w:ascii="宋体" w:hAnsi="宋体" w:cs="宋体" w:eastAsia="宋体" w:hint="default"/>
          <w:spacing w:val="-2"/>
        </w:rPr>
        <w:t>/</w:t>
      </w:r>
      <w:r>
        <w:rPr>
          <w:spacing w:val="-2"/>
        </w:rPr>
        <w:t>或本金未能得到足额偿付时履行差额支付义务。神码中国对广州证券</w:t>
      </w:r>
      <w:r>
        <w:rPr>
          <w:rFonts w:ascii="宋体" w:hAnsi="宋体" w:cs="宋体" w:eastAsia="宋体" w:hint="default"/>
          <w:spacing w:val="-2"/>
        </w:rPr>
        <w:t>-</w:t>
      </w:r>
      <w:r>
        <w:rPr>
          <w:spacing w:val="-2"/>
        </w:rPr>
        <w:t>神州数码应收账款资</w:t>
      </w:r>
      <w:r>
        <w:rPr>
          <w:spacing w:val="-59"/>
        </w:rPr>
        <w:t> </w:t>
      </w:r>
      <w:r>
        <w:rPr/>
        <w:t>产支持证券专项计划具有实际控制权，将其纳入合并财务报表范围。</w:t>
      </w:r>
    </w:p>
    <w:p>
      <w:pPr>
        <w:pStyle w:val="BodyText"/>
        <w:spacing w:line="360" w:lineRule="auto" w:before="55"/>
        <w:ind w:right="7694"/>
        <w:jc w:val="left"/>
      </w:pPr>
      <w:r>
        <w:rPr/>
        <w:t>确定公司是代理人还是委托人的依据： 无</w:t>
      </w:r>
    </w:p>
    <w:p>
      <w:pPr>
        <w:pStyle w:val="BodyText"/>
        <w:spacing w:line="240" w:lineRule="auto" w:before="27"/>
        <w:ind w:right="0"/>
        <w:jc w:val="both"/>
      </w:pPr>
      <w:r>
        <w:rPr/>
        <w:t>其他说明：</w:t>
      </w:r>
    </w:p>
    <w:p>
      <w:pPr>
        <w:pStyle w:val="BodyText"/>
        <w:spacing w:line="304" w:lineRule="auto" w:before="115"/>
        <w:ind w:right="1129"/>
        <w:jc w:val="both"/>
      </w:pPr>
      <w:r>
        <w:rPr/>
        <w:t>注</w:t>
      </w:r>
      <w:r>
        <w:rPr>
          <w:rFonts w:ascii="Times New Roman" w:hAnsi="Times New Roman" w:cs="Times New Roman" w:eastAsia="Times New Roman" w:hint="default"/>
        </w:rPr>
        <w:t>1: </w:t>
      </w:r>
      <w:r>
        <w:rPr/>
        <w:t>神州数码（中国）有限公司（以下简称</w:t>
      </w:r>
      <w:r>
        <w:rPr>
          <w:rFonts w:ascii="Times New Roman" w:hAnsi="Times New Roman" w:cs="Times New Roman" w:eastAsia="Times New Roman" w:hint="default"/>
        </w:rPr>
        <w:t>“</w:t>
      </w:r>
      <w:r>
        <w:rPr/>
        <w:t>神码中国</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日出资设立的台港澳法人独资有限责</w:t>
      </w:r>
      <w:r>
        <w:rPr>
          <w:spacing w:val="-80"/>
        </w:rPr>
        <w:t> </w:t>
      </w:r>
      <w:r>
        <w:rPr>
          <w:spacing w:val="-80"/>
        </w:rPr>
      </w:r>
      <w:r>
        <w:rPr>
          <w:spacing w:val="-4"/>
        </w:rPr>
        <w:t>任公司，公司注册资本港币</w:t>
      </w:r>
      <w:r>
        <w:rPr>
          <w:rFonts w:ascii="Times New Roman" w:hAnsi="Times New Roman" w:cs="Times New Roman" w:eastAsia="Times New Roman" w:hint="default"/>
          <w:spacing w:val="-4"/>
        </w:rPr>
        <w:t>100,000</w:t>
      </w:r>
      <w:r>
        <w:rPr>
          <w:spacing w:val="-4"/>
        </w:rPr>
        <w:t>万元。于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7</w:t>
      </w:r>
      <w:r>
        <w:rPr>
          <w:spacing w:val="-4"/>
        </w:rPr>
        <w:t>日，神码有限将其持有的神码中国</w:t>
      </w:r>
      <w:r>
        <w:rPr>
          <w:rFonts w:ascii="Times New Roman" w:hAnsi="Times New Roman" w:cs="Times New Roman" w:eastAsia="Times New Roman" w:hint="default"/>
          <w:spacing w:val="-4"/>
        </w:rPr>
        <w:t>100%</w:t>
      </w:r>
      <w:r>
        <w:rPr>
          <w:spacing w:val="-4"/>
        </w:rPr>
        <w:t>股权转让给本公司，转让后，</w:t>
      </w:r>
      <w:r>
        <w:rPr>
          <w:spacing w:val="-31"/>
        </w:rPr>
        <w:t> </w:t>
      </w:r>
      <w:r>
        <w:rPr>
          <w:spacing w:val="-31"/>
        </w:rPr>
      </w:r>
      <w:r>
        <w:rPr>
          <w:spacing w:val="-2"/>
        </w:rPr>
        <w:t>神码中国成为本公司全资子公司，公司类型由台港澳法人独资有限责任公司变更为法人独资有限责任公司，公司注册资本变</w:t>
      </w:r>
      <w:r>
        <w:rPr>
          <w:spacing w:val="-64"/>
        </w:rPr>
        <w:t> </w:t>
      </w:r>
      <w:r>
        <w:rPr>
          <w:spacing w:val="-64"/>
        </w:rPr>
      </w:r>
      <w:r>
        <w:rPr/>
        <w:t>更为人民币</w:t>
      </w:r>
      <w:r>
        <w:rPr>
          <w:rFonts w:ascii="Times New Roman" w:hAnsi="Times New Roman" w:cs="Times New Roman" w:eastAsia="Times New Roman" w:hint="default"/>
        </w:rPr>
        <w:t>104,272.225</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月，经股东会决议通过，本公司向神码中国增资</w:t>
      </w:r>
      <w:r>
        <w:rPr>
          <w:rFonts w:ascii="Times New Roman" w:hAnsi="Times New Roman" w:cs="Times New Roman" w:eastAsia="Times New Roman" w:hint="default"/>
        </w:rPr>
        <w:t>12.05</w:t>
      </w:r>
      <w:r>
        <w:rPr/>
        <w:t>亿元，神码中国全部计入资本</w:t>
      </w:r>
      <w:r>
        <w:rPr>
          <w:spacing w:val="-46"/>
        </w:rPr>
        <w:t> </w:t>
      </w:r>
      <w:r>
        <w:rPr>
          <w:spacing w:val="-46"/>
        </w:rPr>
      </w:r>
      <w:r>
        <w:rPr/>
        <w:t>公积。</w:t>
      </w:r>
    </w:p>
    <w:p>
      <w:pPr>
        <w:spacing w:line="240" w:lineRule="auto" w:before="0"/>
        <w:rPr>
          <w:rFonts w:ascii="宋体" w:hAnsi="宋体" w:cs="宋体" w:eastAsia="宋体" w:hint="default"/>
          <w:sz w:val="26"/>
          <w:szCs w:val="26"/>
        </w:rPr>
      </w:pPr>
    </w:p>
    <w:p>
      <w:pPr>
        <w:pStyle w:val="BodyText"/>
        <w:spacing w:line="304" w:lineRule="auto"/>
        <w:ind w:right="1129"/>
        <w:jc w:val="both"/>
      </w:pPr>
      <w:r>
        <w:rPr/>
        <w:t>注</w:t>
      </w:r>
      <w:r>
        <w:rPr>
          <w:rFonts w:ascii="Times New Roman" w:hAnsi="Times New Roman" w:cs="Times New Roman" w:eastAsia="Times New Roman" w:hint="default"/>
        </w:rPr>
        <w:t>2:</w:t>
      </w:r>
      <w:r>
        <w:rPr/>
        <w:t>上海神州数码有限公司（以下简称</w:t>
      </w:r>
      <w:r>
        <w:rPr>
          <w:rFonts w:ascii="Times New Roman" w:hAnsi="Times New Roman" w:cs="Times New Roman" w:eastAsia="Times New Roman" w:hint="default"/>
        </w:rPr>
        <w:t>“</w:t>
      </w:r>
      <w:r>
        <w:rPr/>
        <w:t>神码上海</w:t>
      </w:r>
      <w:r>
        <w:rPr>
          <w:rFonts w:ascii="Times New Roman" w:hAnsi="Times New Roman" w:cs="Times New Roman" w:eastAsia="Times New Roman" w:hint="default"/>
        </w:rPr>
        <w:t>”</w:t>
      </w:r>
      <w:r>
        <w:rPr/>
        <w:t>）系由神码有限于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日出资港币</w:t>
      </w:r>
      <w:r>
        <w:rPr>
          <w:rFonts w:ascii="Times New Roman" w:hAnsi="Times New Roman" w:cs="Times New Roman" w:eastAsia="Times New Roman" w:hint="default"/>
        </w:rPr>
        <w:t>1,000</w:t>
      </w:r>
      <w:r>
        <w:rPr/>
        <w:t>万元设立的台港澳法人独</w:t>
      </w:r>
      <w:r>
        <w:rPr>
          <w:spacing w:val="-73"/>
        </w:rPr>
        <w:t> </w:t>
      </w:r>
      <w:r>
        <w:rPr>
          <w:spacing w:val="-73"/>
        </w:rPr>
      </w:r>
      <w:r>
        <w:rPr>
          <w:spacing w:val="-1"/>
        </w:rPr>
        <w:t>资有限责任公司。于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日，神码有限对神码上海增资港币</w:t>
      </w:r>
      <w:r>
        <w:rPr>
          <w:rFonts w:ascii="Times New Roman" w:hAnsi="Times New Roman" w:cs="Times New Roman" w:eastAsia="Times New Roman" w:hint="default"/>
          <w:spacing w:val="-1"/>
        </w:rPr>
        <w:t>2,000</w:t>
      </w:r>
      <w:r>
        <w:rPr>
          <w:spacing w:val="-1"/>
        </w:rPr>
        <w:t>万元，增资后，神码上海的注册资本及实收资本变</w:t>
      </w:r>
      <w:r>
        <w:rPr>
          <w:spacing w:val="-74"/>
        </w:rPr>
        <w:t> </w:t>
      </w:r>
      <w:r>
        <w:rPr>
          <w:spacing w:val="-74"/>
        </w:rPr>
      </w:r>
      <w:r>
        <w:rPr/>
        <w:t>更为港币</w:t>
      </w:r>
      <w:r>
        <w:rPr>
          <w:rFonts w:ascii="Times New Roman" w:hAnsi="Times New Roman" w:cs="Times New Roman" w:eastAsia="Times New Roman" w:hint="default"/>
        </w:rPr>
        <w:t>3,000</w:t>
      </w:r>
      <w:r>
        <w:rPr/>
        <w:t>万元。于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日，神码有限对神码上海增资港币</w:t>
      </w:r>
      <w:r>
        <w:rPr>
          <w:rFonts w:ascii="Times New Roman" w:hAnsi="Times New Roman" w:cs="Times New Roman" w:eastAsia="Times New Roman" w:hint="default"/>
        </w:rPr>
        <w:t>25,500</w:t>
      </w:r>
      <w:r>
        <w:rPr/>
        <w:t>万元，增资后，神码上海的注册资本及实收资</w:t>
      </w:r>
      <w:r>
        <w:rPr>
          <w:spacing w:val="-87"/>
        </w:rPr>
        <w:t> </w:t>
      </w:r>
      <w:r>
        <w:rPr>
          <w:spacing w:val="-87"/>
        </w:rPr>
      </w:r>
      <w:r>
        <w:rPr/>
        <w:t>本变更为港币</w:t>
      </w:r>
      <w:r>
        <w:rPr>
          <w:rFonts w:ascii="Times New Roman" w:hAnsi="Times New Roman" w:cs="Times New Roman" w:eastAsia="Times New Roman" w:hint="default"/>
        </w:rPr>
        <w:t>28,500</w:t>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日，神码有限将其持有的神码上海</w:t>
      </w:r>
      <w:r>
        <w:rPr>
          <w:rFonts w:ascii="Times New Roman" w:hAnsi="Times New Roman" w:cs="Times New Roman" w:eastAsia="Times New Roman" w:hint="default"/>
        </w:rPr>
        <w:t>100%</w:t>
      </w:r>
      <w:r>
        <w:rPr/>
        <w:t>股权转让给本公司，转让后，神码上海成</w:t>
      </w:r>
      <w:r>
        <w:rPr>
          <w:spacing w:val="-19"/>
        </w:rPr>
        <w:t> </w:t>
      </w:r>
      <w:r>
        <w:rPr>
          <w:spacing w:val="-19"/>
        </w:rPr>
      </w:r>
      <w:r>
        <w:rPr>
          <w:spacing w:val="-2"/>
        </w:rPr>
        <w:t>为本公司全资子公司，公司类型由台港澳法人独资有限责任公司变更为法人独资有限责任公司，公司注册资本变更为人民币</w:t>
      </w:r>
      <w:r>
        <w:rPr>
          <w:spacing w:val="-64"/>
        </w:rPr>
        <w:t> </w:t>
      </w:r>
      <w:r>
        <w:rPr>
          <w:spacing w:val="-64"/>
        </w:rPr>
      </w:r>
      <w:r>
        <w:rPr>
          <w:rFonts w:ascii="Times New Roman" w:hAnsi="Times New Roman" w:cs="Times New Roman" w:eastAsia="Times New Roman" w:hint="default"/>
        </w:rPr>
        <w:t>23,105.115</w:t>
      </w:r>
      <w:r>
        <w:rPr/>
        <w:t>万元。</w:t>
      </w:r>
    </w:p>
    <w:p>
      <w:pPr>
        <w:spacing w:line="240" w:lineRule="auto" w:before="7"/>
        <w:rPr>
          <w:rFonts w:ascii="宋体" w:hAnsi="宋体" w:cs="宋体" w:eastAsia="宋体" w:hint="default"/>
          <w:sz w:val="24"/>
          <w:szCs w:val="24"/>
        </w:rPr>
      </w:pPr>
    </w:p>
    <w:p>
      <w:pPr>
        <w:pStyle w:val="BodyText"/>
        <w:spacing w:line="300" w:lineRule="auto"/>
        <w:ind w:right="1129"/>
        <w:jc w:val="both"/>
      </w:pPr>
      <w:r>
        <w:rPr>
          <w:spacing w:val="-1"/>
        </w:rPr>
        <w:t>注</w:t>
      </w:r>
      <w:r>
        <w:rPr>
          <w:rFonts w:ascii="Times New Roman" w:hAnsi="Times New Roman" w:cs="Times New Roman" w:eastAsia="Times New Roman" w:hint="default"/>
          <w:spacing w:val="-1"/>
        </w:rPr>
        <w:t>3:</w:t>
      </w:r>
      <w:r>
        <w:rPr>
          <w:spacing w:val="-1"/>
        </w:rPr>
        <w:t>广州神州数码有限公司由神码有限及神码北京于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日共同出资设立。于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日，神码有限将其持有的</w:t>
      </w:r>
      <w:r>
        <w:rPr>
          <w:spacing w:val="-77"/>
        </w:rPr>
        <w:t> </w:t>
      </w:r>
      <w:r>
        <w:rPr>
          <w:spacing w:val="-77"/>
        </w:rPr>
      </w:r>
      <w:r>
        <w:rPr>
          <w:spacing w:val="-1"/>
        </w:rPr>
        <w:t>广州神州数码有限公司</w:t>
      </w:r>
      <w:r>
        <w:rPr>
          <w:rFonts w:ascii="Times New Roman" w:hAnsi="Times New Roman" w:cs="Times New Roman" w:eastAsia="Times New Roman" w:hint="default"/>
          <w:spacing w:val="-1"/>
        </w:rPr>
        <w:t>70%</w:t>
      </w:r>
      <w:r>
        <w:rPr>
          <w:spacing w:val="-1"/>
        </w:rPr>
        <w:t>股权转让给神码中国，注册资本由港币</w:t>
      </w:r>
      <w:r>
        <w:rPr>
          <w:rFonts w:ascii="Times New Roman" w:hAnsi="Times New Roman" w:cs="Times New Roman" w:eastAsia="Times New Roman" w:hint="default"/>
          <w:spacing w:val="-1"/>
        </w:rPr>
        <w:t>1,200</w:t>
      </w:r>
      <w:r>
        <w:rPr>
          <w:spacing w:val="-1"/>
        </w:rPr>
        <w:t>万元变更为人民币</w:t>
      </w:r>
      <w:r>
        <w:rPr>
          <w:rFonts w:ascii="Times New Roman" w:hAnsi="Times New Roman" w:cs="Times New Roman" w:eastAsia="Times New Roman" w:hint="default"/>
          <w:spacing w:val="-1"/>
        </w:rPr>
        <w:t>1,274.04</w:t>
      </w:r>
      <w:r>
        <w:rPr>
          <w:spacing w:val="-1"/>
        </w:rPr>
        <w:t>万元，转让后，神码中国</w:t>
      </w:r>
      <w:r>
        <w:rPr>
          <w:spacing w:val="-41"/>
        </w:rPr>
        <w:t> </w:t>
      </w:r>
      <w:r>
        <w:rPr>
          <w:spacing w:val="-41"/>
        </w:rPr>
      </w:r>
      <w:r>
        <w:rPr/>
        <w:t>持有广州神州数码有限公司</w:t>
      </w:r>
      <w:r>
        <w:rPr>
          <w:rFonts w:ascii="Times New Roman" w:hAnsi="Times New Roman" w:cs="Times New Roman" w:eastAsia="Times New Roman" w:hint="default"/>
        </w:rPr>
        <w:t>70%</w:t>
      </w:r>
      <w:r>
        <w:rPr/>
        <w:t>股权，神码北京持有广州神州数码有限公司</w:t>
      </w:r>
      <w:r>
        <w:rPr>
          <w:rFonts w:ascii="Times New Roman" w:hAnsi="Times New Roman" w:cs="Times New Roman" w:eastAsia="Times New Roman" w:hint="default"/>
        </w:rPr>
        <w:t>30%</w:t>
      </w:r>
      <w:r>
        <w:rPr/>
        <w:t>股权。</w:t>
      </w:r>
    </w:p>
    <w:p>
      <w:pPr>
        <w:spacing w:line="240" w:lineRule="auto" w:before="12"/>
        <w:rPr>
          <w:rFonts w:ascii="宋体" w:hAnsi="宋体" w:cs="宋体" w:eastAsia="宋体" w:hint="default"/>
          <w:sz w:val="24"/>
          <w:szCs w:val="24"/>
        </w:rPr>
      </w:pPr>
    </w:p>
    <w:p>
      <w:pPr>
        <w:pStyle w:val="BodyText"/>
        <w:spacing w:line="300" w:lineRule="auto"/>
        <w:ind w:right="1128"/>
        <w:jc w:val="both"/>
      </w:pPr>
      <w:r>
        <w:rPr/>
        <w:t>注</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spacing w:val="-4"/>
        </w:rPr>
        <w:t>沈阳神州数码有限公司（以下简称</w:t>
      </w:r>
      <w:r>
        <w:rPr>
          <w:rFonts w:ascii="Times New Roman" w:hAnsi="Times New Roman" w:cs="Times New Roman" w:eastAsia="Times New Roman" w:hint="default"/>
          <w:spacing w:val="-4"/>
        </w:rPr>
        <w:t>“</w:t>
      </w:r>
      <w:r>
        <w:rPr>
          <w:spacing w:val="-4"/>
        </w:rPr>
        <w:t>神码沈阳</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4</w:t>
      </w:r>
      <w:r>
        <w:rPr>
          <w:spacing w:val="-4"/>
        </w:rPr>
        <w:t>月由神码有限设立的台港澳法人独资有限责任公司。于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日，神码有限将其持有的神码沈阳</w:t>
      </w:r>
      <w:r>
        <w:rPr>
          <w:rFonts w:ascii="Times New Roman" w:hAnsi="Times New Roman" w:cs="Times New Roman" w:eastAsia="Times New Roman" w:hint="default"/>
          <w:spacing w:val="-2"/>
        </w:rPr>
        <w:t>100%</w:t>
      </w:r>
      <w:r>
        <w:rPr>
          <w:spacing w:val="-2"/>
        </w:rPr>
        <w:t>股权转让给神码中国，转让后，神码沈阳成为神码中国全资子公司，公司类</w:t>
      </w:r>
      <w:r>
        <w:rPr>
          <w:spacing w:val="-36"/>
        </w:rPr>
        <w:t> </w:t>
      </w:r>
      <w:r>
        <w:rPr>
          <w:spacing w:val="-36"/>
        </w:rPr>
      </w:r>
      <w:r>
        <w:rPr/>
        <w:t>型由台港澳法人独资有限责任公司变更为自然人投资或控股的法人独资有限责任公司，公司注册资本由港币</w:t>
      </w:r>
      <w:r>
        <w:rPr>
          <w:rFonts w:ascii="Times New Roman" w:hAnsi="Times New Roman" w:cs="Times New Roman" w:eastAsia="Times New Roman" w:hint="default"/>
        </w:rPr>
        <w:t>3,900</w:t>
      </w:r>
      <w:r>
        <w:rPr/>
        <w:t>万元变更</w:t>
      </w:r>
      <w:r>
        <w:rPr>
          <w:spacing w:val="-38"/>
        </w:rPr>
        <w:t> </w:t>
      </w:r>
      <w:r>
        <w:rPr/>
        <w:t>为人民币</w:t>
      </w:r>
      <w:r>
        <w:rPr>
          <w:rFonts w:ascii="Times New Roman" w:hAnsi="Times New Roman" w:cs="Times New Roman" w:eastAsia="Times New Roman" w:hint="default"/>
        </w:rPr>
        <w:t>3,370</w:t>
      </w:r>
      <w:r>
        <w:rPr/>
        <w:t>万元。</w:t>
      </w:r>
    </w:p>
    <w:p>
      <w:pPr>
        <w:spacing w:line="240" w:lineRule="auto" w:before="11"/>
        <w:rPr>
          <w:rFonts w:ascii="宋体" w:hAnsi="宋体" w:cs="宋体" w:eastAsia="宋体" w:hint="default"/>
          <w:sz w:val="24"/>
          <w:szCs w:val="24"/>
        </w:rPr>
      </w:pPr>
    </w:p>
    <w:p>
      <w:pPr>
        <w:pStyle w:val="BodyText"/>
        <w:spacing w:line="300" w:lineRule="auto"/>
        <w:ind w:right="1130"/>
        <w:jc w:val="both"/>
      </w:pPr>
      <w:r>
        <w:rPr/>
        <w:t>注</w:t>
      </w:r>
      <w:r>
        <w:rPr>
          <w:rFonts w:ascii="Times New Roman" w:hAnsi="Times New Roman" w:cs="Times New Roman" w:eastAsia="Times New Roman" w:hint="default"/>
        </w:rPr>
        <w:t>5:</w:t>
      </w:r>
      <w:r>
        <w:rPr/>
        <w:t>神州数码（深圳）有限公司（以下简称</w:t>
      </w:r>
      <w:r>
        <w:rPr>
          <w:rFonts w:ascii="Times New Roman" w:hAnsi="Times New Roman" w:cs="Times New Roman" w:eastAsia="Times New Roman" w:hint="default"/>
        </w:rPr>
        <w:t>“</w:t>
      </w:r>
      <w:r>
        <w:rPr/>
        <w:t>神码深圳</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日由神码有限设立的台港澳法人独资有限责任公</w:t>
      </w:r>
      <w:r>
        <w:rPr>
          <w:spacing w:val="-36"/>
        </w:rPr>
        <w:t> </w:t>
      </w:r>
      <w:r>
        <w:rPr>
          <w:spacing w:val="-36"/>
        </w:rPr>
      </w:r>
      <w:r>
        <w:rPr/>
        <w:t>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日，神码有限将其持有的神码深圳</w:t>
      </w:r>
      <w:r>
        <w:rPr>
          <w:rFonts w:ascii="Times New Roman" w:hAnsi="Times New Roman" w:cs="Times New Roman" w:eastAsia="Times New Roman" w:hint="default"/>
        </w:rPr>
        <w:t>100%</w:t>
      </w:r>
      <w:r>
        <w:rPr/>
        <w:t>股权转让给神码中国，转让后，神码深圳成为神码中国全资子公</w:t>
      </w:r>
      <w:r>
        <w:rPr>
          <w:spacing w:val="-59"/>
        </w:rPr>
        <w:t> </w:t>
      </w:r>
      <w:r>
        <w:rPr>
          <w:spacing w:val="-59"/>
        </w:rPr>
      </w:r>
      <w:r>
        <w:rPr/>
        <w:t>司，公司类型由台港澳法人独资有限责任公司变更为法人独资有限责任公司，注册资本由港币</w:t>
      </w:r>
      <w:r>
        <w:rPr>
          <w:rFonts w:ascii="Times New Roman" w:hAnsi="Times New Roman" w:cs="Times New Roman" w:eastAsia="Times New Roman" w:hint="default"/>
        </w:rPr>
        <w:t>1,200</w:t>
      </w:r>
      <w:r>
        <w:rPr/>
        <w:t>万元变更为人民币</w:t>
      </w:r>
      <w:r>
        <w:rPr>
          <w:rFonts w:ascii="Times New Roman" w:hAnsi="Times New Roman" w:cs="Times New Roman" w:eastAsia="Times New Roman" w:hint="default"/>
        </w:rPr>
        <w:t>1,273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日神码中国分别对神码深圳增资人民币</w:t>
      </w:r>
      <w:r>
        <w:rPr>
          <w:rFonts w:ascii="Times New Roman" w:hAnsi="Times New Roman" w:cs="Times New Roman" w:eastAsia="Times New Roman" w:hint="default"/>
        </w:rPr>
        <w:t>8727</w:t>
      </w:r>
      <w:r>
        <w:rPr/>
        <w:t>万元和人民币</w:t>
      </w:r>
      <w:r>
        <w:rPr>
          <w:rFonts w:ascii="Times New Roman" w:hAnsi="Times New Roman" w:cs="Times New Roman" w:eastAsia="Times New Roman" w:hint="default"/>
        </w:rPr>
        <w:t>9</w:t>
      </w:r>
      <w:r>
        <w:rPr/>
        <w:t>亿元，增资后神码深圳的</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注册资本变更为</w:t>
      </w:r>
      <w:r>
        <w:rPr>
          <w:rFonts w:ascii="Times New Roman" w:hAnsi="Times New Roman" w:cs="Times New Roman" w:eastAsia="Times New Roman" w:hint="default"/>
        </w:rPr>
        <w:t>10</w:t>
      </w:r>
      <w:r>
        <w:rPr/>
        <w:t>亿元。</w:t>
      </w:r>
    </w:p>
    <w:p>
      <w:pPr>
        <w:spacing w:line="240" w:lineRule="auto" w:before="0"/>
        <w:rPr>
          <w:rFonts w:ascii="宋体" w:hAnsi="宋体" w:cs="宋体" w:eastAsia="宋体" w:hint="default"/>
          <w:sz w:val="18"/>
          <w:szCs w:val="18"/>
        </w:rPr>
      </w:pPr>
    </w:p>
    <w:p>
      <w:pPr>
        <w:pStyle w:val="BodyText"/>
        <w:spacing w:line="300" w:lineRule="auto" w:before="139"/>
        <w:ind w:right="0"/>
        <w:jc w:val="left"/>
      </w:pPr>
      <w:r>
        <w:rPr/>
        <w:t>注</w:t>
      </w:r>
      <w:r>
        <w:rPr>
          <w:rFonts w:ascii="Times New Roman" w:hAnsi="Times New Roman" w:cs="Times New Roman" w:eastAsia="Times New Roman" w:hint="default"/>
        </w:rPr>
        <w:t>6: </w:t>
      </w:r>
      <w:r>
        <w:rPr/>
        <w:t>南京神州数码有限公司（以下简称</w:t>
      </w:r>
      <w:r>
        <w:rPr>
          <w:rFonts w:ascii="Times New Roman" w:hAnsi="Times New Roman" w:cs="Times New Roman" w:eastAsia="Times New Roman" w:hint="default"/>
        </w:rPr>
        <w:t>“</w:t>
      </w:r>
      <w:r>
        <w:rPr/>
        <w:t>神码南京</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日由神码有限设立的台港澳法人独资有限责任公司。</w:t>
      </w:r>
      <w:r>
        <w:rPr>
          <w:spacing w:val="-79"/>
        </w:rPr>
        <w:t> </w:t>
      </w:r>
      <w:r>
        <w:rPr>
          <w:spacing w:val="-79"/>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日，神码有限将其持有的神码南京</w:t>
      </w:r>
      <w:r>
        <w:rPr>
          <w:rFonts w:ascii="Times New Roman" w:hAnsi="Times New Roman" w:cs="Times New Roman" w:eastAsia="Times New Roman" w:hint="default"/>
        </w:rPr>
        <w:t>100%</w:t>
      </w:r>
      <w:r>
        <w:rPr/>
        <w:t>股权转让给神码中国，转让后，神码南京成为神码中国全资子公司，</w:t>
      </w:r>
      <w:r>
        <w:rPr>
          <w:spacing w:val="-60"/>
        </w:rPr>
        <w:t> </w:t>
      </w:r>
      <w:r>
        <w:rPr>
          <w:spacing w:val="-60"/>
        </w:rPr>
      </w:r>
      <w:r>
        <w:rPr/>
        <w:t>公司类型由台港澳法人独资有限责任公司变更为自然人投资或控股的法人独资有限责任公司，注册资本由港币</w:t>
      </w:r>
      <w:r>
        <w:rPr>
          <w:rFonts w:ascii="Times New Roman" w:hAnsi="Times New Roman" w:cs="Times New Roman" w:eastAsia="Times New Roman" w:hint="default"/>
        </w:rPr>
        <w:t>300</w:t>
      </w:r>
      <w:r>
        <w:rPr/>
        <w:t>万元变更</w:t>
      </w:r>
      <w:r>
        <w:rPr>
          <w:spacing w:val="-83"/>
        </w:rPr>
        <w:t> </w:t>
      </w:r>
      <w:r>
        <w:rPr>
          <w:spacing w:val="-83"/>
        </w:rPr>
      </w:r>
      <w:r>
        <w:rPr/>
        <w:t>为人民币</w:t>
      </w:r>
      <w:r>
        <w:rPr>
          <w:rFonts w:ascii="Times New Roman" w:hAnsi="Times New Roman" w:cs="Times New Roman" w:eastAsia="Times New Roman" w:hint="default"/>
        </w:rPr>
        <w:t>318.51</w:t>
      </w:r>
      <w:r>
        <w:rPr/>
        <w:t>万元。</w:t>
      </w:r>
    </w:p>
    <w:p>
      <w:pPr>
        <w:spacing w:line="240" w:lineRule="auto" w:before="11"/>
        <w:rPr>
          <w:rFonts w:ascii="宋体" w:hAnsi="宋体" w:cs="宋体" w:eastAsia="宋体" w:hint="default"/>
          <w:sz w:val="24"/>
          <w:szCs w:val="24"/>
        </w:rPr>
      </w:pPr>
    </w:p>
    <w:p>
      <w:pPr>
        <w:pStyle w:val="BodyText"/>
        <w:spacing w:line="240" w:lineRule="auto"/>
        <w:ind w:right="0"/>
        <w:jc w:val="left"/>
      </w:pPr>
      <w:r>
        <w:rPr/>
        <w:t>注</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武汉神州数码有限公司系由神码中国于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日设立的全资子公司。注册资本</w:t>
      </w:r>
      <w:r>
        <w:rPr>
          <w:rFonts w:ascii="Times New Roman" w:hAnsi="Times New Roman" w:cs="Times New Roman" w:eastAsia="Times New Roman" w:hint="default"/>
        </w:rPr>
        <w:t>2,500</w:t>
      </w:r>
      <w:r>
        <w:rPr/>
        <w:t>万人民币。</w:t>
      </w:r>
    </w:p>
    <w:p>
      <w:pPr>
        <w:spacing w:line="240" w:lineRule="auto" w:before="0"/>
        <w:rPr>
          <w:rFonts w:ascii="宋体" w:hAnsi="宋体" w:cs="宋体" w:eastAsia="宋体" w:hint="default"/>
          <w:sz w:val="18"/>
          <w:szCs w:val="18"/>
        </w:rPr>
      </w:pPr>
    </w:p>
    <w:p>
      <w:pPr>
        <w:pStyle w:val="BodyText"/>
        <w:spacing w:line="300" w:lineRule="auto" w:before="139"/>
        <w:ind w:right="0"/>
        <w:jc w:val="left"/>
      </w:pPr>
      <w:r>
        <w:rPr/>
        <w:t>注</w:t>
      </w:r>
      <w:r>
        <w:rPr>
          <w:rFonts w:ascii="Times New Roman" w:hAnsi="Times New Roman" w:cs="Times New Roman" w:eastAsia="Times New Roman" w:hint="default"/>
        </w:rPr>
        <w:t>8: </w:t>
      </w:r>
      <w:r>
        <w:rPr/>
        <w:t>杭州神州数码有限公司（以下简称</w:t>
      </w:r>
      <w:r>
        <w:rPr>
          <w:rFonts w:ascii="Times New Roman" w:hAnsi="Times New Roman" w:cs="Times New Roman" w:eastAsia="Times New Roman" w:hint="default"/>
        </w:rPr>
        <w:t>“</w:t>
      </w:r>
      <w:r>
        <w:rPr/>
        <w:t>神码杭州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日由神码有限设立的台港澳法人独资有限责任公司。</w:t>
      </w:r>
      <w:r>
        <w:rPr>
          <w:spacing w:val="-34"/>
        </w:rPr>
        <w:t> </w:t>
      </w:r>
      <w:r>
        <w:rPr>
          <w:spacing w:val="-34"/>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日，神码有限将其持有的神码杭州</w:t>
      </w:r>
      <w:r>
        <w:rPr>
          <w:rFonts w:ascii="Times New Roman" w:hAnsi="Times New Roman" w:cs="Times New Roman" w:eastAsia="Times New Roman" w:hint="default"/>
        </w:rPr>
        <w:t>100%</w:t>
      </w:r>
      <w:r>
        <w:rPr/>
        <w:t>股权转让给神码中国，转让后，神码济南成为神码中国全资子公司，</w:t>
      </w:r>
      <w:r>
        <w:rPr>
          <w:spacing w:val="-59"/>
        </w:rPr>
        <w:t> </w:t>
      </w:r>
      <w:r>
        <w:rPr>
          <w:spacing w:val="-59"/>
        </w:rPr>
      </w:r>
      <w:r>
        <w:rPr/>
        <w:t>公司类型由台港澳法人独资有限责任公司变更为法人独资有限责任公司，注册资本由港币</w:t>
      </w:r>
      <w:r>
        <w:rPr>
          <w:rFonts w:ascii="Times New Roman" w:hAnsi="Times New Roman" w:cs="Times New Roman" w:eastAsia="Times New Roman" w:hint="default"/>
        </w:rPr>
        <w:t>300</w:t>
      </w:r>
      <w:r>
        <w:rPr/>
        <w:t>万元变更为人民币</w:t>
      </w:r>
      <w:r>
        <w:rPr>
          <w:rFonts w:ascii="Times New Roman" w:hAnsi="Times New Roman" w:cs="Times New Roman" w:eastAsia="Times New Roman" w:hint="default"/>
        </w:rPr>
        <w:t>318</w:t>
      </w:r>
      <w:r>
        <w:rPr/>
        <w:t>万元。</w:t>
      </w:r>
    </w:p>
    <w:p>
      <w:pPr>
        <w:spacing w:line="240" w:lineRule="auto" w:before="12"/>
        <w:rPr>
          <w:rFonts w:ascii="宋体" w:hAnsi="宋体" w:cs="宋体" w:eastAsia="宋体" w:hint="default"/>
          <w:sz w:val="24"/>
          <w:szCs w:val="24"/>
        </w:rPr>
      </w:pPr>
    </w:p>
    <w:p>
      <w:pPr>
        <w:pStyle w:val="BodyText"/>
        <w:spacing w:line="300" w:lineRule="auto"/>
        <w:ind w:right="0"/>
        <w:jc w:val="left"/>
      </w:pPr>
      <w:r>
        <w:rPr/>
        <w:t>注</w:t>
      </w:r>
      <w:r>
        <w:rPr>
          <w:rFonts w:ascii="Times New Roman" w:hAnsi="Times New Roman" w:cs="Times New Roman" w:eastAsia="Times New Roman" w:hint="default"/>
        </w:rPr>
        <w:t>9: </w:t>
      </w:r>
      <w:r>
        <w:rPr/>
        <w:t>西安神州数码有限公司（以下简称</w:t>
      </w:r>
      <w:r>
        <w:rPr>
          <w:rFonts w:ascii="Times New Roman" w:hAnsi="Times New Roman" w:cs="Times New Roman" w:eastAsia="Times New Roman" w:hint="default"/>
        </w:rPr>
        <w:t>“</w:t>
      </w:r>
      <w:r>
        <w:rPr/>
        <w:t>神码西安</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日由神码有限设立的台港澳法人独资有限责任公司。</w:t>
      </w:r>
      <w:r>
        <w:rPr>
          <w:spacing w:val="-34"/>
        </w:rPr>
        <w:t> </w:t>
      </w:r>
      <w:r>
        <w:rPr>
          <w:spacing w:val="-34"/>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日，神码有限将其持有的神码西安</w:t>
      </w:r>
      <w:r>
        <w:rPr>
          <w:rFonts w:ascii="Times New Roman" w:hAnsi="Times New Roman" w:cs="Times New Roman" w:eastAsia="Times New Roman" w:hint="default"/>
        </w:rPr>
        <w:t>100%</w:t>
      </w:r>
      <w:r>
        <w:rPr/>
        <w:t>股权转让给神码中国，转让后，神码西安成为神码中国全资子公司，</w:t>
      </w:r>
      <w:r>
        <w:rPr>
          <w:spacing w:val="-60"/>
        </w:rPr>
        <w:t> </w:t>
      </w:r>
      <w:r>
        <w:rPr>
          <w:spacing w:val="-60"/>
        </w:rPr>
      </w:r>
      <w:r>
        <w:rPr/>
        <w:t>注册资本</w:t>
      </w:r>
      <w:r>
        <w:rPr>
          <w:rFonts w:ascii="Times New Roman" w:hAnsi="Times New Roman" w:cs="Times New Roman" w:eastAsia="Times New Roman" w:hint="default"/>
        </w:rPr>
        <w:t>973.65</w:t>
      </w:r>
      <w:r>
        <w:rPr/>
        <w:t>万人民币。</w:t>
      </w:r>
    </w:p>
    <w:p>
      <w:pPr>
        <w:spacing w:line="240" w:lineRule="auto" w:before="11"/>
        <w:rPr>
          <w:rFonts w:ascii="宋体" w:hAnsi="宋体" w:cs="宋体" w:eastAsia="宋体" w:hint="default"/>
          <w:sz w:val="24"/>
          <w:szCs w:val="24"/>
        </w:rPr>
      </w:pPr>
    </w:p>
    <w:p>
      <w:pPr>
        <w:pStyle w:val="BodyText"/>
        <w:spacing w:line="300" w:lineRule="auto"/>
        <w:ind w:right="0"/>
        <w:jc w:val="left"/>
      </w:pPr>
      <w:r>
        <w:rPr>
          <w:spacing w:val="-2"/>
        </w:rPr>
        <w:t>注</w:t>
      </w:r>
      <w:r>
        <w:rPr>
          <w:rFonts w:ascii="Times New Roman" w:hAnsi="Times New Roman" w:cs="Times New Roman" w:eastAsia="Times New Roman" w:hint="default"/>
          <w:spacing w:val="-2"/>
        </w:rPr>
        <w:t>10:</w:t>
      </w:r>
      <w:r>
        <w:rPr>
          <w:spacing w:val="-2"/>
        </w:rPr>
        <w:t>福州神州数码有限公司（以下简称</w:t>
      </w:r>
      <w:r>
        <w:rPr>
          <w:rFonts w:ascii="Times New Roman" w:hAnsi="Times New Roman" w:cs="Times New Roman" w:eastAsia="Times New Roman" w:hint="default"/>
          <w:spacing w:val="-2"/>
        </w:rPr>
        <w:t>“</w:t>
      </w:r>
      <w:r>
        <w:rPr>
          <w:spacing w:val="-2"/>
        </w:rPr>
        <w:t>神码福州</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日由神码有限设立的台港澳法人独资有限责任公司。</w:t>
      </w:r>
      <w:r>
        <w:rPr>
          <w:spacing w:val="-86"/>
        </w:rPr>
        <w:t> </w:t>
      </w:r>
      <w:r>
        <w:rPr>
          <w:spacing w:val="-86"/>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日，神码有限将其持有的神码福州</w:t>
      </w:r>
      <w:r>
        <w:rPr>
          <w:rFonts w:ascii="Times New Roman" w:hAnsi="Times New Roman" w:cs="Times New Roman" w:eastAsia="Times New Roman" w:hint="default"/>
        </w:rPr>
        <w:t>100%</w:t>
      </w:r>
      <w:r>
        <w:rPr/>
        <w:t>股权转让给神码中国，转让后，神码福州成为神码中国全资子公司，</w:t>
      </w:r>
      <w:r>
        <w:rPr>
          <w:spacing w:val="-60"/>
        </w:rPr>
        <w:t> </w:t>
      </w:r>
      <w:r>
        <w:rPr>
          <w:spacing w:val="-60"/>
        </w:rPr>
      </w:r>
      <w:r>
        <w:rPr/>
        <w:t>公司类型由台港澳法人独资有限责任公司变更为外商投资企业法人独资有限责任公司，注册资本由港币</w:t>
      </w:r>
      <w:r>
        <w:rPr>
          <w:rFonts w:ascii="Times New Roman" w:hAnsi="Times New Roman" w:cs="Times New Roman" w:eastAsia="Times New Roman" w:hint="default"/>
        </w:rPr>
        <w:t>1,000</w:t>
      </w:r>
      <w:r>
        <w:rPr/>
        <w:t>万元变更为人</w:t>
      </w:r>
      <w:r>
        <w:rPr>
          <w:spacing w:val="-39"/>
        </w:rPr>
        <w:t> </w:t>
      </w:r>
      <w:r>
        <w:rPr>
          <w:spacing w:val="-39"/>
        </w:rPr>
      </w:r>
      <w:r>
        <w:rPr/>
        <w:t>民币</w:t>
      </w:r>
      <w:r>
        <w:rPr>
          <w:rFonts w:ascii="Times New Roman" w:hAnsi="Times New Roman" w:cs="Times New Roman" w:eastAsia="Times New Roman" w:hint="default"/>
        </w:rPr>
        <w:t>991.387</w:t>
      </w:r>
      <w:r>
        <w:rPr/>
        <w:t>万元。待神码中国变更为法人独资有限责任公司后，神码福州于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日变更为法人独资有限责任公司。</w:t>
      </w:r>
    </w:p>
    <w:p>
      <w:pPr>
        <w:spacing w:line="240" w:lineRule="auto" w:before="11"/>
        <w:rPr>
          <w:rFonts w:ascii="宋体" w:hAnsi="宋体" w:cs="宋体" w:eastAsia="宋体" w:hint="default"/>
          <w:sz w:val="24"/>
          <w:szCs w:val="24"/>
        </w:rPr>
      </w:pPr>
    </w:p>
    <w:p>
      <w:pPr>
        <w:pStyle w:val="BodyText"/>
        <w:spacing w:line="300" w:lineRule="auto"/>
        <w:ind w:right="1127"/>
        <w:jc w:val="both"/>
      </w:pPr>
      <w:r>
        <w:rPr>
          <w:spacing w:val="-1"/>
        </w:rPr>
        <w:t>注</w:t>
      </w:r>
      <w:r>
        <w:rPr>
          <w:rFonts w:ascii="Times New Roman" w:hAnsi="Times New Roman" w:cs="Times New Roman" w:eastAsia="Times New Roman" w:hint="default"/>
          <w:spacing w:val="-1"/>
        </w:rPr>
        <w:t>11:</w:t>
      </w:r>
      <w:r>
        <w:rPr>
          <w:spacing w:val="-1"/>
        </w:rPr>
        <w:t>广州神州数码信息科技有限公司（以下简称</w:t>
      </w:r>
      <w:r>
        <w:rPr>
          <w:rFonts w:ascii="Times New Roman" w:hAnsi="Times New Roman" w:cs="Times New Roman" w:eastAsia="Times New Roman" w:hint="default"/>
          <w:spacing w:val="-1"/>
        </w:rPr>
        <w:t>“</w:t>
      </w:r>
      <w:r>
        <w:rPr>
          <w:spacing w:val="-1"/>
        </w:rPr>
        <w:t>神码广州</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日由神码有限设立的台港澳法人独资有限责</w:t>
      </w:r>
      <w:r>
        <w:rPr>
          <w:spacing w:val="-59"/>
        </w:rPr>
        <w:t> </w:t>
      </w:r>
      <w:r>
        <w:rPr>
          <w:spacing w:val="-59"/>
        </w:rPr>
      </w:r>
      <w:r>
        <w:rPr>
          <w:spacing w:val="-1"/>
        </w:rPr>
        <w:t>任公司。于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日，神码有限将其持有的神码广州</w:t>
      </w:r>
      <w:r>
        <w:rPr>
          <w:rFonts w:ascii="Times New Roman" w:hAnsi="Times New Roman" w:cs="Times New Roman" w:eastAsia="Times New Roman" w:hint="default"/>
          <w:spacing w:val="-1"/>
        </w:rPr>
        <w:t>100%</w:t>
      </w:r>
      <w:r>
        <w:rPr>
          <w:spacing w:val="-1"/>
        </w:rPr>
        <w:t>股权转让给本公司，转让后，神码广州成为本公司全资子公</w:t>
      </w:r>
      <w:r>
        <w:rPr/>
        <w:t> </w:t>
      </w:r>
      <w:r>
        <w:rPr>
          <w:spacing w:val="7"/>
        </w:rPr>
        <w:t>司，公司类型由台港澳法人独资有限责任公司变更为法人独资有限责任公司，注册资本由美元</w:t>
      </w:r>
      <w:r>
        <w:rPr>
          <w:spacing w:val="-48"/>
        </w:rPr>
        <w:t> </w:t>
      </w:r>
      <w:r>
        <w:rPr>
          <w:rFonts w:ascii="Times New Roman" w:hAnsi="Times New Roman" w:cs="Times New Roman" w:eastAsia="Times New Roman" w:hint="default"/>
          <w:spacing w:val="4"/>
        </w:rPr>
        <w:t>5,000</w:t>
      </w:r>
      <w:r>
        <w:rPr>
          <w:spacing w:val="4"/>
        </w:rPr>
        <w:t>万元变更为人民币</w:t>
      </w:r>
      <w:r>
        <w:rPr>
          <w:spacing w:val="-67"/>
        </w:rPr>
        <w:t> </w:t>
      </w:r>
      <w:r>
        <w:rPr>
          <w:spacing w:val="-67"/>
        </w:rPr>
      </w:r>
      <w:r>
        <w:rPr>
          <w:rFonts w:ascii="Times New Roman" w:hAnsi="Times New Roman" w:cs="Times New Roman" w:eastAsia="Times New Roman" w:hint="default"/>
        </w:rPr>
        <w:t>32,559.5</w:t>
      </w:r>
      <w:r>
        <w:rPr/>
        <w:t>万元。</w:t>
      </w:r>
    </w:p>
    <w:p>
      <w:pPr>
        <w:spacing w:line="240" w:lineRule="auto" w:before="11"/>
        <w:rPr>
          <w:rFonts w:ascii="宋体" w:hAnsi="宋体" w:cs="宋体" w:eastAsia="宋体" w:hint="default"/>
          <w:sz w:val="24"/>
          <w:szCs w:val="24"/>
        </w:rPr>
      </w:pPr>
    </w:p>
    <w:p>
      <w:pPr>
        <w:pStyle w:val="BodyText"/>
        <w:spacing w:line="300" w:lineRule="auto"/>
        <w:ind w:right="1034"/>
        <w:jc w:val="left"/>
      </w:pPr>
      <w:r>
        <w:rPr/>
        <w:t>注</w:t>
      </w:r>
      <w:r>
        <w:rPr>
          <w:rFonts w:ascii="Times New Roman" w:hAnsi="Times New Roman" w:cs="Times New Roman" w:eastAsia="Times New Roman" w:hint="default"/>
        </w:rPr>
        <w:t>12:</w:t>
      </w:r>
      <w:r>
        <w:rPr/>
        <w:t>成都神州数码有限公司（以下简称</w:t>
      </w:r>
      <w:r>
        <w:rPr>
          <w:rFonts w:ascii="Times New Roman" w:hAnsi="Times New Roman" w:cs="Times New Roman" w:eastAsia="Times New Roman" w:hint="default"/>
        </w:rPr>
        <w:t>“</w:t>
      </w:r>
      <w:r>
        <w:rPr/>
        <w:t>神码成都</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日由神码有限设立的台港澳法人独资有限责任公司。</w:t>
      </w:r>
      <w:r>
        <w:rPr>
          <w:spacing w:val="-34"/>
        </w:rPr>
        <w:t> </w:t>
      </w:r>
      <w:r>
        <w:rPr>
          <w:spacing w:val="-34"/>
        </w:rPr>
      </w:r>
      <w:r>
        <w:rPr>
          <w:spacing w:val="-3"/>
        </w:rPr>
        <w:t>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w:t>
      </w:r>
      <w:r>
        <w:rPr>
          <w:spacing w:val="-3"/>
        </w:rPr>
        <w:t>日，神码有限对神码成都增资港币</w:t>
      </w:r>
      <w:r>
        <w:rPr>
          <w:rFonts w:ascii="Times New Roman" w:hAnsi="Times New Roman" w:cs="Times New Roman" w:eastAsia="Times New Roman" w:hint="default"/>
          <w:spacing w:val="-3"/>
        </w:rPr>
        <w:t>2,500</w:t>
      </w:r>
      <w:r>
        <w:rPr>
          <w:spacing w:val="-3"/>
        </w:rPr>
        <w:t>万元，增资后，神码成都的注册资本及实收资本变更为港币</w:t>
      </w:r>
      <w:r>
        <w:rPr>
          <w:rFonts w:ascii="Times New Roman" w:hAnsi="Times New Roman" w:cs="Times New Roman" w:eastAsia="Times New Roman" w:hint="default"/>
          <w:spacing w:val="-3"/>
        </w:rPr>
        <w:t>3,000</w:t>
      </w:r>
      <w:r>
        <w:rPr>
          <w:spacing w:val="-3"/>
        </w:rPr>
        <w:t>万元。</w:t>
      </w:r>
      <w:r>
        <w:rPr>
          <w:spacing w:val="-81"/>
        </w:rPr>
        <w:t> </w:t>
      </w:r>
      <w:r>
        <w:rPr>
          <w:spacing w:val="-81"/>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日，神码有限将其持有的神码成都</w:t>
      </w:r>
      <w:r>
        <w:rPr>
          <w:rFonts w:ascii="Times New Roman" w:hAnsi="Times New Roman" w:cs="Times New Roman" w:eastAsia="Times New Roman" w:hint="default"/>
        </w:rPr>
        <w:t>100%</w:t>
      </w:r>
      <w:r>
        <w:rPr/>
        <w:t>股权转让给神码中国，转让后，神码成都成为神码中国全资子公司，</w:t>
      </w:r>
      <w:r>
        <w:rPr>
          <w:spacing w:val="-60"/>
        </w:rPr>
        <w:t> </w:t>
      </w:r>
      <w:r>
        <w:rPr>
          <w:spacing w:val="-60"/>
        </w:rPr>
      </w:r>
      <w:r>
        <w:rPr/>
        <w:t>公司类型由台港澳法人独资有限责任公司变更为法人独资有限责任公司，注册资本由港币</w:t>
      </w:r>
      <w:r>
        <w:rPr>
          <w:rFonts w:ascii="Times New Roman" w:hAnsi="Times New Roman" w:cs="Times New Roman" w:eastAsia="Times New Roman" w:hint="default"/>
        </w:rPr>
        <w:t>3,000</w:t>
      </w:r>
      <w:r>
        <w:rPr/>
        <w:t>万元变更为人民币</w:t>
      </w:r>
      <w:r>
        <w:rPr>
          <w:rFonts w:ascii="Times New Roman" w:hAnsi="Times New Roman" w:cs="Times New Roman" w:eastAsia="Times New Roman" w:hint="default"/>
        </w:rPr>
        <w:t>2540.1625 </w:t>
      </w:r>
      <w:r>
        <w:rPr/>
        <w:t>万元。</w:t>
      </w:r>
    </w:p>
    <w:p>
      <w:pPr>
        <w:spacing w:line="240" w:lineRule="auto" w:before="3"/>
        <w:rPr>
          <w:rFonts w:ascii="宋体" w:hAnsi="宋体" w:cs="宋体" w:eastAsia="宋体" w:hint="default"/>
          <w:sz w:val="26"/>
          <w:szCs w:val="26"/>
        </w:rPr>
      </w:pPr>
    </w:p>
    <w:p>
      <w:pPr>
        <w:pStyle w:val="BodyText"/>
        <w:spacing w:line="302" w:lineRule="auto"/>
        <w:ind w:right="1130"/>
        <w:jc w:val="both"/>
      </w:pPr>
      <w:r>
        <w:rPr>
          <w:spacing w:val="-1"/>
        </w:rPr>
        <w:t>注</w:t>
      </w:r>
      <w:r>
        <w:rPr>
          <w:rFonts w:ascii="Times New Roman" w:hAnsi="Times New Roman" w:cs="Times New Roman" w:eastAsia="Times New Roman" w:hint="default"/>
          <w:spacing w:val="-1"/>
        </w:rPr>
        <w:t>13:</w:t>
      </w:r>
      <w:r>
        <w:rPr>
          <w:spacing w:val="-1"/>
        </w:rPr>
        <w:t>北京神州数码有限公司（以下简称</w:t>
      </w:r>
      <w:r>
        <w:rPr>
          <w:rFonts w:ascii="Times New Roman" w:hAnsi="Times New Roman" w:cs="Times New Roman" w:eastAsia="Times New Roman" w:hint="default"/>
          <w:spacing w:val="-1"/>
        </w:rPr>
        <w:t>“</w:t>
      </w:r>
      <w:r>
        <w:rPr>
          <w:spacing w:val="-1"/>
        </w:rPr>
        <w:t>神码北京</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16</w:t>
      </w:r>
      <w:r>
        <w:rPr>
          <w:spacing w:val="-1"/>
        </w:rPr>
        <w:t>日由神码中国和神码上海共同设立的外商投资企业与</w:t>
      </w:r>
      <w:r>
        <w:rPr>
          <w:spacing w:val="-58"/>
        </w:rPr>
        <w:t> </w:t>
      </w:r>
      <w:r>
        <w:rPr>
          <w:spacing w:val="-58"/>
        </w:rPr>
      </w:r>
      <w:r>
        <w:rPr>
          <w:spacing w:val="-1"/>
        </w:rPr>
        <w:t>内资合资有限责任公司。于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日，神码中国对神码北京增资人民币</w:t>
      </w:r>
      <w:r>
        <w:rPr>
          <w:rFonts w:ascii="Times New Roman" w:hAnsi="Times New Roman" w:cs="Times New Roman" w:eastAsia="Times New Roman" w:hint="default"/>
          <w:spacing w:val="-1"/>
        </w:rPr>
        <w:t>4.5</w:t>
      </w:r>
      <w:r>
        <w:rPr>
          <w:spacing w:val="-1"/>
        </w:rPr>
        <w:t>亿元，增资后神码北京的注册资本变更为</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32"/>
        </w:rPr>
        <w:t> </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日，神码中国对神码北京增资人民币</w:t>
      </w:r>
      <w:r>
        <w:rPr>
          <w:rFonts w:ascii="Times New Roman" w:hAnsi="Times New Roman" w:cs="Times New Roman" w:eastAsia="Times New Roman" w:hint="default"/>
        </w:rPr>
        <w:t>5</w:t>
      </w:r>
      <w:r>
        <w:rPr/>
        <w:t>亿元，增资后神码北京的注册资本变更为</w:t>
      </w:r>
      <w:r>
        <w:rPr>
          <w:rFonts w:ascii="Times New Roman" w:hAnsi="Times New Roman" w:cs="Times New Roman" w:eastAsia="Times New Roman" w:hint="default"/>
        </w:rPr>
        <w:t>10</w:t>
      </w:r>
      <w:r>
        <w:rPr/>
        <w:t>亿元。于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spacing w:val="-2"/>
        </w:rPr>
        <w:t>月</w:t>
      </w:r>
      <w:r>
        <w:rPr>
          <w:rFonts w:ascii="Times New Roman" w:hAnsi="Times New Roman" w:cs="Times New Roman" w:eastAsia="Times New Roman" w:hint="default"/>
          <w:spacing w:val="-2"/>
        </w:rPr>
        <w:t>15</w:t>
      </w:r>
      <w:r>
        <w:rPr>
          <w:spacing w:val="-2"/>
        </w:rPr>
        <w:t>日，神码中国对神码北京增资人民币</w:t>
      </w:r>
      <w:r>
        <w:rPr>
          <w:rFonts w:ascii="Times New Roman" w:hAnsi="Times New Roman" w:cs="Times New Roman" w:eastAsia="Times New Roman" w:hint="default"/>
          <w:spacing w:val="-2"/>
        </w:rPr>
        <w:t>5</w:t>
      </w:r>
      <w:r>
        <w:rPr>
          <w:spacing w:val="-2"/>
        </w:rPr>
        <w:t>亿元，增资后神码北京的注册资本变更为</w:t>
      </w:r>
      <w:r>
        <w:rPr>
          <w:rFonts w:ascii="Times New Roman" w:hAnsi="Times New Roman" w:cs="Times New Roman" w:eastAsia="Times New Roman" w:hint="default"/>
          <w:spacing w:val="-2"/>
        </w:rPr>
        <w:t>15</w:t>
      </w:r>
      <w:r>
        <w:rPr>
          <w:spacing w:val="-2"/>
        </w:rPr>
        <w:t>亿元。于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日公司分立，分</w:t>
      </w:r>
      <w:r>
        <w:rPr>
          <w:spacing w:val="-57"/>
        </w:rPr>
        <w:t> </w:t>
      </w:r>
      <w:r>
        <w:rPr>
          <w:spacing w:val="-57"/>
        </w:rPr>
      </w:r>
      <w:r>
        <w:rPr/>
        <w:t>立后注册资本变更为</w:t>
      </w:r>
      <w:r>
        <w:rPr>
          <w:rFonts w:ascii="Times New Roman" w:hAnsi="Times New Roman" w:cs="Times New Roman" w:eastAsia="Times New Roman" w:hint="default"/>
        </w:rPr>
        <w:t>10</w:t>
      </w:r>
      <w:r>
        <w:rPr/>
        <w:t>亿元。待神码中国变更为法人独资有限责任公司后，神码北京于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日变更为其他有限责任</w:t>
      </w:r>
      <w:r>
        <w:rPr>
          <w:spacing w:val="-85"/>
        </w:rPr>
        <w:t> </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月，经股东会决议通过，神码中国及神码上海按持股比例共向神码北京增资，共计</w:t>
      </w:r>
      <w:r>
        <w:rPr>
          <w:rFonts w:ascii="Times New Roman" w:hAnsi="Times New Roman" w:cs="Times New Roman" w:eastAsia="Times New Roman" w:hint="default"/>
          <w:spacing w:val="-2"/>
        </w:rPr>
        <w:t>42,105.26</w:t>
      </w:r>
      <w:r>
        <w:rPr>
          <w:spacing w:val="-2"/>
        </w:rPr>
        <w:t>万元，神码北京</w:t>
      </w:r>
      <w:r>
        <w:rPr>
          <w:spacing w:val="-57"/>
        </w:rPr>
        <w:t> </w:t>
      </w:r>
      <w:r>
        <w:rPr>
          <w:spacing w:val="-57"/>
        </w:rPr>
      </w:r>
      <w:r>
        <w:rPr>
          <w:spacing w:val="-2"/>
        </w:rPr>
        <w:t>全部计入资本公积。</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月，经股东会决议通过，神码中国及神码上海按持股比例共向北京神州增资</w:t>
      </w:r>
      <w:r>
        <w:rPr>
          <w:rFonts w:ascii="Times New Roman" w:hAnsi="Times New Roman" w:cs="Times New Roman" w:eastAsia="Times New Roman" w:hint="default"/>
          <w:spacing w:val="-2"/>
        </w:rPr>
        <w:t>30,000.00</w:t>
      </w:r>
      <w:r>
        <w:rPr>
          <w:spacing w:val="-2"/>
        </w:rPr>
        <w:t>万元，北</w:t>
      </w:r>
      <w:r>
        <w:rPr>
          <w:spacing w:val="-54"/>
        </w:rPr>
        <w:t> </w:t>
      </w:r>
      <w:r>
        <w:rPr>
          <w:spacing w:val="-54"/>
        </w:rPr>
      </w:r>
      <w:r>
        <w:rPr/>
        <w:t>京神州全部计入资本公积。</w:t>
      </w:r>
      <w:r>
        <w:rPr>
          <w:rFonts w:ascii="宋体" w:hAnsi="宋体" w:cs="宋体" w:eastAsia="宋体" w:hint="default"/>
        </w:rPr>
        <w:t>2019</w:t>
      </w:r>
      <w:r>
        <w:rPr/>
        <w:t>年</w:t>
      </w:r>
      <w:r>
        <w:rPr>
          <w:rFonts w:ascii="宋体" w:hAnsi="宋体" w:cs="宋体" w:eastAsia="宋体" w:hint="default"/>
        </w:rPr>
        <w:t>12</w:t>
      </w:r>
      <w:r>
        <w:rPr/>
        <w:t>月，经股东会决议通过，神码中国及神码上海按持股比例共向北京神州增资</w:t>
      </w:r>
      <w:r>
        <w:rPr>
          <w:rFonts w:ascii="宋体" w:hAnsi="宋体" w:cs="宋体" w:eastAsia="宋体" w:hint="default"/>
        </w:rPr>
        <w:t>30,000.00</w:t>
      </w:r>
      <w:r>
        <w:rPr>
          <w:rFonts w:ascii="宋体" w:hAnsi="宋体" w:cs="宋体" w:eastAsia="宋体" w:hint="default"/>
          <w:spacing w:val="-86"/>
        </w:rPr>
        <w:t> </w:t>
      </w:r>
      <w:r>
        <w:rPr>
          <w:rFonts w:ascii="宋体" w:hAnsi="宋体" w:cs="宋体" w:eastAsia="宋体" w:hint="default"/>
          <w:spacing w:val="-86"/>
        </w:rPr>
      </w:r>
      <w:r>
        <w:rPr/>
        <w:t>万元，北京神州全部计入资本公积。</w:t>
      </w:r>
    </w:p>
    <w:p>
      <w:pPr>
        <w:spacing w:line="240" w:lineRule="auto" w:before="1"/>
        <w:rPr>
          <w:rFonts w:ascii="宋体" w:hAnsi="宋体" w:cs="宋体" w:eastAsia="宋体" w:hint="default"/>
          <w:sz w:val="26"/>
          <w:szCs w:val="26"/>
        </w:rPr>
      </w:pPr>
    </w:p>
    <w:p>
      <w:pPr>
        <w:pStyle w:val="BodyText"/>
        <w:spacing w:line="240" w:lineRule="auto"/>
        <w:ind w:right="0"/>
        <w:jc w:val="left"/>
      </w:pPr>
      <w:r>
        <w:rPr/>
        <w:t>注</w:t>
      </w:r>
      <w:r>
        <w:rPr>
          <w:rFonts w:ascii="Times New Roman" w:hAnsi="Times New Roman" w:cs="Times New Roman" w:eastAsia="Times New Roman" w:hint="default"/>
        </w:rPr>
        <w:t>14</w:t>
      </w:r>
      <w:r>
        <w:rPr/>
        <w:t>：北京神州数码供应链服务有限公司（以下简称</w:t>
      </w:r>
      <w:r>
        <w:rPr>
          <w:rFonts w:ascii="Times New Roman" w:hAnsi="Times New Roman" w:cs="Times New Roman" w:eastAsia="Times New Roman" w:hint="default"/>
        </w:rPr>
        <w:t>“</w:t>
      </w:r>
      <w:r>
        <w:rPr/>
        <w:t>神码供应链</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日由神码北京设立的法人独资有限责</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日，神码北京对神码供应链增资人民币</w:t>
      </w:r>
      <w:r>
        <w:rPr>
          <w:rFonts w:ascii="Times New Roman" w:hAnsi="Times New Roman" w:cs="Times New Roman" w:eastAsia="Times New Roman" w:hint="default"/>
        </w:rPr>
        <w:t>5000</w:t>
      </w:r>
      <w:r>
        <w:rPr/>
        <w:t>万元，增资后神码供应链的注册资本变更为</w:t>
      </w:r>
      <w:r>
        <w:rPr>
          <w:rFonts w:ascii="Times New Roman" w:hAnsi="Times New Roman" w:cs="Times New Roman" w:eastAsia="Times New Roman" w:hint="default"/>
        </w:rPr>
        <w:t>6000</w:t>
      </w:r>
      <w:r>
        <w:rPr/>
        <w:t>万元。</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t>注</w:t>
      </w:r>
      <w:r>
        <w:rPr>
          <w:rFonts w:ascii="Times New Roman" w:hAnsi="Times New Roman" w:cs="Times New Roman" w:eastAsia="Times New Roman" w:hint="default"/>
        </w:rPr>
        <w:t>15:</w:t>
      </w:r>
      <w:r>
        <w:rPr/>
        <w:t>神州数码（郑州）有限公司（以下简称</w:t>
      </w:r>
      <w:r>
        <w:rPr>
          <w:rFonts w:ascii="Times New Roman" w:hAnsi="Times New Roman" w:cs="Times New Roman" w:eastAsia="Times New Roman" w:hint="default"/>
        </w:rPr>
        <w:t>“</w:t>
      </w:r>
      <w:r>
        <w:rPr/>
        <w:t>神码郑州</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日由神码北京和北京天明国际投资管理有限公司</w:t>
      </w:r>
    </w:p>
    <w:p>
      <w:pPr>
        <w:pStyle w:val="BodyText"/>
        <w:spacing w:line="300" w:lineRule="auto" w:before="63"/>
        <w:ind w:right="1131"/>
        <w:jc w:val="both"/>
      </w:pPr>
      <w:r>
        <w:rPr/>
        <w:t>（</w:t>
      </w:r>
      <w:r>
        <w:rPr>
          <w:rFonts w:ascii="Times New Roman" w:hAnsi="Times New Roman" w:cs="Times New Roman" w:eastAsia="Times New Roman" w:hint="default"/>
        </w:rPr>
        <w:t>“</w:t>
      </w:r>
      <w:r>
        <w:rPr/>
        <w:t>北京天明国际</w:t>
      </w:r>
      <w:r>
        <w:rPr>
          <w:rFonts w:ascii="Times New Roman" w:hAnsi="Times New Roman" w:cs="Times New Roman" w:eastAsia="Times New Roman" w:hint="default"/>
        </w:rPr>
        <w:t>”</w:t>
      </w:r>
      <w:r>
        <w:rPr/>
        <w:t>）设立的有限责任公司。于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日，北京天明国际将其持有的神码郑州的</w:t>
      </w:r>
      <w:r>
        <w:rPr>
          <w:rFonts w:ascii="Times New Roman" w:hAnsi="Times New Roman" w:cs="Times New Roman" w:eastAsia="Times New Roman" w:hint="default"/>
        </w:rPr>
        <w:t>10%</w:t>
      </w:r>
      <w:r>
        <w:rPr/>
        <w:t>股权转让给神码北</w:t>
      </w:r>
      <w:r>
        <w:rPr>
          <w:spacing w:val="-41"/>
        </w:rPr>
        <w:t> </w:t>
      </w:r>
      <w:r>
        <w:rPr>
          <w:spacing w:val="-41"/>
        </w:rPr>
      </w:r>
      <w:r>
        <w:rPr/>
        <w:t>京，转让完成后，神码郑州成为神码北京的全资子公司。</w:t>
      </w:r>
    </w:p>
    <w:p>
      <w:pPr>
        <w:spacing w:line="240" w:lineRule="auto" w:before="3"/>
        <w:rPr>
          <w:rFonts w:ascii="宋体" w:hAnsi="宋体" w:cs="宋体" w:eastAsia="宋体" w:hint="default"/>
          <w:sz w:val="26"/>
          <w:szCs w:val="26"/>
        </w:rPr>
      </w:pPr>
    </w:p>
    <w:p>
      <w:pPr>
        <w:pStyle w:val="BodyText"/>
        <w:spacing w:line="300" w:lineRule="auto"/>
        <w:ind w:right="1128"/>
        <w:jc w:val="both"/>
      </w:pPr>
      <w:r>
        <w:rPr>
          <w:spacing w:val="-1"/>
        </w:rPr>
        <w:t>注</w:t>
      </w:r>
      <w:r>
        <w:rPr>
          <w:rFonts w:ascii="Times New Roman" w:hAnsi="Times New Roman" w:cs="Times New Roman" w:eastAsia="Times New Roman" w:hint="default"/>
          <w:spacing w:val="-1"/>
        </w:rPr>
        <w:t>16</w:t>
      </w:r>
      <w:r>
        <w:rPr>
          <w:spacing w:val="-1"/>
        </w:rPr>
        <w:t>：智慧神州</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投资管理有限公司系由深圳神州普惠信息有限公司，神州数码金融服务（深圳）有限公司于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08</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29</w:t>
      </w:r>
      <w:r>
        <w:rPr/>
        <w:t>日成立的有限责任公司，注册资本为人民币</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月神州数码（中国）有限公司以人民币</w:t>
      </w:r>
      <w:r>
        <w:rPr>
          <w:rFonts w:ascii="Times New Roman" w:hAnsi="Times New Roman" w:cs="Times New Roman" w:eastAsia="Times New Roman" w:hint="default"/>
        </w:rPr>
        <w:t>1,644,277.96</w:t>
      </w:r>
      <w:r>
        <w:rPr/>
        <w:t>元</w:t>
      </w:r>
      <w:r>
        <w:rPr>
          <w:spacing w:val="-42"/>
        </w:rPr>
        <w:t> </w:t>
      </w:r>
      <w:r>
        <w:rPr/>
        <w:t>取得智慧神州</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投资管理有限公司</w:t>
      </w:r>
      <w:r>
        <w:rPr>
          <w:rFonts w:ascii="Times New Roman" w:hAnsi="Times New Roman" w:cs="Times New Roman" w:eastAsia="Times New Roman" w:hint="default"/>
        </w:rPr>
        <w:t>100%</w:t>
      </w:r>
      <w:r>
        <w:rPr/>
        <w:t>的股权。上述款项已于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日支付完毕。</w:t>
      </w:r>
    </w:p>
    <w:p>
      <w:pPr>
        <w:spacing w:line="240" w:lineRule="auto" w:before="11"/>
        <w:rPr>
          <w:rFonts w:ascii="宋体" w:hAnsi="宋体" w:cs="宋体" w:eastAsia="宋体" w:hint="default"/>
          <w:sz w:val="24"/>
          <w:szCs w:val="24"/>
        </w:rPr>
      </w:pPr>
    </w:p>
    <w:p>
      <w:pPr>
        <w:pStyle w:val="BodyText"/>
        <w:spacing w:line="300" w:lineRule="auto"/>
        <w:ind w:right="1126"/>
        <w:jc w:val="both"/>
      </w:pPr>
      <w:r>
        <w:rPr/>
        <w:t>注</w:t>
      </w:r>
      <w:r>
        <w:rPr>
          <w:rFonts w:ascii="Times New Roman" w:hAnsi="Times New Roman" w:cs="Times New Roman" w:eastAsia="Times New Roman" w:hint="default"/>
        </w:rPr>
        <w:t>17</w:t>
      </w:r>
      <w:r>
        <w:rPr/>
        <w:t>：北京神州数码云科信息技术有限公司（以下简称</w:t>
      </w:r>
      <w:r>
        <w:rPr>
          <w:rFonts w:ascii="Times New Roman" w:hAnsi="Times New Roman" w:cs="Times New Roman" w:eastAsia="Times New Roman" w:hint="default"/>
        </w:rPr>
        <w:t>“</w:t>
      </w:r>
      <w:r>
        <w:rPr/>
        <w:t>北京云科信息技术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日由神码网络香港设立的法</w:t>
      </w:r>
      <w:r>
        <w:rPr>
          <w:spacing w:val="-67"/>
        </w:rPr>
        <w:t> </w:t>
      </w:r>
      <w:r>
        <w:rPr>
          <w:spacing w:val="-67"/>
        </w:rPr>
      </w:r>
      <w:r>
        <w:rPr>
          <w:spacing w:val="-4"/>
        </w:rPr>
        <w:t>人独资有限责任公司。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w:t>
      </w:r>
      <w:r>
        <w:rPr>
          <w:spacing w:val="-4"/>
        </w:rPr>
        <w:t>月，北京云科信息技术增资引入新股东，神码网络香港对北京云科信息技术的持股比例由</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39"/>
        </w:rPr>
        <w:t> </w:t>
      </w:r>
      <w:r>
        <w:rPr>
          <w:spacing w:val="-2"/>
        </w:rPr>
        <w:t>稀释为</w:t>
      </w:r>
      <w:r>
        <w:rPr>
          <w:rFonts w:ascii="Times New Roman" w:hAnsi="Times New Roman" w:cs="Times New Roman" w:eastAsia="Times New Roman" w:hint="default"/>
          <w:spacing w:val="-2"/>
        </w:rPr>
        <w:t>88%</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月，神码网络香港以港币</w:t>
      </w:r>
      <w:r>
        <w:rPr>
          <w:rFonts w:ascii="Times New Roman" w:hAnsi="Times New Roman" w:cs="Times New Roman" w:eastAsia="Times New Roman" w:hint="default"/>
          <w:spacing w:val="-2"/>
        </w:rPr>
        <w:t>27,500</w:t>
      </w:r>
      <w:r>
        <w:rPr>
          <w:spacing w:val="-2"/>
        </w:rPr>
        <w:t>千元购回该新股东持有的北京云科信息技术</w:t>
      </w:r>
      <w:r>
        <w:rPr>
          <w:rFonts w:ascii="Times New Roman" w:hAnsi="Times New Roman" w:cs="Times New Roman" w:eastAsia="Times New Roman" w:hint="default"/>
          <w:spacing w:val="-2"/>
        </w:rPr>
        <w:t>12%</w:t>
      </w:r>
      <w:r>
        <w:rPr>
          <w:spacing w:val="-2"/>
        </w:rPr>
        <w:t>股权，北京云科信息技</w:t>
      </w:r>
      <w:r>
        <w:rPr>
          <w:spacing w:val="-44"/>
        </w:rPr>
        <w:t> </w:t>
      </w:r>
      <w:r>
        <w:rPr>
          <w:spacing w:val="-44"/>
        </w:rPr>
      </w:r>
      <w:r>
        <w:rPr/>
        <w:t>术成为神码网络香港的全资子公司。于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日，注册资本由港币</w:t>
      </w:r>
      <w:r>
        <w:rPr>
          <w:rFonts w:ascii="Times New Roman" w:hAnsi="Times New Roman" w:cs="Times New Roman" w:eastAsia="Times New Roman" w:hint="default"/>
        </w:rPr>
        <w:t>340.9091</w:t>
      </w:r>
      <w:r>
        <w:rPr/>
        <w:t>万元变更为人民币</w:t>
      </w:r>
      <w:r>
        <w:rPr>
          <w:rFonts w:ascii="Times New Roman" w:hAnsi="Times New Roman" w:cs="Times New Roman" w:eastAsia="Times New Roman" w:hint="default"/>
        </w:rPr>
        <w:t>5,500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月</w:t>
      </w:r>
      <w:r>
        <w:rPr>
          <w:rFonts w:ascii="Times New Roman" w:hAnsi="Times New Roman" w:cs="Times New Roman" w:eastAsia="Times New Roman" w:hint="default"/>
        </w:rPr>
        <w:t>26</w:t>
      </w:r>
      <w:r>
        <w:rPr/>
        <w:t>日，神码北京购买了北京云科信息技术</w:t>
      </w:r>
      <w:r>
        <w:rPr>
          <w:rFonts w:ascii="Times New Roman" w:hAnsi="Times New Roman" w:cs="Times New Roman" w:eastAsia="Times New Roman" w:hint="default"/>
        </w:rPr>
        <w:t>100%</w:t>
      </w:r>
      <w:r>
        <w:rPr/>
        <w:t>股权，转让后，北京云科信息技术成为神码北京的全资子公司。</w:t>
      </w:r>
    </w:p>
    <w:p>
      <w:pPr>
        <w:spacing w:line="240" w:lineRule="auto" w:before="11"/>
        <w:rPr>
          <w:rFonts w:ascii="宋体" w:hAnsi="宋体" w:cs="宋体" w:eastAsia="宋体" w:hint="default"/>
          <w:sz w:val="24"/>
          <w:szCs w:val="24"/>
        </w:rPr>
      </w:pPr>
    </w:p>
    <w:p>
      <w:pPr>
        <w:pStyle w:val="BodyText"/>
        <w:spacing w:line="300" w:lineRule="auto"/>
        <w:ind w:right="1134"/>
        <w:jc w:val="both"/>
      </w:pPr>
      <w:r>
        <w:rPr/>
        <w:t>注</w:t>
      </w:r>
      <w:r>
        <w:rPr>
          <w:rFonts w:ascii="Times New Roman" w:hAnsi="Times New Roman" w:cs="Times New Roman" w:eastAsia="Times New Roman" w:hint="default"/>
        </w:rPr>
        <w:t>18: </w:t>
      </w:r>
      <w:r>
        <w:rPr/>
        <w:t>上海神州数码通信技术有限公司（以下简称</w:t>
      </w:r>
      <w:r>
        <w:rPr>
          <w:rFonts w:ascii="Times New Roman" w:hAnsi="Times New Roman" w:cs="Times New Roman" w:eastAsia="Times New Roman" w:hint="default"/>
        </w:rPr>
        <w:t>“</w:t>
      </w:r>
      <w:r>
        <w:rPr/>
        <w:t>上海通信技术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日由北京网络公司设立的法人独资有</w:t>
      </w:r>
      <w:r>
        <w:rPr>
          <w:spacing w:val="-81"/>
        </w:rPr>
        <w:t> </w:t>
      </w:r>
      <w:r>
        <w:rPr>
          <w:spacing w:val="-81"/>
        </w:rPr>
      </w:r>
      <w:r>
        <w:rPr/>
        <w:t>限责任公司。</w:t>
      </w:r>
    </w:p>
    <w:p>
      <w:pPr>
        <w:spacing w:line="240" w:lineRule="auto" w:before="3"/>
        <w:rPr>
          <w:rFonts w:ascii="宋体" w:hAnsi="宋体" w:cs="宋体" w:eastAsia="宋体" w:hint="default"/>
          <w:sz w:val="26"/>
          <w:szCs w:val="26"/>
        </w:rPr>
      </w:pPr>
    </w:p>
    <w:p>
      <w:pPr>
        <w:pStyle w:val="BodyText"/>
        <w:spacing w:line="300" w:lineRule="auto"/>
        <w:ind w:right="1129"/>
        <w:jc w:val="both"/>
      </w:pPr>
      <w:r>
        <w:rPr/>
        <w:t>注</w:t>
      </w:r>
      <w:r>
        <w:rPr>
          <w:rFonts w:ascii="Times New Roman" w:hAnsi="Times New Roman" w:cs="Times New Roman" w:eastAsia="Times New Roman" w:hint="default"/>
        </w:rPr>
        <w:t>19: Digital China Marketing &amp; Services</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“DCMS”</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日由</w:t>
      </w:r>
      <w:r>
        <w:rPr>
          <w:rFonts w:ascii="Times New Roman" w:hAnsi="Times New Roman" w:cs="Times New Roman" w:eastAsia="Times New Roman" w:hint="default"/>
        </w:rPr>
        <w:t>DCL(BVI)</w:t>
      </w:r>
      <w:r>
        <w:rPr/>
        <w:t>在香港设立的私人股份有 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日签订的股权转让协议，</w:t>
      </w:r>
      <w:r>
        <w:rPr>
          <w:rFonts w:ascii="Times New Roman" w:hAnsi="Times New Roman" w:cs="Times New Roman" w:eastAsia="Times New Roman" w:hint="default"/>
        </w:rPr>
        <w:t>DCL(BVI)</w:t>
      </w:r>
      <w:r>
        <w:rPr/>
        <w:t>将其持有的</w:t>
      </w:r>
      <w:r>
        <w:rPr>
          <w:rFonts w:ascii="Times New Roman" w:hAnsi="Times New Roman" w:cs="Times New Roman" w:eastAsia="Times New Roman" w:hint="default"/>
        </w:rPr>
        <w:t>DCMS100%</w:t>
      </w:r>
      <w:r>
        <w:rPr/>
        <w:t>的股权转让给神码中国。</w:t>
      </w:r>
    </w:p>
    <w:p>
      <w:pPr>
        <w:spacing w:line="240" w:lineRule="auto" w:before="11"/>
        <w:rPr>
          <w:rFonts w:ascii="宋体" w:hAnsi="宋体" w:cs="宋体" w:eastAsia="宋体" w:hint="default"/>
          <w:sz w:val="24"/>
          <w:szCs w:val="24"/>
        </w:rPr>
      </w:pPr>
    </w:p>
    <w:p>
      <w:pPr>
        <w:pStyle w:val="BodyText"/>
        <w:spacing w:line="300" w:lineRule="auto"/>
        <w:ind w:right="1129"/>
        <w:jc w:val="both"/>
      </w:pPr>
      <w:r>
        <w:rPr/>
        <w:t>注</w:t>
      </w:r>
      <w:r>
        <w:rPr>
          <w:rFonts w:ascii="Times New Roman" w:hAnsi="Times New Roman" w:cs="Times New Roman" w:eastAsia="Times New Roman" w:hint="default"/>
        </w:rPr>
        <w:t>20:</w:t>
      </w:r>
      <w:r>
        <w:rPr>
          <w:rFonts w:ascii="Times New Roman" w:hAnsi="Times New Roman" w:cs="Times New Roman" w:eastAsia="Times New Roman" w:hint="default"/>
          <w:spacing w:val="36"/>
        </w:rPr>
        <w:t> </w:t>
      </w:r>
      <w:r>
        <w:rPr>
          <w:spacing w:val="-4"/>
        </w:rPr>
        <w:t>神州数码科技发展有限公司（</w:t>
      </w:r>
      <w:r>
        <w:rPr>
          <w:rFonts w:ascii="Times New Roman" w:hAnsi="Times New Roman" w:cs="Times New Roman" w:eastAsia="Times New Roman" w:hint="default"/>
          <w:spacing w:val="-4"/>
        </w:rPr>
        <w:t>Digital</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4"/>
        </w:rPr>
        <w:t>Limited</w:t>
      </w:r>
      <w:r>
        <w:rPr>
          <w:spacing w:val="-4"/>
        </w:rPr>
        <w:t>，以下简称</w:t>
      </w:r>
      <w:r>
        <w:rPr>
          <w:rFonts w:ascii="Times New Roman" w:hAnsi="Times New Roman" w:cs="Times New Roman" w:eastAsia="Times New Roman" w:hint="default"/>
          <w:spacing w:val="-4"/>
        </w:rPr>
        <w:t>“</w:t>
      </w:r>
      <w:r>
        <w:rPr>
          <w:spacing w:val="-4"/>
        </w:rPr>
        <w:t>神码科技发展</w:t>
      </w:r>
      <w:r>
        <w:rPr>
          <w:rFonts w:ascii="Times New Roman" w:hAnsi="Times New Roman" w:cs="Times New Roman" w:eastAsia="Times New Roman" w:hint="default"/>
          <w:spacing w:val="-4"/>
        </w:rPr>
        <w:t>”</w:t>
      </w:r>
      <w:r>
        <w:rPr>
          <w:spacing w:val="-4"/>
        </w:rPr>
        <w:t>）系于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日由</w:t>
      </w:r>
      <w:r>
        <w:rPr>
          <w:rFonts w:ascii="Times New Roman" w:hAnsi="Times New Roman" w:cs="Times New Roman" w:eastAsia="Times New Roman" w:hint="default"/>
          <w:spacing w:val="-4"/>
        </w:rPr>
        <w:t>DCMS</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1"/>
        </w:rPr>
        <w:t>在香港设立的私人股份有限公司。于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DCMS</w:t>
      </w:r>
      <w:r>
        <w:rPr>
          <w:spacing w:val="-1"/>
        </w:rPr>
        <w:t>对神码科技发展注资港币</w:t>
      </w:r>
      <w:r>
        <w:rPr>
          <w:rFonts w:ascii="Times New Roman" w:hAnsi="Times New Roman" w:cs="Times New Roman" w:eastAsia="Times New Roman" w:hint="default"/>
          <w:spacing w:val="-1"/>
        </w:rPr>
        <w:t>30,000</w:t>
      </w:r>
      <w:r>
        <w:rPr>
          <w:spacing w:val="-1"/>
        </w:rPr>
        <w:t>万元，注资后神码科技发展的注</w:t>
      </w:r>
      <w:r>
        <w:rPr>
          <w:spacing w:val="-41"/>
        </w:rPr>
        <w:t> </w:t>
      </w:r>
      <w:r>
        <w:rPr>
          <w:spacing w:val="-41"/>
        </w:rPr>
      </w:r>
      <w:r>
        <w:rPr/>
        <w:t>册资本及实收资本由港币</w:t>
      </w:r>
      <w:r>
        <w:rPr>
          <w:rFonts w:ascii="Times New Roman" w:hAnsi="Times New Roman" w:cs="Times New Roman" w:eastAsia="Times New Roman" w:hint="default"/>
        </w:rPr>
        <w:t>5,000</w:t>
      </w:r>
      <w:r>
        <w:rPr/>
        <w:t>万元变更为港币</w:t>
      </w:r>
      <w:r>
        <w:rPr>
          <w:rFonts w:ascii="Times New Roman" w:hAnsi="Times New Roman" w:cs="Times New Roman" w:eastAsia="Times New Roman" w:hint="default"/>
        </w:rPr>
        <w:t>35,000</w:t>
      </w:r>
      <w:r>
        <w:rPr/>
        <w:t>万元。</w:t>
      </w:r>
    </w:p>
    <w:p>
      <w:pPr>
        <w:spacing w:line="240" w:lineRule="auto" w:before="11"/>
        <w:rPr>
          <w:rFonts w:ascii="宋体" w:hAnsi="宋体" w:cs="宋体" w:eastAsia="宋体" w:hint="default"/>
          <w:sz w:val="24"/>
          <w:szCs w:val="24"/>
        </w:rPr>
      </w:pPr>
    </w:p>
    <w:p>
      <w:pPr>
        <w:pStyle w:val="BodyText"/>
        <w:spacing w:line="300" w:lineRule="auto"/>
        <w:ind w:right="1131"/>
        <w:jc w:val="both"/>
      </w:pPr>
      <w:r>
        <w:rPr/>
        <w:t>注</w:t>
      </w:r>
      <w:r>
        <w:rPr>
          <w:rFonts w:ascii="Times New Roman" w:hAnsi="Times New Roman" w:cs="Times New Roman" w:eastAsia="Times New Roman" w:hint="default"/>
        </w:rPr>
        <w:t>21: </w:t>
      </w:r>
      <w:r>
        <w:rPr/>
        <w:t>神州数码（香港）有限公司（</w:t>
      </w:r>
      <w:r>
        <w:rPr>
          <w:rFonts w:ascii="Times New Roman" w:hAnsi="Times New Roman" w:cs="Times New Roman" w:eastAsia="Times New Roman" w:hint="default"/>
        </w:rPr>
        <w:t>Digital China (HK)</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日由</w:t>
      </w:r>
      <w:r>
        <w:rPr>
          <w:rFonts w:ascii="Times New Roman" w:hAnsi="Times New Roman" w:cs="Times New Roman" w:eastAsia="Times New Roman" w:hint="default"/>
        </w:rPr>
        <w:t>DCMS</w:t>
      </w:r>
      <w:r>
        <w:rPr/>
        <w:t>在香港 设立的私人股份有限公司。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DCMS</w:t>
      </w:r>
      <w:r>
        <w:rPr/>
        <w:t>将其持有的神码香港</w:t>
      </w:r>
      <w:r>
        <w:rPr>
          <w:rFonts w:ascii="Times New Roman" w:hAnsi="Times New Roman" w:cs="Times New Roman" w:eastAsia="Times New Roman" w:hint="default"/>
        </w:rPr>
        <w:t>100%</w:t>
      </w:r>
      <w:r>
        <w:rPr/>
        <w:t>的股权转让给神码中国。</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22: </w:t>
      </w:r>
      <w:r>
        <w:rPr/>
        <w:t>神州数码数据服务（香港）有限公司（</w:t>
      </w:r>
      <w:r>
        <w:rPr>
          <w:rFonts w:ascii="Times New Roman" w:hAnsi="Times New Roman" w:cs="Times New Roman" w:eastAsia="Times New Roman" w:hint="default"/>
        </w:rPr>
        <w:t>Digital China Data Services (HK)</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神码数据服务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p>
    <w:p>
      <w:pPr>
        <w:pStyle w:val="BodyText"/>
        <w:spacing w:line="240" w:lineRule="auto" w:before="63"/>
        <w:ind w:right="0"/>
        <w:jc w:val="both"/>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日由神码香港在香港设立的私人股份有限公司。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131"/>
        <w:jc w:val="both"/>
      </w:pPr>
      <w:r>
        <w:rPr/>
        <w:t>注</w:t>
      </w:r>
      <w:r>
        <w:rPr>
          <w:rFonts w:ascii="Times New Roman" w:hAnsi="Times New Roman" w:cs="Times New Roman" w:eastAsia="Times New Roman" w:hint="default"/>
        </w:rPr>
        <w:t>23: </w:t>
      </w:r>
      <w:r>
        <w:rPr/>
        <w:t>神州数码澳门离岸商业服务有限公司（</w:t>
      </w:r>
      <w:r>
        <w:rPr>
          <w:rFonts w:ascii="Times New Roman" w:hAnsi="Times New Roman" w:cs="Times New Roman" w:eastAsia="Times New Roman" w:hint="default"/>
        </w:rPr>
        <w:t>Digital China Macao Commercial Offshore</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神码澳门</w:t>
      </w:r>
      <w:r>
        <w:rPr>
          <w:rFonts w:ascii="Times New Roman" w:hAnsi="Times New Roman" w:cs="Times New Roman" w:eastAsia="Times New Roman" w:hint="default"/>
        </w:rPr>
        <w:t>”</w:t>
      </w:r>
      <w:r>
        <w:rPr/>
        <w:t>）系于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日由</w:t>
      </w:r>
      <w:r>
        <w:rPr>
          <w:rFonts w:ascii="Times New Roman" w:hAnsi="Times New Roman" w:cs="Times New Roman" w:eastAsia="Times New Roman" w:hint="default"/>
        </w:rPr>
        <w:t>DCMS</w:t>
      </w:r>
      <w:r>
        <w:rPr/>
        <w:t>在澳门设立的私人股份有限公司。</w:t>
      </w:r>
    </w:p>
    <w:p>
      <w:pPr>
        <w:spacing w:line="240" w:lineRule="auto" w:before="12"/>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24: </w:t>
      </w:r>
      <w:r>
        <w:rPr/>
        <w:t>系统信息科技（香港）有限公司（</w:t>
      </w:r>
      <w:r>
        <w:rPr>
          <w:rFonts w:ascii="Times New Roman" w:hAnsi="Times New Roman" w:cs="Times New Roman" w:eastAsia="Times New Roman" w:hint="default"/>
        </w:rPr>
        <w:t>Systems Information Technology (HK)</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系统信息香港</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2008</w:t>
      </w:r>
    </w:p>
    <w:p>
      <w:pPr>
        <w:pStyle w:val="BodyText"/>
        <w:spacing w:line="240" w:lineRule="auto" w:before="63"/>
        <w:ind w:right="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日由</w:t>
      </w:r>
      <w:r>
        <w:rPr>
          <w:rFonts w:ascii="Times New Roman" w:hAnsi="Times New Roman" w:cs="Times New Roman" w:eastAsia="Times New Roman" w:hint="default"/>
        </w:rPr>
        <w:t>DCMS</w:t>
      </w:r>
      <w:r>
        <w:rPr/>
        <w:t>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129"/>
        <w:jc w:val="both"/>
      </w:pPr>
      <w:r>
        <w:rPr/>
        <w:t>注</w:t>
      </w:r>
      <w:r>
        <w:rPr>
          <w:rFonts w:ascii="Times New Roman" w:hAnsi="Times New Roman" w:cs="Times New Roman" w:eastAsia="Times New Roman" w:hint="default"/>
        </w:rPr>
        <w:t>25: </w:t>
      </w:r>
      <w:r>
        <w:rPr>
          <w:spacing w:val="-11"/>
          <w:w w:val="99"/>
        </w:rPr>
        <w:t>神州数码网络（香港）有限公司（</w:t>
      </w:r>
      <w:r>
        <w:rPr>
          <w:rFonts w:ascii="Times New Roman" w:hAnsi="Times New Roman" w:cs="Times New Roman" w:eastAsia="Times New Roman" w:hint="default"/>
          <w:spacing w:val="-11"/>
          <w:w w:val="99"/>
        </w:rPr>
        <w:t>Digital</w:t>
      </w:r>
      <w:r>
        <w:rPr>
          <w:rFonts w:ascii="Times New Roman" w:hAnsi="Times New Roman" w:cs="Times New Roman" w:eastAsia="Times New Roman" w:hint="default"/>
          <w:w w:val="99"/>
        </w:rPr>
        <w:t> </w:t>
      </w:r>
      <w:r>
        <w:rPr>
          <w:rFonts w:ascii="Times New Roman" w:hAnsi="Times New Roman" w:cs="Times New Roman" w:eastAsia="Times New Roman" w:hint="default"/>
        </w:rPr>
        <w:t>China </w:t>
      </w:r>
      <w:r>
        <w:rPr>
          <w:rFonts w:ascii="Times New Roman" w:hAnsi="Times New Roman" w:cs="Times New Roman" w:eastAsia="Times New Roman" w:hint="default"/>
          <w:spacing w:val="-1"/>
          <w:w w:val="99"/>
        </w:rPr>
        <w:t>Networks</w:t>
      </w:r>
      <w:r>
        <w:rPr>
          <w:rFonts w:ascii="Times New Roman" w:hAnsi="Times New Roman" w:cs="Times New Roman" w:eastAsia="Times New Roman" w:hint="default"/>
          <w:w w:val="99"/>
        </w:rPr>
        <w:t> (HK) </w:t>
      </w:r>
      <w:r>
        <w:rPr>
          <w:rFonts w:ascii="Times New Roman" w:hAnsi="Times New Roman" w:cs="Times New Roman" w:eastAsia="Times New Roman" w:hint="default"/>
          <w:spacing w:val="-5"/>
          <w:w w:val="99"/>
        </w:rPr>
        <w:t>Limited</w:t>
      </w:r>
      <w:r>
        <w:rPr>
          <w:spacing w:val="-5"/>
          <w:w w:val="99"/>
        </w:rPr>
        <w:t>，</w:t>
      </w:r>
      <w:r>
        <w:rPr>
          <w:rFonts w:ascii="Times New Roman" w:hAnsi="Times New Roman" w:cs="Times New Roman" w:eastAsia="Times New Roman" w:hint="default"/>
          <w:spacing w:val="-5"/>
          <w:w w:val="99"/>
        </w:rPr>
        <w:t>“</w:t>
      </w:r>
      <w:r>
        <w:rPr>
          <w:spacing w:val="-5"/>
          <w:w w:val="99"/>
        </w:rPr>
        <w:t>神码网络香港</w:t>
      </w:r>
      <w:r>
        <w:rPr>
          <w:rFonts w:ascii="Times New Roman" w:hAnsi="Times New Roman" w:cs="Times New Roman" w:eastAsia="Times New Roman" w:hint="default"/>
          <w:spacing w:val="-5"/>
          <w:w w:val="99"/>
        </w:rPr>
        <w:t>”</w:t>
      </w:r>
      <w:r>
        <w:rPr>
          <w:spacing w:val="-5"/>
          <w:w w:val="99"/>
        </w:rPr>
        <w:t>）系于</w:t>
      </w:r>
      <w:r>
        <w:rPr>
          <w:rFonts w:ascii="Times New Roman" w:hAnsi="Times New Roman" w:cs="Times New Roman" w:eastAsia="Times New Roman" w:hint="default"/>
          <w:spacing w:val="-5"/>
          <w:w w:val="99"/>
        </w:rPr>
        <w:t>2000</w:t>
      </w:r>
      <w:r>
        <w:rPr>
          <w:spacing w:val="-5"/>
          <w:w w:val="99"/>
        </w:rPr>
        <w:t>年</w:t>
      </w:r>
      <w:r>
        <w:rPr>
          <w:rFonts w:ascii="Times New Roman" w:hAnsi="Times New Roman" w:cs="Times New Roman" w:eastAsia="Times New Roman" w:hint="default"/>
          <w:spacing w:val="-5"/>
          <w:w w:val="99"/>
        </w:rPr>
        <w:t>3</w:t>
      </w:r>
      <w:r>
        <w:rPr>
          <w:spacing w:val="-5"/>
          <w:w w:val="99"/>
        </w:rPr>
        <w:t>月</w:t>
      </w:r>
      <w:r>
        <w:rPr>
          <w:rFonts w:ascii="Times New Roman" w:hAnsi="Times New Roman" w:cs="Times New Roman" w:eastAsia="Times New Roman" w:hint="default"/>
          <w:spacing w:val="-5"/>
          <w:w w:val="99"/>
        </w:rPr>
        <w:t>31</w:t>
      </w:r>
      <w:r>
        <w:rPr>
          <w:spacing w:val="-5"/>
          <w:w w:val="99"/>
        </w:rPr>
        <w:t>日由</w:t>
      </w:r>
      <w:r>
        <w:rPr>
          <w:rFonts w:ascii="Times New Roman" w:hAnsi="Times New Roman" w:cs="Times New Roman" w:eastAsia="Times New Roman" w:hint="default"/>
          <w:spacing w:val="-5"/>
          <w:w w:val="99"/>
        </w:rPr>
        <w:t>DCL(BVI)</w:t>
      </w:r>
      <w:r>
        <w:rPr>
          <w:rFonts w:ascii="Times New Roman" w:hAnsi="Times New Roman" w:cs="Times New Roman" w:eastAsia="Times New Roman" w:hint="default"/>
          <w:spacing w:val="-40"/>
          <w:w w:val="99"/>
        </w:rPr>
        <w:t> </w:t>
      </w:r>
      <w:r>
        <w:rPr>
          <w:rFonts w:ascii="Times New Roman" w:hAnsi="Times New Roman" w:cs="Times New Roman" w:eastAsia="Times New Roman" w:hint="default"/>
          <w:spacing w:val="-40"/>
          <w:w w:val="99"/>
        </w:rPr>
      </w:r>
      <w:r>
        <w:rPr/>
        <w:t>的子公司</w:t>
      </w:r>
      <w:r>
        <w:rPr>
          <w:rFonts w:ascii="Times New Roman" w:hAnsi="Times New Roman" w:cs="Times New Roman" w:eastAsia="Times New Roman" w:hint="default"/>
        </w:rPr>
        <w:t>DCN(BVI)</w:t>
      </w:r>
      <w:r>
        <w:rPr/>
        <w:t>在香港设立的私人股份有限公司。根据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日签订的股权转让协议，</w:t>
      </w:r>
      <w:r>
        <w:rPr>
          <w:rFonts w:ascii="Times New Roman" w:hAnsi="Times New Roman" w:cs="Times New Roman" w:eastAsia="Times New Roman" w:hint="default"/>
        </w:rPr>
        <w:t>DCN(BVI)</w:t>
      </w:r>
      <w:r>
        <w:rPr/>
        <w:t>将其持有的神码</w:t>
      </w:r>
      <w:r>
        <w:rPr>
          <w:w w:val="99"/>
        </w:rPr>
        <w:t> </w:t>
      </w:r>
      <w:r>
        <w:rPr/>
        <w:t>网络香港</w:t>
      </w:r>
      <w:r>
        <w:rPr>
          <w:rFonts w:ascii="Times New Roman" w:hAnsi="Times New Roman" w:cs="Times New Roman" w:eastAsia="Times New Roman" w:hint="default"/>
        </w:rPr>
        <w:t>100%</w:t>
      </w:r>
      <w:r>
        <w:rPr/>
        <w:t>的股权转让给</w:t>
      </w:r>
      <w:r>
        <w:rPr>
          <w:rFonts w:ascii="Times New Roman" w:hAnsi="Times New Roman" w:cs="Times New Roman" w:eastAsia="Times New Roman" w:hint="default"/>
        </w:rPr>
        <w:t>DCMS</w:t>
      </w:r>
      <w:r>
        <w:rPr/>
        <w:t>。</w:t>
      </w:r>
    </w:p>
    <w:p>
      <w:pPr>
        <w:spacing w:line="240" w:lineRule="auto" w:before="11"/>
        <w:rPr>
          <w:rFonts w:ascii="宋体" w:hAnsi="宋体" w:cs="宋体" w:eastAsia="宋体" w:hint="default"/>
          <w:sz w:val="24"/>
          <w:szCs w:val="24"/>
        </w:rPr>
      </w:pPr>
    </w:p>
    <w:p>
      <w:pPr>
        <w:pStyle w:val="BodyText"/>
        <w:spacing w:line="300" w:lineRule="auto"/>
        <w:ind w:right="1133"/>
        <w:jc w:val="both"/>
      </w:pPr>
      <w:r>
        <w:rPr/>
        <w:t>注</w:t>
      </w:r>
      <w:r>
        <w:rPr>
          <w:rFonts w:ascii="Times New Roman" w:hAnsi="Times New Roman" w:cs="Times New Roman" w:eastAsia="Times New Roman" w:hint="default"/>
        </w:rPr>
        <w:t>26: </w:t>
      </w:r>
      <w:r>
        <w:rPr/>
        <w:t>北京神州数码智慧生活科技有限公司（以下简称</w:t>
      </w:r>
      <w:r>
        <w:rPr>
          <w:rFonts w:ascii="Times New Roman" w:hAnsi="Times New Roman" w:cs="Times New Roman" w:eastAsia="Times New Roman" w:hint="default"/>
        </w:rPr>
        <w:t>“</w:t>
      </w:r>
      <w:r>
        <w:rPr/>
        <w:t>北京智慧生活</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日由神码北京设立的法人独资有</w:t>
      </w:r>
      <w:r>
        <w:rPr>
          <w:spacing w:val="-80"/>
        </w:rPr>
        <w:t> </w:t>
      </w:r>
      <w:r>
        <w:rPr>
          <w:spacing w:val="-80"/>
        </w:rPr>
      </w:r>
      <w:r>
        <w:rPr/>
        <w:t>限责任公司。</w:t>
      </w:r>
    </w:p>
    <w:p>
      <w:pPr>
        <w:spacing w:after="0" w:line="300"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300" w:lineRule="auto" w:before="44"/>
        <w:ind w:right="1128"/>
        <w:jc w:val="both"/>
      </w:pPr>
      <w:r>
        <w:rPr/>
        <w:t>注</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神州数码澳门有限公司（</w:t>
      </w:r>
      <w:r>
        <w:rPr>
          <w:rFonts w:ascii="Times New Roman" w:hAnsi="Times New Roman" w:cs="Times New Roman" w:eastAsia="Times New Roman" w:hint="default"/>
        </w:rPr>
        <w:t>Digital</w:t>
      </w:r>
      <w:r>
        <w:rPr>
          <w:rFonts w:ascii="Times New Roman" w:hAnsi="Times New Roman" w:cs="Times New Roman" w:eastAsia="Times New Roman" w:hint="default"/>
          <w:spacing w:val="-1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9"/>
        </w:rPr>
        <w:t> </w:t>
      </w:r>
      <w:r>
        <w:rPr>
          <w:rFonts w:ascii="Times New Roman" w:hAnsi="Times New Roman" w:cs="Times New Roman" w:eastAsia="Times New Roman" w:hint="default"/>
        </w:rPr>
        <w:t>Macau</w:t>
      </w:r>
      <w:r>
        <w:rPr>
          <w:rFonts w:ascii="Times New Roman" w:hAnsi="Times New Roman" w:cs="Times New Roman" w:eastAsia="Times New Roman" w:hint="default"/>
          <w:spacing w:val="-17"/>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神州数码澳门</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日由神码 </w:t>
      </w:r>
      <w:r>
        <w:rPr>
          <w:spacing w:val="-2"/>
        </w:rPr>
        <w:t>中国收购而纳入汇总范围。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日，神码中国对神州数码澳门注资澳门币</w:t>
      </w:r>
      <w:r>
        <w:rPr>
          <w:rFonts w:ascii="Times New Roman" w:hAnsi="Times New Roman" w:cs="Times New Roman" w:eastAsia="Times New Roman" w:hint="default"/>
          <w:spacing w:val="-2"/>
        </w:rPr>
        <w:t>100</w:t>
      </w:r>
      <w:r>
        <w:rPr>
          <w:spacing w:val="-2"/>
        </w:rPr>
        <w:t>万元，注资后神州数码澳门的注册资本</w:t>
      </w:r>
      <w:r>
        <w:rPr>
          <w:spacing w:val="-59"/>
        </w:rPr>
        <w:t> </w:t>
      </w:r>
      <w:r>
        <w:rPr>
          <w:spacing w:val="-59"/>
        </w:rPr>
      </w:r>
      <w:r>
        <w:rPr/>
        <w:t>及实收资本由澳门币</w:t>
      </w:r>
      <w:r>
        <w:rPr>
          <w:rFonts w:ascii="Times New Roman" w:hAnsi="Times New Roman" w:cs="Times New Roman" w:eastAsia="Times New Roman" w:hint="default"/>
        </w:rPr>
        <w:t>2.5</w:t>
      </w:r>
      <w:r>
        <w:rPr/>
        <w:t>万元变更为澳门币</w:t>
      </w:r>
      <w:r>
        <w:rPr>
          <w:rFonts w:ascii="Times New Roman" w:hAnsi="Times New Roman" w:cs="Times New Roman" w:eastAsia="Times New Roman" w:hint="default"/>
        </w:rPr>
        <w:t>102.5</w:t>
      </w:r>
      <w:r>
        <w:rPr/>
        <w:t>万元。</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28: </w:t>
      </w:r>
      <w:r>
        <w:rPr/>
        <w:t>神州数码科技服务有限公司（</w:t>
      </w:r>
      <w:r>
        <w:rPr>
          <w:rFonts w:ascii="Times New Roman" w:hAnsi="Times New Roman" w:cs="Times New Roman" w:eastAsia="Times New Roman" w:hint="default"/>
        </w:rPr>
        <w:t>Digital China Technology Services</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w:t>
      </w:r>
      <w:r>
        <w:rPr/>
        <w:t>神州数码科技服务</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p>
    <w:p>
      <w:pPr>
        <w:pStyle w:val="BodyText"/>
        <w:spacing w:line="240" w:lineRule="auto" w:before="63"/>
        <w:ind w:right="0"/>
        <w:jc w:val="both"/>
      </w:pPr>
      <w:r>
        <w:rPr/>
        <w:t>月</w:t>
      </w:r>
      <w:r>
        <w:rPr>
          <w:rFonts w:ascii="Times New Roman" w:hAnsi="Times New Roman" w:cs="Times New Roman" w:eastAsia="Times New Roman" w:hint="default"/>
        </w:rPr>
        <w:t>13</w:t>
      </w:r>
      <w:r>
        <w:rPr/>
        <w:t>日由神码香港在香港设立的私人股份有限公司。</w:t>
      </w:r>
    </w:p>
    <w:p>
      <w:pPr>
        <w:spacing w:line="240" w:lineRule="auto" w:before="0"/>
        <w:rPr>
          <w:rFonts w:ascii="宋体" w:hAnsi="宋体" w:cs="宋体" w:eastAsia="宋体" w:hint="default"/>
          <w:sz w:val="18"/>
          <w:szCs w:val="18"/>
        </w:rPr>
      </w:pPr>
    </w:p>
    <w:p>
      <w:pPr>
        <w:pStyle w:val="BodyText"/>
        <w:spacing w:line="300" w:lineRule="auto" w:before="139"/>
        <w:ind w:right="1131"/>
        <w:jc w:val="both"/>
      </w:pPr>
      <w:r>
        <w:rPr/>
        <w:t>注</w:t>
      </w:r>
      <w:r>
        <w:rPr>
          <w:rFonts w:ascii="Times New Roman" w:hAnsi="Times New Roman" w:cs="Times New Roman" w:eastAsia="Times New Roman" w:hint="default"/>
        </w:rPr>
        <w:t>29</w:t>
      </w:r>
      <w:r>
        <w:rPr/>
        <w:t>：北京神州数码电商科技有限公司（以下简称</w:t>
      </w:r>
      <w:r>
        <w:rPr>
          <w:rFonts w:ascii="Times New Roman" w:hAnsi="Times New Roman" w:cs="Times New Roman" w:eastAsia="Times New Roman" w:hint="default"/>
        </w:rPr>
        <w:t>“</w:t>
      </w:r>
      <w:r>
        <w:rPr/>
        <w:t>神码电商</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日由神码中国设立的法人独资有限责任公</w:t>
      </w:r>
      <w:r>
        <w:rPr>
          <w:spacing w:val="-67"/>
        </w:rPr>
        <w:t> </w:t>
      </w:r>
      <w:r>
        <w:rPr>
          <w:spacing w:val="-67"/>
        </w:rPr>
      </w:r>
      <w:r>
        <w:rPr/>
        <w:t>司。</w:t>
      </w:r>
    </w:p>
    <w:p>
      <w:pPr>
        <w:spacing w:line="240" w:lineRule="auto" w:before="3"/>
        <w:rPr>
          <w:rFonts w:ascii="宋体" w:hAnsi="宋体" w:cs="宋体" w:eastAsia="宋体" w:hint="default"/>
          <w:sz w:val="26"/>
          <w:szCs w:val="26"/>
        </w:rPr>
      </w:pPr>
    </w:p>
    <w:p>
      <w:pPr>
        <w:pStyle w:val="BodyText"/>
        <w:spacing w:line="300" w:lineRule="auto"/>
        <w:ind w:right="0"/>
        <w:jc w:val="left"/>
      </w:pPr>
      <w:r>
        <w:rPr/>
        <w:t>注</w:t>
      </w:r>
      <w:r>
        <w:rPr>
          <w:rFonts w:ascii="Times New Roman" w:hAnsi="Times New Roman" w:cs="Times New Roman" w:eastAsia="Times New Roman" w:hint="default"/>
        </w:rPr>
        <w:t>30</w:t>
      </w:r>
      <w:r>
        <w:rPr/>
        <w:t>：北京神州数码云计算有限公司（原</w:t>
      </w:r>
      <w:r>
        <w:rPr>
          <w:rFonts w:ascii="Times New Roman" w:hAnsi="Times New Roman" w:cs="Times New Roman" w:eastAsia="Times New Roman" w:hint="default"/>
        </w:rPr>
        <w:t>“</w:t>
      </w:r>
      <w:r>
        <w:rPr/>
        <w:t>北京神州云科信息服务有限公司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神州云计算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日由北京神州云科信息技术有限公司出资人民币</w:t>
      </w:r>
      <w:r>
        <w:rPr>
          <w:rFonts w:ascii="Times New Roman" w:hAnsi="Times New Roman" w:cs="Times New Roman" w:eastAsia="Times New Roman" w:hint="default"/>
        </w:rPr>
        <w:t>1,100</w:t>
      </w:r>
      <w:r>
        <w:rPr/>
        <w:t>万元设立的有限责任公司，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月，本公司与郭为先生分别</w:t>
      </w:r>
      <w:r>
        <w:rPr>
          <w:spacing w:val="-46"/>
        </w:rPr>
        <w:t> </w:t>
      </w:r>
      <w:r>
        <w:rPr>
          <w:spacing w:val="-46"/>
        </w:rPr>
      </w:r>
      <w:r>
        <w:rPr/>
        <w:t>与北京神州云科信息技术有限公司签订股权转让协议受让神州云计算</w:t>
      </w:r>
      <w:r>
        <w:rPr>
          <w:rFonts w:ascii="Times New Roman" w:hAnsi="Times New Roman" w:cs="Times New Roman" w:eastAsia="Times New Roman" w:hint="default"/>
        </w:rPr>
        <w:t>51%</w:t>
      </w:r>
      <w:r>
        <w:rPr/>
        <w:t>、</w:t>
      </w:r>
      <w:r>
        <w:rPr>
          <w:rFonts w:ascii="Times New Roman" w:hAnsi="Times New Roman" w:cs="Times New Roman" w:eastAsia="Times New Roman" w:hint="default"/>
        </w:rPr>
        <w:t>49%</w:t>
      </w:r>
      <w:r>
        <w:rPr/>
        <w:t>股权，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日，完成工商变更登记。</w:t>
      </w:r>
      <w:r>
        <w:rPr>
          <w:spacing w:val="-33"/>
        </w:rPr>
        <w:t> </w:t>
      </w:r>
      <w:r>
        <w:rPr>
          <w:spacing w:val="-33"/>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月，本公司以人民币</w:t>
      </w:r>
      <w:r>
        <w:rPr>
          <w:rFonts w:ascii="Times New Roman" w:hAnsi="Times New Roman" w:cs="Times New Roman" w:eastAsia="Times New Roman" w:hint="default"/>
        </w:rPr>
        <w:t>6,694,627.04</w:t>
      </w:r>
      <w:r>
        <w:rPr/>
        <w:t>元受让郭为先生持有的神州云计算</w:t>
      </w:r>
      <w:r>
        <w:rPr>
          <w:rFonts w:ascii="Times New Roman" w:hAnsi="Times New Roman" w:cs="Times New Roman" w:eastAsia="Times New Roman" w:hint="default"/>
        </w:rPr>
        <w:t>49%</w:t>
      </w:r>
      <w:r>
        <w:rPr/>
        <w:t>的股权，本次受让完成后，本公司持有神</w:t>
      </w:r>
      <w:r>
        <w:rPr>
          <w:spacing w:val="-23"/>
        </w:rPr>
        <w:t> </w:t>
      </w:r>
      <w:r>
        <w:rPr>
          <w:spacing w:val="-23"/>
        </w:rPr>
      </w:r>
      <w:r>
        <w:rPr/>
        <w:t>州云计算</w:t>
      </w:r>
      <w:r>
        <w:rPr>
          <w:rFonts w:ascii="Times New Roman" w:hAnsi="Times New Roman" w:cs="Times New Roman" w:eastAsia="Times New Roman" w:hint="default"/>
        </w:rPr>
        <w:t>100%</w:t>
      </w:r>
      <w:r>
        <w:rPr/>
        <w:t>股权。</w:t>
      </w:r>
    </w:p>
    <w:p>
      <w:pPr>
        <w:spacing w:line="240" w:lineRule="auto" w:before="11"/>
        <w:rPr>
          <w:rFonts w:ascii="宋体" w:hAnsi="宋体" w:cs="宋体" w:eastAsia="宋体" w:hint="default"/>
          <w:sz w:val="24"/>
          <w:szCs w:val="24"/>
        </w:rPr>
      </w:pPr>
    </w:p>
    <w:p>
      <w:pPr>
        <w:pStyle w:val="BodyText"/>
        <w:spacing w:line="240" w:lineRule="auto"/>
        <w:ind w:right="0"/>
        <w:jc w:val="both"/>
      </w:pPr>
      <w:r>
        <w:rPr/>
        <w:t>注</w:t>
      </w:r>
      <w:r>
        <w:rPr>
          <w:rFonts w:ascii="Times New Roman" w:hAnsi="Times New Roman" w:cs="Times New Roman" w:eastAsia="Times New Roman" w:hint="default"/>
        </w:rPr>
        <w:t>31</w:t>
      </w:r>
      <w:r>
        <w:rPr/>
        <w:t>：贵州神州数码云计算有限公司（原</w:t>
      </w:r>
      <w:r>
        <w:rPr>
          <w:rFonts w:ascii="Times New Roman" w:hAnsi="Times New Roman" w:cs="Times New Roman" w:eastAsia="Times New Roman" w:hint="default"/>
        </w:rPr>
        <w:t>“</w:t>
      </w:r>
      <w:r>
        <w:rPr/>
        <w:t>贵州神州云科信息服务有限公司</w:t>
      </w:r>
      <w:r>
        <w:rPr>
          <w:rFonts w:ascii="Times New Roman" w:hAnsi="Times New Roman" w:cs="Times New Roman" w:eastAsia="Times New Roman" w:hint="default"/>
        </w:rPr>
        <w:t>”</w:t>
      </w:r>
      <w:r>
        <w:rPr/>
        <w:t>现已更名，以下简称</w:t>
      </w:r>
      <w:r>
        <w:rPr>
          <w:rFonts w:ascii="Times New Roman" w:hAnsi="Times New Roman" w:cs="Times New Roman" w:eastAsia="Times New Roman" w:hint="default"/>
        </w:rPr>
        <w:t>“</w:t>
      </w:r>
      <w:r>
        <w:rPr/>
        <w:t>贵州云计算</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p>
    <w:p>
      <w:pPr>
        <w:pStyle w:val="BodyText"/>
        <w:spacing w:line="240" w:lineRule="auto" w:before="63"/>
        <w:ind w:right="0"/>
        <w:jc w:val="both"/>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日由神州云计算出资人民币</w:t>
      </w:r>
      <w:r>
        <w:rPr>
          <w:rFonts w:ascii="Times New Roman" w:hAnsi="Times New Roman" w:cs="Times New Roman" w:eastAsia="Times New Roman" w:hint="default"/>
        </w:rPr>
        <w:t>5,000</w:t>
      </w:r>
      <w:r>
        <w:rPr/>
        <w:t>万元设立的有限责任公司。</w:t>
      </w:r>
    </w:p>
    <w:p>
      <w:pPr>
        <w:spacing w:line="240" w:lineRule="auto" w:before="0"/>
        <w:rPr>
          <w:rFonts w:ascii="宋体" w:hAnsi="宋体" w:cs="宋体" w:eastAsia="宋体" w:hint="default"/>
          <w:sz w:val="18"/>
          <w:szCs w:val="18"/>
        </w:rPr>
      </w:pPr>
    </w:p>
    <w:p>
      <w:pPr>
        <w:pStyle w:val="BodyText"/>
        <w:spacing w:line="300" w:lineRule="auto" w:before="139"/>
        <w:ind w:right="1129"/>
        <w:jc w:val="both"/>
      </w:pPr>
      <w:r>
        <w:rPr>
          <w:spacing w:val="-2"/>
        </w:rPr>
        <w:t>注</w:t>
      </w:r>
      <w:r>
        <w:rPr>
          <w:rFonts w:ascii="Times New Roman" w:hAnsi="Times New Roman" w:cs="Times New Roman" w:eastAsia="Times New Roman" w:hint="default"/>
          <w:spacing w:val="-2"/>
        </w:rPr>
        <w:t>32</w:t>
      </w:r>
      <w:r>
        <w:rPr>
          <w:spacing w:val="-2"/>
        </w:rPr>
        <w:t>：深圳神州数码云科数据技术有限公司，系于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日由北京网络公司与北京安昊科技中心（有限合伙）共同设</w:t>
      </w:r>
      <w:r>
        <w:rPr>
          <w:spacing w:val="-57"/>
        </w:rPr>
        <w:t> </w:t>
      </w:r>
      <w:r>
        <w:rPr>
          <w:spacing w:val="-57"/>
        </w:rPr>
      </w:r>
      <w:r>
        <w:rPr/>
        <w:t>立的有限责任公司，注册资本人民币</w:t>
      </w:r>
      <w:r>
        <w:rPr>
          <w:rFonts w:ascii="Times New Roman" w:hAnsi="Times New Roman" w:cs="Times New Roman" w:eastAsia="Times New Roman" w:hint="default"/>
        </w:rPr>
        <w:t>5000</w:t>
      </w:r>
      <w:r>
        <w:rPr/>
        <w:t>万元，北京网络公司持股比例为</w:t>
      </w:r>
      <w:r>
        <w:rPr>
          <w:rFonts w:ascii="Times New Roman" w:hAnsi="Times New Roman" w:cs="Times New Roman" w:eastAsia="Times New Roman" w:hint="default"/>
        </w:rPr>
        <w:t>75%</w:t>
      </w:r>
      <w:r>
        <w:rPr/>
        <w:t>。</w:t>
      </w:r>
    </w:p>
    <w:p>
      <w:pPr>
        <w:spacing w:line="240" w:lineRule="auto" w:before="11"/>
        <w:rPr>
          <w:rFonts w:ascii="宋体" w:hAnsi="宋体" w:cs="宋体" w:eastAsia="宋体" w:hint="default"/>
          <w:sz w:val="24"/>
          <w:szCs w:val="24"/>
        </w:rPr>
      </w:pPr>
    </w:p>
    <w:p>
      <w:pPr>
        <w:pStyle w:val="BodyText"/>
        <w:spacing w:line="300" w:lineRule="auto"/>
        <w:ind w:right="1127"/>
        <w:jc w:val="both"/>
      </w:pPr>
      <w:r>
        <w:rPr/>
        <w:t>注</w:t>
      </w:r>
      <w:r>
        <w:rPr>
          <w:rFonts w:ascii="Times New Roman" w:hAnsi="Times New Roman" w:cs="Times New Roman" w:eastAsia="Times New Roman" w:hint="default"/>
        </w:rPr>
        <w:t>33</w:t>
      </w:r>
      <w:r>
        <w:rPr/>
        <w:t>：</w:t>
      </w:r>
      <w:r>
        <w:rPr>
          <w:rFonts w:ascii="Times New Roman" w:hAnsi="Times New Roman" w:cs="Times New Roman" w:eastAsia="Times New Roman" w:hint="default"/>
        </w:rPr>
        <w:t>Digital China Technology International (Sin) PTE</w:t>
      </w:r>
      <w:r>
        <w:rPr>
          <w:rFonts w:ascii="Times New Roman" w:hAnsi="Times New Roman" w:cs="Times New Roman" w:eastAsia="Times New Roman" w:hint="default"/>
          <w:spacing w:val="30"/>
        </w:rPr>
        <w:t> </w:t>
      </w:r>
      <w:r>
        <w:rPr>
          <w:rFonts w:ascii="Times New Roman" w:hAnsi="Times New Roman" w:cs="Times New Roman" w:eastAsia="Times New Roman" w:hint="default"/>
        </w:rPr>
        <w:t>LTD</w:t>
      </w:r>
      <w:r>
        <w:rPr/>
        <w:t>，系于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日由神码香港出资</w:t>
      </w:r>
      <w:r>
        <w:rPr>
          <w:rFonts w:ascii="Times New Roman" w:hAnsi="Times New Roman" w:cs="Times New Roman" w:eastAsia="Times New Roman" w:hint="default"/>
        </w:rPr>
        <w:t>10</w:t>
      </w:r>
      <w:r>
        <w:rPr/>
        <w:t>万美元设立的私人股份 有限公司。</w:t>
      </w:r>
    </w:p>
    <w:p>
      <w:pPr>
        <w:spacing w:line="240" w:lineRule="auto" w:before="3"/>
        <w:rPr>
          <w:rFonts w:ascii="宋体" w:hAnsi="宋体" w:cs="宋体" w:eastAsia="宋体" w:hint="default"/>
          <w:sz w:val="26"/>
          <w:szCs w:val="26"/>
        </w:rPr>
      </w:pPr>
    </w:p>
    <w:p>
      <w:pPr>
        <w:pStyle w:val="BodyText"/>
        <w:spacing w:line="300" w:lineRule="auto"/>
        <w:ind w:right="1127"/>
        <w:jc w:val="both"/>
      </w:pPr>
      <w:r>
        <w:rPr>
          <w:spacing w:val="-5"/>
        </w:rPr>
        <w:t>注</w:t>
      </w:r>
      <w:r>
        <w:rPr>
          <w:rFonts w:ascii="Times New Roman" w:hAnsi="Times New Roman" w:cs="Times New Roman" w:eastAsia="Times New Roman" w:hint="default"/>
          <w:spacing w:val="-5"/>
        </w:rPr>
        <w:t>34</w:t>
      </w:r>
      <w:r>
        <w:rPr>
          <w:spacing w:val="-5"/>
        </w:rPr>
        <w:t>：武汉神州数码云科网络技术有限公司，系于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26</w:t>
      </w:r>
      <w:r>
        <w:rPr>
          <w:spacing w:val="-5"/>
        </w:rPr>
        <w:t>日由北京网络公司设立的有限责任公司，注册资本人民币</w:t>
      </w:r>
      <w:r>
        <w:rPr>
          <w:rFonts w:ascii="Times New Roman" w:hAnsi="Times New Roman" w:cs="Times New Roman" w:eastAsia="Times New Roman" w:hint="default"/>
          <w:spacing w:val="-5"/>
        </w:rPr>
        <w:t>7500</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spacing w:line="240" w:lineRule="auto" w:before="3"/>
        <w:rPr>
          <w:rFonts w:ascii="宋体" w:hAnsi="宋体" w:cs="宋体" w:eastAsia="宋体" w:hint="default"/>
          <w:sz w:val="26"/>
          <w:szCs w:val="26"/>
        </w:rPr>
      </w:pPr>
    </w:p>
    <w:p>
      <w:pPr>
        <w:pStyle w:val="BodyText"/>
        <w:spacing w:line="300" w:lineRule="auto"/>
        <w:ind w:right="1128"/>
        <w:jc w:val="both"/>
      </w:pPr>
      <w:r>
        <w:rPr>
          <w:spacing w:val="-2"/>
        </w:rPr>
        <w:t>注</w:t>
      </w:r>
      <w:r>
        <w:rPr>
          <w:rFonts w:ascii="Times New Roman" w:hAnsi="Times New Roman" w:cs="Times New Roman" w:eastAsia="Times New Roman" w:hint="default"/>
          <w:spacing w:val="-2"/>
        </w:rPr>
        <w:t>35</w:t>
      </w:r>
      <w:r>
        <w:rPr>
          <w:spacing w:val="-2"/>
        </w:rPr>
        <w:t>：上海云角信息技术有限公司（以下简称</w:t>
      </w:r>
      <w:r>
        <w:rPr>
          <w:rFonts w:ascii="Times New Roman" w:hAnsi="Times New Roman" w:cs="Times New Roman" w:eastAsia="Times New Roman" w:hint="default"/>
          <w:spacing w:val="-2"/>
        </w:rPr>
        <w:t>“</w:t>
      </w:r>
      <w:r>
        <w:rPr>
          <w:spacing w:val="-2"/>
        </w:rPr>
        <w:t>上海云角</w:t>
      </w:r>
      <w:r>
        <w:rPr>
          <w:rFonts w:ascii="Times New Roman" w:hAnsi="Times New Roman" w:cs="Times New Roman" w:eastAsia="Times New Roman" w:hint="default"/>
          <w:spacing w:val="-2"/>
        </w:rPr>
        <w:t>”</w:t>
      </w:r>
      <w:r>
        <w:rPr>
          <w:spacing w:val="-2"/>
        </w:rPr>
        <w:t>），系于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日由郝峻晟</w:t>
      </w:r>
      <w:r>
        <w:rPr>
          <w:rFonts w:ascii="Times New Roman" w:hAnsi="Times New Roman" w:cs="Times New Roman" w:eastAsia="Times New Roman" w:hint="default"/>
          <w:spacing w:val="-2"/>
        </w:rPr>
        <w:t>19%</w:t>
      </w:r>
      <w:r>
        <w:rPr>
          <w:spacing w:val="-2"/>
        </w:rPr>
        <w:t>、刘冬梅</w:t>
      </w:r>
      <w:r>
        <w:rPr>
          <w:rFonts w:ascii="Times New Roman" w:hAnsi="Times New Roman" w:cs="Times New Roman" w:eastAsia="Times New Roman" w:hint="default"/>
          <w:spacing w:val="-2"/>
        </w:rPr>
        <w:t>19%</w:t>
      </w:r>
      <w:r>
        <w:rPr>
          <w:spacing w:val="-2"/>
        </w:rPr>
        <w:t>、朱琦</w:t>
      </w:r>
      <w:r>
        <w:rPr>
          <w:rFonts w:ascii="Times New Roman" w:hAnsi="Times New Roman" w:cs="Times New Roman" w:eastAsia="Times New Roman" w:hint="default"/>
          <w:spacing w:val="-2"/>
        </w:rPr>
        <w:t>27%</w:t>
      </w:r>
      <w:r>
        <w:rPr>
          <w:spacing w:val="-2"/>
        </w:rPr>
        <w:t>、冯</w:t>
      </w:r>
      <w:r>
        <w:rPr>
          <w:spacing w:val="-49"/>
        </w:rPr>
        <w:t> </w:t>
      </w:r>
      <w:r>
        <w:rPr/>
        <w:t>春萍</w:t>
      </w:r>
      <w:r>
        <w:rPr>
          <w:rFonts w:ascii="Times New Roman" w:hAnsi="Times New Roman" w:cs="Times New Roman" w:eastAsia="Times New Roman" w:hint="default"/>
        </w:rPr>
        <w:t>35%</w:t>
      </w:r>
      <w:r>
        <w:rPr/>
        <w:t>共同出资成立的有限责任公司，注册资本人民币</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日，增资至</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月增资至</w:t>
      </w:r>
      <w:r>
        <w:rPr>
          <w:rFonts w:ascii="Times New Roman" w:hAnsi="Times New Roman" w:cs="Times New Roman" w:eastAsia="Times New Roman" w:hint="default"/>
        </w:rPr>
        <w:t>330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w:t>
      </w:r>
      <w:r>
        <w:rPr>
          <w:rFonts w:ascii="Times New Roman" w:hAnsi="Times New Roman" w:cs="Times New Roman" w:eastAsia="Times New Roman" w:hint="default"/>
        </w:rPr>
        <w:t>2015</w:t>
      </w:r>
      <w:r>
        <w:rPr/>
        <w:t>年股权转让并以资本公积转增注册资本至</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月，本公司与郝峻晟、朱丽英、上海云角签订股权 </w:t>
      </w:r>
      <w:r>
        <w:rPr>
          <w:spacing w:val="-1"/>
        </w:rPr>
        <w:t>转让协议，购买郝峻晟、朱丽英持有的上海云角</w:t>
      </w:r>
      <w:r>
        <w:rPr>
          <w:rFonts w:ascii="Times New Roman" w:hAnsi="Times New Roman" w:cs="Times New Roman" w:eastAsia="Times New Roman" w:hint="default"/>
          <w:spacing w:val="-1"/>
        </w:rPr>
        <w:t>30%</w:t>
      </w:r>
      <w:r>
        <w:rPr>
          <w:spacing w:val="-1"/>
        </w:rPr>
        <w:t>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月，本公司与郝峻晟、朱丽英、上海紫竹小苗股权基金</w:t>
      </w:r>
      <w:r>
        <w:rPr/>
        <w:t> </w:t>
      </w:r>
      <w:r>
        <w:rPr>
          <w:spacing w:val="-1"/>
        </w:rPr>
        <w:t>有限公司、上海云角签订股权转让协议，购买上海云角剩余</w:t>
      </w:r>
      <w:r>
        <w:rPr>
          <w:rFonts w:ascii="Times New Roman" w:hAnsi="Times New Roman" w:cs="Times New Roman" w:eastAsia="Times New Roman" w:hint="default"/>
          <w:spacing w:val="-1"/>
        </w:rPr>
        <w:t>70%</w:t>
      </w:r>
      <w:r>
        <w:rPr>
          <w:spacing w:val="-1"/>
        </w:rPr>
        <w:t>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日上海云角完成工商变更，本公司持股</w:t>
      </w:r>
      <w:r>
        <w:rPr>
          <w:spacing w:val="-87"/>
        </w:rPr>
        <w:t> </w:t>
      </w:r>
      <w:r>
        <w:rPr>
          <w:spacing w:val="-87"/>
        </w:rPr>
      </w:r>
      <w:r>
        <w:rPr/>
        <w:t>比例为</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日，经股东会决议，上海云角注册资本增至人民币</w:t>
      </w:r>
      <w:r>
        <w:rPr>
          <w:rFonts w:ascii="Times New Roman" w:hAnsi="Times New Roman" w:cs="Times New Roman" w:eastAsia="Times New Roman" w:hint="default"/>
        </w:rPr>
        <w:t>5000</w:t>
      </w:r>
      <w:r>
        <w:rPr/>
        <w:t>万元，其中资本公积转增注册资本</w:t>
      </w:r>
      <w:r>
        <w:rPr>
          <w:rFonts w:ascii="Times New Roman" w:hAnsi="Times New Roman" w:cs="Times New Roman" w:eastAsia="Times New Roman" w:hint="default"/>
        </w:rPr>
        <w:t>1330</w:t>
      </w:r>
      <w:r>
        <w:rPr>
          <w:rFonts w:ascii="Times New Roman" w:hAnsi="Times New Roman" w:cs="Times New Roman" w:eastAsia="Times New Roman" w:hint="default"/>
          <w:spacing w:val="26"/>
        </w:rPr>
        <w:t> </w:t>
      </w:r>
      <w:r>
        <w:rPr/>
        <w:t>万元，未分配利润转增注册资本</w:t>
      </w:r>
      <w:r>
        <w:rPr>
          <w:rFonts w:ascii="Times New Roman" w:hAnsi="Times New Roman" w:cs="Times New Roman" w:eastAsia="Times New Roman" w:hint="default"/>
        </w:rPr>
        <w:t>2180</w:t>
      </w:r>
      <w:r>
        <w:rPr/>
        <w:t>万元，本公司认缴</w:t>
      </w:r>
      <w:r>
        <w:rPr>
          <w:rFonts w:ascii="Times New Roman" w:hAnsi="Times New Roman" w:cs="Times New Roman" w:eastAsia="Times New Roman" w:hint="default"/>
        </w:rPr>
        <w:t>490</w:t>
      </w:r>
      <w:r>
        <w:rPr/>
        <w:t>万元。</w:t>
      </w:r>
    </w:p>
    <w:p>
      <w:pPr>
        <w:spacing w:line="240" w:lineRule="auto" w:before="11"/>
        <w:rPr>
          <w:rFonts w:ascii="宋体" w:hAnsi="宋体" w:cs="宋体" w:eastAsia="宋体" w:hint="default"/>
          <w:sz w:val="24"/>
          <w:szCs w:val="24"/>
        </w:rPr>
      </w:pPr>
    </w:p>
    <w:p>
      <w:pPr>
        <w:pStyle w:val="BodyText"/>
        <w:spacing w:line="300" w:lineRule="auto"/>
        <w:ind w:right="1128"/>
        <w:jc w:val="both"/>
      </w:pPr>
      <w:r>
        <w:rPr/>
        <w:t>注</w:t>
      </w:r>
      <w:r>
        <w:rPr>
          <w:rFonts w:ascii="Times New Roman" w:hAnsi="Times New Roman" w:cs="Times New Roman" w:eastAsia="Times New Roman" w:hint="default"/>
        </w:rPr>
        <w:t>36</w:t>
      </w:r>
      <w:r>
        <w:rPr/>
        <w:t>：北京神州数码云角信息技术有限公司（原云角（北京）信息技术有限公司，以下简称</w:t>
      </w:r>
      <w:r>
        <w:rPr>
          <w:rFonts w:ascii="Times New Roman" w:hAnsi="Times New Roman" w:cs="Times New Roman" w:eastAsia="Times New Roman" w:hint="default"/>
        </w:rPr>
        <w:t>“</w:t>
      </w:r>
      <w:r>
        <w:rPr/>
        <w:t>北京云角</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18</w:t>
      </w:r>
      <w:r>
        <w:rPr/>
        <w:t>日由上海云角出资</w:t>
      </w:r>
      <w:r>
        <w:rPr>
          <w:rFonts w:ascii="Times New Roman" w:hAnsi="Times New Roman" w:cs="Times New Roman" w:eastAsia="Times New Roman" w:hint="default"/>
        </w:rPr>
        <w:t>50</w:t>
      </w:r>
      <w:r>
        <w:rPr/>
        <w:t>万元设立的有限责任公司，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日，上海云角对北京云角增资</w:t>
      </w:r>
      <w:r>
        <w:rPr>
          <w:rFonts w:ascii="Times New Roman" w:hAnsi="Times New Roman" w:cs="Times New Roman" w:eastAsia="Times New Roman" w:hint="default"/>
        </w:rPr>
        <w:t>50</w:t>
      </w:r>
      <w:r>
        <w:rPr/>
        <w:t>万元，增资后的注册资本</w:t>
      </w:r>
      <w:r>
        <w:rPr>
          <w:spacing w:val="-87"/>
        </w:rPr>
        <w:t> </w:t>
      </w:r>
      <w:r>
        <w:rPr>
          <w:spacing w:val="-2"/>
        </w:rPr>
        <w:t>为人民币</w:t>
      </w:r>
      <w:r>
        <w:rPr>
          <w:rFonts w:ascii="Times New Roman" w:hAnsi="Times New Roman" w:cs="Times New Roman" w:eastAsia="Times New Roman" w:hint="default"/>
          <w:spacing w:val="-2"/>
        </w:rPr>
        <w:t>100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日上海云角对北京云角增资</w:t>
      </w:r>
      <w:r>
        <w:rPr>
          <w:rFonts w:ascii="Times New Roman" w:hAnsi="Times New Roman" w:cs="Times New Roman" w:eastAsia="Times New Roman" w:hint="default"/>
          <w:spacing w:val="-2"/>
        </w:rPr>
        <w:t>100</w:t>
      </w:r>
      <w:r>
        <w:rPr>
          <w:spacing w:val="-2"/>
        </w:rPr>
        <w:t>万元，增资后的注册资本为人民币</w:t>
      </w:r>
      <w:r>
        <w:rPr>
          <w:rFonts w:ascii="Times New Roman" w:hAnsi="Times New Roman" w:cs="Times New Roman" w:eastAsia="Times New Roman" w:hint="default"/>
          <w:spacing w:val="-2"/>
        </w:rPr>
        <w:t>200</w:t>
      </w:r>
      <w:r>
        <w:rPr>
          <w:spacing w:val="-2"/>
        </w:rPr>
        <w:t>万元，并更名为北京神</w:t>
      </w:r>
      <w:r>
        <w:rPr>
          <w:spacing w:val="-55"/>
        </w:rPr>
        <w:t> </w:t>
      </w:r>
      <w:r>
        <w:rPr>
          <w:spacing w:val="-55"/>
        </w:rPr>
      </w:r>
      <w:r>
        <w:rPr/>
        <w:t>州数码云角信息技术有限公司。</w:t>
      </w:r>
    </w:p>
    <w:p>
      <w:pPr>
        <w:spacing w:line="240" w:lineRule="auto" w:before="3"/>
        <w:rPr>
          <w:rFonts w:ascii="宋体" w:hAnsi="宋体" w:cs="宋体" w:eastAsia="宋体" w:hint="default"/>
          <w:sz w:val="26"/>
          <w:szCs w:val="26"/>
        </w:rPr>
      </w:pPr>
    </w:p>
    <w:p>
      <w:pPr>
        <w:pStyle w:val="BodyText"/>
        <w:spacing w:line="300" w:lineRule="auto"/>
        <w:ind w:right="1130"/>
        <w:jc w:val="both"/>
        <w:rPr>
          <w:rFonts w:ascii="Times New Roman" w:hAnsi="Times New Roman" w:cs="Times New Roman" w:eastAsia="Times New Roman" w:hint="default"/>
        </w:rPr>
      </w:pPr>
      <w:r>
        <w:rPr>
          <w:spacing w:val="-4"/>
        </w:rPr>
        <w:t>注</w:t>
      </w:r>
      <w:r>
        <w:rPr>
          <w:rFonts w:ascii="Times New Roman" w:hAnsi="Times New Roman" w:cs="Times New Roman" w:eastAsia="Times New Roman" w:hint="default"/>
          <w:spacing w:val="-4"/>
        </w:rPr>
        <w:t>37</w:t>
      </w:r>
      <w:r>
        <w:rPr>
          <w:spacing w:val="-4"/>
        </w:rPr>
        <w:t>：</w:t>
      </w:r>
      <w:r>
        <w:rPr>
          <w:rFonts w:ascii="Times New Roman" w:hAnsi="Times New Roman" w:cs="Times New Roman" w:eastAsia="Times New Roman" w:hint="default"/>
          <w:spacing w:val="-4"/>
        </w:rPr>
        <w:t>Shanghai</w:t>
      </w:r>
      <w:r>
        <w:rPr>
          <w:rFonts w:ascii="Times New Roman" w:hAnsi="Times New Roman" w:cs="Times New Roman" w:eastAsia="Times New Roman" w:hint="default"/>
          <w:spacing w:val="-15"/>
        </w:rPr>
        <w:t> </w:t>
      </w:r>
      <w:r>
        <w:rPr>
          <w:rFonts w:ascii="Times New Roman" w:hAnsi="Times New Roman" w:cs="Times New Roman" w:eastAsia="Times New Roman" w:hint="default"/>
        </w:rPr>
        <w:t>Yungoal</w:t>
      </w:r>
      <w:r>
        <w:rPr>
          <w:rFonts w:ascii="Times New Roman" w:hAnsi="Times New Roman" w:cs="Times New Roman" w:eastAsia="Times New Roman" w:hint="default"/>
          <w:spacing w:val="-15"/>
        </w:rPr>
        <w:t> </w:t>
      </w:r>
      <w:r>
        <w:rPr>
          <w:rFonts w:ascii="Times New Roman" w:hAnsi="Times New Roman" w:cs="Times New Roman" w:eastAsia="Times New Roman" w:hint="default"/>
        </w:rPr>
        <w:t>Info</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w:t>
      </w:r>
      <w:r>
        <w:rPr>
          <w:rFonts w:ascii="Times New Roman" w:hAnsi="Times New Roman" w:cs="Times New Roman" w:eastAsia="Times New Roman" w:hint="default"/>
          <w:spacing w:val="-14"/>
        </w:rPr>
        <w:t> </w:t>
      </w:r>
      <w:r>
        <w:rPr>
          <w:rFonts w:ascii="Times New Roman" w:hAnsi="Times New Roman" w:cs="Times New Roman" w:eastAsia="Times New Roman" w:hint="default"/>
        </w:rPr>
        <w:t>(USA)</w:t>
      </w:r>
      <w:r>
        <w:rPr>
          <w:rFonts w:ascii="Times New Roman" w:hAnsi="Times New Roman" w:cs="Times New Roman" w:eastAsia="Times New Roman" w:hint="default"/>
          <w:spacing w:val="-15"/>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9"/>
        </w:rPr>
        <w:t> </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日出资设立的全资子公司，设立时注册资本</w:t>
      </w:r>
      <w:r>
        <w:rPr>
          <w:rFonts w:ascii="Times New Roman" w:hAnsi="Times New Roman" w:cs="Times New Roman" w:eastAsia="Times New Roman" w:hint="default"/>
        </w:rPr>
        <w:t>100</w:t>
      </w:r>
      <w:r>
        <w:rPr>
          <w:rFonts w:ascii="Times New Roman" w:hAnsi="Times New Roman" w:cs="Times New Roman" w:eastAsia="Times New Roman" w:hint="default"/>
          <w:w w:val="99"/>
        </w:rPr>
        <w:t> </w:t>
      </w:r>
      <w:r>
        <w:rPr>
          <w:spacing w:val="-3"/>
        </w:rPr>
        <w:t>美元。于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日，上海云角股东会决议对其增资</w:t>
      </w:r>
      <w:r>
        <w:rPr>
          <w:rFonts w:ascii="Times New Roman" w:hAnsi="Times New Roman" w:cs="Times New Roman" w:eastAsia="Times New Roman" w:hint="default"/>
          <w:spacing w:val="-3"/>
        </w:rPr>
        <w:t>1,000,000.00</w:t>
      </w:r>
      <w:r>
        <w:rPr>
          <w:spacing w:val="-3"/>
        </w:rPr>
        <w:t>美元，增资后，</w:t>
      </w:r>
      <w:r>
        <w:rPr>
          <w:rFonts w:ascii="Times New Roman" w:hAnsi="Times New Roman" w:cs="Times New Roman" w:eastAsia="Times New Roman" w:hint="default"/>
          <w:spacing w:val="-3"/>
        </w:rPr>
        <w:t>Shanghai</w:t>
      </w:r>
      <w:r>
        <w:rPr>
          <w:rFonts w:ascii="Times New Roman" w:hAnsi="Times New Roman" w:cs="Times New Roman" w:eastAsia="Times New Roman" w:hint="default"/>
          <w:spacing w:val="-10"/>
        </w:rPr>
        <w:t> </w:t>
      </w:r>
      <w:r>
        <w:rPr>
          <w:rFonts w:ascii="Times New Roman" w:hAnsi="Times New Roman" w:cs="Times New Roman" w:eastAsia="Times New Roman" w:hint="default"/>
        </w:rPr>
        <w:t>Yungoal</w:t>
      </w:r>
      <w:r>
        <w:rPr>
          <w:rFonts w:ascii="Times New Roman" w:hAnsi="Times New Roman" w:cs="Times New Roman" w:eastAsia="Times New Roman" w:hint="default"/>
          <w:spacing w:val="-8"/>
        </w:rPr>
        <w:t> </w:t>
      </w:r>
      <w:r>
        <w:rPr>
          <w:rFonts w:ascii="Times New Roman" w:hAnsi="Times New Roman" w:cs="Times New Roman" w:eastAsia="Times New Roman" w:hint="default"/>
        </w:rPr>
        <w:t>Info</w:t>
      </w:r>
      <w:r>
        <w:rPr>
          <w:rFonts w:ascii="Times New Roman" w:hAnsi="Times New Roman" w:cs="Times New Roman" w:eastAsia="Times New Roman" w:hint="default"/>
          <w:spacing w:val="-7"/>
        </w:rPr>
        <w:t> </w:t>
      </w:r>
      <w:r>
        <w:rPr>
          <w:rFonts w:ascii="Times New Roman" w:hAnsi="Times New Roman" w:cs="Times New Roman" w:eastAsia="Times New Roman" w:hint="default"/>
        </w:rPr>
        <w:t>Tech</w:t>
      </w:r>
      <w:r>
        <w:rPr>
          <w:rFonts w:ascii="Times New Roman" w:hAnsi="Times New Roman" w:cs="Times New Roman" w:eastAsia="Times New Roman" w:hint="default"/>
          <w:spacing w:val="-7"/>
        </w:rPr>
        <w:t> </w:t>
      </w:r>
      <w:r>
        <w:rPr>
          <w:rFonts w:ascii="Times New Roman" w:hAnsi="Times New Roman" w:cs="Times New Roman" w:eastAsia="Times New Roman" w:hint="default"/>
        </w:rPr>
        <w:t>(USA)</w:t>
      </w:r>
      <w:r>
        <w:rPr>
          <w:rFonts w:ascii="Times New Roman" w:hAnsi="Times New Roman" w:cs="Times New Roman" w:eastAsia="Times New Roman" w:hint="default"/>
          <w:spacing w:val="-8"/>
        </w:rPr>
        <w:t> </w:t>
      </w:r>
      <w:r>
        <w:rPr>
          <w:rFonts w:ascii="Times New Roman" w:hAnsi="Times New Roman" w:cs="Times New Roman" w:eastAsia="Times New Roman" w:hint="default"/>
        </w:rPr>
        <w:t>Co.,Ltd</w:t>
      </w:r>
    </w:p>
    <w:p>
      <w:pPr>
        <w:spacing w:after="0" w:line="300" w:lineRule="auto"/>
        <w:jc w:val="both"/>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0"/>
        <w:jc w:val="both"/>
      </w:pPr>
      <w:r>
        <w:rPr>
          <w:spacing w:val="3"/>
        </w:rPr>
        <w:t>的注册资本为</w:t>
      </w:r>
      <w:r>
        <w:rPr>
          <w:rFonts w:ascii="Times New Roman" w:hAnsi="Times New Roman" w:cs="Times New Roman" w:eastAsia="Times New Roman" w:hint="default"/>
          <w:spacing w:val="3"/>
        </w:rPr>
        <w:t>1,000,100.00</w:t>
      </w:r>
      <w:r>
        <w:rPr>
          <w:spacing w:val="3"/>
        </w:rPr>
        <w:t>美元。</w:t>
      </w:r>
      <w:r>
        <w:rPr>
          <w:rFonts w:ascii="Times New Roman" w:hAnsi="Times New Roman" w:cs="Times New Roman" w:eastAsia="Times New Roman" w:hint="default"/>
          <w:spacing w:val="3"/>
        </w:rPr>
        <w:t>2017</w:t>
      </w:r>
      <w:r>
        <w:rPr>
          <w:spacing w:val="3"/>
        </w:rPr>
        <w:t>年上海云角对</w:t>
      </w:r>
      <w:r>
        <w:rPr>
          <w:rFonts w:ascii="Times New Roman" w:hAnsi="Times New Roman" w:cs="Times New Roman" w:eastAsia="Times New Roman" w:hint="default"/>
          <w:spacing w:val="3"/>
        </w:rPr>
        <w:t>Shanghai  </w:t>
      </w:r>
      <w:r>
        <w:rPr>
          <w:rFonts w:ascii="Times New Roman" w:hAnsi="Times New Roman" w:cs="Times New Roman" w:eastAsia="Times New Roman" w:hint="default"/>
        </w:rPr>
        <w:t>Yungoal  Info  Tech  (USA)</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5"/>
        </w:rPr>
        <w:t>Co.,Ltd</w:t>
      </w:r>
      <w:r>
        <w:rPr>
          <w:spacing w:val="5"/>
        </w:rPr>
        <w:t>增加投资款，实缴总额为</w:t>
      </w:r>
    </w:p>
    <w:p>
      <w:pPr>
        <w:pStyle w:val="BodyText"/>
        <w:spacing w:line="240" w:lineRule="auto" w:before="63"/>
        <w:ind w:right="0"/>
        <w:jc w:val="both"/>
      </w:pPr>
      <w:r>
        <w:rPr>
          <w:rFonts w:ascii="Times New Roman" w:hAnsi="Times New Roman" w:cs="Times New Roman" w:eastAsia="Times New Roman" w:hint="default"/>
        </w:rPr>
        <w:t>679,905.42</w:t>
      </w:r>
      <w:r>
        <w:rPr/>
        <w:t>美元，增资后，</w:t>
      </w:r>
      <w:r>
        <w:rPr>
          <w:rFonts w:ascii="Times New Roman" w:hAnsi="Times New Roman" w:cs="Times New Roman" w:eastAsia="Times New Roman" w:hint="default"/>
        </w:rPr>
        <w:t>Shanghai Yungoal Info Tech (USA)</w:t>
      </w:r>
      <w:r>
        <w:rPr>
          <w:rFonts w:ascii="Times New Roman" w:hAnsi="Times New Roman" w:cs="Times New Roman" w:eastAsia="Times New Roman" w:hint="default"/>
          <w:spacing w:val="-17"/>
        </w:rPr>
        <w:t> </w:t>
      </w:r>
      <w:r>
        <w:rPr>
          <w:rFonts w:ascii="Times New Roman" w:hAnsi="Times New Roman" w:cs="Times New Roman" w:eastAsia="Times New Roman" w:hint="default"/>
        </w:rPr>
        <w:t>Co.,Ltd</w:t>
      </w:r>
      <w:r>
        <w:rPr/>
        <w:t>实收资本为</w:t>
      </w:r>
      <w:r>
        <w:rPr>
          <w:rFonts w:ascii="Times New Roman" w:hAnsi="Times New Roman" w:cs="Times New Roman" w:eastAsia="Times New Roman" w:hint="default"/>
        </w:rPr>
        <w:t>980,005.42</w:t>
      </w:r>
      <w:r>
        <w:rPr/>
        <w:t>美元。</w:t>
      </w:r>
    </w:p>
    <w:p>
      <w:pPr>
        <w:spacing w:line="240" w:lineRule="auto" w:before="0"/>
        <w:rPr>
          <w:rFonts w:ascii="宋体" w:hAnsi="宋体" w:cs="宋体" w:eastAsia="宋体" w:hint="default"/>
          <w:sz w:val="18"/>
          <w:szCs w:val="18"/>
        </w:rPr>
      </w:pPr>
    </w:p>
    <w:p>
      <w:pPr>
        <w:pStyle w:val="BodyText"/>
        <w:spacing w:line="300" w:lineRule="auto" w:before="139"/>
        <w:ind w:right="1129"/>
        <w:jc w:val="left"/>
      </w:pPr>
      <w:r>
        <w:rPr/>
        <w:t>注</w:t>
      </w:r>
      <w:r>
        <w:rPr>
          <w:rFonts w:ascii="Times New Roman" w:hAnsi="Times New Roman" w:cs="Times New Roman" w:eastAsia="Times New Roman" w:hint="default"/>
        </w:rPr>
        <w:t>38</w:t>
      </w:r>
      <w:r>
        <w:rPr/>
        <w:t>：</w:t>
      </w:r>
      <w:r>
        <w:rPr>
          <w:rFonts w:ascii="Times New Roman" w:hAnsi="Times New Roman" w:cs="Times New Roman" w:eastAsia="Times New Roman" w:hint="default"/>
        </w:rPr>
        <w:t>Shanghai Yungoal Info Tech</w:t>
      </w:r>
      <w:r>
        <w:rPr>
          <w:rFonts w:ascii="Times New Roman" w:hAnsi="Times New Roman" w:cs="Times New Roman" w:eastAsia="Times New Roman" w:hint="default"/>
          <w:spacing w:val="41"/>
        </w:rPr>
        <w:t> </w:t>
      </w:r>
      <w:r>
        <w:rPr>
          <w:rFonts w:ascii="Times New Roman" w:hAnsi="Times New Roman" w:cs="Times New Roman" w:eastAsia="Times New Roman" w:hint="default"/>
        </w:rPr>
        <w:t>(HK)Co.,Ltd,</w:t>
      </w:r>
      <w:r>
        <w:rPr/>
        <w:t>系由上海云角于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日出资设立的全资子公司，注册资本及实收资本</w:t>
      </w:r>
      <w:r>
        <w:rPr>
          <w:w w:val="99"/>
        </w:rPr>
        <w:t> </w:t>
      </w:r>
      <w:r>
        <w:rPr/>
        <w:t>为</w:t>
      </w:r>
      <w:r>
        <w:rPr>
          <w:rFonts w:ascii="Times New Roman" w:hAnsi="Times New Roman" w:cs="Times New Roman" w:eastAsia="Times New Roman" w:hint="default"/>
        </w:rPr>
        <w:t>9,363.97</w:t>
      </w:r>
      <w:r>
        <w:rPr/>
        <w:t>港币。</w:t>
      </w:r>
    </w:p>
    <w:p>
      <w:pPr>
        <w:pStyle w:val="BodyText"/>
        <w:spacing w:line="624" w:lineRule="exact" w:before="36"/>
        <w:ind w:right="1127"/>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39</w:t>
      </w:r>
      <w:r>
        <w:rPr/>
        <w:t>：深圳神州数码电商服务有限公司系由神码中国于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日设立的全资子公司，注册资本人民币</w:t>
      </w:r>
      <w:r>
        <w:rPr>
          <w:rFonts w:ascii="Times New Roman" w:hAnsi="Times New Roman" w:cs="Times New Roman" w:eastAsia="Times New Roman" w:hint="default"/>
        </w:rPr>
        <w:t>500</w:t>
      </w:r>
      <w:r>
        <w:rPr/>
        <w:t>万元。 注</w:t>
      </w:r>
      <w:r>
        <w:rPr>
          <w:rFonts w:ascii="Times New Roman" w:hAnsi="Times New Roman" w:cs="Times New Roman" w:eastAsia="Times New Roman" w:hint="default"/>
        </w:rPr>
        <w:t>40</w:t>
      </w:r>
      <w:r>
        <w:rPr/>
        <w:t>：</w:t>
      </w:r>
      <w:r>
        <w:rPr>
          <w:rFonts w:ascii="Times New Roman" w:hAnsi="Times New Roman" w:cs="Times New Roman" w:eastAsia="Times New Roman" w:hint="default"/>
        </w:rPr>
        <w:t>Digital China Technology (Malaysia) Sdn.Bhd.</w:t>
      </w:r>
      <w:r>
        <w:rPr/>
        <w:t>系由</w:t>
      </w:r>
      <w:r>
        <w:rPr>
          <w:rFonts w:ascii="Times New Roman" w:hAnsi="Times New Roman" w:cs="Times New Roman" w:eastAsia="Times New Roman" w:hint="default"/>
        </w:rPr>
        <w:t>Digital China Technology International (Sin) PTE </w:t>
      </w:r>
      <w:r>
        <w:rPr>
          <w:rFonts w:ascii="Times New Roman" w:hAnsi="Times New Roman" w:cs="Times New Roman" w:eastAsia="Times New Roman" w:hint="default"/>
          <w:spacing w:val="25"/>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p>
    <w:p>
      <w:pPr>
        <w:pStyle w:val="BodyText"/>
        <w:spacing w:line="226" w:lineRule="exact"/>
        <w:ind w:right="0"/>
        <w:jc w:val="both"/>
      </w:pPr>
      <w:r>
        <w:rPr/>
        <w:t>日设立的全资子公司，实收资本为</w:t>
      </w:r>
      <w:r>
        <w:rPr>
          <w:rFonts w:ascii="Times New Roman" w:hAnsi="Times New Roman" w:cs="Times New Roman" w:eastAsia="Times New Roman" w:hint="default"/>
        </w:rPr>
        <w:t>100.00</w:t>
      </w:r>
      <w:r>
        <w:rPr/>
        <w:t>万林吉特。</w:t>
      </w:r>
    </w:p>
    <w:p>
      <w:pPr>
        <w:spacing w:line="240" w:lineRule="auto" w:before="0"/>
        <w:rPr>
          <w:rFonts w:ascii="宋体" w:hAnsi="宋体" w:cs="宋体" w:eastAsia="宋体" w:hint="default"/>
          <w:sz w:val="18"/>
          <w:szCs w:val="18"/>
        </w:rPr>
      </w:pPr>
    </w:p>
    <w:p>
      <w:pPr>
        <w:pStyle w:val="BodyText"/>
        <w:spacing w:line="309" w:lineRule="auto" w:before="139"/>
        <w:ind w:right="1128"/>
        <w:jc w:val="both"/>
      </w:pPr>
      <w:r>
        <w:rPr/>
        <w:t>注</w:t>
      </w:r>
      <w:r>
        <w:rPr>
          <w:rFonts w:ascii="Times New Roman" w:hAnsi="Times New Roman" w:cs="Times New Roman" w:eastAsia="Times New Roman" w:hint="default"/>
        </w:rPr>
        <w:t>41:</w:t>
      </w:r>
      <w:r>
        <w:rPr>
          <w:rFonts w:ascii="Times New Roman" w:hAnsi="Times New Roman" w:cs="Times New Roman" w:eastAsia="Times New Roman" w:hint="default"/>
          <w:spacing w:val="31"/>
        </w:rPr>
        <w:t> </w:t>
      </w:r>
      <w:r>
        <w:rPr/>
        <w:t>针对广州证券</w:t>
      </w:r>
      <w:r>
        <w:rPr>
          <w:rFonts w:ascii="宋体" w:hAnsi="宋体" w:cs="宋体" w:eastAsia="宋体" w:hint="default"/>
        </w:rPr>
        <w:t>-</w:t>
      </w:r>
      <w:r>
        <w:rPr/>
        <w:t>神州数码应收账款资产支持证券专项计划，神码中国持有全部次级资产支持证券，在专项计划费用、</w:t>
      </w:r>
      <w:r>
        <w:rPr>
          <w:spacing w:val="-83"/>
        </w:rPr>
        <w:t> </w:t>
      </w:r>
      <w:r>
        <w:rPr>
          <w:spacing w:val="-83"/>
        </w:rPr>
      </w:r>
      <w:r>
        <w:rPr>
          <w:spacing w:val="-2"/>
        </w:rPr>
        <w:t>优先级资产支持证券的预期收益及</w:t>
      </w:r>
      <w:r>
        <w:rPr>
          <w:rFonts w:ascii="宋体" w:hAnsi="宋体" w:cs="宋体" w:eastAsia="宋体" w:hint="default"/>
          <w:spacing w:val="-2"/>
        </w:rPr>
        <w:t>/</w:t>
      </w:r>
      <w:r>
        <w:rPr>
          <w:spacing w:val="-2"/>
        </w:rPr>
        <w:t>或本金未能得到足额偿付时履行差额支付义务。神码中国对广州证券</w:t>
      </w:r>
      <w:r>
        <w:rPr>
          <w:rFonts w:ascii="宋体" w:hAnsi="宋体" w:cs="宋体" w:eastAsia="宋体" w:hint="default"/>
          <w:spacing w:val="-2"/>
        </w:rPr>
        <w:t>-</w:t>
      </w:r>
      <w:r>
        <w:rPr>
          <w:spacing w:val="-2"/>
        </w:rPr>
        <w:t>神州数码应收账款</w:t>
      </w:r>
      <w:r>
        <w:rPr>
          <w:spacing w:val="-59"/>
        </w:rPr>
        <w:t> </w:t>
      </w:r>
      <w:r>
        <w:rPr/>
        <w:t>资产支持证券专项计划具有实际控制权，将其纳入合并财务报表范围。</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bookmarkStart w:name="2、在合营安排或联营企业中的权益" w:id="352"/>
      <w:bookmarkEnd w:id="352"/>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重要的合营企业或联营企业" w:id="353"/>
      <w:bookmarkEnd w:id="35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北京迪信通商贸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批发、零售通讯 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right="5894"/>
        <w:jc w:val="left"/>
      </w:pPr>
      <w:r>
        <w:rPr/>
        <w:t>在合营企业或联营企业的持股比例不同于表决权比例的说明： 无</w:t>
      </w:r>
    </w:p>
    <w:p>
      <w:pPr>
        <w:pStyle w:val="BodyText"/>
        <w:spacing w:line="338" w:lineRule="auto" w:before="27"/>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重要联营企业的主要财务信息" w:id="354"/>
      <w:bookmarkEnd w:id="354"/>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9,735,492,350.95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7,645,981,194.04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1,130,395,298.07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391,907,137.71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10,865,887,649.02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8,037,888,331.75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6,424,757,389.02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4,231,712,026.80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301,346,642.51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6,726,104,031.53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4,231,712,026.80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183,465,589.00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84,975,636.34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3,956,318,028.49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3,721,200,668.61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939,724,439.92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883,878,189.00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15,263,051.74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-640,384.20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954,987,491.66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883,237,804.80</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4"/>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297,940,148.82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346,956,726.25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15,373,340,869.54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15,078,397,037.89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271,542,248.95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309,497,065.72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-4,210,124.10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1,306,605.23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267,332,124.85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310,803,670.95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不重要的合营企业和联营企业的汇总财务信息" w:id="355"/>
      <w:bookmarkEnd w:id="355"/>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27,705,542.06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25,093,126.75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-173,766.98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-363,614.65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-173,766.98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-363,614.65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152,362,060.73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146,193,873.77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3,422,031.96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5,772,614.50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3,422,031.96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5,772,614.50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56"/>
      <w:bookmarkEnd w:id="356"/>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288"/>
        <w:jc w:val="both"/>
      </w:pPr>
      <w:r>
        <w:rPr>
          <w:spacing w:val="-1"/>
        </w:rPr>
        <w:t>本集团的主要金融工具包括货币资金、交易性金融资产、应收票据、应收账款、应收款项融资、其他应收款、长期应收</w:t>
      </w:r>
      <w:r>
        <w:rPr/>
        <w:t> </w:t>
      </w:r>
      <w:r>
        <w:rPr>
          <w:spacing w:val="-2"/>
        </w:rPr>
        <w:t>款、其他权益工具投资、其他非流动金融资产、短期借款、交易性金融负债、应付票据、应付账款、其他应付款、一年内到</w:t>
      </w:r>
      <w:r>
        <w:rPr>
          <w:spacing w:val="-65"/>
        </w:rPr>
        <w:t> </w:t>
      </w:r>
      <w:r>
        <w:rPr>
          <w:spacing w:val="-65"/>
        </w:rPr>
      </w:r>
      <w:r>
        <w:rPr>
          <w:spacing w:val="-2"/>
        </w:rPr>
        <w:t>期的非流动负债、长期借款、长期应付款等，各项金融工具的详细情况说明见本附注七。本集团亦开展衍生交易，主要是远</w:t>
      </w:r>
      <w:r>
        <w:rPr>
          <w:spacing w:val="-67"/>
        </w:rPr>
        <w:t> </w:t>
      </w:r>
      <w:r>
        <w:rPr>
          <w:spacing w:val="-67"/>
        </w:rPr>
      </w:r>
      <w:r>
        <w:rPr>
          <w:spacing w:val="-2"/>
        </w:rPr>
        <w:t>期外汇合同，目的在于管理本集团的运营及其融资渠道的汇率风险。于整个报告期，本集团采取了不进行衍生工具投机交易</w:t>
      </w:r>
      <w:r>
        <w:rPr>
          <w:spacing w:val="-64"/>
        </w:rPr>
        <w:t> </w:t>
      </w:r>
      <w:r>
        <w:rPr>
          <w:spacing w:val="-64"/>
        </w:rPr>
      </w:r>
      <w:r>
        <w:rPr>
          <w:spacing w:val="-2"/>
        </w:rPr>
        <w:t>的政策。本集团的金融工具导致的主要风险是信用风险、流动性风险及市场风险，本集团为降低这些风险所采取的风险管理</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政策如下所述。本集团管理层对这些风险敞口进行管理和监控以确保将上述风险控制在限定的范围之内。</w:t>
      </w:r>
    </w:p>
    <w:p>
      <w:pPr>
        <w:spacing w:line="300" w:lineRule="auto" w:before="77"/>
        <w:ind w:left="441" w:right="0" w:hanging="28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3"/>
          <w:sz w:val="18"/>
          <w:szCs w:val="18"/>
        </w:rPr>
        <w:t> </w:t>
      </w:r>
      <w:r>
        <w:rPr>
          <w:rFonts w:ascii="宋体" w:hAnsi="宋体" w:cs="宋体" w:eastAsia="宋体" w:hint="default"/>
          <w:b/>
          <w:bCs/>
          <w:sz w:val="18"/>
          <w:szCs w:val="18"/>
        </w:rPr>
        <w:t>各类风险管理目标和政策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本集团从事风险管理的目标是在风险和收益之间取得适当的平衡，将风险对本集团经营业绩的负面影响降低到最低水平，</w:t>
      </w:r>
    </w:p>
    <w:p>
      <w:pPr>
        <w:pStyle w:val="BodyText"/>
        <w:spacing w:line="316" w:lineRule="auto" w:before="31"/>
        <w:ind w:right="1133"/>
        <w:jc w:val="both"/>
      </w:pPr>
      <w:r>
        <w:rPr>
          <w:spacing w:val="-2"/>
        </w:rPr>
        <w:t>使股东及其他权益投资者的利益最大化。基于该风险管理目标，本集团风险管理的基本策略是确定和分析本集团所面临的各</w:t>
      </w:r>
      <w:r>
        <w:rPr>
          <w:spacing w:val="-64"/>
        </w:rPr>
        <w:t> </w:t>
      </w:r>
      <w:r>
        <w:rPr>
          <w:spacing w:val="-64"/>
        </w:rPr>
      </w:r>
      <w:r>
        <w:rPr/>
        <w:t>种风险，建立适当的风险承受底线并进行风险管理，并及时可靠地对各种风险进行监督，将风险控制在限定的范围之内。</w:t>
      </w:r>
    </w:p>
    <w:p>
      <w:pPr>
        <w:pStyle w:val="BodyText"/>
        <w:spacing w:line="240" w:lineRule="auto" w:before="19"/>
        <w:ind w:right="0"/>
        <w:jc w:val="both"/>
      </w:pPr>
      <w:r>
        <w:rPr/>
        <w:t>（</w:t>
      </w:r>
      <w:r>
        <w:rPr>
          <w:rFonts w:ascii="Times New Roman" w:hAnsi="Times New Roman" w:cs="Times New Roman" w:eastAsia="Times New Roman" w:hint="default"/>
        </w:rPr>
        <w:t>1</w:t>
      </w:r>
      <w:r>
        <w:rPr/>
        <w:t>）市场风险</w:t>
      </w:r>
    </w:p>
    <w:p>
      <w:pPr>
        <w:pStyle w:val="BodyText"/>
        <w:spacing w:line="300" w:lineRule="auto" w:before="63"/>
        <w:ind w:left="369" w:right="1127" w:firstLine="144"/>
        <w:jc w:val="left"/>
      </w:pPr>
      <w:r>
        <w:rPr>
          <w:rFonts w:ascii="Times New Roman" w:hAnsi="Times New Roman" w:cs="Times New Roman" w:eastAsia="Times New Roman" w:hint="default"/>
        </w:rPr>
        <w:t>1</w:t>
      </w:r>
      <w:r>
        <w:rPr/>
        <w:t>）汇率风险 本集团承受汇率风险主要与美元、港币、欧元、澳门元、新加坡元和林吉特有关，除个别下属子公司以美元、港币、欧</w:t>
      </w:r>
    </w:p>
    <w:p>
      <w:pPr>
        <w:pStyle w:val="BodyText"/>
        <w:spacing w:line="309" w:lineRule="auto" w:before="31"/>
        <w:ind w:right="1133"/>
        <w:jc w:val="both"/>
      </w:pPr>
      <w:r>
        <w:rPr>
          <w:spacing w:val="-2"/>
        </w:rPr>
        <w:t>元、澳门元、新加坡元和林吉特进行采购和销售外，本集团的其它主要业务活动以人民币计价结算。于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w:t>
      </w:r>
      <w:r>
        <w:rPr>
          <w:spacing w:val="-62"/>
        </w:rPr>
        <w:t> </w:t>
      </w:r>
      <w:r>
        <w:rPr>
          <w:spacing w:val="-62"/>
        </w:rPr>
      </w:r>
      <w:r>
        <w:rPr>
          <w:spacing w:val="-2"/>
        </w:rPr>
        <w:t>下表所述资产及负债的外币余额外，本集团的资产及负债均为人民币余额。该等外币余额的资产和负债产生的汇率风险可能</w:t>
      </w:r>
      <w:r>
        <w:rPr>
          <w:spacing w:val="-64"/>
        </w:rPr>
        <w:t> </w:t>
      </w:r>
      <w:r>
        <w:rPr>
          <w:spacing w:val="-64"/>
        </w:rPr>
      </w:r>
      <w:r>
        <w:rPr/>
        <w:t>对本集团的经营业绩产生影响。</w:t>
      </w:r>
    </w:p>
    <w:p>
      <w:pPr>
        <w:spacing w:line="240" w:lineRule="auto" w:before="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647"/>
        <w:gridCol w:w="1875"/>
        <w:gridCol w:w="1875"/>
        <w:gridCol w:w="2278"/>
        <w:gridCol w:w="1985"/>
      </w:tblGrid>
      <w:tr>
        <w:trPr>
          <w:trHeight w:val="336" w:hRule="exact"/>
        </w:trPr>
        <w:tc>
          <w:tcPr>
            <w:tcW w:w="164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6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1647" w:type="dxa"/>
            <w:vMerge/>
            <w:tcBorders>
              <w:left w:val="single" w:sz="6" w:space="0" w:color="000000"/>
              <w:bottom w:val="single" w:sz="6" w:space="0" w:color="000000"/>
              <w:right w:val="single" w:sz="6" w:space="0" w:color="000000"/>
            </w:tcBorders>
            <w:shd w:val="clear" w:color="auto" w:fill="D9D9D9"/>
          </w:tcPr>
          <w:p>
            <w:pPr/>
          </w:p>
        </w:tc>
        <w:tc>
          <w:tcPr>
            <w:tcW w:w="1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80" w:right="0"/>
              <w:jc w:val="left"/>
              <w:rPr>
                <w:rFonts w:ascii="宋体" w:hAnsi="宋体" w:cs="宋体" w:eastAsia="宋体" w:hint="default"/>
                <w:sz w:val="18"/>
                <w:szCs w:val="18"/>
              </w:rPr>
            </w:pPr>
            <w:r>
              <w:rPr>
                <w:rFonts w:ascii="宋体" w:hAnsi="宋体" w:cs="宋体" w:eastAsia="宋体" w:hint="default"/>
                <w:sz w:val="18"/>
                <w:szCs w:val="18"/>
              </w:rPr>
              <w:t>资产类项目</w:t>
            </w:r>
          </w:p>
        </w:tc>
        <w:tc>
          <w:tcPr>
            <w:tcW w:w="1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80" w:right="0"/>
              <w:jc w:val="left"/>
              <w:rPr>
                <w:rFonts w:ascii="宋体" w:hAnsi="宋体" w:cs="宋体" w:eastAsia="宋体" w:hint="default"/>
                <w:sz w:val="18"/>
                <w:szCs w:val="18"/>
              </w:rPr>
            </w:pPr>
            <w:r>
              <w:rPr>
                <w:rFonts w:ascii="宋体" w:hAnsi="宋体" w:cs="宋体" w:eastAsia="宋体" w:hint="default"/>
                <w:sz w:val="18"/>
                <w:szCs w:val="18"/>
              </w:rPr>
              <w:t>负债类项目</w:t>
            </w:r>
          </w:p>
        </w:tc>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679" w:right="0"/>
              <w:jc w:val="left"/>
              <w:rPr>
                <w:rFonts w:ascii="宋体" w:hAnsi="宋体" w:cs="宋体" w:eastAsia="宋体" w:hint="default"/>
                <w:sz w:val="18"/>
                <w:szCs w:val="18"/>
              </w:rPr>
            </w:pPr>
            <w:r>
              <w:rPr>
                <w:rFonts w:ascii="宋体" w:hAnsi="宋体" w:cs="宋体" w:eastAsia="宋体" w:hint="default"/>
                <w:sz w:val="18"/>
                <w:szCs w:val="18"/>
              </w:rPr>
              <w:t>资产类项目</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535" w:right="0"/>
              <w:jc w:val="left"/>
              <w:rPr>
                <w:rFonts w:ascii="宋体" w:hAnsi="宋体" w:cs="宋体" w:eastAsia="宋体" w:hint="default"/>
                <w:sz w:val="18"/>
                <w:szCs w:val="18"/>
              </w:rPr>
            </w:pPr>
            <w:r>
              <w:rPr>
                <w:rFonts w:ascii="宋体" w:hAnsi="宋体" w:cs="宋体" w:eastAsia="宋体" w:hint="default"/>
                <w:sz w:val="18"/>
                <w:szCs w:val="18"/>
              </w:rPr>
              <w:t>负债类项目</w:t>
            </w:r>
          </w:p>
        </w:tc>
      </w:tr>
      <w:tr>
        <w:trPr>
          <w:trHeight w:val="348"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80,875,471.50</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354,720,673.71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33,009,721.98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264,365,180.82</w:t>
            </w:r>
          </w:p>
        </w:tc>
      </w:tr>
      <w:tr>
        <w:trPr>
          <w:trHeight w:val="346"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270,754.61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279,972.53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131,407.58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719,712.76</w:t>
            </w:r>
          </w:p>
        </w:tc>
      </w:tr>
      <w:tr>
        <w:trPr>
          <w:trHeight w:val="348"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291,266,524.21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1,167,423,482.33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130,707,920.17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1,990,553,623.62</w:t>
            </w:r>
          </w:p>
        </w:tc>
      </w:tr>
      <w:tr>
        <w:trPr>
          <w:trHeight w:val="346"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738,118.27</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77,504.50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445,725.43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77,774.50</w:t>
            </w:r>
          </w:p>
        </w:tc>
      </w:tr>
      <w:tr>
        <w:trPr>
          <w:trHeight w:val="348"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20,403.38</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174,279.84</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3,201,291.21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7,513.81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737,780.81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72,225.73</w:t>
            </w:r>
          </w:p>
        </w:tc>
      </w:tr>
    </w:tbl>
    <w:p>
      <w:pPr>
        <w:pStyle w:val="BodyText"/>
        <w:spacing w:line="240" w:lineRule="auto" w:before="8"/>
        <w:ind w:right="0"/>
        <w:jc w:val="left"/>
      </w:pPr>
      <w:r>
        <w:rPr/>
        <w:t>本集团密切关注汇率变动对本公司的影响。本集团已与可信赖的银行订立远期外汇合同以管理其汇率风险。</w:t>
      </w:r>
    </w:p>
    <w:p>
      <w:pPr>
        <w:pStyle w:val="BodyText"/>
        <w:spacing w:line="300" w:lineRule="auto" w:before="76"/>
        <w:ind w:left="441" w:right="1127"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利率风险 </w:t>
      </w:r>
      <w:r>
        <w:rPr>
          <w:spacing w:val="-1"/>
        </w:rPr>
        <w:t>本集团的利率风险主要与本集团以浮动利率计息的负债有关。于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日，本集团按浮动利率计息的付息贷款为</w:t>
      </w:r>
    </w:p>
    <w:p>
      <w:pPr>
        <w:pStyle w:val="BodyText"/>
        <w:spacing w:line="240" w:lineRule="auto" w:before="13"/>
        <w:ind w:right="0"/>
        <w:jc w:val="left"/>
      </w:pPr>
      <w:r>
        <w:rPr/>
        <w:t>人民币</w:t>
      </w:r>
      <w:r>
        <w:rPr>
          <w:spacing w:val="-21"/>
        </w:rPr>
        <w:t> </w:t>
      </w:r>
      <w:r>
        <w:rPr>
          <w:rFonts w:ascii="Times New Roman" w:hAnsi="Times New Roman" w:cs="Times New Roman" w:eastAsia="Times New Roman" w:hint="default"/>
        </w:rPr>
        <w:t>4,295,803,930.07</w:t>
      </w:r>
      <w:r>
        <w:rPr/>
        <w:t>元。</w:t>
      </w:r>
    </w:p>
    <w:p>
      <w:pPr>
        <w:pStyle w:val="BodyText"/>
        <w:spacing w:line="300" w:lineRule="auto" w:before="63"/>
        <w:ind w:left="441" w:right="1127" w:hanging="289"/>
        <w:jc w:val="left"/>
      </w:pPr>
      <w:r>
        <w:rPr/>
        <w:t>（</w:t>
      </w:r>
      <w:r>
        <w:rPr>
          <w:rFonts w:ascii="Times New Roman" w:hAnsi="Times New Roman" w:cs="Times New Roman" w:eastAsia="Times New Roman" w:hint="default"/>
        </w:rPr>
        <w:t>2</w:t>
      </w:r>
      <w:r>
        <w:rPr/>
        <w:t>）信用风险 </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日，可能引起本集团财务损失的最大信用风险敞口主要来自于合同另一方未能履行义务而导致本集团金</w:t>
      </w:r>
    </w:p>
    <w:p>
      <w:pPr>
        <w:pStyle w:val="BodyText"/>
        <w:spacing w:line="316" w:lineRule="auto" w:before="13"/>
        <w:ind w:left="441" w:right="0" w:hanging="289"/>
        <w:jc w:val="left"/>
      </w:pPr>
      <w:r>
        <w:rPr/>
        <w:t>融资产产生的损失。 </w:t>
      </w:r>
      <w:r>
        <w:rPr>
          <w:spacing w:val="-1"/>
        </w:rPr>
        <w:t>本集团仅与经认可的、信誉良好的第三方进行交易。按照本集团政策，需对所有要求采用信用方式进行交易的客户进行</w:t>
      </w:r>
    </w:p>
    <w:p>
      <w:pPr>
        <w:pStyle w:val="BodyText"/>
        <w:spacing w:line="316" w:lineRule="auto" w:before="19"/>
        <w:ind w:right="1131"/>
        <w:jc w:val="both"/>
      </w:pPr>
      <w:r>
        <w:rPr>
          <w:spacing w:val="-2"/>
        </w:rPr>
        <w:t>信用审核。另外，本集团对应收账款余额进行持续监控，以确保本集团不致面临重大坏账风险。对于未采用相关经营单位的</w:t>
      </w:r>
      <w:r>
        <w:rPr>
          <w:spacing w:val="-64"/>
        </w:rPr>
        <w:t> </w:t>
      </w:r>
      <w:r>
        <w:rPr>
          <w:spacing w:val="-64"/>
        </w:rPr>
      </w:r>
      <w:r>
        <w:rPr/>
        <w:t>记账本位币结算的交易，除非本集团信用控制部门特别批准，否则本集团不提供信用交易条件。</w:t>
      </w:r>
    </w:p>
    <w:p>
      <w:pPr>
        <w:pStyle w:val="BodyText"/>
        <w:spacing w:line="316" w:lineRule="auto" w:before="19"/>
        <w:ind w:right="1130" w:firstLine="288"/>
        <w:jc w:val="both"/>
      </w:pPr>
      <w:r>
        <w:rPr>
          <w:spacing w:val="-1"/>
        </w:rPr>
        <w:t>本集团其他金融资产包括货币资金、交易性金融资产、应收票据、应收款项融资、其他应收款、长期应收款、其他权益</w:t>
      </w:r>
      <w:r>
        <w:rPr/>
        <w:t> </w:t>
      </w:r>
      <w:r>
        <w:rPr>
          <w:spacing w:val="-2"/>
        </w:rPr>
        <w:t>工具投资及其他非流动金融资产，这些金融资产的信用风险源自交易对手违约，最大风险敞口等于这些工具的账面金额。本</w:t>
      </w:r>
      <w:r>
        <w:rPr>
          <w:spacing w:val="-63"/>
        </w:rPr>
        <w:t> </w:t>
      </w:r>
      <w:r>
        <w:rPr>
          <w:spacing w:val="-63"/>
        </w:rPr>
      </w:r>
      <w:r>
        <w:rPr/>
        <w:t>集团还因给予关联方财务担保而面临信用风险，详见附注十二、</w:t>
      </w:r>
      <w:r>
        <w:rPr>
          <w:rFonts w:ascii="Times New Roman" w:hAnsi="Times New Roman" w:cs="Times New Roman" w:eastAsia="Times New Roman" w:hint="default"/>
        </w:rPr>
        <w:t>5</w:t>
      </w:r>
      <w:r>
        <w:rPr/>
        <w:t>关联交易情况（</w:t>
      </w:r>
      <w:r>
        <w:rPr>
          <w:rFonts w:ascii="Times New Roman" w:hAnsi="Times New Roman" w:cs="Times New Roman" w:eastAsia="Times New Roman" w:hint="default"/>
        </w:rPr>
        <w:t>3</w:t>
      </w:r>
      <w:r>
        <w:rPr/>
        <w:t>）关联方担保。</w:t>
      </w:r>
    </w:p>
    <w:p>
      <w:pPr>
        <w:pStyle w:val="BodyText"/>
        <w:spacing w:line="309" w:lineRule="auto"/>
        <w:ind w:right="1131" w:firstLine="288"/>
        <w:jc w:val="both"/>
      </w:pPr>
      <w:r>
        <w:rPr>
          <w:spacing w:val="-2"/>
        </w:rPr>
        <w:t>由于本集团仅与经认可的且信誉良好的第三方进行交易，所以无需担保物。信用风险集中按照客户</w:t>
      </w:r>
      <w:r>
        <w:rPr>
          <w:rFonts w:ascii="Times New Roman" w:hAnsi="Times New Roman" w:cs="Times New Roman" w:eastAsia="Times New Roman" w:hint="default"/>
          <w:spacing w:val="-2"/>
        </w:rPr>
        <w:t>/</w:t>
      </w:r>
      <w:r>
        <w:rPr>
          <w:spacing w:val="-2"/>
        </w:rPr>
        <w:t>交易对手、地理区域</w:t>
      </w:r>
      <w:r>
        <w:rPr/>
        <w:t> </w:t>
      </w:r>
      <w:r>
        <w:rPr>
          <w:spacing w:val="-2"/>
        </w:rPr>
        <w:t>和行业进行管理。由于本集团的应收账款客户群广泛地分散于不同的部门和行业中，因此在本集团内部不存在重大信用风险</w:t>
      </w:r>
      <w:r>
        <w:rPr>
          <w:spacing w:val="-64"/>
        </w:rPr>
        <w:t> </w:t>
      </w:r>
      <w:r>
        <w:rPr>
          <w:spacing w:val="-64"/>
        </w:rPr>
      </w:r>
      <w:r>
        <w:rPr/>
        <w:t>集中。本集团对应收账款余额未持有其他信用增级。</w:t>
      </w:r>
    </w:p>
    <w:p>
      <w:pPr>
        <w:pStyle w:val="BodyText"/>
        <w:spacing w:line="300" w:lineRule="auto" w:before="24"/>
        <w:ind w:left="441" w:right="1127" w:hanging="289"/>
        <w:jc w:val="left"/>
      </w:pPr>
      <w:r>
        <w:rPr/>
        <w:t>（</w:t>
      </w:r>
      <w:r>
        <w:rPr>
          <w:rFonts w:ascii="Times New Roman" w:hAnsi="Times New Roman" w:cs="Times New Roman" w:eastAsia="Times New Roman" w:hint="default"/>
        </w:rPr>
        <w:t>3</w:t>
      </w:r>
      <w:r>
        <w:rPr/>
        <w:t>）流动风险 </w:t>
      </w:r>
      <w:r>
        <w:rPr>
          <w:spacing w:val="-1"/>
        </w:rPr>
        <w:t>流动风险为本集团在到期日无法履行其财务义务的风险。本集团管理流动性风险的方法是采用循环流动性资金计划工具</w:t>
      </w:r>
    </w:p>
    <w:p>
      <w:pPr>
        <w:pStyle w:val="BodyText"/>
        <w:spacing w:line="316" w:lineRule="auto" w:before="31"/>
        <w:ind w:right="1130"/>
        <w:jc w:val="both"/>
      </w:pPr>
      <w:r>
        <w:rPr>
          <w:spacing w:val="-2"/>
        </w:rPr>
        <w:t>监控资金短缺的风险。该工具考虑其涉及金融工具与金融资产（如应收账款及应收票据）的到期日以及来自营运业务的预期</w:t>
      </w:r>
      <w:r>
        <w:rPr>
          <w:spacing w:val="-65"/>
        </w:rPr>
        <w:t> </w:t>
      </w:r>
      <w:r>
        <w:rPr>
          <w:spacing w:val="-65"/>
        </w:rPr>
      </w:r>
      <w:r>
        <w:rPr>
          <w:spacing w:val="-5"/>
        </w:rPr>
        <w:t>营运现金流量。本集团的目标是透过使用附息银行贷款以及其他可取得的资金来源，维持资金延续性与灵活性的平衡。此外，</w:t>
      </w:r>
      <w:r>
        <w:rPr>
          <w:spacing w:val="-76"/>
        </w:rPr>
        <w:t> </w:t>
      </w:r>
      <w:r>
        <w:rPr>
          <w:spacing w:val="-76"/>
        </w:rPr>
      </w:r>
      <w:r>
        <w:rPr/>
        <w:t>本集团还取得银行额度以供应急之用。</w:t>
      </w:r>
    </w:p>
    <w:p>
      <w:pPr>
        <w:pStyle w:val="BodyText"/>
        <w:spacing w:line="240" w:lineRule="auto" w:before="19"/>
        <w:ind w:left="51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日本集团持有的金融负债按未折现剩余合同义务的到期期限分析如下：</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189"/>
        <w:gridCol w:w="2492"/>
        <w:gridCol w:w="2489"/>
        <w:gridCol w:w="2489"/>
      </w:tblGrid>
      <w:tr>
        <w:trPr>
          <w:trHeight w:val="346" w:hRule="exact"/>
        </w:trPr>
        <w:tc>
          <w:tcPr>
            <w:tcW w:w="21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一至五年</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4" w:right="0"/>
              <w:jc w:val="left"/>
              <w:rPr>
                <w:rFonts w:ascii="Times New Roman" w:hAnsi="Times New Roman" w:cs="Times New Roman" w:eastAsia="Times New Roman" w:hint="default"/>
                <w:sz w:val="18"/>
                <w:szCs w:val="18"/>
              </w:rPr>
            </w:pPr>
            <w:r>
              <w:rPr>
                <w:rFonts w:ascii="Times New Roman"/>
                <w:sz w:val="18"/>
              </w:rPr>
              <w:t>9,691,753,164.15</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0" w:right="0"/>
              <w:jc w:val="left"/>
              <w:rPr>
                <w:rFonts w:ascii="Times New Roman" w:hAnsi="Times New Roman" w:cs="Times New Roman" w:eastAsia="Times New Roman" w:hint="default"/>
                <w:sz w:val="18"/>
                <w:szCs w:val="18"/>
              </w:rPr>
            </w:pPr>
            <w:r>
              <w:rPr>
                <w:rFonts w:ascii="Times New Roman"/>
                <w:sz w:val="18"/>
              </w:rPr>
              <w:t>9,691,753,164.15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189"/>
        <w:gridCol w:w="2492"/>
        <w:gridCol w:w="2489"/>
        <w:gridCol w:w="2489"/>
      </w:tblGrid>
      <w:tr>
        <w:trPr>
          <w:trHeight w:val="348" w:hRule="exact"/>
        </w:trPr>
        <w:tc>
          <w:tcPr>
            <w:tcW w:w="21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一至五年</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1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22,085,412.30</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22,085,412.30</w:t>
            </w:r>
          </w:p>
        </w:tc>
      </w:tr>
      <w:tr>
        <w:trPr>
          <w:trHeight w:val="34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3,558,687,083.68</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3,558,687,083.68</w:t>
            </w:r>
          </w:p>
        </w:tc>
      </w:tr>
      <w:tr>
        <w:trPr>
          <w:trHeight w:val="346"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5,825,871,423.34</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5,825,871,423.34</w:t>
            </w:r>
          </w:p>
        </w:tc>
      </w:tr>
      <w:tr>
        <w:trPr>
          <w:trHeight w:val="34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794,739,812.80</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794,739,812.80</w:t>
            </w:r>
          </w:p>
        </w:tc>
      </w:tr>
      <w:tr>
        <w:trPr>
          <w:trHeight w:val="346"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543,770,050.53</w:t>
            </w:r>
          </w:p>
        </w:tc>
        <w:tc>
          <w:tcPr>
            <w:tcW w:w="2489"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543,770,050.53</w:t>
            </w:r>
          </w:p>
        </w:tc>
      </w:tr>
      <w:tr>
        <w:trPr>
          <w:trHeight w:val="34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2"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2,102,378,244.54</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2,102,378,244.54</w:t>
            </w:r>
          </w:p>
        </w:tc>
      </w:tr>
      <w:tr>
        <w:trPr>
          <w:trHeight w:val="34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2" w:type="dxa"/>
            <w:tcBorders>
              <w:top w:val="single" w:sz="6" w:space="0" w:color="000000"/>
              <w:left w:val="single" w:sz="6" w:space="0" w:color="000000"/>
              <w:bottom w:val="single" w:sz="6" w:space="0" w:color="000000"/>
              <w:right w:val="single" w:sz="6" w:space="0" w:color="000000"/>
            </w:tcBorders>
          </w:tcPr>
          <w:p>
            <w:pP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310,007,671.47</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310,007,671.47</w:t>
            </w:r>
          </w:p>
        </w:tc>
      </w:tr>
    </w:tbl>
    <w:p>
      <w:pPr>
        <w:pStyle w:val="BodyText"/>
        <w:spacing w:line="300" w:lineRule="auto" w:before="8"/>
        <w:ind w:left="441" w:right="1127" w:hanging="289"/>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3"/>
        </w:rPr>
        <w:t> </w:t>
      </w:r>
      <w:r>
        <w:rPr>
          <w:rFonts w:ascii="宋体" w:hAnsi="宋体" w:cs="宋体" w:eastAsia="宋体" w:hint="default"/>
          <w:b/>
          <w:bCs/>
        </w:rPr>
        <w:t>敏感性分析</w:t>
      </w:r>
      <w:r>
        <w:rPr>
          <w:rFonts w:ascii="宋体" w:hAnsi="宋体" w:cs="宋体" w:eastAsia="宋体" w:hint="default"/>
          <w:b/>
          <w:bCs/>
          <w:w w:val="99"/>
        </w:rPr>
        <w:t> </w:t>
      </w:r>
      <w:r>
        <w:rPr>
          <w:spacing w:val="-1"/>
        </w:rPr>
        <w:t>本集团采用敏感性分析技术分析风险变量的合理、可能变化对当期损益或股东权益可能产生的影响。由于任何风险变量</w:t>
      </w:r>
    </w:p>
    <w:p>
      <w:pPr>
        <w:pStyle w:val="BodyText"/>
        <w:spacing w:line="319" w:lineRule="auto" w:before="31"/>
        <w:ind w:right="0"/>
        <w:jc w:val="left"/>
      </w:pPr>
      <w:r>
        <w:rPr>
          <w:spacing w:val="-2"/>
        </w:rPr>
        <w:t>很少孤立的发生变化，而变量之间存在的相关性对某一风险变量变化的最终影响金额将产生重大作用，因此下述内容是在假</w:t>
      </w:r>
      <w:r>
        <w:rPr>
          <w:spacing w:val="-64"/>
        </w:rPr>
        <w:t> </w:t>
      </w:r>
      <w:r>
        <w:rPr>
          <w:spacing w:val="-64"/>
        </w:rPr>
      </w:r>
      <w:r>
        <w:rPr/>
        <w:t>设每一变量的变化是独立的情况下进行的。</w:t>
      </w:r>
    </w:p>
    <w:p>
      <w:pPr>
        <w:pStyle w:val="BodyText"/>
        <w:spacing w:line="300" w:lineRule="auto" w:before="17"/>
        <w:ind w:left="441" w:right="0" w:hanging="289"/>
        <w:jc w:val="left"/>
      </w:pPr>
      <w:r>
        <w:rPr/>
        <w:t>（</w:t>
      </w:r>
      <w:r>
        <w:rPr>
          <w:rFonts w:ascii="Times New Roman" w:hAnsi="Times New Roman" w:cs="Times New Roman" w:eastAsia="Times New Roman" w:hint="default"/>
        </w:rPr>
        <w:t>1</w:t>
      </w:r>
      <w:r>
        <w:rPr/>
        <w:t>）外汇风险敏感性分析 </w:t>
      </w:r>
      <w:r>
        <w:rPr>
          <w:spacing w:val="-1"/>
        </w:rPr>
        <w:t>下表为汇率风险的敏感性分析，反映了在其它变量不变的假设下，美元、港币、澳门元、欧元新加坡元及林吉特汇率发</w:t>
      </w:r>
    </w:p>
    <w:p>
      <w:pPr>
        <w:pStyle w:val="BodyText"/>
        <w:spacing w:line="240" w:lineRule="auto" w:before="31"/>
        <w:ind w:right="0"/>
        <w:jc w:val="left"/>
      </w:pPr>
      <w:r>
        <w:rPr/>
        <w:t>生合理、可能的变动时，将对利润总额的影响如下：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076"/>
        <w:gridCol w:w="2357"/>
        <w:gridCol w:w="2360"/>
        <w:gridCol w:w="2866"/>
      </w:tblGrid>
      <w:tr>
        <w:trPr>
          <w:trHeight w:val="346" w:hRule="exact"/>
        </w:trPr>
        <w:tc>
          <w:tcPr>
            <w:tcW w:w="2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人民币升值</w:t>
            </w:r>
            <w:r>
              <w:rPr>
                <w:rFonts w:ascii="Times New Roman" w:hAnsi="Times New Roman" w:cs="Times New Roman" w:eastAsia="Times New Roman" w:hint="default"/>
                <w:sz w:val="18"/>
                <w:szCs w:val="18"/>
              </w:rPr>
              <w:t>1%</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32,880,485.37</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25,925,892.77</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人民币贬值</w:t>
            </w:r>
            <w:r>
              <w:rPr>
                <w:rFonts w:ascii="Times New Roman" w:hAnsi="Times New Roman" w:cs="Times New Roman" w:eastAsia="Times New Roman" w:hint="default"/>
                <w:sz w:val="18"/>
                <w:szCs w:val="18"/>
              </w:rPr>
              <w:t>1%</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-32,880,485.37</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-25,925,892.77</w:t>
            </w:r>
          </w:p>
        </w:tc>
      </w:tr>
    </w:tbl>
    <w:p>
      <w:pPr>
        <w:spacing w:line="240" w:lineRule="auto" w:before="1"/>
        <w:rPr>
          <w:rFonts w:ascii="宋体" w:hAnsi="宋体" w:cs="宋体" w:eastAsia="宋体" w:hint="default"/>
          <w:sz w:val="21"/>
          <w:szCs w:val="21"/>
        </w:rPr>
      </w:pPr>
    </w:p>
    <w:p>
      <w:pPr>
        <w:pStyle w:val="BodyText"/>
        <w:spacing w:line="316" w:lineRule="auto" w:before="44"/>
        <w:ind w:right="1127" w:firstLine="360"/>
        <w:jc w:val="left"/>
      </w:pPr>
      <w:r>
        <w:rPr>
          <w:spacing w:val="-2"/>
        </w:rPr>
        <w:t>下表为利率风险的敏感性分析，反映了在其它变量不变的假设下，利率发生合理、可能的变动时，将对利润总额的影响</w:t>
      </w:r>
      <w:r>
        <w:rPr/>
        <w:t> 如下：</w:t>
      </w:r>
    </w:p>
    <w:tbl>
      <w:tblPr>
        <w:tblW w:w="0" w:type="auto"/>
        <w:jc w:val="left"/>
        <w:tblInd w:w="136" w:type="dxa"/>
        <w:tblLayout w:type="fixed"/>
        <w:tblCellMar>
          <w:top w:w="0" w:type="dxa"/>
          <w:left w:w="0" w:type="dxa"/>
          <w:bottom w:w="0" w:type="dxa"/>
          <w:right w:w="0" w:type="dxa"/>
        </w:tblCellMar>
        <w:tblLook w:val="01E0"/>
      </w:tblPr>
      <w:tblGrid>
        <w:gridCol w:w="2076"/>
        <w:gridCol w:w="2357"/>
        <w:gridCol w:w="2360"/>
        <w:gridCol w:w="2866"/>
      </w:tblGrid>
      <w:tr>
        <w:trPr>
          <w:trHeight w:val="346" w:hRule="exact"/>
        </w:trPr>
        <w:tc>
          <w:tcPr>
            <w:tcW w:w="2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2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-35,523,188.63</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-44,863,624.15</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35,523,188.63</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44,863,624.15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0"/>
        <w:jc w:val="left"/>
        <w:rPr>
          <w:b w:val="0"/>
          <w:bCs w:val="0"/>
        </w:rPr>
      </w:pPr>
      <w:bookmarkStart w:name="十一、公允价值的披露" w:id="357"/>
      <w:bookmarkEnd w:id="357"/>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58"/>
      <w:bookmarkEnd w:id="35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6,193,221.28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4,440,000.00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10,633,221.28</w:t>
            </w:r>
          </w:p>
        </w:tc>
      </w:tr>
      <w:tr>
        <w:trPr>
          <w:trHeight w:val="102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6,193,221.28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4,440,000.00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10,633,221.28</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4,440,000.00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4,440,000.00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83"/>
        <w:gridCol w:w="1837"/>
        <w:gridCol w:w="1913"/>
        <w:gridCol w:w="1913"/>
        <w:gridCol w:w="1916"/>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6,193,221.28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6,193,221.28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（二）其他权益工具投资</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27,085,995.00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27,085,995.00</w:t>
            </w: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391,954,244.02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391,954,244.02</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27,085,995.00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398,147,465.30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4,440,000.00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429,673,460.30</w:t>
            </w: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（四）交易性金融负债</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22,085,412.30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22,085,412.30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其中：衍生金融负债</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22,085,412.30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22,085,412.30</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22,085,412.30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22,085,412.30</w:t>
            </w:r>
          </w:p>
        </w:tc>
      </w:tr>
      <w:tr>
        <w:trPr>
          <w:trHeight w:val="162"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3"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359"/>
      <w:bookmarkEnd w:id="35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本公司以第一层次公允价值计量的项目系公司持有的神州控股的股票，期末公允价值以其在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月最后一个交易日</w:t>
      </w:r>
      <w:r>
        <w:rPr/>
        <w:t> 的收盘价确定。</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3、持续和非持续第二层次公允价值计量项目，采用的估值技术和重要参数的定性及定量信" w:id="360"/>
      <w:bookmarkEnd w:id="36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t>本公司的财务部门由主管财务工作的总经理领导，负责制定金融工具公允价值计量的政策和程序。每个资产负债表日， </w:t>
      </w:r>
      <w:r>
        <w:rPr>
          <w:spacing w:val="-2"/>
        </w:rPr>
        <w:t>财务部门从金融机构或第三方机构取得金融工具的公允价值，经财务部总经理审核批准，按照金融机构或第三方机构出具的</w:t>
      </w:r>
      <w:r>
        <w:rPr>
          <w:spacing w:val="-64"/>
        </w:rPr>
        <w:t> </w:t>
      </w:r>
      <w:r>
        <w:rPr>
          <w:spacing w:val="-64"/>
        </w:rPr>
      </w:r>
      <w:r>
        <w:rPr/>
        <w:t>公允值确认。出于年度财务报表目的，每年一次与审计委员会讨论估值流程和结果。</w:t>
      </w:r>
    </w:p>
    <w:p>
      <w:pPr>
        <w:pStyle w:val="BodyText"/>
        <w:spacing w:line="316" w:lineRule="auto" w:before="19"/>
        <w:ind w:right="1034" w:firstLine="360"/>
        <w:jc w:val="left"/>
      </w:pPr>
      <w:r>
        <w:rPr/>
        <w:t>金融资产和金融负债的公允价值，以在公平交易中，熟悉情况的交易双方自愿进行资产交换或者债务清偿的金额确定， 而不是被迫出售或清算情况下的金额。</w:t>
      </w:r>
    </w:p>
    <w:p>
      <w:pPr>
        <w:pStyle w:val="BodyText"/>
        <w:spacing w:line="316" w:lineRule="auto" w:before="19"/>
        <w:ind w:right="1034" w:firstLine="360"/>
        <w:jc w:val="left"/>
      </w:pPr>
      <w:r>
        <w:rPr>
          <w:spacing w:val="-2"/>
        </w:rPr>
        <w:t>本公司与多个交易对手（主要是有着较高信用评级的金融机构）订立了衍生金融工具合约。衍生金融工具，为远期外汇</w:t>
      </w:r>
      <w:r>
        <w:rPr/>
        <w:t> 合同，采用类似于远期定价模型的估值技术进行计量。模型涵盖了多个市场可观察到的输入值，包括交易对手的信用等级、</w:t>
      </w:r>
      <w:r>
        <w:rPr>
          <w:spacing w:val="-86"/>
        </w:rPr>
        <w:t> </w:t>
      </w:r>
      <w:r>
        <w:rPr>
          <w:spacing w:val="-86"/>
        </w:rPr>
      </w:r>
      <w:r>
        <w:rPr>
          <w:spacing w:val="-2"/>
        </w:rPr>
        <w:t>即期和远期汇率和利率曲线。远期外汇合同的账面价值，与公允价值相同。于各报告期内，衍生金融资产的盯市价值，是抵</w:t>
      </w:r>
      <w:r>
        <w:rPr>
          <w:spacing w:val="-67"/>
        </w:rPr>
        <w:t> </w:t>
      </w:r>
      <w:r>
        <w:rPr>
          <w:spacing w:val="-67"/>
        </w:rPr>
      </w:r>
      <w:r>
        <w:rPr>
          <w:spacing w:val="-2"/>
        </w:rPr>
        <w:t>销了归属于衍生工具交易对手违约风险的信用估值调整之后的净值。交易对手信用风险的变化，对于套期关系中指定衍生工</w:t>
      </w:r>
      <w:r>
        <w:rPr>
          <w:spacing w:val="-64"/>
        </w:rPr>
        <w:t> </w:t>
      </w:r>
      <w:r>
        <w:rPr>
          <w:spacing w:val="-64"/>
        </w:rPr>
      </w:r>
      <w:r>
        <w:rPr/>
        <w:t>具的套期有效性的评价和其他以公允价值计量的金融工具，均无重大影响。</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持续和非持续第三层次公允价值计量项目，采用的估值技术和重要参数的定性及定量信" w:id="361"/>
      <w:bookmarkEnd w:id="36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360"/>
        <w:jc w:val="left"/>
      </w:pPr>
      <w:r>
        <w:rPr/>
        <w:t>本公司以第三层次公允价值计量的项目系本公司持有的济南趣云信息技术有限公司的</w:t>
      </w:r>
      <w:r>
        <w:rPr>
          <w:rFonts w:ascii="宋体" w:hAnsi="宋体" w:cs="宋体" w:eastAsia="宋体" w:hint="default"/>
        </w:rPr>
        <w:t>10%</w:t>
      </w:r>
      <w:r>
        <w:rPr/>
        <w:t>股权，年末公允价值系参考济 南趣云其他方股东增资作价金额确定。</w:t>
      </w:r>
    </w:p>
    <w:p>
      <w:pPr>
        <w:spacing w:after="0" w:line="316"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二、关联方及关联交易" w:id="362"/>
      <w:bookmarkEnd w:id="362"/>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63"/>
      <w:bookmarkEnd w:id="36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234"/>
        <w:jc w:val="left"/>
      </w:pPr>
      <w:r>
        <w:rPr/>
        <w:t>本企业最终控制方是郭为先生。 其他说明：</w:t>
      </w:r>
    </w:p>
    <w:p>
      <w:pPr>
        <w:spacing w:line="240" w:lineRule="auto" w:before="1"/>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289"/>
        <w:gridCol w:w="3010"/>
        <w:gridCol w:w="3327"/>
      </w:tblGrid>
      <w:tr>
        <w:trPr>
          <w:trHeight w:val="332" w:hRule="exact"/>
        </w:trPr>
        <w:tc>
          <w:tcPr>
            <w:tcW w:w="32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left="7"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30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left="7"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33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left="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154,777,803.00</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23.66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企业的子公司情况" w:id="364"/>
      <w:bookmarkEnd w:id="36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本企业子公司的情况详见附注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1</w:t>
      </w:r>
      <w:r>
        <w:rPr/>
        <w:t>）企业集团的构成</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65"/>
      <w:bookmarkEnd w:id="36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54" w:firstLine="360"/>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1</w:t>
      </w:r>
      <w:r>
        <w:rPr/>
        <w:t>）重要合 营企业或联营企业</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北京神州数码置业发展有限公司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上海昱申科技有限责任公司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北京今易通达通讯设备维修有限公司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北京卓越信通电子股份有限公司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其他关联方情况" w:id="366"/>
      <w:bookmarkEnd w:id="36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Instant Technology Supply Chain Hong Kong</w:t>
            </w:r>
            <w:r>
              <w:rPr>
                <w:rFonts w:ascii="Times New Roman"/>
                <w:spacing w:val="-3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北京科捷智云技术服务有限公司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科捷进出口有限公司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系统信息科技（香港）有限公司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神州数码（武汉）科技园有限公司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北京神州众腾科技发展有限公司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神州灵云（北京）科技有限公司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神州国信（北京）量子科技有限公司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成都神州数码索贝科技有限公司（注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北京神州数码索贝科技有限公司（注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上海神州数码信息技术服务有限公司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北京神州邦邦技术服务有限公司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Digital China Advanced Systems</w:t>
            </w:r>
            <w:r>
              <w:rPr>
                <w:rFonts w:ascii="Times New Roman"/>
                <w:spacing w:val="-27"/>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天津神州数码融资租赁有限公司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Digital China Financial Service Holding</w:t>
            </w:r>
            <w:r>
              <w:rPr>
                <w:rFonts w:ascii="Times New Roman"/>
                <w:spacing w:val="-17"/>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智慧神州（福建）信息技术有限公司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西安神州数码网络小额贷款有限公司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神州数码（上海）资产管理有限公司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深圳市赞融电子技术有限公司（注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 </w:t>
            </w:r>
            <w:r>
              <w:rPr>
                <w:rFonts w:ascii="Times New Roman"/>
                <w:spacing w:val="-7"/>
                <w:sz w:val="18"/>
              </w:rPr>
              <w:t>LTD</w:t>
            </w:r>
            <w:r>
              <w:rPr>
                <w:rFonts w:ascii="Times New Roman"/>
                <w:spacing w:val="-15"/>
                <w:sz w:val="18"/>
              </w:rPr>
              <w:t> </w:t>
            </w:r>
            <w:r>
              <w:rPr>
                <w:rFonts w:ascii="Times New Roman"/>
                <w:sz w:val="18"/>
              </w:rPr>
              <w:t>BERMUDA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深圳神州惠众科技有限公司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神州数码金融服务（深圳）有限公司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40" w:lineRule="auto" w:before="49"/>
        <w:ind w:right="0"/>
        <w:jc w:val="left"/>
      </w:pPr>
      <w:r>
        <w:rPr/>
        <w:t>其他说明</w:t>
      </w:r>
    </w:p>
    <w:p>
      <w:pPr>
        <w:pStyle w:val="BodyText"/>
        <w:spacing w:line="300" w:lineRule="auto" w:before="115"/>
        <w:ind w:right="4274"/>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月以后，成都神州数码索贝科技有限公司不再为本公司的合营企业。 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日起，北京荣之联科技股份有限公司为本公司的关联法人。</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5、关联交易情况" w:id="367"/>
      <w:bookmarkEnd w:id="36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8"/>
      <w:bookmarkEnd w:id="36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8,409,014.43</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640" w:right="0"/>
              <w:jc w:val="left"/>
              <w:rPr>
                <w:rFonts w:ascii="Times New Roman" w:hAnsi="Times New Roman" w:cs="Times New Roman" w:eastAsia="Times New Roman" w:hint="default"/>
                <w:sz w:val="18"/>
                <w:szCs w:val="18"/>
              </w:rPr>
            </w:pPr>
            <w:r>
              <w:rPr>
                <w:rFonts w:ascii="Times New Roman"/>
                <w:sz w:val="18"/>
              </w:rPr>
              <w:t>96,000,000.00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733,084.30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5,598,098.06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9,013,906.58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131,525.11</w:t>
            </w:r>
          </w:p>
        </w:tc>
        <w:tc>
          <w:tcPr>
            <w:tcW w:w="1709"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334,812.81</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189,485,320.00</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421,000,000.00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161,147,002.62</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127,759,312.95</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78,548,404.39</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2,090,545.44</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1,524,388.32</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bottom w:val="nil" w:sz="6" w:space="0" w:color="auto"/>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62,276,632.99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西安科捷物流有限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23,330,397.42</w:t>
            </w:r>
          </w:p>
        </w:tc>
        <w:tc>
          <w:tcPr>
            <w:tcW w:w="1709" w:type="dxa"/>
            <w:vMerge w:val="restart"/>
            <w:tcBorders>
              <w:top w:val="single" w:sz="4" w:space="0" w:color="000000"/>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17,731,960.17</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3"/>
              <w:jc w:val="both"/>
              <w:rPr>
                <w:rFonts w:ascii="Times New Roman" w:hAnsi="Times New Roman" w:cs="Times New Roman" w:eastAsia="Times New Roman" w:hint="default"/>
                <w:sz w:val="18"/>
                <w:szCs w:val="18"/>
              </w:rPr>
            </w:pPr>
            <w:r>
              <w:rPr>
                <w:rFonts w:ascii="Times New Roman"/>
                <w:sz w:val="18"/>
              </w:rPr>
              <w:t>Instant</w:t>
            </w:r>
            <w:r>
              <w:rPr>
                <w:rFonts w:ascii="Times New Roman"/>
                <w:spacing w:val="-9"/>
                <w:sz w:val="18"/>
              </w:rPr>
              <w:t> </w:t>
            </w:r>
            <w:r>
              <w:rPr>
                <w:rFonts w:ascii="Times New Roman"/>
                <w:sz w:val="18"/>
              </w:rPr>
              <w:t>Technology</w:t>
            </w:r>
            <w:r>
              <w:rPr>
                <w:rFonts w:ascii="Times New Roman"/>
                <w:sz w:val="18"/>
              </w:rPr>
              <w:t> Supply Chain</w:t>
            </w:r>
            <w:r>
              <w:rPr>
                <w:rFonts w:ascii="Times New Roman"/>
                <w:spacing w:val="-2"/>
                <w:sz w:val="18"/>
              </w:rPr>
              <w:t> </w:t>
            </w:r>
            <w:r>
              <w:rPr>
                <w:rFonts w:ascii="Times New Roman"/>
                <w:sz w:val="18"/>
              </w:rPr>
              <w:t>Hong</w:t>
            </w:r>
            <w:r>
              <w:rPr>
                <w:rFonts w:ascii="Times New Roman"/>
                <w:sz w:val="18"/>
              </w:rPr>
              <w:t> Kong</w:t>
            </w:r>
            <w:r>
              <w:rPr>
                <w:rFonts w:ascii="Times New Roman"/>
                <w:spacing w:val="-6"/>
                <w:sz w:val="18"/>
              </w:rPr>
              <w:t> </w:t>
            </w:r>
            <w:r>
              <w:rPr>
                <w:rFonts w:ascii="Times New Roman"/>
                <w:sz w:val="18"/>
              </w:rPr>
              <w:t>Limited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7,024,046.83</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5,653,705.18</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559,329.28</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226,319.21</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北京科捷智云技术 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13,650.00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科捷进出口有限公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2,792,791.81</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系统信息科技（香 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1,311.65</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2,162.41</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北京神州众腾科技 发展有限公司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12,982.91</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昆山神州数码实业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860,143.81</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45,648.74</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智慧神州（北京）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采购行政办公服 </w:t>
            </w:r>
            <w:r>
              <w:rPr>
                <w:rFonts w:ascii="宋体" w:hAnsi="宋体" w:cs="宋体" w:eastAsia="宋体" w:hint="default"/>
                <w:spacing w:val="-6"/>
                <w:sz w:val="18"/>
                <w:szCs w:val="18"/>
              </w:rPr>
              <w:t>务、货运服务及其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43,056.08</w:t>
            </w:r>
          </w:p>
        </w:tc>
        <w:tc>
          <w:tcPr>
            <w:tcW w:w="1709"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94,339.62</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神州灵云（北京）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185,840.71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0" w:right="0"/>
              <w:jc w:val="left"/>
              <w:rPr>
                <w:rFonts w:ascii="Times New Roman" w:hAnsi="Times New Roman" w:cs="Times New Roman" w:eastAsia="Times New Roman" w:hint="default"/>
                <w:sz w:val="18"/>
                <w:szCs w:val="18"/>
              </w:rPr>
            </w:pPr>
            <w:r>
              <w:rPr>
                <w:rFonts w:ascii="Times New Roman"/>
                <w:sz w:val="18"/>
              </w:rPr>
              <w:t>2,000,000.00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北京神州数码锐行 快捷信息技术服务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15,486.73</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10,000,000.00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神州国信（北京） 量子科技有限公司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61,946.90</w:t>
            </w:r>
          </w:p>
        </w:tc>
        <w:tc>
          <w:tcPr>
            <w:tcW w:w="1709"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359,062.26</w:t>
            </w:r>
          </w:p>
        </w:tc>
        <w:tc>
          <w:tcPr>
            <w:tcW w:w="1709" w:type="dxa"/>
            <w:vMerge/>
            <w:tcBorders>
              <w:left w:val="single" w:sz="4" w:space="0" w:color="000000"/>
              <w:bottom w:val="nil" w:sz="6" w:space="0" w:color="auto"/>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北京神州邦邦技术 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162,735.85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神州顶联科技有限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采购技术服务或 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神州顶联科技有限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购买资产</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365,982.90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180,333,087.28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93,415,530.70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-421,133.20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77,531,576.97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45,420,189.62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5,859,194.91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627,829.05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9,552,163.33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3,306,789.51</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6,934,459.68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384,310.03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成都神州数码索贝科技有限公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150,209.40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北京神州数码索贝科技有限公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149,324.78</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16,105.31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47,086.55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上海神州数码信息技术服务有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26,666.67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北京胜多商贸有限责任公司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15,081.03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1,017,359.63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9,418.80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762,661.52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3,015,268.12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-5,023,052.98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北京神州邦邦技术服务有限公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565,896.23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神州灵云（北京）科技有限公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169,811.32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226,415.09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上海昱申科技有限责任公司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6,178.15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53,275.86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北京神州数码置业发展有限公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一般借款利息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3,641,453.13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4,435,744.59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北京科捷智云技术服务有限公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9,433.96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6,235,594.49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7,498,783.41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神州数码系统集成服务有限公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6,759,107.49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5,909,908.31</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4,241,826.37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5,209,188.12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北京神州数码科捷技术服务有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1,662,450.28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1,947,755.77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4,292,776.24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2,746,934.96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神州数码融信云技术服务有限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353,302.24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24"/>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17"/>
                <w:sz w:val="18"/>
              </w:rPr>
              <w:t> </w:t>
            </w:r>
            <w:r>
              <w:rPr>
                <w:rFonts w:ascii="Times New Roman"/>
                <w:sz w:val="18"/>
              </w:rPr>
              <w:t>Advanced</w:t>
            </w:r>
            <w:r>
              <w:rPr>
                <w:rFonts w:ascii="Times New Roman"/>
                <w:sz w:val="18"/>
              </w:rPr>
              <w:t> Systems</w:t>
            </w:r>
            <w:r>
              <w:rPr>
                <w:rFonts w:ascii="Times New Roman"/>
                <w:spacing w:val="-9"/>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300,897.68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北京中农信达信息技术有限公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1,534,691.72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388,698.04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397,570.70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智慧神州（北京）科技有限公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2,357,865.77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2,808,540.66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神州数码信息服务股份有限公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780,239.35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654,875.77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316,703.12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320,594.22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207,848.28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232,655.86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289,817.18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241,899.98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7,471.70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38,132.08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天津神州数码融资租赁有限公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244,113.29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28"/>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20"/>
                <w:sz w:val="18"/>
              </w:rPr>
              <w:t> </w:t>
            </w:r>
            <w:r>
              <w:rPr>
                <w:rFonts w:ascii="Times New Roman"/>
                <w:sz w:val="18"/>
              </w:rPr>
              <w:t>Supply</w:t>
            </w:r>
            <w:r>
              <w:rPr>
                <w:rFonts w:ascii="Times New Roman"/>
                <w:sz w:val="18"/>
              </w:rPr>
              <w:t> Chain Hong Kong</w:t>
            </w:r>
            <w:r>
              <w:rPr>
                <w:rFonts w:ascii="Times New Roman"/>
                <w:spacing w:val="-9"/>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15,085.05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60,557.27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北京神州邦邦技术服务有限公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957,358.49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88"/>
              <w:jc w:val="left"/>
              <w:rPr>
                <w:rFonts w:ascii="Times New Roman" w:hAnsi="Times New Roman" w:cs="Times New Roman" w:eastAsia="Times New Roman" w:hint="default"/>
                <w:sz w:val="18"/>
                <w:szCs w:val="18"/>
              </w:rPr>
            </w:pPr>
            <w:r>
              <w:rPr>
                <w:rFonts w:ascii="Times New Roman"/>
                <w:sz w:val="18"/>
              </w:rPr>
              <w:t>Digital China Financial</w:t>
            </w:r>
            <w:r>
              <w:rPr>
                <w:rFonts w:ascii="Times New Roman"/>
                <w:spacing w:val="-7"/>
                <w:sz w:val="18"/>
              </w:rPr>
              <w:t> </w:t>
            </w:r>
            <w:r>
              <w:rPr>
                <w:rFonts w:ascii="Times New Roman"/>
                <w:sz w:val="18"/>
              </w:rPr>
              <w:t>Service</w:t>
            </w:r>
            <w:r>
              <w:rPr>
                <w:rFonts w:ascii="Times New Roman"/>
                <w:sz w:val="18"/>
              </w:rPr>
              <w:t> Holding</w:t>
            </w:r>
            <w:r>
              <w:rPr>
                <w:rFonts w:ascii="Times New Roman"/>
                <w:spacing w:val="-6"/>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4,918.90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智慧神州（福建）信息技术有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188,711.84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59,512.08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4,888.20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2,766.50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西安神州数码网络小额贷款有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749,165.69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神州数码（上海）资产管理有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104,668.20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41,967.89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674,160.57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北京神州众腾科技发展有限公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809,810.33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1,086,706.72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北京科捷智云技术服务有限公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9,433.96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47,845.94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127,374.09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北京神州数码锐行快捷信息技 术服务有限公司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173,465.82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204,297.65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神州数码金信科技股份有限公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销售行政办公服务、货运服 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15,321.34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6,612.87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11,353,477.85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511,875.47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北京卓越信通电子股份有限公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411,532.75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深圳市赞融电子技术有限公司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2,107,637.15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深圳市赞融电子技术有限公司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销售服务及其它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1,025,293.80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购销商品、提供和接受劳务的关联交易说明</w:t>
      </w:r>
    </w:p>
    <w:p>
      <w:pPr>
        <w:pStyle w:val="BodyText"/>
        <w:spacing w:line="300" w:lineRule="auto" w:before="115"/>
        <w:ind w:right="1134"/>
        <w:jc w:val="left"/>
      </w:pPr>
      <w:r>
        <w:rPr/>
        <w:t>注</w:t>
      </w:r>
      <w:r>
        <w:rPr>
          <w:rFonts w:ascii="Times New Roman" w:hAnsi="Times New Roman" w:cs="Times New Roman" w:eastAsia="Times New Roman" w:hint="default"/>
        </w:rPr>
        <w:t>1</w:t>
      </w:r>
      <w:r>
        <w:rPr/>
        <w:t>：报告期内，本公司合并范围内公司均以市场价自关联公司购入</w:t>
      </w:r>
      <w:r>
        <w:rPr>
          <w:rFonts w:ascii="Times New Roman" w:hAnsi="Times New Roman" w:cs="Times New Roman" w:eastAsia="Times New Roman" w:hint="default"/>
        </w:rPr>
        <w:t>IT</w:t>
      </w:r>
      <w:r>
        <w:rPr/>
        <w:t>产品或自关联公司购入技术服务及货运服务，以市场 价向关联公司销售</w:t>
      </w:r>
      <w:r>
        <w:rPr>
          <w:rFonts w:ascii="Times New Roman" w:hAnsi="Times New Roman" w:cs="Times New Roman" w:eastAsia="Times New Roman" w:hint="default"/>
        </w:rPr>
        <w:t>IT</w:t>
      </w:r>
      <w:r>
        <w:rPr/>
        <w:t>产品。</w:t>
      </w:r>
    </w:p>
    <w:p>
      <w:pPr>
        <w:pStyle w:val="BodyText"/>
        <w:spacing w:line="309" w:lineRule="auto" w:before="13"/>
        <w:ind w:right="4634"/>
        <w:jc w:val="left"/>
      </w:pPr>
      <w:r>
        <w:rPr/>
        <w:t>注</w:t>
      </w:r>
      <w:r>
        <w:rPr>
          <w:rFonts w:ascii="Times New Roman" w:hAnsi="Times New Roman" w:cs="Times New Roman" w:eastAsia="Times New Roman" w:hint="default"/>
        </w:rPr>
        <w:t>2</w:t>
      </w:r>
      <w:r>
        <w:rPr/>
        <w:t>：荣之联及其子公司的交易为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日发生额。 注</w:t>
      </w:r>
      <w:r>
        <w:rPr>
          <w:rFonts w:ascii="宋体" w:hAnsi="宋体" w:cs="宋体" w:eastAsia="宋体" w:hint="default"/>
        </w:rPr>
        <w:t>3:</w:t>
      </w:r>
      <w:r>
        <w:rPr>
          <w:rFonts w:ascii="宋体" w:hAnsi="宋体" w:cs="宋体" w:eastAsia="宋体" w:hint="default"/>
          <w:spacing w:val="1"/>
        </w:rPr>
        <w:t> </w:t>
      </w:r>
      <w:r>
        <w:rPr/>
        <w:t>神码中国与深圳科捷电商供应链有限公司之间产生的销售退货。 注</w:t>
      </w:r>
      <w:r>
        <w:rPr>
          <w:rFonts w:ascii="宋体" w:hAnsi="宋体" w:cs="宋体" w:eastAsia="宋体" w:hint="default"/>
        </w:rPr>
        <w:t>4</w:t>
      </w:r>
      <w:r>
        <w:rPr/>
        <w:t>：神码北京与神州数码信息服务股份有限公司之间产生的销售退货。</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关联租赁情况" w:id="369"/>
      <w:bookmarkEnd w:id="369"/>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759,156.86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1,340,202.99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276,408.87</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北京中农信达信息技术有限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286,254.29</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广州神州金信电子科技有限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10,809.95</w:t>
            </w:r>
          </w:p>
        </w:tc>
      </w:tr>
    </w:tbl>
    <w:p>
      <w:pPr>
        <w:pStyle w:val="BodyText"/>
        <w:spacing w:line="240" w:lineRule="auto" w:before="49"/>
        <w:ind w:right="0"/>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37,238,420.39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38,108,538.48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1,878,413.00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2,043,024.56</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神州数码（武汉）科技园有限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1,166,848.74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1,267,253.16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神州数码（重庆）信息科技有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86,670.85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161,558.27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639,600.00</w:t>
            </w:r>
          </w:p>
        </w:tc>
      </w:tr>
    </w:tbl>
    <w:p>
      <w:pPr>
        <w:pStyle w:val="BodyText"/>
        <w:spacing w:line="360" w:lineRule="auto" w:before="49"/>
        <w:ind w:right="9314"/>
        <w:jc w:val="left"/>
      </w:pPr>
      <w:r>
        <w:rPr/>
        <w:t>关联租赁情况说明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3）关联担保情况" w:id="370"/>
      <w:bookmarkEnd w:id="370"/>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关联担保情况说明</w:t>
      </w:r>
    </w:p>
    <w:p>
      <w:pPr>
        <w:pStyle w:val="BodyText"/>
        <w:spacing w:line="240" w:lineRule="auto" w:before="117"/>
        <w:ind w:right="0"/>
        <w:jc w:val="left"/>
      </w:pPr>
      <w:r>
        <w:rPr>
          <w:rFonts w:ascii="Times New Roman" w:hAnsi="Times New Roman" w:cs="Times New Roman" w:eastAsia="Times New Roman" w:hint="default"/>
        </w:rPr>
        <w:t>1.</w:t>
      </w:r>
      <w:r>
        <w:rPr/>
        <w:t>供应商担保</w:t>
      </w:r>
    </w:p>
    <w:p>
      <w:pPr>
        <w:spacing w:line="240" w:lineRule="auto" w:before="2"/>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1270"/>
        <w:gridCol w:w="1133"/>
        <w:gridCol w:w="1419"/>
        <w:gridCol w:w="991"/>
        <w:gridCol w:w="3963"/>
        <w:gridCol w:w="830"/>
      </w:tblGrid>
      <w:tr>
        <w:trPr>
          <w:trHeight w:val="1051" w:hRule="exact"/>
        </w:trPr>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5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9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8"/>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105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DCMS</w:t>
            </w:r>
            <w:r>
              <w:rPr>
                <w:rFonts w:ascii="宋体" w:hAnsi="宋体" w:cs="宋体" w:eastAsia="宋体" w:hint="default"/>
                <w:spacing w:val="2"/>
                <w:sz w:val="18"/>
                <w:szCs w:val="18"/>
              </w:rPr>
              <w:t>、神码科</w:t>
            </w:r>
            <w:r>
              <w:rPr>
                <w:rFonts w:ascii="宋体" w:hAnsi="宋体" w:cs="宋体" w:eastAsia="宋体" w:hint="default"/>
                <w:spacing w:val="-85"/>
                <w:sz w:val="18"/>
                <w:szCs w:val="18"/>
              </w:rPr>
              <w:t> </w:t>
            </w:r>
            <w:r>
              <w:rPr>
                <w:rFonts w:ascii="宋体" w:hAnsi="宋体" w:cs="宋体" w:eastAsia="宋体" w:hint="default"/>
                <w:sz w:val="18"/>
                <w:szCs w:val="18"/>
              </w:rPr>
              <w:t>技发展、神码香</w:t>
            </w:r>
            <w:r>
              <w:rPr>
                <w:rFonts w:ascii="宋体" w:hAnsi="宋体" w:cs="宋体" w:eastAsia="宋体" w:hint="default"/>
                <w:sz w:val="18"/>
                <w:szCs w:val="18"/>
              </w:rPr>
              <w:t> 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61,250,000.00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2016/3/3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2016/3/7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2016/3/7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2016/3/7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2017/4/1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被保证交易约定的债务履行期限届满之日起两年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2017/4/1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270"/>
        <w:gridCol w:w="1133"/>
        <w:gridCol w:w="1419"/>
        <w:gridCol w:w="991"/>
        <w:gridCol w:w="3963"/>
        <w:gridCol w:w="830"/>
      </w:tblGrid>
      <w:tr>
        <w:trPr>
          <w:trHeight w:val="1052" w:hRule="exact"/>
        </w:trPr>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58"/>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2017/4/15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2019/4/14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51"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宋体" w:hAnsi="宋体" w:cs="宋体" w:eastAsia="宋体" w:hint="default"/>
                <w:sz w:val="18"/>
                <w:szCs w:val="18"/>
              </w:rPr>
            </w:pPr>
            <w:r>
              <w:rPr>
                <w:rFonts w:ascii="宋体" w:hAnsi="宋体" w:cs="宋体" w:eastAsia="宋体" w:hint="default"/>
                <w:spacing w:val="-2"/>
                <w:sz w:val="18"/>
                <w:szCs w:val="18"/>
              </w:rPr>
              <w:t>神码北京、神码</w:t>
            </w:r>
            <w:r>
              <w:rPr>
                <w:rFonts w:ascii="宋体" w:hAnsi="宋体" w:cs="宋体" w:eastAsia="宋体" w:hint="default"/>
                <w:sz w:val="18"/>
                <w:szCs w:val="18"/>
              </w:rPr>
              <w:t> </w:t>
            </w:r>
            <w:r>
              <w:rPr>
                <w:rFonts w:ascii="宋体" w:hAnsi="宋体" w:cs="宋体" w:eastAsia="宋体" w:hint="default"/>
                <w:spacing w:val="-2"/>
                <w:sz w:val="18"/>
                <w:szCs w:val="18"/>
              </w:rPr>
              <w:t>供应链、神码上</w:t>
            </w:r>
            <w:r>
              <w:rPr>
                <w:rFonts w:ascii="宋体" w:hAnsi="宋体" w:cs="宋体" w:eastAsia="宋体" w:hint="default"/>
                <w:sz w:val="18"/>
                <w:szCs w:val="18"/>
              </w:rPr>
              <w:t> 海、神码广州</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1,100,000,000.00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2017/4/24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2020/3/31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2017/4/25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2019/7/30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2016/7/3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2016/7/3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13,500,000.00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2017/10/1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保证交易约定的债务履行期限届满之日起两年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2017/12/4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189,000,000.00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140,000,000.00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2017/12/25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49,000,000.00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2018/3/20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97,500,000.00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2018/5/14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2018/5/29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2018/6/25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2019/3/29</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2018/7/24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2018/7/27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2018/8/31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神码集团、神码</w:t>
            </w:r>
            <w:r>
              <w:rPr>
                <w:rFonts w:ascii="宋体" w:hAnsi="宋体" w:cs="宋体" w:eastAsia="宋体" w:hint="default"/>
                <w:sz w:val="18"/>
                <w:szCs w:val="18"/>
              </w:rPr>
              <w:t> 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140,000,000.00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2018/9/18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2018/9/21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2021/8/7</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2018/9/28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2018/10/15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主合同项下债务到期后满</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270"/>
        <w:gridCol w:w="1133"/>
        <w:gridCol w:w="1419"/>
        <w:gridCol w:w="991"/>
        <w:gridCol w:w="3963"/>
        <w:gridCol w:w="830"/>
      </w:tblGrid>
      <w:tr>
        <w:trPr>
          <w:trHeight w:val="1052" w:hRule="exact"/>
        </w:trPr>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58"/>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2018/10/22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2018/11/8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2019/3/12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80,000,000.00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2019/4/15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51"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8" w:space="0" w:color="000000"/>
            </w:tcBorders>
          </w:tcPr>
          <w:p>
            <w:pPr>
              <w:pStyle w:val="TableParagraph"/>
              <w:spacing w:line="300" w:lineRule="auto" w:before="61"/>
              <w:ind w:left="2" w:right="-34"/>
              <w:jc w:val="both"/>
              <w:rPr>
                <w:rFonts w:ascii="宋体" w:hAnsi="宋体" w:cs="宋体" w:eastAsia="宋体" w:hint="default"/>
                <w:sz w:val="18"/>
                <w:szCs w:val="18"/>
              </w:rPr>
            </w:pPr>
            <w:r>
              <w:rPr>
                <w:rFonts w:ascii="宋体" w:hAnsi="宋体" w:cs="宋体" w:eastAsia="宋体" w:hint="default"/>
                <w:spacing w:val="23"/>
                <w:sz w:val="18"/>
                <w:szCs w:val="18"/>
              </w:rPr>
              <w:t>神州数码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中 国</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3"/>
                <w:sz w:val="18"/>
                <w:szCs w:val="18"/>
              </w:rPr>
              <w:t>有限公司</w:t>
            </w:r>
            <w:r>
              <w:rPr>
                <w:rFonts w:ascii="宋体" w:hAnsi="宋体" w:cs="宋体" w:eastAsia="宋体" w:hint="default"/>
                <w:spacing w:val="-59"/>
                <w:sz w:val="18"/>
                <w:szCs w:val="18"/>
              </w:rPr>
              <w:t> </w:t>
            </w:r>
            <w:r>
              <w:rPr>
                <w:rFonts w:ascii="宋体" w:hAnsi="宋体" w:cs="宋体" w:eastAsia="宋体" w:hint="default"/>
                <w:sz w:val="18"/>
                <w:szCs w:val="18"/>
              </w:rPr>
              <w:t>杭州分公司</w:t>
            </w:r>
          </w:p>
        </w:tc>
        <w:tc>
          <w:tcPr>
            <w:tcW w:w="1419"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2019/4/29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180,000,000.00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2019/4/29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2019/4/29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250,000,000.00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2019/5/22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2019/5/22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115,500,000.00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主债权存续期间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2019/6/17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2019/6/18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2019/12/23</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120,000,000.00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2019/6/25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2019/6/26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175,000,000.00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270"/>
        <w:gridCol w:w="1133"/>
        <w:gridCol w:w="1419"/>
        <w:gridCol w:w="991"/>
        <w:gridCol w:w="3963"/>
        <w:gridCol w:w="830"/>
      </w:tblGrid>
      <w:tr>
        <w:trPr>
          <w:trHeight w:val="1052" w:hRule="exact"/>
        </w:trPr>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58"/>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490,000,000.00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云科网络</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6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89"/>
              <w:ind w:left="2" w:right="3"/>
              <w:jc w:val="left"/>
              <w:rPr>
                <w:rFonts w:ascii="Times New Roman" w:hAnsi="Times New Roman" w:cs="Times New Roman" w:eastAsia="Times New Roman" w:hint="default"/>
                <w:sz w:val="20"/>
                <w:szCs w:val="20"/>
              </w:rPr>
            </w:pPr>
            <w:r>
              <w:rPr>
                <w:rFonts w:ascii="Times New Roman"/>
                <w:sz w:val="20"/>
              </w:rPr>
              <w:t>Digital</w:t>
            </w:r>
            <w:r>
              <w:rPr>
                <w:rFonts w:ascii="Times New Roman"/>
                <w:spacing w:val="26"/>
                <w:sz w:val="20"/>
              </w:rPr>
              <w:t> </w:t>
            </w:r>
            <w:r>
              <w:rPr>
                <w:rFonts w:ascii="Times New Roman"/>
                <w:sz w:val="20"/>
              </w:rPr>
              <w:t>China</w:t>
            </w:r>
            <w:r>
              <w:rPr>
                <w:rFonts w:ascii="Times New Roman"/>
                <w:w w:val="99"/>
                <w:sz w:val="20"/>
              </w:rPr>
              <w:t> </w:t>
            </w:r>
            <w:r>
              <w:rPr>
                <w:rFonts w:ascii="Times New Roman"/>
                <w:sz w:val="20"/>
              </w:rPr>
              <w:t>Technology</w:t>
            </w:r>
            <w:r>
              <w:rPr>
                <w:rFonts w:ascii="Times New Roman"/>
                <w:w w:val="99"/>
                <w:sz w:val="20"/>
              </w:rPr>
              <w:t> </w:t>
            </w:r>
            <w:r>
              <w:rPr>
                <w:rFonts w:ascii="Times New Roman"/>
                <w:sz w:val="20"/>
              </w:rPr>
              <w:t>(Malaysia)</w:t>
            </w:r>
            <w:r>
              <w:rPr>
                <w:rFonts w:ascii="Times New Roman"/>
                <w:w w:val="99"/>
                <w:sz w:val="20"/>
              </w:rPr>
              <w:t> </w:t>
            </w:r>
            <w:r>
              <w:rPr>
                <w:rFonts w:ascii="Times New Roman"/>
                <w:sz w:val="20"/>
              </w:rPr>
              <w:t>Sdn.</w:t>
            </w:r>
            <w:r>
              <w:rPr>
                <w:rFonts w:ascii="Times New Roman"/>
                <w:spacing w:val="-6"/>
                <w:sz w:val="20"/>
              </w:rPr>
              <w:t> </w:t>
            </w:r>
            <w:r>
              <w:rPr>
                <w:rFonts w:ascii="Times New Roman"/>
                <w:sz w:val="20"/>
              </w:rPr>
              <w:t>Bhd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left"/>
              <w:rPr>
                <w:rFonts w:ascii="Times New Roman" w:hAnsi="Times New Roman" w:cs="Times New Roman" w:eastAsia="Times New Roman" w:hint="default"/>
                <w:sz w:val="18"/>
                <w:szCs w:val="18"/>
              </w:rPr>
            </w:pPr>
            <w:r>
              <w:rPr>
                <w:rFonts w:ascii="Times New Roman"/>
                <w:sz w:val="18"/>
              </w:rPr>
              <w:t>28,000,000.00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left"/>
              <w:rPr>
                <w:rFonts w:ascii="Times New Roman" w:hAnsi="Times New Roman" w:cs="Times New Roman" w:eastAsia="Times New Roman" w:hint="default"/>
                <w:sz w:val="18"/>
                <w:szCs w:val="18"/>
              </w:rPr>
            </w:pPr>
            <w:r>
              <w:rPr>
                <w:rFonts w:ascii="Times New Roman"/>
                <w:sz w:val="18"/>
              </w:rPr>
              <w:t>2019/8/19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2019/8/31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35,000,000.00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2019/9/25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203,000,000.00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14,000,000.00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神码数据服务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49,000,000.00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2019/10/18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主债务履行期届满之日起二年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84,000,000.00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2019/10/22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2019/10/25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神码集团、神码</w:t>
            </w:r>
            <w:r>
              <w:rPr>
                <w:rFonts w:ascii="宋体" w:hAnsi="宋体" w:cs="宋体" w:eastAsia="宋体" w:hint="default"/>
                <w:sz w:val="18"/>
                <w:szCs w:val="18"/>
              </w:rPr>
              <w:t> 中国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1,750,000,000.00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2019/12/1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2022/12/31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神码集团</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before="44"/>
        <w:ind w:right="0"/>
        <w:jc w:val="left"/>
      </w:pPr>
      <w:r>
        <w:rPr>
          <w:rFonts w:ascii="Times New Roman" w:hAnsi="Times New Roman" w:cs="Times New Roman" w:eastAsia="Times New Roman" w:hint="default"/>
        </w:rPr>
        <w:t>2.</w:t>
      </w:r>
      <w:r>
        <w:rPr/>
        <w:t>融资担保</w:t>
      </w:r>
    </w:p>
    <w:p>
      <w:pPr>
        <w:spacing w:line="240" w:lineRule="auto" w:before="7"/>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39"/>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3"/>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2"/>
              <w:jc w:val="right"/>
              <w:rPr>
                <w:rFonts w:ascii="Times New Roman" w:hAnsi="Times New Roman" w:cs="Times New Roman" w:eastAsia="Times New Roman" w:hint="default"/>
                <w:sz w:val="18"/>
                <w:szCs w:val="18"/>
              </w:rPr>
            </w:pPr>
            <w:r>
              <w:rPr>
                <w:rFonts w:ascii="Times New Roman"/>
                <w:spacing w:val="-1"/>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2018/1/10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2019/1/10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605,000,000.00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2019/6/21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2018/5/23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2019/6/18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2018/7/25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2019/3/20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2018/7/25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2019/3/20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2017/6/23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2019/4/2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2019/4/2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2018/12/27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2019/6/26</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2018/5/2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2019/4/28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2017/8/11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2019/3/22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2017/9/5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2019/6/24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401,274,000.00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2017/6/26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2019/4/23</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445,860,000.00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2017/6/26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2019/4/28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2018/2/27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2019/3/14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2018/2/27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2019/3/14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2018/4/25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主合同项下债务人债务履行期限届满之日起</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自不特定债权的确定期间届满之日起两年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自不特定债权的确定期间届满之日起两年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249,681,600.00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2017/3/30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2020/1/18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249,681,600.00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2017/3/30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2020/1/18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自主合同债务人履行债务期限届满之日起两年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1,045,000,000.00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2019/6/21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910,000,000.00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2017/11/21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银行收到担保人书面通知终止担保后三个月止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910,000,000.00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2017/11/21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银行收到担保人书面通知终止担保后三个月止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2019/6/18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870,000,000.00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2017/3/13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2019/4/8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债务到期日起两年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2019/9/11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2019/9/11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主合同项下最后到期的主债务履行期限届满之日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主合同项下最后到期的主债务履行期限届满之日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2019/2/15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主合同项下最后到期主债务履行期限届满之日后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260,000,000.00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2018/11/26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2017/1/11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2020/1/11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2017/1/11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2020/1/11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2019/4/2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合同项下债务人每次使用授信额度而发生的债务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2019/4/2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合同项下债务人每次使用授信额度而发生的债务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主合同项下各具体授信的债务履行期限届满之日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2019/6/26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主合同项下各具体授信的债务履行期限届满之日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2018/3/26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6"/>
              <w:jc w:val="left"/>
              <w:rPr>
                <w:rFonts w:ascii="宋体" w:hAnsi="宋体" w:cs="宋体" w:eastAsia="宋体" w:hint="default"/>
                <w:sz w:val="18"/>
                <w:szCs w:val="18"/>
              </w:rPr>
            </w:pPr>
            <w:r>
              <w:rPr>
                <w:rFonts w:ascii="宋体" w:hAnsi="宋体" w:cs="宋体" w:eastAsia="宋体" w:hint="default"/>
                <w:sz w:val="18"/>
                <w:szCs w:val="18"/>
              </w:rPr>
              <w:t>该债权合同约定的债务履行期届满之日后两年止。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2018/3/26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6"/>
              <w:jc w:val="left"/>
              <w:rPr>
                <w:rFonts w:ascii="宋体" w:hAnsi="宋体" w:cs="宋体" w:eastAsia="宋体" w:hint="default"/>
                <w:sz w:val="18"/>
                <w:szCs w:val="18"/>
              </w:rPr>
            </w:pPr>
            <w:r>
              <w:rPr>
                <w:rFonts w:ascii="宋体" w:hAnsi="宋体" w:cs="宋体" w:eastAsia="宋体" w:hint="default"/>
                <w:sz w:val="18"/>
                <w:szCs w:val="18"/>
              </w:rPr>
              <w:t>该债权合同约定的债务履行期届满之日后两年止。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2019/4/28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6"/>
              <w:jc w:val="left"/>
              <w:rPr>
                <w:rFonts w:ascii="宋体" w:hAnsi="宋体" w:cs="宋体" w:eastAsia="宋体" w:hint="default"/>
                <w:sz w:val="18"/>
                <w:szCs w:val="18"/>
              </w:rPr>
            </w:pPr>
            <w:r>
              <w:rPr>
                <w:rFonts w:ascii="宋体" w:hAnsi="宋体" w:cs="宋体" w:eastAsia="宋体" w:hint="default"/>
                <w:sz w:val="18"/>
                <w:szCs w:val="18"/>
              </w:rPr>
              <w:t>该债权合同约定的债务履行期届满之日后两年止。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2019/3/22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主合同项下每笔债务履行期届满之日起两年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2019/4/29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主合同项下每笔债务履行期届满之日起两年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364,000,000.00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2017/7/28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2020/7/28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364,000,000.00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2017/7/28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2020/7/28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364,000,000.00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2017/7/28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2020/7/28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2019/5/29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债务履行期届满日起两年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370,000,000.00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339"/>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130,000,000.00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2018/2/1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主合同约定的债务人履行债务期限届满之日起两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700,000,000.00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2018/8/31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主合同项下的债务期限届满之次日起两年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2018/6/29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2019/11/4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2018/4/8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2018/6/6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主合同项下的债务履行期限届满日后三年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63"/>
              <w:jc w:val="right"/>
              <w:rPr>
                <w:rFonts w:ascii="Times New Roman" w:hAnsi="Times New Roman" w:cs="Times New Roman" w:eastAsia="Times New Roman" w:hint="default"/>
                <w:sz w:val="18"/>
                <w:szCs w:val="18"/>
              </w:rPr>
            </w:pPr>
            <w:r>
              <w:rPr>
                <w:rFonts w:ascii="Times New Roman"/>
                <w:spacing w:val="-1"/>
                <w:sz w:val="18"/>
              </w:rPr>
              <w:t>47,500,000.00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2019/4/25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主合同项下的债务履行期限届满日后三年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2017/12/12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2019/9/4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2018/6/13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2018/6/13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2"/>
              <w:jc w:val="right"/>
              <w:rPr>
                <w:rFonts w:ascii="Times New Roman" w:hAnsi="Times New Roman" w:cs="Times New Roman" w:eastAsia="Times New Roman" w:hint="default"/>
                <w:sz w:val="18"/>
                <w:szCs w:val="18"/>
              </w:rPr>
            </w:pPr>
            <w:r>
              <w:rPr>
                <w:rFonts w:ascii="Times New Roman"/>
                <w:spacing w:val="-1"/>
                <w:sz w:val="18"/>
              </w:rPr>
              <w:t>266,000,000.00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2016/9/12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2019/9/11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266,000,000.00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2016/9/12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2019/9/11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401,274,000.00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2019/4/23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持续有效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347,770,800.00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2019/4/28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主债务存续期间持续有效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2019/7/12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债务履行期届满日起两年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2019/8/30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2"/>
              <w:jc w:val="right"/>
              <w:rPr>
                <w:rFonts w:ascii="Times New Roman" w:hAnsi="Times New Roman" w:cs="Times New Roman" w:eastAsia="Times New Roman" w:hint="default"/>
                <w:sz w:val="18"/>
                <w:szCs w:val="18"/>
              </w:rPr>
            </w:pPr>
            <w:r>
              <w:rPr>
                <w:rFonts w:ascii="Times New Roman"/>
                <w:spacing w:val="-1"/>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2019/9/11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主合同项下债务到期后满两年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2019/9/11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主合同项下债务到期后满两年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2019/9/4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主合同项下债务履行期限届满之日起三年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63"/>
              <w:jc w:val="right"/>
              <w:rPr>
                <w:rFonts w:ascii="Times New Roman" w:hAnsi="Times New Roman" w:cs="Times New Roman" w:eastAsia="Times New Roman" w:hint="default"/>
                <w:sz w:val="18"/>
                <w:szCs w:val="18"/>
              </w:rPr>
            </w:pPr>
            <w:r>
              <w:rPr>
                <w:rFonts w:ascii="Times New Roman"/>
                <w:spacing w:val="-1"/>
                <w:sz w:val="18"/>
              </w:rPr>
              <w:t>75,000,000.00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2019/9/19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63"/>
              <w:jc w:val="right"/>
              <w:rPr>
                <w:rFonts w:ascii="Times New Roman" w:hAnsi="Times New Roman" w:cs="Times New Roman" w:eastAsia="Times New Roman" w:hint="default"/>
                <w:sz w:val="18"/>
                <w:szCs w:val="18"/>
              </w:rPr>
            </w:pPr>
            <w:r>
              <w:rPr>
                <w:rFonts w:ascii="Times New Roman"/>
                <w:spacing w:val="-1"/>
                <w:sz w:val="18"/>
              </w:rPr>
              <w:t>75,000,000.00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2019/9/19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370,000,000.00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r>
        <w:rPr/>
        <w:pict>
          <v:shape style="position:absolute;margin-left:57.599998pt;margin-top:232.585983pt;width:105.05pt;height:19.6pt;mso-position-horizontal-relative:page;mso-position-vertical-relative:page;z-index:-1665064"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269.569977pt;width:105.05pt;height:19.6pt;mso-position-horizontal-relative:page;mso-position-vertical-relative:page;z-index:-1665040"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06.529968pt;width:105.05pt;height:19.6pt;mso-position-horizontal-relative:page;mso-position-vertical-relative:page;z-index:-1665016"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43.48999pt;width:105.05pt;height:19.6pt;mso-position-horizontal-relative:page;mso-position-vertical-relative:page;z-index:-1664992"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80.449982pt;width:105.05pt;height:19.6pt;mso-position-horizontal-relative:page;mso-position-vertical-relative:page;z-index:-1664968"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417.289978pt;width:105.05pt;height:19.7pt;mso-position-horizontal-relative:page;mso-position-vertical-relative:page;z-index:-1664944"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454.269989pt;width:105.05pt;height:19.7pt;mso-position-horizontal-relative:page;mso-position-vertical-relative:page;z-index:-1664920"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491.22998pt;width:105.05pt;height:19.7pt;mso-position-horizontal-relative:page;mso-position-vertical-relative:page;z-index:-1664896"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528.190002pt;width:105.05pt;height:19.7pt;mso-position-horizontal-relative:page;mso-position-vertical-relative:page;z-index:-1664872"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565.149963pt;width:105.05pt;height:19.6pt;mso-position-horizontal-relative:page;mso-position-vertical-relative:page;z-index:-1664848"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602.115967pt;width:105.05pt;height:19.6pt;mso-position-horizontal-relative:page;mso-position-vertical-relative:page;z-index:-1664824"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639.099976pt;width:105.05pt;height:19.6pt;mso-position-horizontal-relative:page;mso-position-vertical-relative:page;z-index:-1664800"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676.059998pt;width:105.05pt;height:19.6pt;mso-position-horizontal-relative:page;mso-position-vertical-relative:page;z-index:-1664776"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713.019958pt;width:105.05pt;height:19.6pt;mso-position-horizontal-relative:page;mso-position-vertical-relative:page;z-index:-1664752"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group style="position:absolute;margin-left:99.744003pt;margin-top:232.579987pt;width:62.9pt;height:19.6pt;mso-position-horizontal-relative:page;mso-position-vertical-relative:page;z-index:-1664728" coordorigin="1995,4652" coordsize="1258,392">
            <v:shape style="position:absolute;left:1995;top:4652;width:1258;height:392" coordorigin="1995,4652" coordsize="1258,392" path="m1995,5043l3252,5043,3252,4652,1995,4652,1995,5043xe" filled="true" fillcolor="#ffffff" stroked="false">
              <v:path arrowok="t"/>
              <v:fill type="solid"/>
            </v:shape>
            <w10:wrap type="none"/>
          </v:group>
        </w:pict>
      </w:r>
      <w:r>
        <w:rPr/>
        <w:pict>
          <v:group style="position:absolute;margin-left:99.744003pt;margin-top:269.569977pt;width:62.9pt;height:19.6pt;mso-position-horizontal-relative:page;mso-position-vertical-relative:page;z-index:-1664704" coordorigin="1995,5391" coordsize="1258,392">
            <v:shape style="position:absolute;left:1995;top:5391;width:1258;height:392" coordorigin="1995,5391" coordsize="1258,392" path="m1995,5783l3252,5783,3252,5391,1995,5391,1995,5783xe" filled="true" fillcolor="#ffffff" stroked="false">
              <v:path arrowok="t"/>
              <v:fill type="solid"/>
            </v:shape>
            <w10:wrap type="none"/>
          </v:group>
        </w:pict>
      </w:r>
      <w:r>
        <w:rPr/>
        <w:pict>
          <v:group style="position:absolute;margin-left:99.744003pt;margin-top:306.529968pt;width:62.9pt;height:19.6pt;mso-position-horizontal-relative:page;mso-position-vertical-relative:page;z-index:-1664680" coordorigin="1995,6131" coordsize="1258,392">
            <v:shape style="position:absolute;left:1995;top:6131;width:1258;height:392" coordorigin="1995,6131" coordsize="1258,392" path="m1995,6522l3252,6522,3252,6131,1995,6131,1995,6522xe" filled="true" fillcolor="#ffffff" stroked="false">
              <v:path arrowok="t"/>
              <v:fill type="solid"/>
            </v:shape>
            <w10:wrap type="none"/>
          </v:group>
        </w:pict>
      </w:r>
      <w:r>
        <w:rPr/>
        <w:pict>
          <v:group style="position:absolute;margin-left:99.744003pt;margin-top:343.48999pt;width:62.9pt;height:19.6pt;mso-position-horizontal-relative:page;mso-position-vertical-relative:page;z-index:-1664656" coordorigin="1995,6870" coordsize="1258,392">
            <v:shape style="position:absolute;left:1995;top:6870;width:1258;height:392" coordorigin="1995,6870" coordsize="1258,392" path="m1995,7261l3252,7261,3252,6870,1995,6870,1995,7261xe" filled="true" fillcolor="#ffffff" stroked="false">
              <v:path arrowok="t"/>
              <v:fill type="solid"/>
            </v:shape>
            <w10:wrap type="none"/>
          </v:group>
        </w:pict>
      </w:r>
      <w:r>
        <w:rPr/>
        <w:pict>
          <v:group style="position:absolute;margin-left:99.744003pt;margin-top:380.449982pt;width:62.9pt;height:19.6pt;mso-position-horizontal-relative:page;mso-position-vertical-relative:page;z-index:-1664632" coordorigin="1995,7609" coordsize="1258,392">
            <v:shape style="position:absolute;left:1995;top:7609;width:1258;height:392" coordorigin="1995,7609" coordsize="1258,392" path="m1995,8000l3252,8000,3252,7609,1995,7609,1995,8000xe" filled="true" fillcolor="#ffffff" stroked="false">
              <v:path arrowok="t"/>
              <v:fill type="solid"/>
            </v:shape>
            <w10:wrap type="none"/>
          </v:group>
        </w:pict>
      </w:r>
      <w:r>
        <w:rPr/>
        <w:pict>
          <v:group style="position:absolute;margin-left:99.744003pt;margin-top:417.289978pt;width:62.9pt;height:19.7pt;mso-position-horizontal-relative:page;mso-position-vertical-relative:page;z-index:-1664608" coordorigin="1995,8346" coordsize="1258,394">
            <v:shape style="position:absolute;left:1995;top:8346;width:1258;height:394" coordorigin="1995,8346" coordsize="1258,394" path="m1995,8739l3252,8739,3252,8346,1995,8346,1995,8739xe" filled="true" fillcolor="#ffffff" stroked="false">
              <v:path arrowok="t"/>
              <v:fill type="solid"/>
            </v:shape>
            <w10:wrap type="none"/>
          </v:group>
        </w:pict>
      </w:r>
      <w:r>
        <w:rPr/>
        <w:pict>
          <v:group style="position:absolute;margin-left:99.744003pt;margin-top:454.269989pt;width:62.9pt;height:19.7pt;mso-position-horizontal-relative:page;mso-position-vertical-relative:page;z-index:-1664584" coordorigin="1995,9085" coordsize="1258,394">
            <v:shape style="position:absolute;left:1995;top:9085;width:1258;height:394" coordorigin="1995,9085" coordsize="1258,394" path="m1995,9479l3252,9479,3252,9085,1995,9085,1995,9479xe" filled="true" fillcolor="#ffffff" stroked="false">
              <v:path arrowok="t"/>
              <v:fill type="solid"/>
            </v:shape>
            <w10:wrap type="none"/>
          </v:group>
        </w:pict>
      </w:r>
      <w:r>
        <w:rPr/>
        <w:pict>
          <v:group style="position:absolute;margin-left:99.744003pt;margin-top:491.22998pt;width:62.9pt;height:19.7pt;mso-position-horizontal-relative:page;mso-position-vertical-relative:page;z-index:-1664560" coordorigin="1995,9825" coordsize="1258,394">
            <v:shape style="position:absolute;left:1995;top:9825;width:1258;height:394" coordorigin="1995,9825" coordsize="1258,394" path="m1995,10218l3252,10218,3252,9825,1995,9825,1995,10218xe" filled="true" fillcolor="#ffffff" stroked="false">
              <v:path arrowok="t"/>
              <v:fill type="solid"/>
            </v:shape>
            <w10:wrap type="none"/>
          </v:group>
        </w:pict>
      </w:r>
      <w:r>
        <w:rPr/>
        <w:pict>
          <v:group style="position:absolute;margin-left:99.744003pt;margin-top:528.190002pt;width:62.9pt;height:19.7pt;mso-position-horizontal-relative:page;mso-position-vertical-relative:page;z-index:-1664536" coordorigin="1995,10564" coordsize="1258,394">
            <v:shape style="position:absolute;left:1995;top:10564;width:1258;height:394" coordorigin="1995,10564" coordsize="1258,394" path="m1995,10957l3252,10957,3252,10564,1995,10564,1995,10957xe" filled="true" fillcolor="#ffffff" stroked="false">
              <v:path arrowok="t"/>
              <v:fill type="solid"/>
            </v:shape>
            <w10:wrap type="none"/>
          </v:group>
        </w:pict>
      </w:r>
      <w:r>
        <w:rPr/>
        <w:pict>
          <v:group style="position:absolute;margin-left:99.744003pt;margin-top:565.149963pt;width:62.9pt;height:19.6pt;mso-position-horizontal-relative:page;mso-position-vertical-relative:page;z-index:-1664512" coordorigin="1995,11303" coordsize="1258,392">
            <v:shape style="position:absolute;left:1995;top:11303;width:1258;height:392" coordorigin="1995,11303" coordsize="1258,392" path="m1995,11694l3252,11694,3252,11303,1995,11303,1995,11694xe" filled="true" fillcolor="#ffffff" stroked="false">
              <v:path arrowok="t"/>
              <v:fill type="solid"/>
            </v:shape>
            <w10:wrap type="none"/>
          </v:group>
        </w:pict>
      </w:r>
      <w:r>
        <w:rPr/>
        <w:pict>
          <v:group style="position:absolute;margin-left:99.744003pt;margin-top:602.109985pt;width:62.9pt;height:19.6pt;mso-position-horizontal-relative:page;mso-position-vertical-relative:page;z-index:-1664488" coordorigin="1995,12042" coordsize="1258,392">
            <v:shape style="position:absolute;left:1995;top:12042;width:1258;height:392" coordorigin="1995,12042" coordsize="1258,392" path="m1995,12433l3252,12433,3252,12042,1995,12042,1995,12433xe" filled="true" fillcolor="#ffffff" stroked="false">
              <v:path arrowok="t"/>
              <v:fill type="solid"/>
            </v:shape>
            <w10:wrap type="none"/>
          </v:group>
        </w:pict>
      </w:r>
      <w:r>
        <w:rPr/>
        <w:pict>
          <v:group style="position:absolute;margin-left:99.744003pt;margin-top:639.099976pt;width:62.9pt;height:19.6pt;mso-position-horizontal-relative:page;mso-position-vertical-relative:page;z-index:-1664464" coordorigin="1995,12782" coordsize="1258,392">
            <v:shape style="position:absolute;left:1995;top:12782;width:1258;height:392" coordorigin="1995,12782" coordsize="1258,392" path="m1995,13173l3252,13173,3252,12782,1995,12782,1995,13173xe" filled="true" fillcolor="#ffffff" stroked="false">
              <v:path arrowok="t"/>
              <v:fill type="solid"/>
            </v:shape>
            <w10:wrap type="none"/>
          </v:group>
        </w:pict>
      </w:r>
      <w:r>
        <w:rPr/>
        <w:pict>
          <v:group style="position:absolute;margin-left:99.744003pt;margin-top:676.059998pt;width:62.9pt;height:19.6pt;mso-position-horizontal-relative:page;mso-position-vertical-relative:page;z-index:-1664440" coordorigin="1995,13521" coordsize="1258,392">
            <v:shape style="position:absolute;left:1995;top:13521;width:1258;height:392" coordorigin="1995,13521" coordsize="1258,392" path="m1995,13912l3252,13912,3252,13521,1995,13521,1995,13912xe" filled="true" fillcolor="#ffffff" stroked="false">
              <v:path arrowok="t"/>
              <v:fill type="solid"/>
            </v:shape>
            <w10:wrap type="none"/>
          </v:group>
        </w:pict>
      </w:r>
      <w:r>
        <w:rPr/>
        <w:pict>
          <v:group style="position:absolute;margin-left:99.744003pt;margin-top:713.019958pt;width:62.9pt;height:19.6pt;mso-position-horizontal-relative:page;mso-position-vertical-relative:page;z-index:-1664416" coordorigin="1995,14260" coordsize="1258,392">
            <v:shape style="position:absolute;left:1995;top:14260;width:1258;height:392" coordorigin="1995,14260" coordsize="1258,392" path="m1995,14652l3252,14652,3252,14260,1995,14260,1995,14652xe" filled="true" fillcolor="#ffffff" stroked="false">
              <v:path arrowok="t"/>
              <v:fill type="solid"/>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339"/>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500,000,000.00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130,000,000.00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《授信协议》项下每笔融资的到期日另加三年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2019/12/19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2019/12/31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315,000,000.00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2018/11/14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2019/5/16</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151,200,000.00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2019/5/16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债务履行期届满日起两年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2018/11/23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2019/12/5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370,000,000.00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2018/12/13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神码广州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2017/5/23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16"/>
              <w:jc w:val="left"/>
              <w:rPr>
                <w:rFonts w:ascii="宋体" w:hAnsi="宋体" w:cs="宋体" w:eastAsia="宋体" w:hint="default"/>
                <w:sz w:val="18"/>
                <w:szCs w:val="18"/>
              </w:rPr>
            </w:pPr>
            <w:r>
              <w:rPr>
                <w:rFonts w:ascii="宋体" w:hAnsi="宋体" w:cs="宋体" w:eastAsia="宋体" w:hint="default"/>
                <w:sz w:val="18"/>
                <w:szCs w:val="18"/>
              </w:rPr>
              <w:t>主合同项下被保证人债务履行期届满之后两年止。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神码深圳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2017/2/28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2019/5/16</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神码深圳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2019/5/16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2019/12/12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450,000,000.00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2018/3/9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2019/4/25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315,000,000.00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2019/5/16</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2017/11/29</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2019/2/15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2017/11/15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2019/3/8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2019/1/10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自主合同债务人履行债务期限届满之日起两年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2"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2019/4/25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自主合同债务人履行债务期限届满之日起两年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r>
        <w:rPr/>
        <w:pict>
          <v:shape style="position:absolute;margin-left:57.599998pt;margin-top:125.779984pt;width:105.05pt;height:19.7pt;mso-position-horizontal-relative:page;mso-position-vertical-relative:page;z-index:-1664392"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162.73999pt;width:105.05pt;height:19.7pt;mso-position-horizontal-relative:page;mso-position-vertical-relative:page;z-index:-1664368"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199.699982pt;width:105.05pt;height:19.6pt;mso-position-horizontal-relative:page;mso-position-vertical-relative:page;z-index:-1664344"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236.665985pt;width:105.05pt;height:19.6pt;mso-position-horizontal-relative:page;mso-position-vertical-relative:page;z-index:-1664320"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273.649994pt;width:105.05pt;height:19.6pt;mso-position-horizontal-relative:page;mso-position-vertical-relative:page;z-index:-1664296"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10.609985pt;width:105.05pt;height:19.6pt;mso-position-horizontal-relative:page;mso-position-vertical-relative:page;z-index:-1664272"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47.569977pt;width:105.05pt;height:19.6pt;mso-position-horizontal-relative:page;mso-position-vertical-relative:page;z-index:-1664248"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384.529968pt;width:105.05pt;height:19.6pt;mso-position-horizontal-relative:page;mso-position-vertical-relative:page;z-index:-1664224"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421.48999pt;width:105.05pt;height:19.6pt;mso-position-horizontal-relative:page;mso-position-vertical-relative:page;z-index:-1664200"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458.469971pt;width:105.05pt;height:19.6pt;mso-position-horizontal-relative:page;mso-position-vertical-relative:page;z-index:-1664176" type="#_x0000_t202" filled="false" stroked="false">
            <v:textbox inset="0,0,0,0">
              <w:txbxContent>
                <w:p>
                  <w:pPr>
                    <w:pStyle w:val="BodyText"/>
                    <w:spacing w:line="240" w:lineRule="auto" w:before="49"/>
                    <w:ind w:left="0" w:right="0"/>
                    <w:jc w:val="left"/>
                  </w:pPr>
                  <w:r>
                    <w:rPr/>
                    <w:t>神码集团、</w:t>
                  </w:r>
                </w:p>
              </w:txbxContent>
            </v:textbox>
            <w10:wrap type="none"/>
          </v:shape>
        </w:pict>
      </w:r>
      <w:r>
        <w:rPr/>
        <w:pict>
          <v:shape style="position:absolute;margin-left:57.599998pt;margin-top:644.859985pt;width:105.05pt;height:19.6pt;mso-position-horizontal-relative:page;mso-position-vertical-relative:page;z-index:-1664152"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681.820007pt;width:105.05pt;height:19.6pt;mso-position-horizontal-relative:page;mso-position-vertical-relative:page;z-index:-1664128"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718.779968pt;width:105.05pt;height:19.6pt;mso-position-horizontal-relative:page;mso-position-vertical-relative:page;z-index:-1664104"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group style="position:absolute;margin-left:99.744003pt;margin-top:125.779984pt;width:62.9pt;height:19.7pt;mso-position-horizontal-relative:page;mso-position-vertical-relative:page;z-index:-1664080" coordorigin="1995,2516" coordsize="1258,394">
            <v:shape style="position:absolute;left:1995;top:2516;width:1258;height:394" coordorigin="1995,2516" coordsize="1258,394" path="m1995,2909l3252,2909,3252,2516,1995,2516,1995,2909xe" filled="true" fillcolor="#ffffff" stroked="false">
              <v:path arrowok="t"/>
              <v:fill type="solid"/>
            </v:shape>
            <w10:wrap type="none"/>
          </v:group>
        </w:pict>
      </w:r>
      <w:r>
        <w:rPr/>
        <w:pict>
          <v:group style="position:absolute;margin-left:99.744003pt;margin-top:162.73999pt;width:62.9pt;height:19.7pt;mso-position-horizontal-relative:page;mso-position-vertical-relative:page;z-index:-1664056" coordorigin="1995,3255" coordsize="1258,394">
            <v:shape style="position:absolute;left:1995;top:3255;width:1258;height:394" coordorigin="1995,3255" coordsize="1258,394" path="m1995,3648l3252,3648,3252,3255,1995,3255,1995,3648xe" filled="true" fillcolor="#ffffff" stroked="false">
              <v:path arrowok="t"/>
              <v:fill type="solid"/>
            </v:shape>
            <w10:wrap type="none"/>
          </v:group>
        </w:pict>
      </w:r>
      <w:r>
        <w:rPr/>
        <w:pict>
          <v:group style="position:absolute;margin-left:99.744003pt;margin-top:199.699982pt;width:62.9pt;height:19.6pt;mso-position-horizontal-relative:page;mso-position-vertical-relative:page;z-index:-1664032" coordorigin="1995,3994" coordsize="1258,392">
            <v:shape style="position:absolute;left:1995;top:3994;width:1258;height:392" coordorigin="1995,3994" coordsize="1258,392" path="m1995,4385l3252,4385,3252,3994,1995,3994,1995,4385xe" filled="true" fillcolor="#ffffff" stroked="false">
              <v:path arrowok="t"/>
              <v:fill type="solid"/>
            </v:shape>
            <w10:wrap type="none"/>
          </v:group>
        </w:pict>
      </w:r>
      <w:r>
        <w:rPr/>
        <w:pict>
          <v:group style="position:absolute;margin-left:99.744003pt;margin-top:236.659988pt;width:62.9pt;height:19.6pt;mso-position-horizontal-relative:page;mso-position-vertical-relative:page;z-index:-1664008" coordorigin="1995,4733" coordsize="1258,392">
            <v:shape style="position:absolute;left:1995;top:4733;width:1258;height:392" coordorigin="1995,4733" coordsize="1258,392" path="m1995,5124l3252,5124,3252,4733,1995,4733,1995,5124xe" filled="true" fillcolor="#ffffff" stroked="false">
              <v:path arrowok="t"/>
              <v:fill type="solid"/>
            </v:shape>
            <w10:wrap type="none"/>
          </v:group>
        </w:pict>
      </w:r>
      <w:r>
        <w:rPr/>
        <w:pict>
          <v:group style="position:absolute;margin-left:99.744003pt;margin-top:273.649994pt;width:62.9pt;height:19.6pt;mso-position-horizontal-relative:page;mso-position-vertical-relative:page;z-index:-1663984" coordorigin="1995,5473" coordsize="1258,392">
            <v:shape style="position:absolute;left:1995;top:5473;width:1258;height:392" coordorigin="1995,5473" coordsize="1258,392" path="m1995,5864l3252,5864,3252,5473,1995,5473,1995,5864xe" filled="true" fillcolor="#ffffff" stroked="false">
              <v:path arrowok="t"/>
              <v:fill type="solid"/>
            </v:shape>
            <w10:wrap type="none"/>
          </v:group>
        </w:pict>
      </w:r>
      <w:r>
        <w:rPr/>
        <w:pict>
          <v:group style="position:absolute;margin-left:99.744003pt;margin-top:310.609985pt;width:62.9pt;height:19.6pt;mso-position-horizontal-relative:page;mso-position-vertical-relative:page;z-index:-1663960" coordorigin="1995,6212" coordsize="1258,392">
            <v:shape style="position:absolute;left:1995;top:6212;width:1258;height:392" coordorigin="1995,6212" coordsize="1258,392" path="m1995,6603l3252,6603,3252,6212,1995,6212,1995,6603xe" filled="true" fillcolor="#ffffff" stroked="false">
              <v:path arrowok="t"/>
              <v:fill type="solid"/>
            </v:shape>
            <w10:wrap type="none"/>
          </v:group>
        </w:pict>
      </w:r>
      <w:r>
        <w:rPr/>
        <w:pict>
          <v:group style="position:absolute;margin-left:99.744003pt;margin-top:347.569977pt;width:62.9pt;height:19.6pt;mso-position-horizontal-relative:page;mso-position-vertical-relative:page;z-index:-1663936" coordorigin="1995,6951" coordsize="1258,392">
            <v:shape style="position:absolute;left:1995;top:6951;width:1258;height:392" coordorigin="1995,6951" coordsize="1258,392" path="m1995,7343l3252,7343,3252,6951,1995,6951,1995,7343xe" filled="true" fillcolor="#ffffff" stroked="false">
              <v:path arrowok="t"/>
              <v:fill type="solid"/>
            </v:shape>
            <w10:wrap type="none"/>
          </v:group>
        </w:pict>
      </w:r>
      <w:r>
        <w:rPr/>
        <w:pict>
          <v:group style="position:absolute;margin-left:99.744003pt;margin-top:384.529968pt;width:62.9pt;height:19.6pt;mso-position-horizontal-relative:page;mso-position-vertical-relative:page;z-index:-1663912" coordorigin="1995,7691" coordsize="1258,392">
            <v:shape style="position:absolute;left:1995;top:7691;width:1258;height:392" coordorigin="1995,7691" coordsize="1258,392" path="m1995,8082l3252,8082,3252,7691,1995,7691,1995,8082xe" filled="true" fillcolor="#ffffff" stroked="false">
              <v:path arrowok="t"/>
              <v:fill type="solid"/>
            </v:shape>
            <w10:wrap type="none"/>
          </v:group>
        </w:pict>
      </w:r>
      <w:r>
        <w:rPr/>
        <w:pict>
          <v:group style="position:absolute;margin-left:99.744003pt;margin-top:421.48999pt;width:62.9pt;height:19.6pt;mso-position-horizontal-relative:page;mso-position-vertical-relative:page;z-index:-1663888" coordorigin="1995,8430" coordsize="1258,392">
            <v:shape style="position:absolute;left:1995;top:8430;width:1258;height:392" coordorigin="1995,8430" coordsize="1258,392" path="m1995,8821l3252,8821,3252,8430,1995,8430,1995,8821xe" filled="true" fillcolor="#ffffff" stroked="false">
              <v:path arrowok="t"/>
              <v:fill type="solid"/>
            </v:shape>
            <w10:wrap type="none"/>
          </v:group>
        </w:pict>
      </w:r>
      <w:r>
        <w:rPr/>
        <w:pict>
          <v:group style="position:absolute;margin-left:99.744003pt;margin-top:458.469971pt;width:62.9pt;height:19.6pt;mso-position-horizontal-relative:page;mso-position-vertical-relative:page;z-index:-1663864" coordorigin="1995,9169" coordsize="1258,392">
            <v:shape style="position:absolute;left:1995;top:9169;width:1258;height:392" coordorigin="1995,9169" coordsize="1258,392" path="m1995,9561l3252,9561,3252,9169,1995,9169,1995,9561xe" filled="true" fillcolor="#ffffff" stroked="false">
              <v:path arrowok="t"/>
              <v:fill type="solid"/>
            </v:shape>
            <w10:wrap type="none"/>
          </v:group>
        </w:pict>
      </w:r>
      <w:r>
        <w:rPr/>
        <w:pict>
          <v:group style="position:absolute;margin-left:99.744003pt;margin-top:644.859985pt;width:62.9pt;height:19.6pt;mso-position-horizontal-relative:page;mso-position-vertical-relative:page;z-index:-1663840" coordorigin="1995,12897" coordsize="1258,392">
            <v:shape style="position:absolute;left:1995;top:12897;width:1258;height:392" coordorigin="1995,12897" coordsize="1258,392" path="m1995,13288l3252,13288,3252,12897,1995,12897,1995,13288xe" filled="true" fillcolor="#ffffff" stroked="false">
              <v:path arrowok="t"/>
              <v:fill type="solid"/>
            </v:shape>
            <w10:wrap type="none"/>
          </v:group>
        </w:pict>
      </w:r>
      <w:r>
        <w:rPr/>
        <w:pict>
          <v:group style="position:absolute;margin-left:99.744003pt;margin-top:681.820007pt;width:62.9pt;height:19.6pt;mso-position-horizontal-relative:page;mso-position-vertical-relative:page;z-index:-1663816" coordorigin="1995,13636" coordsize="1258,392">
            <v:shape style="position:absolute;left:1995;top:13636;width:1258;height:392" coordorigin="1995,13636" coordsize="1258,392" path="m1995,14028l3252,14028,3252,13636,1995,13636,1995,14028xe" filled="true" fillcolor="#ffffff" stroked="false">
              <v:path arrowok="t"/>
              <v:fill type="solid"/>
            </v:shape>
            <w10:wrap type="none"/>
          </v:group>
        </w:pict>
      </w:r>
      <w:r>
        <w:rPr/>
        <w:pict>
          <v:group style="position:absolute;margin-left:99.744003pt;margin-top:718.779968pt;width:62.9pt;height:19.6pt;mso-position-horizontal-relative:page;mso-position-vertical-relative:page;z-index:-1663792" coordorigin="1995,14376" coordsize="1258,392">
            <v:shape style="position:absolute;left:1995;top:14376;width:1258;height:392" coordorigin="1995,14376" coordsize="1258,392" path="m1995,14767l3252,14767,3252,14376,1995,14376,1995,14767xe" filled="true" fillcolor="#ffffff" stroked="false">
              <v:path arrowok="t"/>
              <v:fill type="solid"/>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2018/3/20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自主合同债务人履行债务期限届满之日起两年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151,200,000.00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2019/5/16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债务履行期届满日起两年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214,000,000.00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2018/4/17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神码科技发展</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455,000,000.00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银行收到保证人终止保证书的书面通知后六个月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神码澳门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455,000,000.00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银行收到保证人终止保证书的书面通知后六个月</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2019/3/8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债务履行期限届满之日起两年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2019/6/24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主债权发生期间届满之日起两年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神码深圳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210,000,000.00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2019/12/12</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主合同项下的借款期限届满之次日起两年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神码上海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460,000,000.00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2019/12/27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390,000,000.00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主合同项下债务履行期届满之日起两年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2018/5/3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主合同项下的借款期限届满之次日起两年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2017/11/16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2019/3/28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2018/9/25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2019/12/17</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2019/3/28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主合同项下的借款期限届满之次日起两年。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2018/1/16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主合同项下的借款期限届满之次日起两年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690,000,000.00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2018/1/8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2019/8/14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2017/3/13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2019/3/11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2018/7/6</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2019/1/10</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2018/11/5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2019/5/8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8"/>
          <w:szCs w:val="28"/>
        </w:rPr>
      </w:pPr>
      <w:r>
        <w:rPr/>
        <w:pict>
          <v:shape style="position:absolute;margin-left:57.599998pt;margin-top:125.779984pt;width:105.05pt;height:19.7pt;mso-position-horizontal-relative:page;mso-position-vertical-relative:page;z-index:-1663768"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162.73999pt;width:105.05pt;height:19.7pt;mso-position-horizontal-relative:page;mso-position-vertical-relative:page;z-index:-1663744"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199.699982pt;width:105.05pt;height:19.6pt;mso-position-horizontal-relative:page;mso-position-vertical-relative:page;z-index:-1663720"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236.665985pt;width:105.05pt;height:19.6pt;mso-position-horizontal-relative:page;mso-position-vertical-relative:page;z-index:-1663696"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273.649994pt;width:105.05pt;height:19.6pt;mso-position-horizontal-relative:page;mso-position-vertical-relative:page;z-index:-1663672"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331.969971pt;width:105.05pt;height:19.6pt;mso-position-horizontal-relative:page;mso-position-vertical-relative:page;z-index:-1663648"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shape style="position:absolute;margin-left:57.599998pt;margin-top:368.929993pt;width:105.05pt;height:19.6pt;mso-position-horizontal-relative:page;mso-position-vertical-relative:page;z-index:-1663624"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group style="position:absolute;margin-left:99.744003pt;margin-top:125.779984pt;width:62.9pt;height:19.7pt;mso-position-horizontal-relative:page;mso-position-vertical-relative:page;z-index:-1663576" coordorigin="1995,2516" coordsize="1258,394">
            <v:shape style="position:absolute;left:1995;top:2516;width:1258;height:394" coordorigin="1995,2516" coordsize="1258,394" path="m1995,2909l3252,2909,3252,2516,1995,2516,1995,2909xe" filled="true" fillcolor="#ffffff" stroked="false">
              <v:path arrowok="t"/>
              <v:fill type="solid"/>
            </v:shape>
            <w10:wrap type="none"/>
          </v:group>
        </w:pict>
      </w:r>
      <w:r>
        <w:rPr/>
        <w:pict>
          <v:group style="position:absolute;margin-left:99.744003pt;margin-top:162.73999pt;width:62.9pt;height:19.7pt;mso-position-horizontal-relative:page;mso-position-vertical-relative:page;z-index:-1663552" coordorigin="1995,3255" coordsize="1258,394">
            <v:shape style="position:absolute;left:1995;top:3255;width:1258;height:394" coordorigin="1995,3255" coordsize="1258,394" path="m1995,3648l3252,3648,3252,3255,1995,3255,1995,3648xe" filled="true" fillcolor="#ffffff" stroked="false">
              <v:path arrowok="t"/>
              <v:fill type="solid"/>
            </v:shape>
            <w10:wrap type="none"/>
          </v:group>
        </w:pict>
      </w:r>
      <w:r>
        <w:rPr/>
        <w:pict>
          <v:group style="position:absolute;margin-left:99.744003pt;margin-top:199.699982pt;width:62.9pt;height:19.6pt;mso-position-horizontal-relative:page;mso-position-vertical-relative:page;z-index:-1663528" coordorigin="1995,3994" coordsize="1258,392">
            <v:shape style="position:absolute;left:1995;top:3994;width:1258;height:392" coordorigin="1995,3994" coordsize="1258,392" path="m1995,4385l3252,4385,3252,3994,1995,3994,1995,4385xe" filled="true" fillcolor="#ffffff" stroked="false">
              <v:path arrowok="t"/>
              <v:fill type="solid"/>
            </v:shape>
            <w10:wrap type="none"/>
          </v:group>
        </w:pict>
      </w:r>
      <w:r>
        <w:rPr/>
        <w:pict>
          <v:group style="position:absolute;margin-left:99.744003pt;margin-top:236.659988pt;width:62.9pt;height:19.6pt;mso-position-horizontal-relative:page;mso-position-vertical-relative:page;z-index:-1663504" coordorigin="1995,4733" coordsize="1258,392">
            <v:shape style="position:absolute;left:1995;top:4733;width:1258;height:392" coordorigin="1995,4733" coordsize="1258,392" path="m1995,5124l3252,5124,3252,4733,1995,4733,1995,5124xe" filled="true" fillcolor="#ffffff" stroked="false">
              <v:path arrowok="t"/>
              <v:fill type="solid"/>
            </v:shape>
            <w10:wrap type="none"/>
          </v:group>
        </w:pict>
      </w:r>
      <w:r>
        <w:rPr/>
        <w:pict>
          <v:group style="position:absolute;margin-left:99.744003pt;margin-top:273.649994pt;width:62.9pt;height:19.6pt;mso-position-horizontal-relative:page;mso-position-vertical-relative:page;z-index:-1663480" coordorigin="1995,5473" coordsize="1258,392">
            <v:shape style="position:absolute;left:1995;top:5473;width:1258;height:392" coordorigin="1995,5473" coordsize="1258,392" path="m1995,5864l3252,5864,3252,5473,1995,5473,1995,5864xe" filled="true" fillcolor="#ffffff" stroked="false">
              <v:path arrowok="t"/>
              <v:fill type="solid"/>
            </v:shape>
            <w10:wrap type="none"/>
          </v:group>
        </w:pict>
      </w:r>
      <w:r>
        <w:rPr/>
        <w:pict>
          <v:group style="position:absolute;margin-left:99.744003pt;margin-top:331.969971pt;width:62.9pt;height:19.6pt;mso-position-horizontal-relative:page;mso-position-vertical-relative:page;z-index:-1663456" coordorigin="1995,6639" coordsize="1258,392">
            <v:shape style="position:absolute;left:1995;top:6639;width:1258;height:392" coordorigin="1995,6639" coordsize="1258,392" path="m1995,7031l3252,7031,3252,6639,1995,6639,1995,7031xe" filled="true" fillcolor="#ffffff" stroked="false">
              <v:path arrowok="t"/>
              <v:fill type="solid"/>
            </v:shape>
            <w10:wrap type="none"/>
          </v:group>
        </w:pict>
      </w:r>
      <w:r>
        <w:rPr/>
        <w:pict>
          <v:group style="position:absolute;margin-left:99.744003pt;margin-top:368.929993pt;width:62.9pt;height:19.6pt;mso-position-horizontal-relative:page;mso-position-vertical-relative:page;z-index:-1663432" coordorigin="1995,7379" coordsize="1258,392">
            <v:shape style="position:absolute;left:1995;top:7379;width:1258;height:392" coordorigin="1995,7379" coordsize="1258,392" path="m1995,7770l3252,7770,3252,7379,1995,7379,1995,7770xe" filled="true" fillcolor="#ffffff" stroked="false">
              <v:path arrowok="t"/>
              <v:fill type="solid"/>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845"/>
        <w:gridCol w:w="1274"/>
        <w:gridCol w:w="1419"/>
        <w:gridCol w:w="1274"/>
        <w:gridCol w:w="3963"/>
        <w:gridCol w:w="830"/>
      </w:tblGrid>
      <w:tr>
        <w:trPr>
          <w:trHeight w:val="104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3"/>
              <w:jc w:val="right"/>
              <w:rPr>
                <w:rFonts w:ascii="宋体" w:hAnsi="宋体" w:cs="宋体" w:eastAsia="宋体" w:hint="default"/>
                <w:sz w:val="18"/>
                <w:szCs w:val="18"/>
              </w:rPr>
            </w:pPr>
            <w:r>
              <w:rPr>
                <w:rFonts w:ascii="宋体" w:hAnsi="宋体" w:cs="宋体" w:eastAsia="宋体" w:hint="default"/>
                <w:sz w:val="18"/>
                <w:szCs w:val="18"/>
              </w:rPr>
              <w:t>担保方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339"/>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7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39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4"/>
              <w:ind w:left="47" w:right="47"/>
              <w:jc w:val="center"/>
              <w:rPr>
                <w:rFonts w:ascii="宋体" w:hAnsi="宋体" w:cs="宋体" w:eastAsia="宋体" w:hint="default"/>
                <w:sz w:val="18"/>
                <w:szCs w:val="18"/>
              </w:rPr>
            </w:pPr>
            <w:r>
              <w:rPr>
                <w:rFonts w:ascii="宋体" w:hAnsi="宋体" w:cs="宋体" w:eastAsia="宋体" w:hint="default"/>
                <w:sz w:val="18"/>
                <w:szCs w:val="18"/>
              </w:rPr>
              <w:t>担保是已 经否履行 完毕</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63"/>
              <w:jc w:val="right"/>
              <w:rPr>
                <w:rFonts w:ascii="Times New Roman" w:hAnsi="Times New Roman" w:cs="Times New Roman" w:eastAsia="Times New Roman" w:hint="default"/>
                <w:sz w:val="18"/>
                <w:szCs w:val="18"/>
              </w:rPr>
            </w:pPr>
            <w:r>
              <w:rPr>
                <w:rFonts w:ascii="Times New Roman"/>
                <w:spacing w:val="-1"/>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2019/1/10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2019/7/8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2019/3/11</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2019/9/5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2019/5/8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2019/10/24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63"/>
              <w:jc w:val="right"/>
              <w:rPr>
                <w:rFonts w:ascii="Times New Roman" w:hAnsi="Times New Roman" w:cs="Times New Roman" w:eastAsia="Times New Roman" w:hint="default"/>
                <w:sz w:val="18"/>
                <w:szCs w:val="18"/>
              </w:rPr>
            </w:pPr>
            <w:r>
              <w:rPr>
                <w:rFonts w:ascii="Times New Roman"/>
                <w:spacing w:val="-1"/>
                <w:sz w:val="18"/>
              </w:rPr>
              <w:t>50,000,000.00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2019/7/8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2019/10/24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2019/8/8</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主合同项下被担保债务的履行期届满之后两年止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920,000,000.00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2019/8/14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主债权发生期间届满之日起两年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2019/9/5</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主合同项下被担保债务的履行期届满之后两年止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200,000,000.00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2019/10/24</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主合同项下被担保债务的履行期届满之后两年止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神码中国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神码供应链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2019/12/17</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主合同项下的借款期限届满之日起两年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63"/>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2016/12/30</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5"/>
              <w:jc w:val="left"/>
              <w:rPr>
                <w:rFonts w:ascii="宋体" w:hAnsi="宋体" w:cs="宋体" w:eastAsia="宋体" w:hint="default"/>
                <w:sz w:val="18"/>
                <w:szCs w:val="18"/>
              </w:rPr>
            </w:pPr>
            <w:r>
              <w:rPr>
                <w:rFonts w:ascii="宋体" w:hAnsi="宋体" w:cs="宋体" w:eastAsia="宋体" w:hint="default"/>
                <w:spacing w:val="7"/>
                <w:sz w:val="18"/>
                <w:szCs w:val="18"/>
              </w:rPr>
              <w:t>最后一笔被担保债务的最终到期日后满两年之日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终止</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
              <w:jc w:val="right"/>
              <w:rPr>
                <w:rFonts w:ascii="宋体" w:hAnsi="宋体" w:cs="宋体" w:eastAsia="宋体" w:hint="default"/>
                <w:sz w:val="18"/>
                <w:szCs w:val="18"/>
              </w:rPr>
            </w:pPr>
            <w:r>
              <w:rPr>
                <w:rFonts w:ascii="宋体" w:hAnsi="宋体" w:cs="宋体" w:eastAsia="宋体" w:hint="default"/>
                <w:sz w:val="18"/>
                <w:szCs w:val="18"/>
              </w:rPr>
              <w:t>神码集团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100,000,000.00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2019/6/12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神码深圳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神码北京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2"/>
              <w:jc w:val="right"/>
              <w:rPr>
                <w:rFonts w:ascii="Times New Roman" w:hAnsi="Times New Roman" w:cs="Times New Roman" w:eastAsia="Times New Roman" w:hint="default"/>
                <w:sz w:val="18"/>
                <w:szCs w:val="18"/>
              </w:rPr>
            </w:pPr>
            <w:r>
              <w:rPr>
                <w:rFonts w:ascii="Times New Roman"/>
                <w:spacing w:val="-1"/>
                <w:sz w:val="18"/>
              </w:rPr>
              <w:t>500,000,000.00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2019/6/13</w:t>
            </w:r>
          </w:p>
        </w:tc>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主债权届满之日起两年</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pict>
          <v:shape style="position:absolute;margin-left:57.599998pt;margin-top:-64.656319pt;width:105.05pt;height:19.7pt;mso-position-horizontal-relative:page;mso-position-vertical-relative:paragraph;z-index:-1663600" type="#_x0000_t202" filled="false" stroked="false">
            <v:textbox inset="0,0,0,0">
              <w:txbxContent>
                <w:p>
                  <w:pPr>
                    <w:pStyle w:val="BodyText"/>
                    <w:spacing w:line="240" w:lineRule="auto" w:before="49"/>
                    <w:ind w:left="0" w:right="0"/>
                    <w:jc w:val="left"/>
                  </w:pPr>
                  <w:r>
                    <w:rPr/>
                    <w:t>神码中国、</w:t>
                  </w:r>
                </w:p>
              </w:txbxContent>
            </v:textbox>
            <w10:wrap type="none"/>
          </v:shape>
        </w:pict>
      </w:r>
      <w:r>
        <w:rPr/>
        <w:pict>
          <v:group style="position:absolute;margin-left:99.744003pt;margin-top:-64.656319pt;width:62.9pt;height:19.7pt;mso-position-horizontal-relative:page;mso-position-vertical-relative:paragraph;z-index:-1663408" coordorigin="1995,-1293" coordsize="1258,394">
            <v:shape style="position:absolute;left:1995;top:-1293;width:1258;height:394" coordorigin="1995,-1293" coordsize="1258,394" path="m1995,-900l3252,-900,3252,-1293,1995,-1293,1995,-900xe" filled="true" fillcolor="#ffffff" stroked="false">
              <v:path arrowok="t"/>
              <v:fill type="solid"/>
            </v:shape>
            <w10:wrap type="none"/>
          </v:group>
        </w:pict>
      </w:r>
      <w:bookmarkStart w:name="（4）关联方资金拆借" w:id="371"/>
      <w:bookmarkEnd w:id="371"/>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69,464,643.42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北京神州数码置业发展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right="0" w:firstLine="360"/>
        <w:jc w:val="left"/>
      </w:pPr>
      <w:r>
        <w:rPr/>
        <w:t>注</w:t>
      </w:r>
      <w:r>
        <w:rPr>
          <w:rFonts w:ascii="Times New Roman" w:hAnsi="Times New Roman" w:cs="Times New Roman" w:eastAsia="Times New Roman" w:hint="default"/>
        </w:rPr>
        <w:t>:</w:t>
      </w:r>
      <w:r>
        <w:rPr/>
        <w:t>神码中国与北京神州数码置业发展有限公司的借款协议及展期协议于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日到期，双方签署了展期协议， 展期期限为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日，利率为</w:t>
      </w:r>
      <w:r>
        <w:rPr>
          <w:rFonts w:ascii="Times New Roman" w:hAnsi="Times New Roman" w:cs="Times New Roman" w:eastAsia="Times New Roman" w:hint="default"/>
        </w:rPr>
        <w:t>4.35%</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关联方资产转让、债务重组情况" w:id="372"/>
      <w:bookmarkEnd w:id="372"/>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处置在建工程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2,500,909.09</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
              <w:jc w:val="both"/>
              <w:rPr>
                <w:rFonts w:ascii="宋体" w:hAnsi="宋体" w:cs="宋体" w:eastAsia="宋体" w:hint="default"/>
                <w:sz w:val="18"/>
                <w:szCs w:val="18"/>
              </w:rPr>
            </w:pPr>
            <w:r>
              <w:rPr>
                <w:rFonts w:ascii="宋体" w:hAnsi="宋体" w:cs="宋体" w:eastAsia="宋体" w:hint="default"/>
                <w:sz w:val="18"/>
                <w:szCs w:val="18"/>
              </w:rPr>
              <w:t>深圳神州普惠信息有限公司、 神州数码金融服务（深圳）有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1,644,277.96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深圳神州惠众科技有限公司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6,694,627.04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关联交易" w:id="373"/>
      <w:bookmarkEnd w:id="373"/>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0" w:hanging="361"/>
        <w:jc w:val="left"/>
      </w:pPr>
      <w:r>
        <w:rPr/>
        <w:t>关联方商标授权使用 </w:t>
      </w:r>
      <w:r>
        <w:rPr>
          <w:spacing w:val="-2"/>
        </w:rPr>
        <w:t>根据神码中国与神州控股订立的若干商标许可使用协议，神码中国授权神州控股使用若干商标。自授权神州控股使用该</w:t>
      </w:r>
    </w:p>
    <w:p>
      <w:pPr>
        <w:pStyle w:val="BodyText"/>
        <w:spacing w:line="222" w:lineRule="exact"/>
        <w:ind w:right="0"/>
        <w:jc w:val="left"/>
      </w:pPr>
      <w:r>
        <w:rPr/>
        <w:t>等商标以来，相关许可使用费用获神码中国豁免。</w:t>
      </w:r>
    </w:p>
    <w:p>
      <w:pPr>
        <w:spacing w:after="0" w:line="222" w:lineRule="exact"/>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6、关联方应收应付款项" w:id="374"/>
      <w:bookmarkEnd w:id="37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75"/>
      <w:bookmarkEnd w:id="37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54,578,432.58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545,784.33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18,883,304.40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188,833.04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109,104.00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1,091.04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北京荣之联科技股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5,914,906.39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59,149.06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12,522,587.94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北京神州数码科捷 技术服务有限公司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988,393.59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北京神州数码锐行 快捷信息技术服务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42,744.67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216,555.50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7,080.65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605,774.00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6,057.74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广州智慧神州科技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37.31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深圳科捷电商供应 链有限公司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22,108,472.24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221,084.72</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1,374,341.06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6,667.36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20,270.60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13,766.55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3,815,555.82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450,465.43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5,858,814.84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1,516,983.89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3,929.85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2,404.56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2,303,361.84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1,431,157.81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4,034,708.28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483,138.89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智慧神州（北京）科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589,890.00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589,890.00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589,890.00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03"/>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Financial</w:t>
            </w:r>
            <w:r>
              <w:rPr>
                <w:rFonts w:ascii="Times New Roman"/>
                <w:spacing w:val="-3"/>
                <w:sz w:val="18"/>
              </w:rPr>
              <w:t> </w:t>
            </w:r>
            <w:r>
              <w:rPr>
                <w:rFonts w:ascii="Times New Roman"/>
                <w:sz w:val="18"/>
              </w:rPr>
              <w:t>Service</w:t>
            </w:r>
            <w:r>
              <w:rPr>
                <w:rFonts w:ascii="Times New Roman"/>
                <w:sz w:val="18"/>
              </w:rPr>
              <w:t> Holding</w:t>
            </w:r>
            <w:r>
              <w:rPr>
                <w:rFonts w:ascii="Times New Roman"/>
                <w:spacing w:val="-6"/>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30.18</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86"/>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北京神州邦邦技术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11,028.00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16,240.62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北京神州数码置业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117,329,957.31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1,173,299.57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153,599,417.81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1,535,994.18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神州数码（武汉）科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技园有限公司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5,043.75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5,043.75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667,298.14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北京神州数码科捷 技术服务有限公司 龙岗分公司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1,610,508.00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14,863.30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辽宁智慧山水城科 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521,104.60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521,104.60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深圳科捷物流有限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1,559,110.49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1,162,644.00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科捷进出口有限公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2,239,248.56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神州顶联科技有限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3,809,125.04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38,091.25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3,574,146.34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35,741.46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2）应付项目" w:id="376"/>
      <w:bookmarkEnd w:id="37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9,725.52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上海昱申科技有限责任公司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4,109,146.89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2,729,426.00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北京荣之联科技股份有限公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3,077,964.94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深圳科捷电商供应链有限公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85,937.56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82"/>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w:t>
            </w:r>
            <w:r>
              <w:rPr>
                <w:rFonts w:ascii="Times New Roman"/>
                <w:spacing w:val="-18"/>
                <w:sz w:val="18"/>
              </w:rPr>
              <w:t> </w:t>
            </w:r>
            <w:r>
              <w:rPr>
                <w:rFonts w:ascii="Times New Roman"/>
                <w:sz w:val="18"/>
              </w:rPr>
              <w:t>HOLDINGS</w:t>
            </w:r>
            <w:r>
              <w:rPr>
                <w:rFonts w:ascii="Times New Roman"/>
                <w:w w:val="99"/>
                <w:sz w:val="18"/>
              </w:rPr>
              <w:t> </w:t>
            </w:r>
            <w:r>
              <w:rPr>
                <w:rFonts w:ascii="Times New Roman"/>
                <w:spacing w:val="-7"/>
                <w:sz w:val="18"/>
              </w:rPr>
              <w:t>LTD</w:t>
            </w:r>
            <w:r>
              <w:rPr>
                <w:rFonts w:ascii="Times New Roman"/>
                <w:spacing w:val="2"/>
                <w:sz w:val="18"/>
              </w:rPr>
              <w:t> </w:t>
            </w:r>
            <w:r>
              <w:rPr>
                <w:rFonts w:ascii="Times New Roman"/>
                <w:sz w:val="18"/>
              </w:rPr>
              <w:t>BERMUDA</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23,144.78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305,604.42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24"/>
              <w:jc w:val="left"/>
              <w:rPr>
                <w:rFonts w:ascii="Times New Roman" w:hAnsi="Times New Roman" w:cs="Times New Roman" w:eastAsia="Times New Roman" w:hint="default"/>
                <w:sz w:val="18"/>
                <w:szCs w:val="18"/>
              </w:rPr>
            </w:pPr>
            <w:r>
              <w:rPr>
                <w:rFonts w:ascii="Times New Roman"/>
                <w:sz w:val="18"/>
              </w:rPr>
              <w:t>Instant Technology</w:t>
            </w:r>
            <w:r>
              <w:rPr>
                <w:rFonts w:ascii="Times New Roman"/>
                <w:spacing w:val="-20"/>
                <w:sz w:val="18"/>
              </w:rPr>
              <w:t> </w:t>
            </w:r>
            <w:r>
              <w:rPr>
                <w:rFonts w:ascii="Times New Roman"/>
                <w:sz w:val="18"/>
              </w:rPr>
              <w:t>Supply</w:t>
            </w:r>
            <w:r>
              <w:rPr>
                <w:rFonts w:ascii="Times New Roman"/>
                <w:sz w:val="18"/>
              </w:rPr>
              <w:t> Chain Hong Kong</w:t>
            </w:r>
            <w:r>
              <w:rPr>
                <w:rFonts w:ascii="Times New Roman"/>
                <w:spacing w:val="-9"/>
                <w:sz w:val="18"/>
              </w:rPr>
              <w:t> </w:t>
            </w:r>
            <w:r>
              <w:rPr>
                <w:rFonts w:ascii="Times New Roman"/>
                <w:sz w:val="18"/>
              </w:rPr>
              <w:t>Limited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552,762.21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585,555.67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5,323,070.36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13,355,393.65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58,451.47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102,566.00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深圳科捷电商供应链有限公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239,898.36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4,883,219.72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6,472,358.27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304,139.30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6,213,742.93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3,383.36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424,864.60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科捷进出口有限公司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2,210,072.95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神州顶联科技有限公司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神州数码系统集成服务有限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180,606.00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北京神州数码科捷技术服务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219,346.99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542,026.48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神州灵云（北京）科技有限公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北京今易通达通讯设备维修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2,954.00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377"/>
      <w:bookmarkEnd w:id="377"/>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78"/>
      <w:bookmarkEnd w:id="37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138"/>
        <w:jc w:val="right"/>
      </w:pPr>
      <w:r>
        <w:rPr/>
        <w:pict>
          <v:shape style="position:absolute;margin-left:56.459999pt;margin-top:-92.198296pt;width:479.2pt;height:190.1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374,195,250.00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9,289,881.35</w:t>
                        </w:r>
                      </w:p>
                    </w:tc>
                  </w:tr>
                  <w:tr>
                    <w:trPr>
                      <w:trHeight w:val="258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年购股权计划</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股，合同已 </w:t>
                        </w:r>
                        <w:r>
                          <w:rPr>
                            <w:rFonts w:ascii="宋体" w:hAnsi="宋体" w:cs="宋体" w:eastAsia="宋体" w:hint="default"/>
                            <w:spacing w:val="-3"/>
                            <w:sz w:val="18"/>
                            <w:szCs w:val="18"/>
                          </w:rPr>
                          <w:t>执行完毕；</w:t>
                        </w:r>
                        <w:r>
                          <w:rPr>
                            <w:rFonts w:ascii="Times New Roman" w:hAnsi="Times New Roman" w:cs="Times New Roman" w:eastAsia="Times New Roman" w:hint="default"/>
                            <w:spacing w:val="-3"/>
                            <w:sz w:val="18"/>
                            <w:szCs w:val="18"/>
                          </w:rPr>
                          <w:t>"2011 </w:t>
                        </w:r>
                        <w:r>
                          <w:rPr>
                            <w:rFonts w:ascii="宋体" w:hAnsi="宋体" w:cs="宋体" w:eastAsia="宋体" w:hint="default"/>
                            <w:spacing w:val="-3"/>
                            <w:sz w:val="18"/>
                            <w:szCs w:val="18"/>
                          </w:rPr>
                          <w:t>年购股权计划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：行权价格 </w:t>
                        </w:r>
                        <w:r>
                          <w:rPr>
                            <w:rFonts w:ascii="Times New Roman" w:hAnsi="Times New Roman" w:cs="Times New Roman" w:eastAsia="Times New Roman" w:hint="default"/>
                            <w:sz w:val="18"/>
                            <w:szCs w:val="18"/>
                          </w:rPr>
                          <w:t>12.83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w:t>
                        </w:r>
                      </w:p>
                      <w:p>
                        <w:pPr>
                          <w:pStyle w:val="TableParagraph"/>
                          <w:spacing w:line="300" w:lineRule="auto" w:before="13"/>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股，合同已执行完毕；</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年股票期权激励计划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行权价格</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15.55</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股，授予登记完成之日起至所有股</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票期权行权或注销之日止最长不超过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"2019</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pacing w:val="-3"/>
                            <w:sz w:val="18"/>
                            <w:szCs w:val="18"/>
                          </w:rPr>
                          <w:t>年限制性股票激励计划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：授予价格</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7.82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股，授予</w:t>
                        </w:r>
                        <w:r>
                          <w:rPr>
                            <w:rFonts w:ascii="宋体" w:hAnsi="宋体" w:cs="宋体" w:eastAsia="宋体" w:hint="default"/>
                            <w:sz w:val="18"/>
                            <w:szCs w:val="18"/>
                          </w:rPr>
                          <w:t> 登记完成之日起至限制性股票解除限售或回购注销 完毕之日止最长不超过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left"/>
        <w:rPr>
          <w:b w:val="0"/>
          <w:bCs w:val="0"/>
        </w:rPr>
      </w:pPr>
      <w:bookmarkStart w:name="2、以权益结算的股份支付情况" w:id="379"/>
      <w:bookmarkEnd w:id="37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详见本附注其他说明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详见本附注其他说明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98,667,107.46</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8,124,758.21</w:t>
            </w:r>
          </w:p>
        </w:tc>
      </w:tr>
    </w:tbl>
    <w:p>
      <w:pPr>
        <w:pStyle w:val="BodyText"/>
        <w:spacing w:line="240" w:lineRule="auto" w:before="8"/>
        <w:ind w:right="0"/>
        <w:jc w:val="left"/>
      </w:pPr>
      <w:r>
        <w:rPr/>
        <w:t>其他说明</w:t>
      </w:r>
      <w:r>
        <w:rPr>
          <w:rFonts w:ascii="Times New Roman" w:hAnsi="Times New Roman" w:cs="Times New Roman" w:eastAsia="Times New Roman" w:hint="default"/>
        </w:rPr>
        <w:t>1</w:t>
      </w:r>
      <w:r>
        <w:rPr/>
        <w:t>：</w:t>
      </w:r>
    </w:p>
    <w:p>
      <w:pPr>
        <w:pStyle w:val="BodyText"/>
        <w:spacing w:line="300" w:lineRule="auto" w:before="63"/>
        <w:ind w:right="1128" w:firstLine="360"/>
        <w:jc w:val="both"/>
      </w:pPr>
      <w:r>
        <w:rPr/>
        <w:t>本公司之子公司神码中国、神码上海、神码广州参与了神州控股实施的两个购股权计划，其中一个购股权计划于</w:t>
      </w:r>
      <w:r>
        <w:rPr>
          <w:rFonts w:ascii="Times New Roman" w:hAnsi="Times New Roman" w:cs="Times New Roman" w:eastAsia="Times New Roman" w:hint="default"/>
        </w:rPr>
        <w:t>2002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2002</w:t>
      </w:r>
      <w:r>
        <w:rPr>
          <w:spacing w:val="-1"/>
        </w:rPr>
        <w:t>年购股权计划</w:t>
      </w:r>
      <w:r>
        <w:rPr>
          <w:rFonts w:ascii="Times New Roman" w:hAnsi="Times New Roman" w:cs="Times New Roman" w:eastAsia="Times New Roman" w:hint="default"/>
          <w:spacing w:val="-1"/>
        </w:rPr>
        <w:t>”</w:t>
      </w:r>
      <w:r>
        <w:rPr>
          <w:spacing w:val="-1"/>
        </w:rPr>
        <w:t>）采纳，而另一个购股权计划于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2011</w:t>
      </w:r>
      <w:r>
        <w:rPr>
          <w:spacing w:val="-1"/>
        </w:rPr>
        <w:t>年购股权计划</w:t>
      </w:r>
      <w:r>
        <w:rPr>
          <w:rFonts w:ascii="Times New Roman" w:hAnsi="Times New Roman" w:cs="Times New Roman" w:eastAsia="Times New Roman" w:hint="default"/>
          <w:spacing w:val="-1"/>
        </w:rPr>
        <w:t>”</w:t>
      </w:r>
      <w:r>
        <w:rPr>
          <w:spacing w:val="-1"/>
        </w:rPr>
        <w:t>）采纳（</w:t>
      </w:r>
      <w:r>
        <w:rPr>
          <w:rFonts w:ascii="Times New Roman" w:hAnsi="Times New Roman" w:cs="Times New Roman" w:eastAsia="Times New Roman" w:hint="default"/>
          <w:spacing w:val="-1"/>
        </w:rPr>
        <w:t>2002</w:t>
      </w:r>
      <w:r>
        <w:rPr>
          <w:spacing w:val="-1"/>
        </w:rPr>
        <w:t>年购股</w:t>
      </w:r>
      <w:r>
        <w:rPr>
          <w:spacing w:val="-80"/>
        </w:rPr>
        <w:t> </w:t>
      </w:r>
      <w:r>
        <w:rPr>
          <w:spacing w:val="-80"/>
        </w:rPr>
      </w:r>
      <w:r>
        <w:rPr>
          <w:spacing w:val="-2"/>
        </w:rPr>
        <w:t>权计划及</w:t>
      </w:r>
      <w:r>
        <w:rPr>
          <w:rFonts w:ascii="Times New Roman" w:hAnsi="Times New Roman" w:cs="Times New Roman" w:eastAsia="Times New Roman" w:hint="default"/>
          <w:spacing w:val="-2"/>
        </w:rPr>
        <w:t>2011</w:t>
      </w:r>
      <w:r>
        <w:rPr>
          <w:spacing w:val="-2"/>
        </w:rPr>
        <w:t>年购股权计划以下统称为</w:t>
      </w:r>
      <w:r>
        <w:rPr>
          <w:rFonts w:ascii="Times New Roman" w:hAnsi="Times New Roman" w:cs="Times New Roman" w:eastAsia="Times New Roman" w:hint="default"/>
          <w:spacing w:val="-2"/>
        </w:rPr>
        <w:t>“</w:t>
      </w:r>
      <w:r>
        <w:rPr>
          <w:spacing w:val="-2"/>
        </w:rPr>
        <w:t>购股权计划</w:t>
      </w:r>
      <w:r>
        <w:rPr>
          <w:rFonts w:ascii="Times New Roman" w:hAnsi="Times New Roman" w:cs="Times New Roman" w:eastAsia="Times New Roman" w:hint="default"/>
          <w:spacing w:val="-2"/>
        </w:rPr>
        <w:t>”</w:t>
      </w:r>
      <w:r>
        <w:rPr>
          <w:spacing w:val="-2"/>
        </w:rPr>
        <w:t>）。该等购股权计划均由神州控股授予本公司员工并以神州控股发行自</w:t>
      </w:r>
      <w:r>
        <w:rPr>
          <w:spacing w:val="-42"/>
        </w:rPr>
        <w:t> </w:t>
      </w:r>
      <w:r>
        <w:rPr>
          <w:spacing w:val="-42"/>
        </w:rPr>
      </w:r>
      <w:r>
        <w:rPr/>
        <w:t>身的股份进行结算。</w:t>
      </w:r>
    </w:p>
    <w:p>
      <w:pPr>
        <w:pStyle w:val="BodyText"/>
        <w:spacing w:line="240" w:lineRule="auto" w:before="31"/>
        <w:ind w:left="513" w:right="0"/>
        <w:jc w:val="left"/>
      </w:pPr>
      <w:r>
        <w:rPr/>
        <w:t>购股权计划的主要条款如下：</w:t>
      </w:r>
    </w:p>
    <w:p>
      <w:pPr>
        <w:pStyle w:val="BodyText"/>
        <w:spacing w:line="300" w:lineRule="auto" w:before="76"/>
        <w:ind w:left="513" w:right="1127"/>
        <w:jc w:val="left"/>
      </w:pPr>
      <w:r>
        <w:rPr/>
        <w:t>（</w:t>
      </w:r>
      <w:r>
        <w:rPr>
          <w:rFonts w:ascii="Times New Roman" w:hAnsi="Times New Roman" w:cs="Times New Roman" w:eastAsia="Times New Roman" w:hint="default"/>
        </w:rPr>
        <w:t>1</w:t>
      </w:r>
      <w:r>
        <w:rPr/>
        <w:t>）目的 </w:t>
      </w:r>
      <w:r>
        <w:rPr>
          <w:spacing w:val="-2"/>
        </w:rPr>
        <w:t>购股权计划旨在确认及答谢合资格人士（定义见下文）对本公司所作出或将作出之贡献或可能之贡献，藉以激励合资格</w:t>
      </w:r>
    </w:p>
    <w:p>
      <w:pPr>
        <w:pStyle w:val="BodyText"/>
        <w:spacing w:line="240" w:lineRule="auto" w:before="31"/>
        <w:ind w:right="0"/>
        <w:jc w:val="left"/>
      </w:pPr>
      <w:r>
        <w:rPr/>
        <w:t>人士为本公司之利益精益求精及提高彼等之效率，并维持或招徕与合资格人士的业务关系，合资格人士的贡献着实或会有助</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于本公司的发展。</w:t>
      </w:r>
    </w:p>
    <w:p>
      <w:pPr>
        <w:pStyle w:val="BodyText"/>
        <w:spacing w:line="300" w:lineRule="auto" w:before="77"/>
        <w:ind w:left="513" w:right="1118"/>
        <w:jc w:val="left"/>
      </w:pPr>
      <w:r>
        <w:rPr/>
        <w:t>（</w:t>
      </w:r>
      <w:r>
        <w:rPr>
          <w:rFonts w:ascii="Times New Roman" w:hAnsi="Times New Roman" w:cs="Times New Roman" w:eastAsia="Times New Roman" w:hint="default"/>
        </w:rPr>
        <w:t>2</w:t>
      </w:r>
      <w:r>
        <w:rPr/>
        <w:t>）合资格人士 </w:t>
      </w:r>
      <w:r>
        <w:rPr>
          <w:spacing w:val="-5"/>
        </w:rPr>
        <w:t>本公司任何成员公司或任何联营公司之任何全职或兼职雇员或高级人员或董事（包括执行、非执行或独立非执行董事），</w:t>
      </w:r>
    </w:p>
    <w:p>
      <w:pPr>
        <w:pStyle w:val="BodyText"/>
        <w:spacing w:line="316" w:lineRule="auto" w:before="31"/>
        <w:ind w:right="1034"/>
        <w:jc w:val="left"/>
      </w:pPr>
      <w:r>
        <w:rPr/>
        <w:t>或本公司的任何成员公司之任何供货商、代理、客户、合营伙伴、策略性联盟伙伴、分销商、专业咨询人或顾问或承包商，</w:t>
      </w:r>
      <w:r>
        <w:rPr>
          <w:spacing w:val="-83"/>
        </w:rPr>
        <w:t> </w:t>
      </w:r>
      <w:r>
        <w:rPr>
          <w:spacing w:val="-83"/>
        </w:rPr>
      </w:r>
      <w:r>
        <w:rPr/>
        <w:t>或神州控股董事会预先批准而受益人包括上述任何人士之任何信托（或倘为全权信托，则为全权托管的对象）之受托人。</w:t>
      </w:r>
    </w:p>
    <w:p>
      <w:pPr>
        <w:pStyle w:val="BodyText"/>
        <w:spacing w:line="300" w:lineRule="auto" w:before="19"/>
        <w:ind w:left="513" w:right="2563"/>
        <w:jc w:val="left"/>
      </w:pPr>
      <w:r>
        <w:rPr/>
        <w:t>（</w:t>
      </w:r>
      <w:r>
        <w:rPr>
          <w:rFonts w:ascii="Times New Roman" w:hAnsi="Times New Roman" w:cs="Times New Roman" w:eastAsia="Times New Roman" w:hint="default"/>
        </w:rPr>
        <w:t>3</w:t>
      </w:r>
      <w:r>
        <w:rPr/>
        <w:t>）最高股份数目 在</w:t>
      </w:r>
      <w:r>
        <w:rPr>
          <w:rFonts w:ascii="Times New Roman" w:hAnsi="Times New Roman" w:cs="Times New Roman" w:eastAsia="Times New Roman" w:hint="default"/>
        </w:rPr>
        <w:t>2002</w:t>
      </w:r>
      <w:r>
        <w:rPr/>
        <w:t>年购股权计划及</w:t>
      </w:r>
      <w:r>
        <w:rPr>
          <w:rFonts w:ascii="Times New Roman" w:hAnsi="Times New Roman" w:cs="Times New Roman" w:eastAsia="Times New Roman" w:hint="default"/>
        </w:rPr>
        <w:t>2011</w:t>
      </w:r>
      <w:r>
        <w:rPr/>
        <w:t>年购股权计划下与本公司的相关的可供发行之股份数目为</w:t>
      </w:r>
      <w:r>
        <w:rPr>
          <w:rFonts w:ascii="Times New Roman" w:hAnsi="Times New Roman" w:cs="Times New Roman" w:eastAsia="Times New Roman" w:hint="default"/>
        </w:rPr>
        <w:t>11,796,000</w:t>
      </w:r>
      <w:r>
        <w:rPr/>
        <w:t>股。</w:t>
      </w:r>
    </w:p>
    <w:p>
      <w:pPr>
        <w:pStyle w:val="BodyText"/>
        <w:spacing w:line="300" w:lineRule="auto" w:before="13"/>
        <w:ind w:left="513" w:right="0"/>
        <w:jc w:val="left"/>
      </w:pPr>
      <w:r>
        <w:rPr/>
        <w:t>（</w:t>
      </w:r>
      <w:r>
        <w:rPr>
          <w:rFonts w:ascii="Times New Roman" w:hAnsi="Times New Roman" w:cs="Times New Roman" w:eastAsia="Times New Roman" w:hint="default"/>
        </w:rPr>
        <w:t>4</w:t>
      </w:r>
      <w:r>
        <w:rPr/>
        <w:t>）每名合资格人士可获授之最高数目 </w:t>
      </w:r>
      <w:r>
        <w:rPr>
          <w:spacing w:val="-2"/>
        </w:rPr>
        <w:t>每名合资格人士在任何十二个月期间根据购股权计划及本公司参与的任何其他购股权计划可获授之购股权（包括已行使</w:t>
      </w:r>
    </w:p>
    <w:p>
      <w:pPr>
        <w:pStyle w:val="BodyText"/>
        <w:spacing w:line="300" w:lineRule="auto" w:before="31"/>
        <w:ind w:right="0"/>
        <w:jc w:val="left"/>
      </w:pPr>
      <w:r>
        <w:rPr/>
        <w:t>及尚未行使），在行使后予以发行及将予发行之最高股份数目不得超过神州控股当时已发行股份之</w:t>
      </w:r>
      <w:r>
        <w:rPr>
          <w:rFonts w:ascii="Times New Roman" w:hAnsi="Times New Roman" w:cs="Times New Roman" w:eastAsia="Times New Roman" w:hint="default"/>
        </w:rPr>
        <w:t>1%</w:t>
      </w:r>
      <w:r>
        <w:rPr/>
        <w:t>。任何进一步授出超</w:t>
      </w:r>
      <w:r>
        <w:rPr>
          <w:spacing w:val="-56"/>
        </w:rPr>
        <w:t> </w:t>
      </w:r>
      <w:r>
        <w:rPr>
          <w:spacing w:val="-56"/>
        </w:rPr>
      </w:r>
      <w:r>
        <w:rPr/>
        <w:t>过此上限之购股权，均须待股东于神州控股股东大会上批准后，方可作实。</w:t>
      </w:r>
    </w:p>
    <w:p>
      <w:pPr>
        <w:pStyle w:val="BodyText"/>
        <w:spacing w:line="319" w:lineRule="auto" w:before="31"/>
        <w:ind w:right="0" w:firstLine="360"/>
        <w:jc w:val="left"/>
      </w:pPr>
      <w:r>
        <w:rPr>
          <w:spacing w:val="-2"/>
        </w:rPr>
        <w:t>任何向本公司董事、行政总裁或主要股东或彼等各自之联系人授出购股权，必须获神州控股之独立非执行董事（不包括</w:t>
      </w:r>
      <w:r>
        <w:rPr/>
        <w:t> 身为该等购股权承授人之独立非执行董事）批准。</w:t>
      </w:r>
    </w:p>
    <w:p>
      <w:pPr>
        <w:pStyle w:val="BodyText"/>
        <w:spacing w:line="309" w:lineRule="auto" w:before="17"/>
        <w:ind w:right="1128" w:firstLine="360"/>
        <w:jc w:val="both"/>
      </w:pPr>
      <w:r>
        <w:rPr>
          <w:spacing w:val="-2"/>
        </w:rPr>
        <w:t>任何向本公司之主要股东或独立非执行董事或彼等各自之联系人授出购股权时，倘建议授出之购股权加上在直至该次授</w:t>
      </w:r>
      <w:r>
        <w:rPr/>
        <w:t> </w:t>
      </w:r>
      <w:r>
        <w:rPr>
          <w:spacing w:val="-2"/>
        </w:rPr>
        <w:t>出购股权当日止（包括该日在内）十二个月期间内已授予该主要股东或独立非执行董事之所有购股权（不论是已行使、注销</w:t>
      </w:r>
      <w:r>
        <w:rPr>
          <w:spacing w:val="-64"/>
        </w:rPr>
        <w:t> </w:t>
      </w:r>
      <w:r>
        <w:rPr>
          <w:spacing w:val="-64"/>
        </w:rPr>
      </w:r>
      <w:r>
        <w:rPr/>
        <w:t>或尚未行使）将会：</w:t>
      </w:r>
      <w:r>
        <w:rPr>
          <w:rFonts w:ascii="Times New Roman" w:hAnsi="Times New Roman" w:cs="Times New Roman" w:eastAsia="Times New Roman" w:hint="default"/>
        </w:rPr>
        <w:t>(i)</w:t>
      </w:r>
      <w:r>
        <w:rPr/>
        <w:t>使该有关人士有权收取的股数超过神州控股当时已发行股本总数的</w:t>
      </w:r>
      <w:r>
        <w:rPr>
          <w:rFonts w:ascii="Times New Roman" w:hAnsi="Times New Roman" w:cs="Times New Roman" w:eastAsia="Times New Roman" w:hint="default"/>
        </w:rPr>
        <w:t>0.1%</w:t>
      </w:r>
      <w:r>
        <w:rPr/>
        <w:t>；及</w:t>
      </w:r>
      <w:r>
        <w:rPr>
          <w:rFonts w:ascii="Times New Roman" w:hAnsi="Times New Roman" w:cs="Times New Roman" w:eastAsia="Times New Roman" w:hint="default"/>
        </w:rPr>
        <w:t>(ii)</w:t>
      </w:r>
      <w:r>
        <w:rPr/>
        <w:t>按神州控股股份于该</w:t>
      </w:r>
      <w:r>
        <w:rPr>
          <w:spacing w:val="-41"/>
        </w:rPr>
        <w:t> </w:t>
      </w:r>
      <w:r>
        <w:rPr>
          <w:spacing w:val="-41"/>
        </w:rPr>
      </w:r>
      <w:r>
        <w:rPr>
          <w:spacing w:val="-2"/>
        </w:rPr>
        <w:t>授出日期在联交所之收市价计算，其总值超过港币</w:t>
      </w:r>
      <w:r>
        <w:rPr>
          <w:rFonts w:ascii="Times New Roman" w:hAnsi="Times New Roman" w:cs="Times New Roman" w:eastAsia="Times New Roman" w:hint="default"/>
          <w:spacing w:val="-2"/>
        </w:rPr>
        <w:t>5,000,000</w:t>
      </w:r>
      <w:r>
        <w:rPr>
          <w:spacing w:val="-2"/>
        </w:rPr>
        <w:t>元，则除了须取得神州控股独立非执行董事之批准外，亦必须在</w:t>
      </w:r>
      <w:r>
        <w:rPr>
          <w:spacing w:val="-54"/>
        </w:rPr>
        <w:t> </w:t>
      </w:r>
      <w:r>
        <w:rPr>
          <w:spacing w:val="-54"/>
        </w:rPr>
      </w:r>
      <w:r>
        <w:rPr/>
        <w:t>股东大会上经由神州控股股东批准。</w:t>
      </w:r>
    </w:p>
    <w:p>
      <w:pPr>
        <w:pStyle w:val="BodyText"/>
        <w:spacing w:line="300" w:lineRule="auto" w:before="24"/>
        <w:ind w:left="513" w:right="0"/>
        <w:jc w:val="left"/>
      </w:pPr>
      <w:r>
        <w:rPr/>
        <w:t>（</w:t>
      </w:r>
      <w:r>
        <w:rPr>
          <w:rFonts w:ascii="Times New Roman" w:hAnsi="Times New Roman" w:cs="Times New Roman" w:eastAsia="Times New Roman" w:hint="default"/>
        </w:rPr>
        <w:t>5</w:t>
      </w:r>
      <w:r>
        <w:rPr/>
        <w:t>）行使购股权之期限 </w:t>
      </w:r>
      <w:r>
        <w:rPr>
          <w:spacing w:val="-2"/>
        </w:rPr>
        <w:t>根据购股权计划之条款，购股权可供行使之期限为有关购股权要约函件所载之期限，惟该期限须于要约日期之第十周年</w:t>
      </w:r>
    </w:p>
    <w:p>
      <w:pPr>
        <w:pStyle w:val="BodyText"/>
        <w:spacing w:line="240" w:lineRule="auto" w:before="31"/>
        <w:ind w:right="0"/>
        <w:jc w:val="left"/>
      </w:pPr>
      <w:r>
        <w:rPr/>
        <w:t>当日届满。</w:t>
      </w:r>
    </w:p>
    <w:p>
      <w:pPr>
        <w:pStyle w:val="BodyText"/>
        <w:spacing w:line="300" w:lineRule="auto" w:before="76"/>
        <w:ind w:left="513" w:right="1127"/>
        <w:jc w:val="left"/>
      </w:pPr>
      <w:r>
        <w:rPr/>
        <w:t>（</w:t>
      </w:r>
      <w:r>
        <w:rPr>
          <w:rFonts w:ascii="Times New Roman" w:hAnsi="Times New Roman" w:cs="Times New Roman" w:eastAsia="Times New Roman" w:hint="default"/>
        </w:rPr>
        <w:t>6</w:t>
      </w:r>
      <w:r>
        <w:rPr/>
        <w:t>）接纳要约 </w:t>
      </w:r>
      <w:r>
        <w:rPr>
          <w:spacing w:val="-2"/>
        </w:rPr>
        <w:t>购股权之要约须于有关要约函件所载就接纳该要约之最后限期或之前获承授人接纳，而该限期不得超过有关要约日期起</w:t>
      </w:r>
    </w:p>
    <w:p>
      <w:pPr>
        <w:pStyle w:val="BodyText"/>
        <w:spacing w:line="240" w:lineRule="auto" w:before="31"/>
        <w:ind w:right="0"/>
        <w:jc w:val="left"/>
      </w:pPr>
      <w:r>
        <w:rPr/>
        <w:t>计之</w:t>
      </w:r>
      <w:r>
        <w:rPr>
          <w:rFonts w:ascii="Times New Roman" w:hAnsi="Times New Roman" w:cs="Times New Roman" w:eastAsia="Times New Roman" w:hint="default"/>
        </w:rPr>
        <w:t>28</w:t>
      </w:r>
      <w:r>
        <w:rPr/>
        <w:t>个营业日。每项要约获接纳时神州控股须收取代价港币</w:t>
      </w:r>
      <w:r>
        <w:rPr>
          <w:rFonts w:ascii="Times New Roman" w:hAnsi="Times New Roman" w:cs="Times New Roman" w:eastAsia="Times New Roman" w:hint="default"/>
        </w:rPr>
        <w:t>1.00</w:t>
      </w:r>
      <w:r>
        <w:rPr/>
        <w:t>元。</w:t>
      </w:r>
    </w:p>
    <w:p>
      <w:pPr>
        <w:pStyle w:val="BodyText"/>
        <w:spacing w:line="300" w:lineRule="auto" w:before="63"/>
        <w:ind w:left="513" w:right="0"/>
        <w:jc w:val="left"/>
      </w:pPr>
      <w:r>
        <w:rPr/>
        <w:t>（</w:t>
      </w:r>
      <w:r>
        <w:rPr>
          <w:rFonts w:ascii="Times New Roman" w:hAnsi="Times New Roman" w:cs="Times New Roman" w:eastAsia="Times New Roman" w:hint="default"/>
        </w:rPr>
        <w:t>7</w:t>
      </w:r>
      <w:r>
        <w:rPr/>
        <w:t>）认购价之厘定基准 </w:t>
      </w:r>
      <w:r>
        <w:rPr>
          <w:spacing w:val="-2"/>
        </w:rPr>
        <w:t>认购价将为下列中之最高者：股份于要约日期之收市价；股份于紧接要约日期前的五个营业日之平均收市价；或股份之</w:t>
      </w:r>
    </w:p>
    <w:p>
      <w:pPr>
        <w:pStyle w:val="BodyText"/>
        <w:spacing w:line="240" w:lineRule="auto" w:before="31"/>
        <w:ind w:right="0"/>
        <w:jc w:val="left"/>
      </w:pPr>
      <w:r>
        <w:rPr/>
        <w:t>面值。</w:t>
      </w:r>
    </w:p>
    <w:p>
      <w:pPr>
        <w:pStyle w:val="BodyText"/>
        <w:spacing w:line="240" w:lineRule="auto" w:before="76"/>
        <w:ind w:left="513" w:right="0"/>
        <w:jc w:val="left"/>
      </w:pPr>
      <w:r>
        <w:rPr/>
        <w:t>（</w:t>
      </w:r>
      <w:r>
        <w:rPr>
          <w:rFonts w:ascii="Times New Roman" w:hAnsi="Times New Roman" w:cs="Times New Roman" w:eastAsia="Times New Roman" w:hint="default"/>
        </w:rPr>
        <w:t>8</w:t>
      </w:r>
      <w:r>
        <w:rPr/>
        <w:t>）购股权计划之有效期</w:t>
      </w:r>
    </w:p>
    <w:p>
      <w:pPr>
        <w:pStyle w:val="BodyText"/>
        <w:spacing w:line="300" w:lineRule="auto" w:before="63"/>
        <w:ind w:right="0" w:firstLine="360"/>
        <w:jc w:val="left"/>
      </w:pPr>
      <w:r>
        <w:rPr>
          <w:rFonts w:ascii="Times New Roman" w:hAnsi="Times New Roman" w:cs="Times New Roman" w:eastAsia="Times New Roman" w:hint="default"/>
          <w:spacing w:val="-2"/>
        </w:rPr>
        <w:t>2002</w:t>
      </w:r>
      <w:r>
        <w:rPr>
          <w:spacing w:val="-2"/>
        </w:rPr>
        <w:t>年购股权计划及</w:t>
      </w:r>
      <w:r>
        <w:rPr>
          <w:rFonts w:ascii="Times New Roman" w:hAnsi="Times New Roman" w:cs="Times New Roman" w:eastAsia="Times New Roman" w:hint="default"/>
          <w:spacing w:val="-2"/>
        </w:rPr>
        <w:t>2011</w:t>
      </w:r>
      <w:r>
        <w:rPr>
          <w:spacing w:val="-2"/>
        </w:rPr>
        <w:t>年购股权计划分别于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日及</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日（即该计划根据其条款被视为已生效之日）</w:t>
      </w:r>
      <w:r>
        <w:rPr/>
        <w:t> 起至多十年期间内维持有效及有作用。</w:t>
      </w:r>
    </w:p>
    <w:p>
      <w:pPr>
        <w:pStyle w:val="BodyText"/>
        <w:spacing w:line="240" w:lineRule="auto" w:before="31"/>
        <w:ind w:left="513" w:right="0"/>
        <w:jc w:val="left"/>
      </w:pPr>
      <w:r>
        <w:rPr/>
        <w:t>（</w:t>
      </w:r>
      <w:r>
        <w:rPr>
          <w:rFonts w:ascii="Times New Roman" w:hAnsi="Times New Roman" w:cs="Times New Roman" w:eastAsia="Times New Roman" w:hint="default"/>
        </w:rPr>
        <w:t>9</w:t>
      </w:r>
      <w:r>
        <w:rPr/>
        <w:t>）购股权并无赋予持有人享有股利或于股东大会上投票的权利。</w:t>
      </w:r>
    </w:p>
    <w:p>
      <w:pPr>
        <w:pStyle w:val="BodyText"/>
        <w:spacing w:line="300" w:lineRule="auto" w:before="63"/>
        <w:ind w:right="0" w:firstLine="360"/>
        <w:jc w:val="left"/>
      </w:pPr>
      <w:r>
        <w:rPr>
          <w:spacing w:val="-1"/>
        </w:rPr>
        <w:t>（</w:t>
      </w:r>
      <w:r>
        <w:rPr>
          <w:rFonts w:ascii="Times New Roman" w:hAnsi="Times New Roman" w:cs="Times New Roman" w:eastAsia="Times New Roman" w:hint="default"/>
          <w:spacing w:val="-1"/>
        </w:rPr>
        <w:t>10</w:t>
      </w:r>
      <w:r>
        <w:rPr>
          <w:spacing w:val="-1"/>
        </w:rPr>
        <w:t>）所有授出之购股权均受制于为期四年的等待期，其中</w:t>
      </w:r>
      <w:r>
        <w:rPr>
          <w:rFonts w:ascii="Times New Roman" w:hAnsi="Times New Roman" w:cs="Times New Roman" w:eastAsia="Times New Roman" w:hint="default"/>
          <w:spacing w:val="-1"/>
        </w:rPr>
        <w:t>25%</w:t>
      </w:r>
      <w:r>
        <w:rPr>
          <w:spacing w:val="-1"/>
        </w:rPr>
        <w:t>于各授出日期起计满一周年之日开始可行权，</w:t>
      </w:r>
      <w:r>
        <w:rPr>
          <w:rFonts w:ascii="Times New Roman" w:hAnsi="Times New Roman" w:cs="Times New Roman" w:eastAsia="Times New Roman" w:hint="default"/>
          <w:spacing w:val="-1"/>
        </w:rPr>
        <w:t>25%</w:t>
      </w:r>
      <w:r>
        <w:rPr>
          <w:spacing w:val="-1"/>
        </w:rPr>
        <w:t>于满</w:t>
      </w:r>
      <w:r>
        <w:rPr/>
        <w:t> 两周年之日开始可行权，</w:t>
      </w:r>
      <w:r>
        <w:rPr>
          <w:rFonts w:ascii="Times New Roman" w:hAnsi="Times New Roman" w:cs="Times New Roman" w:eastAsia="Times New Roman" w:hint="default"/>
        </w:rPr>
        <w:t>25%</w:t>
      </w:r>
      <w:r>
        <w:rPr/>
        <w:t>于满三周年之日开始可行权，及</w:t>
      </w:r>
      <w:r>
        <w:rPr>
          <w:rFonts w:ascii="Times New Roman" w:hAnsi="Times New Roman" w:cs="Times New Roman" w:eastAsia="Times New Roman" w:hint="default"/>
        </w:rPr>
        <w:t>25%</w:t>
      </w:r>
      <w:r>
        <w:rPr/>
        <w:t>于满四周年之日开始可行权。 根据</w:t>
      </w:r>
      <w:r>
        <w:rPr>
          <w:rFonts w:ascii="Times New Roman" w:hAnsi="Times New Roman" w:cs="Times New Roman" w:eastAsia="Times New Roman" w:hint="default"/>
        </w:rPr>
        <w:t>2002</w:t>
      </w:r>
      <w:r>
        <w:rPr/>
        <w:t>年购股权计划，神州控股于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日授予本公司的股份期权为</w:t>
      </w:r>
      <w:r>
        <w:rPr>
          <w:rFonts w:ascii="Times New Roman" w:hAnsi="Times New Roman" w:cs="Times New Roman" w:eastAsia="Times New Roman" w:hint="default"/>
        </w:rPr>
        <w:t>8,300,000</w:t>
      </w:r>
      <w:r>
        <w:rPr/>
        <w:t>股，其公允价值为人民币</w:t>
      </w:r>
      <w:r>
        <w:rPr>
          <w:rFonts w:ascii="Times New Roman" w:hAnsi="Times New Roman" w:cs="Times New Roman" w:eastAsia="Times New Roman" w:hint="default"/>
        </w:rPr>
        <w:t>15,927,185 </w:t>
      </w:r>
      <w:r>
        <w:rPr>
          <w:spacing w:val="-3"/>
        </w:rPr>
        <w:t>元</w:t>
      </w:r>
      <w:r>
        <w:rPr>
          <w:rFonts w:ascii="Times New Roman" w:hAnsi="Times New Roman" w:cs="Times New Roman" w:eastAsia="Times New Roman" w:hint="default"/>
          <w:spacing w:val="-3"/>
        </w:rPr>
        <w:t>(</w:t>
      </w:r>
      <w:r>
        <w:rPr>
          <w:spacing w:val="-3"/>
        </w:rPr>
        <w:t>人民币</w:t>
      </w:r>
      <w:r>
        <w:rPr>
          <w:rFonts w:ascii="Times New Roman" w:hAnsi="Times New Roman" w:cs="Times New Roman" w:eastAsia="Times New Roman" w:hint="default"/>
          <w:spacing w:val="-3"/>
        </w:rPr>
        <w:t>1.92</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w:t>
      </w:r>
      <w:r>
        <w:rPr>
          <w:spacing w:val="-3"/>
        </w:rPr>
        <w:t>，此外，神州控股于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11</w:t>
      </w:r>
      <w:r>
        <w:rPr>
          <w:spacing w:val="-3"/>
        </w:rPr>
        <w:t>日授予本公司的股份期权为</w:t>
      </w:r>
      <w:r>
        <w:rPr>
          <w:rFonts w:ascii="Times New Roman" w:hAnsi="Times New Roman" w:cs="Times New Roman" w:eastAsia="Times New Roman" w:hint="default"/>
          <w:spacing w:val="-3"/>
        </w:rPr>
        <w:t>3,496,000</w:t>
      </w:r>
      <w:r>
        <w:rPr>
          <w:spacing w:val="-3"/>
        </w:rPr>
        <w:t>股，其公允价值为人民币</w:t>
      </w:r>
      <w:r>
        <w:rPr>
          <w:rFonts w:ascii="Times New Roman" w:hAnsi="Times New Roman" w:cs="Times New Roman" w:eastAsia="Times New Roman" w:hint="default"/>
          <w:spacing w:val="-3"/>
        </w:rPr>
        <w:t>16,916,368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元</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4.84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日，本公司无在合并利润表中确认的股份期权费用。</w:t>
      </w:r>
    </w:p>
    <w:p>
      <w:pPr>
        <w:pStyle w:val="BodyText"/>
        <w:spacing w:line="300" w:lineRule="auto" w:before="13"/>
        <w:ind w:right="0" w:firstLine="360"/>
        <w:jc w:val="left"/>
      </w:pPr>
      <w:r>
        <w:rPr>
          <w:spacing w:val="-2"/>
        </w:rPr>
        <w:t>在</w:t>
      </w:r>
      <w:r>
        <w:rPr>
          <w:rFonts w:ascii="Times New Roman" w:hAnsi="Times New Roman" w:cs="Times New Roman" w:eastAsia="Times New Roman" w:hint="default"/>
          <w:spacing w:val="-2"/>
        </w:rPr>
        <w:t>2002</w:t>
      </w:r>
      <w:r>
        <w:rPr>
          <w:spacing w:val="-2"/>
        </w:rPr>
        <w:t>年购股权计划下，神州控股授予本公司的以权益结算的股份期权于授予日的公允价值，采用二项式模型，结合授</w:t>
      </w:r>
      <w:r>
        <w:rPr/>
        <w:t> 予股份期权的条款和条件，作出估计。下表列示了所用模型的输入变量：</w:t>
      </w:r>
    </w:p>
    <w:tbl>
      <w:tblPr>
        <w:tblW w:w="0" w:type="auto"/>
        <w:jc w:val="left"/>
        <w:tblInd w:w="136" w:type="dxa"/>
        <w:tblLayout w:type="fixed"/>
        <w:tblCellMar>
          <w:top w:w="0" w:type="dxa"/>
          <w:left w:w="0" w:type="dxa"/>
          <w:bottom w:w="0" w:type="dxa"/>
          <w:right w:w="0" w:type="dxa"/>
        </w:tblCellMar>
        <w:tblLook w:val="01E0"/>
      </w:tblPr>
      <w:tblGrid>
        <w:gridCol w:w="3140"/>
        <w:gridCol w:w="3658"/>
        <w:gridCol w:w="2861"/>
      </w:tblGrid>
      <w:tr>
        <w:trPr>
          <w:trHeight w:val="422" w:hRule="exact"/>
        </w:trPr>
        <w:tc>
          <w:tcPr>
            <w:tcW w:w="31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65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32"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股利率（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3.5</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预计波动率（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历史波动率（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45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3140"/>
        <w:gridCol w:w="3658"/>
        <w:gridCol w:w="2861"/>
      </w:tblGrid>
      <w:tr>
        <w:trPr>
          <w:trHeight w:val="428" w:hRule="exact"/>
        </w:trPr>
        <w:tc>
          <w:tcPr>
            <w:tcW w:w="31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65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8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无风险利率（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w:t>
            </w:r>
            <w:r>
              <w:rPr>
                <w:rFonts w:ascii="Times New Roman" w:hAnsi="Times New Roman" w:cs="Times New Roman" w:eastAsia="Times New Roman" w:hint="default"/>
                <w:sz w:val="18"/>
                <w:szCs w:val="18"/>
              </w:rPr>
              <w:t>2.6</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股份期权预计期限（年）</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加权平均股价（每股港元）</w:t>
            </w:r>
          </w:p>
        </w:tc>
        <w:tc>
          <w:tcPr>
            <w:tcW w:w="3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5.89</w:t>
            </w:r>
          </w:p>
        </w:tc>
      </w:tr>
    </w:tbl>
    <w:p>
      <w:pPr>
        <w:pStyle w:val="BodyText"/>
        <w:spacing w:line="300" w:lineRule="auto" w:before="8"/>
        <w:ind w:right="1124" w:firstLine="360"/>
        <w:jc w:val="left"/>
      </w:pPr>
      <w:r>
        <w:rPr/>
        <w:t>股份期权的预计期限是根据过去</w:t>
      </w:r>
      <w:r>
        <w:rPr>
          <w:rFonts w:ascii="Times New Roman" w:hAnsi="Times New Roman" w:cs="Times New Roman" w:eastAsia="Times New Roman" w:hint="default"/>
        </w:rPr>
        <w:t>3</w:t>
      </w:r>
      <w:r>
        <w:rPr/>
        <w:t>年的历史数据为基础确定的，未必反映未来可能出现的行权模式。预计波动率是基于 历史波动率对未来趋势的假设，未必与实际的结果相符。</w:t>
      </w:r>
    </w:p>
    <w:p>
      <w:pPr>
        <w:pStyle w:val="BodyText"/>
        <w:spacing w:line="316" w:lineRule="auto" w:before="31"/>
        <w:ind w:left="513" w:right="4993"/>
        <w:jc w:val="left"/>
      </w:pPr>
      <w:r>
        <w:rPr/>
        <w:t>计量所授出购股权的公允价值时并未考虑所授出购股权的其他特质。 按照本计划，归属于本公司的神州控股发行在外的股份期权如下：</w:t>
      </w:r>
    </w:p>
    <w:tbl>
      <w:tblPr>
        <w:tblW w:w="0" w:type="auto"/>
        <w:jc w:val="left"/>
        <w:tblInd w:w="136" w:type="dxa"/>
        <w:tblLayout w:type="fixed"/>
        <w:tblCellMar>
          <w:top w:w="0" w:type="dxa"/>
          <w:left w:w="0" w:type="dxa"/>
          <w:bottom w:w="0" w:type="dxa"/>
          <w:right w:w="0" w:type="dxa"/>
        </w:tblCellMar>
        <w:tblLook w:val="01E0"/>
      </w:tblPr>
      <w:tblGrid>
        <w:gridCol w:w="3140"/>
        <w:gridCol w:w="3260"/>
        <w:gridCol w:w="3260"/>
      </w:tblGrid>
      <w:tr>
        <w:trPr>
          <w:trHeight w:val="418" w:hRule="exact"/>
        </w:trPr>
        <w:tc>
          <w:tcPr>
            <w:tcW w:w="314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519"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783" w:hRule="exact"/>
        </w:trPr>
        <w:tc>
          <w:tcPr>
            <w:tcW w:w="3140" w:type="dxa"/>
            <w:vMerge/>
            <w:tcBorders>
              <w:left w:val="single" w:sz="6" w:space="0" w:color="000000"/>
              <w:bottom w:val="single" w:sz="6" w:space="0" w:color="000000"/>
              <w:right w:val="single" w:sz="6" w:space="0" w:color="000000"/>
            </w:tcBorders>
            <w:shd w:val="clear" w:color="auto" w:fill="D2D2D2"/>
          </w:tcPr>
          <w:p>
            <w:pPr/>
          </w:p>
        </w:tc>
        <w:tc>
          <w:tcPr>
            <w:tcW w:w="32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3"/>
              <w:ind w:left="904" w:right="0"/>
              <w:jc w:val="left"/>
              <w:rPr>
                <w:rFonts w:ascii="宋体" w:hAnsi="宋体" w:cs="宋体" w:eastAsia="宋体" w:hint="default"/>
                <w:sz w:val="18"/>
                <w:szCs w:val="18"/>
              </w:rPr>
            </w:pPr>
            <w:r>
              <w:rPr>
                <w:rFonts w:ascii="宋体" w:hAnsi="宋体" w:cs="宋体" w:eastAsia="宋体" w:hint="default"/>
                <w:sz w:val="18"/>
                <w:szCs w:val="18"/>
              </w:rPr>
              <w:t>加权平均行权价格</w:t>
            </w:r>
          </w:p>
          <w:p>
            <w:pPr>
              <w:pStyle w:val="TableParagraph"/>
              <w:spacing w:line="240" w:lineRule="auto" w:before="118"/>
              <w:ind w:left="969"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2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3"/>
              <w:ind w:left="813" w:right="0"/>
              <w:jc w:val="left"/>
              <w:rPr>
                <w:rFonts w:ascii="宋体" w:hAnsi="宋体" w:cs="宋体" w:eastAsia="宋体" w:hint="default"/>
                <w:sz w:val="18"/>
                <w:szCs w:val="18"/>
              </w:rPr>
            </w:pPr>
            <w:r>
              <w:rPr>
                <w:rFonts w:ascii="宋体" w:hAnsi="宋体" w:cs="宋体" w:eastAsia="宋体" w:hint="default"/>
                <w:sz w:val="18"/>
                <w:szCs w:val="18"/>
              </w:rPr>
              <w:t>股份期权数量（份）</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12.83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1,920,782.00</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失效</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12.83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-1,920,782.00</w:t>
            </w: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行权</w:t>
            </w:r>
          </w:p>
        </w:tc>
        <w:tc>
          <w:tcPr>
            <w:tcW w:w="3260"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3260"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2"/>
          <w:szCs w:val="22"/>
        </w:rPr>
      </w:pPr>
    </w:p>
    <w:p>
      <w:pPr>
        <w:pStyle w:val="BodyText"/>
        <w:spacing w:line="240" w:lineRule="auto" w:before="44"/>
        <w:ind w:right="0"/>
        <w:jc w:val="left"/>
      </w:pPr>
      <w:r>
        <w:rPr/>
        <w:t>其他说明</w:t>
      </w:r>
      <w:r>
        <w:rPr>
          <w:rFonts w:ascii="Times New Roman" w:hAnsi="Times New Roman" w:cs="Times New Roman" w:eastAsia="Times New Roman" w:hint="default"/>
        </w:rPr>
        <w:t>2</w:t>
      </w:r>
      <w:r>
        <w:rPr/>
        <w:t>：</w:t>
      </w:r>
    </w:p>
    <w:p>
      <w:pPr>
        <w:pStyle w:val="BodyText"/>
        <w:spacing w:line="300" w:lineRule="auto" w:before="63"/>
        <w:ind w:right="0" w:firstLine="360"/>
        <w:jc w:val="left"/>
      </w:pPr>
      <w:r>
        <w:rPr>
          <w:spacing w:val="-2"/>
        </w:rPr>
        <w:t>本公司于</w:t>
      </w:r>
      <w:r>
        <w:rPr>
          <w:rFonts w:ascii="Times New Roman" w:hAnsi="Times New Roman" w:cs="Times New Roman" w:eastAsia="Times New Roman" w:hint="default"/>
          <w:spacing w:val="-2"/>
        </w:rPr>
        <w:t>2019</w:t>
      </w:r>
      <w:r>
        <w:rPr>
          <w:spacing w:val="-2"/>
        </w:rPr>
        <w:t>年实施了股票期权与限制性股票激励计划，并于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日首次授予激励对象股票期权与限制性股票，</w:t>
      </w:r>
      <w:r>
        <w:rPr/>
        <w:t> </w:t>
      </w:r>
      <w:r>
        <w:rPr>
          <w:spacing w:val="-2"/>
        </w:rPr>
        <w:t>本激励计划为了进一步建立、健全公司长效激励机制，吸引和留住优秀人才，充分调动公司董事、高级管理人员及核心技术</w:t>
      </w:r>
    </w:p>
    <w:p>
      <w:pPr>
        <w:pStyle w:val="BodyText"/>
        <w:spacing w:line="319" w:lineRule="auto" w:before="31"/>
        <w:ind w:right="1034"/>
        <w:jc w:val="left"/>
      </w:pPr>
      <w:r>
        <w:rPr/>
        <w:t>（业务）人员的积极性，有效地将股东利益、公司利益和核心团队个人利益结合在一起，使各方共同关注公司的长远发展。</w:t>
      </w:r>
      <w:r>
        <w:rPr>
          <w:spacing w:val="-83"/>
        </w:rPr>
        <w:t> </w:t>
      </w:r>
      <w:r>
        <w:rPr>
          <w:spacing w:val="-83"/>
        </w:rPr>
      </w:r>
      <w:r>
        <w:rPr/>
        <w:t>具体如下：</w:t>
      </w:r>
    </w:p>
    <w:p>
      <w:pPr>
        <w:pStyle w:val="BodyText"/>
        <w:spacing w:line="240" w:lineRule="auto" w:before="17"/>
        <w:ind w:right="0"/>
        <w:jc w:val="left"/>
      </w:pPr>
      <w:r>
        <w:rPr>
          <w:rFonts w:ascii="Times New Roman" w:hAnsi="Times New Roman" w:cs="Times New Roman" w:eastAsia="Times New Roman" w:hint="default"/>
        </w:rPr>
        <w:t>1</w:t>
      </w:r>
      <w:r>
        <w:rPr/>
        <w:t>、股票期权激励计划：</w:t>
      </w:r>
    </w:p>
    <w:p>
      <w:pPr>
        <w:pStyle w:val="BodyText"/>
        <w:spacing w:line="300" w:lineRule="auto" w:before="63"/>
        <w:ind w:left="513" w:right="6843"/>
        <w:jc w:val="left"/>
      </w:pPr>
      <w:r>
        <w:rPr/>
        <w:t>（</w:t>
      </w:r>
      <w:r>
        <w:rPr>
          <w:rFonts w:ascii="Times New Roman" w:hAnsi="Times New Roman" w:cs="Times New Roman" w:eastAsia="Times New Roman" w:hint="default"/>
        </w:rPr>
        <w:t>1</w:t>
      </w:r>
      <w:r>
        <w:rPr/>
        <w:t>）股票来源 本公司向激励对象定向发行本公司</w:t>
      </w:r>
      <w:r>
        <w:rPr>
          <w:rFonts w:ascii="Times New Roman" w:hAnsi="Times New Roman" w:cs="Times New Roman" w:eastAsia="Times New Roman" w:hint="default"/>
        </w:rPr>
        <w:t>A</w:t>
      </w:r>
      <w:r>
        <w:rPr/>
        <w:t>股普通股</w:t>
      </w:r>
    </w:p>
    <w:p>
      <w:pPr>
        <w:pStyle w:val="BodyText"/>
        <w:spacing w:line="300" w:lineRule="auto" w:before="13"/>
        <w:ind w:left="513" w:right="4633"/>
        <w:jc w:val="left"/>
      </w:pPr>
      <w:r>
        <w:rPr/>
        <w:t>（</w:t>
      </w:r>
      <w:r>
        <w:rPr>
          <w:rFonts w:ascii="Times New Roman" w:hAnsi="Times New Roman" w:cs="Times New Roman" w:eastAsia="Times New Roman" w:hint="default"/>
        </w:rPr>
        <w:t>2</w:t>
      </w:r>
      <w:r>
        <w:rPr/>
        <w:t>）股票期权的行权价格及确定方法 首次授予股票期权的行权价格为每股</w:t>
      </w:r>
      <w:r>
        <w:rPr>
          <w:rFonts w:ascii="Times New Roman" w:hAnsi="Times New Roman" w:cs="Times New Roman" w:eastAsia="Times New Roman" w:hint="default"/>
        </w:rPr>
        <w:t>15.55</w:t>
      </w:r>
      <w:r>
        <w:rPr/>
        <w:t>元。 首次股票期权行权价格不低于股票票面金额，且不低于下列价格较高者：</w:t>
      </w:r>
    </w:p>
    <w:p>
      <w:pPr>
        <w:pStyle w:val="BodyText"/>
        <w:spacing w:line="300" w:lineRule="auto" w:before="31"/>
        <w:ind w:right="1128" w:firstLine="360"/>
        <w:jc w:val="left"/>
      </w:pPr>
      <w:r>
        <w:rPr>
          <w:spacing w:val="-1"/>
        </w:rPr>
        <w:t>①本激励计划草案公告前</w:t>
      </w:r>
      <w:r>
        <w:rPr>
          <w:rFonts w:ascii="Times New Roman" w:hAnsi="Times New Roman" w:cs="Times New Roman" w:eastAsia="Times New Roman" w:hint="default"/>
          <w:spacing w:val="-1"/>
        </w:rPr>
        <w:t>1</w:t>
      </w:r>
      <w:r>
        <w:rPr>
          <w:spacing w:val="-1"/>
        </w:rPr>
        <w:t>个交易日公司股票交易均价（前</w:t>
      </w:r>
      <w:r>
        <w:rPr>
          <w:rFonts w:ascii="Times New Roman" w:hAnsi="Times New Roman" w:cs="Times New Roman" w:eastAsia="Times New Roman" w:hint="default"/>
          <w:spacing w:val="-1"/>
        </w:rPr>
        <w:t>1</w:t>
      </w:r>
      <w:r>
        <w:rPr>
          <w:spacing w:val="-1"/>
        </w:rPr>
        <w:t>个交易日股票交易总额</w:t>
      </w:r>
      <w:r>
        <w:rPr>
          <w:rFonts w:ascii="Times New Roman" w:hAnsi="Times New Roman" w:cs="Times New Roman" w:eastAsia="Times New Roman" w:hint="default"/>
          <w:spacing w:val="-1"/>
        </w:rPr>
        <w:t>/</w:t>
      </w:r>
      <w:r>
        <w:rPr>
          <w:spacing w:val="-1"/>
        </w:rPr>
        <w:t>前</w:t>
      </w:r>
      <w:r>
        <w:rPr>
          <w:rFonts w:ascii="Times New Roman" w:hAnsi="Times New Roman" w:cs="Times New Roman" w:eastAsia="Times New Roman" w:hint="default"/>
          <w:spacing w:val="-1"/>
        </w:rPr>
        <w:t>1</w:t>
      </w:r>
      <w:r>
        <w:rPr>
          <w:spacing w:val="-1"/>
        </w:rPr>
        <w:t>个交易日股票交易总量），为每</w:t>
      </w:r>
      <w:r>
        <w:rPr/>
        <w:t> 股</w:t>
      </w:r>
      <w:r>
        <w:rPr>
          <w:rFonts w:ascii="Times New Roman" w:hAnsi="Times New Roman" w:cs="Times New Roman" w:eastAsia="Times New Roman" w:hint="default"/>
        </w:rPr>
        <w:t>15.55</w:t>
      </w:r>
      <w:r>
        <w:rPr/>
        <w:t>元；</w:t>
      </w:r>
    </w:p>
    <w:p>
      <w:pPr>
        <w:pStyle w:val="BodyText"/>
        <w:spacing w:line="300" w:lineRule="auto" w:before="13"/>
        <w:ind w:right="0" w:firstLine="360"/>
        <w:jc w:val="left"/>
      </w:pPr>
      <w:r>
        <w:rPr>
          <w:spacing w:val="2"/>
        </w:rPr>
        <w:t>②本激励计划草案公告前</w:t>
      </w:r>
      <w:r>
        <w:rPr>
          <w:rFonts w:ascii="Times New Roman" w:hAnsi="Times New Roman" w:cs="Times New Roman" w:eastAsia="Times New Roman" w:hint="default"/>
          <w:spacing w:val="2"/>
        </w:rPr>
        <w:t>120</w:t>
      </w:r>
      <w:r>
        <w:rPr>
          <w:spacing w:val="2"/>
        </w:rPr>
        <w:t>个交易日的公司股票交易均价（前</w:t>
      </w:r>
      <w:r>
        <w:rPr>
          <w:rFonts w:ascii="Times New Roman" w:hAnsi="Times New Roman" w:cs="Times New Roman" w:eastAsia="Times New Roman" w:hint="default"/>
          <w:spacing w:val="2"/>
        </w:rPr>
        <w:t>120</w:t>
      </w:r>
      <w:r>
        <w:rPr>
          <w:spacing w:val="2"/>
        </w:rPr>
        <w:t>个交易日股票交易总额</w:t>
      </w:r>
      <w:r>
        <w:rPr>
          <w:rFonts w:ascii="Times New Roman" w:hAnsi="Times New Roman" w:cs="Times New Roman" w:eastAsia="Times New Roman" w:hint="default"/>
          <w:spacing w:val="2"/>
        </w:rPr>
        <w:t>/</w:t>
      </w:r>
      <w:r>
        <w:rPr>
          <w:spacing w:val="2"/>
        </w:rPr>
        <w:t>前</w:t>
      </w:r>
      <w:r>
        <w:rPr>
          <w:rFonts w:ascii="Times New Roman" w:hAnsi="Times New Roman" w:cs="Times New Roman" w:eastAsia="Times New Roman" w:hint="default"/>
          <w:spacing w:val="2"/>
        </w:rPr>
        <w:t>120</w:t>
      </w:r>
      <w:r>
        <w:rPr>
          <w:spacing w:val="2"/>
        </w:rPr>
        <w:t>个交易日股票交易总 </w:t>
      </w:r>
      <w:r>
        <w:rPr/>
        <w:t>量），为每股</w:t>
      </w:r>
      <w:r>
        <w:rPr>
          <w:rFonts w:ascii="Times New Roman" w:hAnsi="Times New Roman" w:cs="Times New Roman" w:eastAsia="Times New Roman" w:hint="default"/>
        </w:rPr>
        <w:t>14.18</w:t>
      </w:r>
      <w:r>
        <w:rPr/>
        <w:t>元。</w:t>
      </w:r>
    </w:p>
    <w:p>
      <w:pPr>
        <w:pStyle w:val="BodyText"/>
        <w:spacing w:line="240" w:lineRule="auto" w:before="13"/>
        <w:ind w:left="441" w:right="0"/>
        <w:jc w:val="left"/>
      </w:pPr>
      <w:r>
        <w:rPr/>
        <w:t>（</w:t>
      </w:r>
      <w:r>
        <w:rPr>
          <w:rFonts w:ascii="Times New Roman" w:hAnsi="Times New Roman" w:cs="Times New Roman" w:eastAsia="Times New Roman" w:hint="default"/>
        </w:rPr>
        <w:t>3</w:t>
      </w:r>
      <w:r>
        <w:rPr/>
        <w:t>）首次授予股票期权行权期及各期行权时间</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386"/>
        <w:gridCol w:w="6410"/>
        <w:gridCol w:w="864"/>
      </w:tblGrid>
      <w:tr>
        <w:trPr>
          <w:trHeight w:val="343" w:hRule="exact"/>
        </w:trPr>
        <w:tc>
          <w:tcPr>
            <w:tcW w:w="23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64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86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2" w:hRule="exact"/>
        </w:trPr>
        <w:tc>
          <w:tcPr>
            <w:tcW w:w="2386"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7"/>
              <w:ind w:left="646" w:right="463" w:hanging="180"/>
              <w:jc w:val="left"/>
              <w:rPr>
                <w:rFonts w:ascii="宋体" w:hAnsi="宋体" w:cs="宋体" w:eastAsia="宋体" w:hint="default"/>
                <w:sz w:val="18"/>
                <w:szCs w:val="18"/>
              </w:rPr>
            </w:pPr>
            <w:r>
              <w:rPr>
                <w:rFonts w:ascii="宋体" w:hAnsi="宋体" w:cs="宋体" w:eastAsia="宋体" w:hint="default"/>
                <w:sz w:val="18"/>
                <w:szCs w:val="18"/>
              </w:rPr>
              <w:t>首次授予股票期权 第一个行权期</w:t>
            </w:r>
          </w:p>
        </w:tc>
        <w:tc>
          <w:tcPr>
            <w:tcW w:w="6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个月后的首个交易日起至首次授予登记完成之日起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8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46" w:right="463" w:hanging="180"/>
              <w:jc w:val="left"/>
              <w:rPr>
                <w:rFonts w:ascii="宋体" w:hAnsi="宋体" w:cs="宋体" w:eastAsia="宋体" w:hint="default"/>
                <w:sz w:val="18"/>
                <w:szCs w:val="18"/>
              </w:rPr>
            </w:pPr>
            <w:r>
              <w:rPr>
                <w:rFonts w:ascii="宋体" w:hAnsi="宋体" w:cs="宋体" w:eastAsia="宋体" w:hint="default"/>
                <w:sz w:val="18"/>
                <w:szCs w:val="18"/>
              </w:rPr>
              <w:t>首次授予股票期权 第二个行权期</w:t>
            </w:r>
          </w:p>
        </w:tc>
        <w:tc>
          <w:tcPr>
            <w:tcW w:w="6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个月后的首个交易日起至首次授予登记完成之日起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46" w:right="463" w:hanging="180"/>
              <w:jc w:val="left"/>
              <w:rPr>
                <w:rFonts w:ascii="宋体" w:hAnsi="宋体" w:cs="宋体" w:eastAsia="宋体" w:hint="default"/>
                <w:sz w:val="18"/>
                <w:szCs w:val="18"/>
              </w:rPr>
            </w:pPr>
            <w:r>
              <w:rPr>
                <w:rFonts w:ascii="宋体" w:hAnsi="宋体" w:cs="宋体" w:eastAsia="宋体" w:hint="default"/>
                <w:sz w:val="18"/>
                <w:szCs w:val="18"/>
              </w:rPr>
              <w:t>首次授予股票期权 第三个行权期</w:t>
            </w:r>
          </w:p>
        </w:tc>
        <w:tc>
          <w:tcPr>
            <w:tcW w:w="6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个月后的首个交易日起至首次授予登记完成之日起</w:t>
            </w:r>
          </w:p>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left="513" w:right="0"/>
        <w:jc w:val="left"/>
      </w:pPr>
      <w:r>
        <w:rPr/>
        <w:t>（</w:t>
      </w:r>
      <w:r>
        <w:rPr>
          <w:rFonts w:ascii="Times New Roman" w:hAnsi="Times New Roman" w:cs="Times New Roman" w:eastAsia="Times New Roman" w:hint="default"/>
        </w:rPr>
        <w:t>4</w:t>
      </w:r>
      <w:r>
        <w:rPr/>
        <w:t>）股票期权价值的计算方法及参数合理性</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7" w:firstLine="360"/>
        <w:jc w:val="left"/>
      </w:pPr>
      <w:r>
        <w:rPr>
          <w:spacing w:val="-1"/>
        </w:rPr>
        <w:t>本公司选择</w:t>
      </w:r>
      <w:r>
        <w:rPr>
          <w:rFonts w:ascii="Times New Roman" w:hAnsi="Times New Roman" w:cs="Times New Roman" w:eastAsia="Times New Roman" w:hint="default"/>
          <w:spacing w:val="-1"/>
        </w:rPr>
        <w:t>Black-Scholes</w:t>
      </w:r>
      <w:r>
        <w:rPr>
          <w:spacing w:val="-1"/>
        </w:rPr>
        <w:t>模型来计算期权的公允价值，并于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日使用该模型对首次授予的</w:t>
      </w:r>
      <w:r>
        <w:rPr>
          <w:rFonts w:ascii="Times New Roman" w:hAnsi="Times New Roman" w:cs="Times New Roman" w:eastAsia="Times New Roman" w:hint="default"/>
          <w:spacing w:val="-1"/>
        </w:rPr>
        <w:t>2,206.50</w:t>
      </w:r>
      <w:r>
        <w:rPr>
          <w:spacing w:val="-1"/>
        </w:rPr>
        <w:t>万份股票期</w:t>
      </w:r>
      <w:r>
        <w:rPr/>
        <w:t> 权进行测算。</w:t>
      </w:r>
    </w:p>
    <w:p>
      <w:pPr>
        <w:pStyle w:val="BodyText"/>
        <w:spacing w:line="240" w:lineRule="auto" w:before="72"/>
        <w:ind w:left="513" w:right="0"/>
        <w:jc w:val="left"/>
      </w:pPr>
      <w:r>
        <w:rPr/>
        <w:t>①标的股价：</w:t>
      </w:r>
      <w:r>
        <w:rPr>
          <w:rFonts w:ascii="Times New Roman" w:hAnsi="Times New Roman" w:cs="Times New Roman" w:eastAsia="Times New Roman" w:hint="default"/>
        </w:rPr>
        <w:t>12.92</w:t>
      </w:r>
      <w:r>
        <w:rPr/>
        <w:t>元</w:t>
      </w:r>
      <w:r>
        <w:rPr>
          <w:rFonts w:ascii="Times New Roman" w:hAnsi="Times New Roman" w:cs="Times New Roman" w:eastAsia="Times New Roman" w:hint="default"/>
        </w:rPr>
        <w:t>/</w:t>
      </w:r>
      <w:r>
        <w:rPr/>
        <w:t>股（授予日公司收盘价为</w:t>
      </w:r>
      <w:r>
        <w:rPr>
          <w:rFonts w:ascii="Times New Roman" w:hAnsi="Times New Roman" w:cs="Times New Roman" w:eastAsia="Times New Roman" w:hint="default"/>
        </w:rPr>
        <w:t>12.92</w:t>
      </w:r>
      <w:r>
        <w:rPr/>
        <w:t>元</w:t>
      </w:r>
      <w:r>
        <w:rPr>
          <w:rFonts w:ascii="Times New Roman" w:hAnsi="Times New Roman" w:cs="Times New Roman" w:eastAsia="Times New Roman" w:hint="default"/>
        </w:rPr>
        <w:t>/</w:t>
      </w:r>
      <w:r>
        <w:rPr/>
        <w:t>股）</w:t>
      </w:r>
    </w:p>
    <w:p>
      <w:pPr>
        <w:pStyle w:val="BodyText"/>
        <w:spacing w:line="240" w:lineRule="auto" w:before="101"/>
        <w:ind w:left="513" w:right="0"/>
        <w:jc w:val="left"/>
      </w:pPr>
      <w:r>
        <w:rPr/>
        <w:t>②有效期分别为：</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3</w:t>
      </w:r>
      <w:r>
        <w:rPr/>
        <w:t>年（授予登记完成日至每期首个行权日的期限）</w:t>
      </w:r>
    </w:p>
    <w:p>
      <w:pPr>
        <w:pStyle w:val="BodyText"/>
        <w:spacing w:line="240" w:lineRule="auto" w:before="103"/>
        <w:ind w:left="513" w:right="0"/>
        <w:jc w:val="left"/>
      </w:pPr>
      <w:r>
        <w:rPr/>
        <w:t>③波动率分别为：</w:t>
      </w:r>
      <w:r>
        <w:rPr>
          <w:rFonts w:ascii="Times New Roman" w:hAnsi="Times New Roman" w:cs="Times New Roman" w:eastAsia="Times New Roman" w:hint="default"/>
        </w:rPr>
        <w:t>27.6463%</w:t>
      </w:r>
      <w:r>
        <w:rPr/>
        <w:t>、</w:t>
      </w:r>
      <w:r>
        <w:rPr>
          <w:rFonts w:ascii="Times New Roman" w:hAnsi="Times New Roman" w:cs="Times New Roman" w:eastAsia="Times New Roman" w:hint="default"/>
        </w:rPr>
        <w:t>23.2481%</w:t>
      </w:r>
      <w:r>
        <w:rPr/>
        <w:t>、</w:t>
      </w:r>
      <w:r>
        <w:rPr>
          <w:rFonts w:ascii="Times New Roman" w:hAnsi="Times New Roman" w:cs="Times New Roman" w:eastAsia="Times New Roman" w:hint="default"/>
        </w:rPr>
        <w:t>20.6737%</w:t>
      </w:r>
      <w:r>
        <w:rPr/>
        <w:t>（采用深证成指最近一年、两年、三年的波动率）</w:t>
      </w:r>
    </w:p>
    <w:p>
      <w:pPr>
        <w:pStyle w:val="BodyText"/>
        <w:spacing w:line="240" w:lineRule="auto" w:before="103"/>
        <w:ind w:left="513" w:right="0"/>
        <w:jc w:val="left"/>
      </w:pPr>
      <w:r>
        <w:rPr>
          <w:spacing w:val="-4"/>
        </w:rPr>
        <w:t>④无风险利率：</w:t>
      </w:r>
      <w:r>
        <w:rPr>
          <w:rFonts w:ascii="Times New Roman" w:hAnsi="Times New Roman" w:cs="Times New Roman" w:eastAsia="Times New Roman" w:hint="default"/>
          <w:spacing w:val="-4"/>
        </w:rPr>
        <w:t>1.50%</w:t>
      </w:r>
      <w:r>
        <w:rPr>
          <w:spacing w:val="-4"/>
        </w:rPr>
        <w:t>、</w:t>
      </w:r>
      <w:r>
        <w:rPr>
          <w:rFonts w:ascii="Times New Roman" w:hAnsi="Times New Roman" w:cs="Times New Roman" w:eastAsia="Times New Roman" w:hint="default"/>
          <w:spacing w:val="-4"/>
        </w:rPr>
        <w:t>2.10%</w:t>
      </w:r>
      <w:r>
        <w:rPr>
          <w:spacing w:val="-4"/>
        </w:rPr>
        <w:t>、</w:t>
      </w:r>
      <w:r>
        <w:rPr>
          <w:rFonts w:ascii="Times New Roman" w:hAnsi="Times New Roman" w:cs="Times New Roman" w:eastAsia="Times New Roman" w:hint="default"/>
          <w:spacing w:val="-4"/>
        </w:rPr>
        <w:t>2.75%</w:t>
      </w:r>
      <w:r>
        <w:rPr>
          <w:spacing w:val="-4"/>
        </w:rPr>
        <w:t>（分别采用中国人民银行制定的金融机构 </w:t>
      </w:r>
      <w:r>
        <w:rPr>
          <w:rFonts w:ascii="Times New Roman" w:hAnsi="Times New Roman" w:cs="Times New Roman" w:eastAsia="Times New Roman" w:hint="default"/>
        </w:rPr>
        <w:t>1  </w:t>
      </w:r>
      <w:r>
        <w:rPr>
          <w:spacing w:val="-10"/>
        </w:rPr>
        <w:t>年期、</w:t>
      </w:r>
      <w:r>
        <w:rPr>
          <w:rFonts w:ascii="Times New Roman" w:hAnsi="Times New Roman" w:cs="Times New Roman" w:eastAsia="Times New Roman" w:hint="default"/>
          <w:spacing w:val="-10"/>
        </w:rPr>
        <w:t>2  </w:t>
      </w:r>
      <w:r>
        <w:rPr>
          <w:spacing w:val="-11"/>
        </w:rPr>
        <w:t>年期、</w:t>
      </w:r>
      <w:r>
        <w:rPr>
          <w:rFonts w:ascii="Times New Roman" w:hAnsi="Times New Roman" w:cs="Times New Roman" w:eastAsia="Times New Roman" w:hint="default"/>
          <w:spacing w:val="-11"/>
        </w:rPr>
        <w:t>3</w:t>
      </w:r>
      <w:r>
        <w:rPr>
          <w:rFonts w:ascii="Times New Roman" w:hAnsi="Times New Roman" w:cs="Times New Roman" w:eastAsia="Times New Roman" w:hint="default"/>
          <w:spacing w:val="7"/>
        </w:rPr>
        <w:t> </w:t>
      </w:r>
      <w:r>
        <w:rPr/>
        <w:t>年期存款基准利率）</w:t>
      </w:r>
    </w:p>
    <w:p>
      <w:pPr>
        <w:pStyle w:val="BodyText"/>
        <w:spacing w:line="240" w:lineRule="auto" w:before="101"/>
        <w:ind w:left="513" w:right="0"/>
        <w:jc w:val="left"/>
      </w:pPr>
      <w:r>
        <w:rPr/>
        <w:t>⑤股息率：</w:t>
      </w:r>
      <w:r>
        <w:rPr>
          <w:rFonts w:ascii="Times New Roman" w:hAnsi="Times New Roman" w:cs="Times New Roman" w:eastAsia="Times New Roman" w:hint="default"/>
        </w:rPr>
        <w:t>1.6023%</w:t>
      </w:r>
      <w:r>
        <w:rPr/>
        <w:t>、</w:t>
      </w:r>
      <w:r>
        <w:rPr>
          <w:rFonts w:ascii="Times New Roman" w:hAnsi="Times New Roman" w:cs="Times New Roman" w:eastAsia="Times New Roman" w:hint="default"/>
        </w:rPr>
        <w:t>0.8946%</w:t>
      </w:r>
      <w:r>
        <w:rPr/>
        <w:t>、</w:t>
      </w:r>
      <w:r>
        <w:rPr>
          <w:rFonts w:ascii="Times New Roman" w:hAnsi="Times New Roman" w:cs="Times New Roman" w:eastAsia="Times New Roman" w:hint="default"/>
        </w:rPr>
        <w:t>0.6587%</w:t>
      </w:r>
      <w:r>
        <w:rPr/>
        <w:t>（取本激励计划授予前公司最近一年、两年、三年的平均股息率）</w:t>
      </w:r>
    </w:p>
    <w:p>
      <w:pPr>
        <w:pStyle w:val="BodyText"/>
        <w:spacing w:line="240" w:lineRule="auto" w:before="103"/>
        <w:ind w:right="0"/>
        <w:jc w:val="left"/>
      </w:pPr>
      <w:r>
        <w:rPr>
          <w:rFonts w:ascii="Times New Roman" w:hAnsi="Times New Roman" w:cs="Times New Roman" w:eastAsia="Times New Roman" w:hint="default"/>
        </w:rPr>
        <w:t>2</w:t>
      </w:r>
      <w:r>
        <w:rPr/>
        <w:t>、限制性股票激励计划</w:t>
      </w:r>
    </w:p>
    <w:p>
      <w:pPr>
        <w:pStyle w:val="BodyText"/>
        <w:spacing w:line="300" w:lineRule="auto" w:before="63"/>
        <w:ind w:left="513" w:right="3473"/>
        <w:jc w:val="left"/>
      </w:pPr>
      <w:r>
        <w:rPr/>
        <w:t>（</w:t>
      </w:r>
      <w:r>
        <w:rPr>
          <w:rFonts w:ascii="Times New Roman" w:hAnsi="Times New Roman" w:cs="Times New Roman" w:eastAsia="Times New Roman" w:hint="default"/>
        </w:rPr>
        <w:t>1</w:t>
      </w:r>
      <w:r>
        <w:rPr/>
        <w:t>）股票来源 本公司从二级市场回购的本公司</w:t>
      </w:r>
      <w:r>
        <w:rPr>
          <w:rFonts w:ascii="Times New Roman" w:hAnsi="Times New Roman" w:cs="Times New Roman" w:eastAsia="Times New Roman" w:hint="default"/>
        </w:rPr>
        <w:t>A</w:t>
      </w:r>
      <w:r>
        <w:rPr/>
        <w:t>股普通股和向激励对象定向发行的本公司</w:t>
      </w:r>
      <w:r>
        <w:rPr>
          <w:rFonts w:ascii="Times New Roman" w:hAnsi="Times New Roman" w:cs="Times New Roman" w:eastAsia="Times New Roman" w:hint="default"/>
        </w:rPr>
        <w:t>A</w:t>
      </w:r>
      <w:r>
        <w:rPr/>
        <w:t>股普通股。</w:t>
      </w:r>
    </w:p>
    <w:p>
      <w:pPr>
        <w:pStyle w:val="BodyText"/>
        <w:spacing w:line="300" w:lineRule="auto" w:before="13"/>
        <w:ind w:left="513" w:right="3553"/>
        <w:jc w:val="left"/>
      </w:pPr>
      <w:r>
        <w:rPr/>
        <w:t>（</w:t>
      </w:r>
      <w:r>
        <w:rPr>
          <w:rFonts w:ascii="Times New Roman" w:hAnsi="Times New Roman" w:cs="Times New Roman" w:eastAsia="Times New Roman" w:hint="default"/>
        </w:rPr>
        <w:t>2</w:t>
      </w:r>
      <w:r>
        <w:rPr/>
        <w:t>）限制性股票的授予价格及确定方法 首次授予限制性股票的授予价格为每股</w:t>
      </w:r>
      <w:r>
        <w:rPr>
          <w:rFonts w:ascii="Times New Roman" w:hAnsi="Times New Roman" w:cs="Times New Roman" w:eastAsia="Times New Roman" w:hint="default"/>
        </w:rPr>
        <w:t>7.82</w:t>
      </w:r>
      <w:r>
        <w:rPr/>
        <w:t>元。 首次授予部分限制性股票的授予价格不低于股票票面金额，且不低于下列价格较高者：</w:t>
      </w:r>
    </w:p>
    <w:p>
      <w:pPr>
        <w:pStyle w:val="BodyText"/>
        <w:spacing w:line="240" w:lineRule="auto" w:before="31"/>
        <w:ind w:left="513" w:right="0"/>
        <w:jc w:val="left"/>
      </w:pPr>
      <w:r>
        <w:rPr>
          <w:spacing w:val="2"/>
        </w:rPr>
        <w:t>①本激励计划草案公告前</w:t>
      </w:r>
      <w:r>
        <w:rPr>
          <w:rFonts w:ascii="Times New Roman" w:hAnsi="Times New Roman" w:cs="Times New Roman" w:eastAsia="Times New Roman" w:hint="default"/>
          <w:spacing w:val="2"/>
        </w:rPr>
        <w:t>1</w:t>
      </w:r>
      <w:r>
        <w:rPr>
          <w:spacing w:val="2"/>
        </w:rPr>
        <w:t>个交易日公司股票交易均价（前</w:t>
      </w:r>
      <w:r>
        <w:rPr>
          <w:rFonts w:ascii="Times New Roman" w:hAnsi="Times New Roman" w:cs="Times New Roman" w:eastAsia="Times New Roman" w:hint="default"/>
          <w:spacing w:val="2"/>
        </w:rPr>
        <w:t>1</w:t>
      </w:r>
      <w:r>
        <w:rPr>
          <w:spacing w:val="2"/>
        </w:rPr>
        <w:t>个交易日股票交易总额</w:t>
      </w:r>
      <w:r>
        <w:rPr>
          <w:rFonts w:ascii="Times New Roman" w:hAnsi="Times New Roman" w:cs="Times New Roman" w:eastAsia="Times New Roman" w:hint="default"/>
          <w:spacing w:val="2"/>
        </w:rPr>
        <w:t>/</w:t>
      </w:r>
      <w:r>
        <w:rPr>
          <w:spacing w:val="2"/>
        </w:rPr>
        <w:t>前</w:t>
      </w:r>
      <w:r>
        <w:rPr>
          <w:rFonts w:ascii="Times New Roman" w:hAnsi="Times New Roman" w:cs="Times New Roman" w:eastAsia="Times New Roman" w:hint="default"/>
          <w:spacing w:val="2"/>
        </w:rPr>
        <w:t>1</w:t>
      </w:r>
      <w:r>
        <w:rPr>
          <w:spacing w:val="2"/>
        </w:rPr>
        <w:t>个交易日股票交易总量）每股</w:t>
      </w:r>
      <w:r>
        <w:rPr/>
      </w:r>
    </w:p>
    <w:p>
      <w:pPr>
        <w:pStyle w:val="BodyText"/>
        <w:spacing w:line="240" w:lineRule="auto" w:before="63"/>
        <w:ind w:right="0"/>
        <w:jc w:val="left"/>
      </w:pPr>
      <w:r>
        <w:rPr>
          <w:rFonts w:ascii="Times New Roman" w:hAnsi="Times New Roman" w:cs="Times New Roman" w:eastAsia="Times New Roman" w:hint="default"/>
        </w:rPr>
        <w:t>15.55</w:t>
      </w:r>
      <w:r>
        <w:rPr/>
        <w:t>元的</w:t>
      </w:r>
      <w:r>
        <w:rPr>
          <w:rFonts w:ascii="Times New Roman" w:hAnsi="Times New Roman" w:cs="Times New Roman" w:eastAsia="Times New Roman" w:hint="default"/>
        </w:rPr>
        <w:t>50%</w:t>
      </w:r>
      <w:r>
        <w:rPr/>
        <w:t>，为每股</w:t>
      </w:r>
      <w:r>
        <w:rPr>
          <w:rFonts w:ascii="Times New Roman" w:hAnsi="Times New Roman" w:cs="Times New Roman" w:eastAsia="Times New Roman" w:hint="default"/>
        </w:rPr>
        <w:t>7.78</w:t>
      </w:r>
      <w:r>
        <w:rPr/>
        <w:t>元；</w:t>
      </w:r>
    </w:p>
    <w:p>
      <w:pPr>
        <w:pStyle w:val="BodyText"/>
        <w:spacing w:line="300" w:lineRule="auto" w:before="63"/>
        <w:ind w:right="0" w:firstLine="360"/>
        <w:jc w:val="left"/>
      </w:pPr>
      <w:r>
        <w:rPr/>
        <w:t>②本激励计划草案公告前</w:t>
      </w:r>
      <w:r>
        <w:rPr>
          <w:rFonts w:ascii="Times New Roman" w:hAnsi="Times New Roman" w:cs="Times New Roman" w:eastAsia="Times New Roman" w:hint="default"/>
        </w:rPr>
        <w:t>120</w:t>
      </w:r>
      <w:r>
        <w:rPr/>
        <w:t>个交易日公司股票交易均价（前</w:t>
      </w:r>
      <w:r>
        <w:rPr>
          <w:rFonts w:ascii="Times New Roman" w:hAnsi="Times New Roman" w:cs="Times New Roman" w:eastAsia="Times New Roman" w:hint="default"/>
        </w:rPr>
        <w:t>120</w:t>
      </w:r>
      <w:r>
        <w:rPr/>
        <w:t>个交易日股票交易总额</w:t>
      </w:r>
      <w:r>
        <w:rPr>
          <w:rFonts w:ascii="Times New Roman" w:hAnsi="Times New Roman" w:cs="Times New Roman" w:eastAsia="Times New Roman" w:hint="default"/>
        </w:rPr>
        <w:t>/</w:t>
      </w:r>
      <w:r>
        <w:rPr/>
        <w:t>前</w:t>
      </w:r>
      <w:r>
        <w:rPr>
          <w:rFonts w:ascii="Times New Roman" w:hAnsi="Times New Roman" w:cs="Times New Roman" w:eastAsia="Times New Roman" w:hint="default"/>
        </w:rPr>
        <w:t>120</w:t>
      </w:r>
      <w:r>
        <w:rPr/>
        <w:t>个交易日股票交易总量） 每股</w:t>
      </w:r>
      <w:r>
        <w:rPr>
          <w:rFonts w:ascii="Times New Roman" w:hAnsi="Times New Roman" w:cs="Times New Roman" w:eastAsia="Times New Roman" w:hint="default"/>
        </w:rPr>
        <w:t>14.18</w:t>
      </w:r>
      <w:r>
        <w:rPr/>
        <w:t>元的</w:t>
      </w:r>
      <w:r>
        <w:rPr>
          <w:rFonts w:ascii="Times New Roman" w:hAnsi="Times New Roman" w:cs="Times New Roman" w:eastAsia="Times New Roman" w:hint="default"/>
        </w:rPr>
        <w:t>50%</w:t>
      </w:r>
      <w:r>
        <w:rPr/>
        <w:t>，为每股</w:t>
      </w:r>
      <w:r>
        <w:rPr>
          <w:rFonts w:ascii="Times New Roman" w:hAnsi="Times New Roman" w:cs="Times New Roman" w:eastAsia="Times New Roman" w:hint="default"/>
        </w:rPr>
        <w:t>7.09</w:t>
      </w:r>
      <w:r>
        <w:rPr/>
        <w:t>元。</w:t>
      </w:r>
    </w:p>
    <w:p>
      <w:pPr>
        <w:pStyle w:val="BodyText"/>
        <w:spacing w:line="240" w:lineRule="auto" w:before="13"/>
        <w:ind w:left="513" w:right="0"/>
        <w:jc w:val="left"/>
      </w:pPr>
      <w:r>
        <w:rPr/>
        <w:t>（</w:t>
      </w:r>
      <w:r>
        <w:rPr>
          <w:rFonts w:ascii="Times New Roman" w:hAnsi="Times New Roman" w:cs="Times New Roman" w:eastAsia="Times New Roman" w:hint="default"/>
        </w:rPr>
        <w:t>3</w:t>
      </w:r>
      <w:r>
        <w:rPr/>
        <w:t>）首次授予的限制性股票的解除限售期及各期解除限售时间</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386"/>
        <w:gridCol w:w="6410"/>
        <w:gridCol w:w="864"/>
      </w:tblGrid>
      <w:tr>
        <w:trPr>
          <w:trHeight w:val="342" w:hRule="exact"/>
        </w:trPr>
        <w:tc>
          <w:tcPr>
            <w:tcW w:w="23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646"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4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86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4" w:hRule="exact"/>
        </w:trPr>
        <w:tc>
          <w:tcPr>
            <w:tcW w:w="2386" w:type="dxa"/>
            <w:tcBorders>
              <w:top w:val="single" w:sz="11" w:space="0" w:color="000000"/>
              <w:left w:val="single" w:sz="6" w:space="0" w:color="000000"/>
              <w:bottom w:val="single" w:sz="6" w:space="0" w:color="000000"/>
              <w:right w:val="single" w:sz="6" w:space="0" w:color="000000"/>
            </w:tcBorders>
          </w:tcPr>
          <w:p>
            <w:pPr>
              <w:pStyle w:val="TableParagraph"/>
              <w:spacing w:line="316" w:lineRule="auto" w:before="17"/>
              <w:ind w:left="466" w:right="283" w:hanging="180"/>
              <w:jc w:val="left"/>
              <w:rPr>
                <w:rFonts w:ascii="宋体" w:hAnsi="宋体" w:cs="宋体" w:eastAsia="宋体" w:hint="default"/>
                <w:sz w:val="18"/>
                <w:szCs w:val="18"/>
              </w:rPr>
            </w:pPr>
            <w:r>
              <w:rPr>
                <w:rFonts w:ascii="宋体" w:hAnsi="宋体" w:cs="宋体" w:eastAsia="宋体" w:hint="default"/>
                <w:sz w:val="18"/>
                <w:szCs w:val="18"/>
              </w:rPr>
              <w:t>首次授予的限制性股票 第一个解除限售期</w:t>
            </w:r>
          </w:p>
        </w:tc>
        <w:tc>
          <w:tcPr>
            <w:tcW w:w="641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个月后的首个交易日起至首次授予登记完成之日起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86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66" w:right="283" w:hanging="180"/>
              <w:jc w:val="left"/>
              <w:rPr>
                <w:rFonts w:ascii="宋体" w:hAnsi="宋体" w:cs="宋体" w:eastAsia="宋体" w:hint="default"/>
                <w:sz w:val="18"/>
                <w:szCs w:val="18"/>
              </w:rPr>
            </w:pPr>
            <w:r>
              <w:rPr>
                <w:rFonts w:ascii="宋体" w:hAnsi="宋体" w:cs="宋体" w:eastAsia="宋体" w:hint="default"/>
                <w:sz w:val="18"/>
                <w:szCs w:val="18"/>
              </w:rPr>
              <w:t>首次授予的限制性股票 第二个解除限售期</w:t>
            </w:r>
          </w:p>
        </w:tc>
        <w:tc>
          <w:tcPr>
            <w:tcW w:w="6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个月后的首个交易日起至首次授予登记完成之日起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66" w:right="283" w:hanging="180"/>
              <w:jc w:val="left"/>
              <w:rPr>
                <w:rFonts w:ascii="宋体" w:hAnsi="宋体" w:cs="宋体" w:eastAsia="宋体" w:hint="default"/>
                <w:sz w:val="18"/>
                <w:szCs w:val="18"/>
              </w:rPr>
            </w:pPr>
            <w:r>
              <w:rPr>
                <w:rFonts w:ascii="宋体" w:hAnsi="宋体" w:cs="宋体" w:eastAsia="宋体" w:hint="default"/>
                <w:sz w:val="18"/>
                <w:szCs w:val="18"/>
              </w:rPr>
              <w:t>首次授予的限制性股票 第三个解除限售期</w:t>
            </w:r>
          </w:p>
        </w:tc>
        <w:tc>
          <w:tcPr>
            <w:tcW w:w="6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自首次授予登记完成之日起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个月后的首个交易日起至首次授予登记完成之日起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left="513" w:right="0"/>
        <w:jc w:val="left"/>
      </w:pPr>
      <w:r>
        <w:rPr/>
        <w:t>（</w:t>
      </w:r>
      <w:r>
        <w:rPr>
          <w:rFonts w:ascii="Times New Roman" w:hAnsi="Times New Roman" w:cs="Times New Roman" w:eastAsia="Times New Roman" w:hint="default"/>
        </w:rPr>
        <w:t>4</w:t>
      </w:r>
      <w:r>
        <w:rPr/>
        <w:t>）限制性股票价值的计算方法及参数合理性</w:t>
      </w:r>
    </w:p>
    <w:p>
      <w:pPr>
        <w:pStyle w:val="BodyText"/>
        <w:spacing w:line="300" w:lineRule="auto" w:before="101"/>
        <w:ind w:right="1132" w:firstLine="360"/>
        <w:jc w:val="both"/>
      </w:pPr>
      <w:r>
        <w:rPr/>
        <w:t>本公司以 </w:t>
      </w:r>
      <w:r>
        <w:rPr>
          <w:rFonts w:ascii="Times New Roman" w:hAnsi="Times New Roman" w:cs="Times New Roman" w:eastAsia="Times New Roman" w:hint="default"/>
        </w:rPr>
        <w:t>Black-Scholes </w:t>
      </w:r>
      <w:r>
        <w:rPr/>
        <w:t>模型（</w:t>
      </w:r>
      <w:r>
        <w:rPr>
          <w:rFonts w:ascii="Times New Roman" w:hAnsi="Times New Roman" w:cs="Times New Roman" w:eastAsia="Times New Roman" w:hint="default"/>
        </w:rPr>
        <w:t>B-S</w:t>
      </w:r>
      <w:r>
        <w:rPr>
          <w:rFonts w:ascii="Times New Roman" w:hAnsi="Times New Roman" w:cs="Times New Roman" w:eastAsia="Times New Roman" w:hint="default"/>
          <w:spacing w:val="-12"/>
        </w:rPr>
        <w:t> </w:t>
      </w:r>
      <w:r>
        <w:rPr/>
        <w:t>模型）作为定价模型，扣除限制性因素带来的成本后作为限制性股票的公允价值。 本公司运用该模型以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日为计算的基准日，对首次授予的限制性股票的公允价值进行了测算。具体参数选取如</w:t>
      </w:r>
      <w:r>
        <w:rPr>
          <w:spacing w:val="-88"/>
        </w:rPr>
        <w:t> </w:t>
      </w:r>
      <w:r>
        <w:rPr>
          <w:spacing w:val="-88"/>
        </w:rPr>
      </w:r>
      <w:r>
        <w:rPr/>
        <w:t>下：</w:t>
      </w:r>
    </w:p>
    <w:p>
      <w:pPr>
        <w:pStyle w:val="BodyText"/>
        <w:spacing w:line="240" w:lineRule="auto" w:before="72"/>
        <w:ind w:left="513" w:right="0"/>
        <w:jc w:val="left"/>
      </w:pPr>
      <w:r>
        <w:rPr/>
        <w:t>①标的股价：</w:t>
      </w:r>
      <w:r>
        <w:rPr>
          <w:rFonts w:ascii="Times New Roman" w:hAnsi="Times New Roman" w:cs="Times New Roman" w:eastAsia="Times New Roman" w:hint="default"/>
        </w:rPr>
        <w:t>12.92</w:t>
      </w:r>
      <w:r>
        <w:rPr/>
        <w:t>元</w:t>
      </w:r>
      <w:r>
        <w:rPr>
          <w:rFonts w:ascii="Times New Roman" w:hAnsi="Times New Roman" w:cs="Times New Roman" w:eastAsia="Times New Roman" w:hint="default"/>
        </w:rPr>
        <w:t>/</w:t>
      </w:r>
      <w:r>
        <w:rPr/>
        <w:t>股（授予日公司收盘价为</w:t>
      </w:r>
      <w:r>
        <w:rPr>
          <w:rFonts w:ascii="Times New Roman" w:hAnsi="Times New Roman" w:cs="Times New Roman" w:eastAsia="Times New Roman" w:hint="default"/>
        </w:rPr>
        <w:t>12.92</w:t>
      </w:r>
      <w:r>
        <w:rPr/>
        <w:t>元</w:t>
      </w:r>
      <w:r>
        <w:rPr>
          <w:rFonts w:ascii="Times New Roman" w:hAnsi="Times New Roman" w:cs="Times New Roman" w:eastAsia="Times New Roman" w:hint="default"/>
        </w:rPr>
        <w:t>/</w:t>
      </w:r>
      <w:r>
        <w:rPr/>
        <w:t>股）</w:t>
      </w:r>
    </w:p>
    <w:p>
      <w:pPr>
        <w:pStyle w:val="BodyText"/>
        <w:spacing w:line="240" w:lineRule="auto" w:before="101"/>
        <w:ind w:left="513" w:right="0"/>
        <w:jc w:val="left"/>
      </w:pPr>
      <w:r>
        <w:rPr/>
        <w:t>②有效期分别为：</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3</w:t>
      </w:r>
      <w:r>
        <w:rPr/>
        <w:t>年（授予登记完成日至每期首个行权日的期限）</w:t>
      </w:r>
    </w:p>
    <w:p>
      <w:pPr>
        <w:pStyle w:val="BodyText"/>
        <w:spacing w:line="240" w:lineRule="auto" w:before="103"/>
        <w:ind w:left="513" w:right="0"/>
        <w:jc w:val="left"/>
      </w:pPr>
      <w:r>
        <w:rPr/>
        <w:t>③波动率分别为：</w:t>
      </w:r>
      <w:r>
        <w:rPr>
          <w:rFonts w:ascii="Times New Roman" w:hAnsi="Times New Roman" w:cs="Times New Roman" w:eastAsia="Times New Roman" w:hint="default"/>
        </w:rPr>
        <w:t>27.6463%</w:t>
      </w:r>
      <w:r>
        <w:rPr/>
        <w:t>、</w:t>
      </w:r>
      <w:r>
        <w:rPr>
          <w:rFonts w:ascii="Times New Roman" w:hAnsi="Times New Roman" w:cs="Times New Roman" w:eastAsia="Times New Roman" w:hint="default"/>
        </w:rPr>
        <w:t>23.2481%</w:t>
      </w:r>
      <w:r>
        <w:rPr/>
        <w:t>、</w:t>
      </w:r>
      <w:r>
        <w:rPr>
          <w:rFonts w:ascii="Times New Roman" w:hAnsi="Times New Roman" w:cs="Times New Roman" w:eastAsia="Times New Roman" w:hint="default"/>
        </w:rPr>
        <w:t>20.6737%</w:t>
      </w:r>
      <w:r>
        <w:rPr/>
        <w:t>（采用深证成指最近一年、两年、三年的波动率）</w:t>
      </w:r>
    </w:p>
    <w:p>
      <w:pPr>
        <w:pStyle w:val="BodyText"/>
        <w:spacing w:line="240" w:lineRule="auto" w:before="103"/>
        <w:ind w:left="513" w:right="0"/>
        <w:jc w:val="left"/>
      </w:pPr>
      <w:r>
        <w:rPr>
          <w:spacing w:val="-4"/>
        </w:rPr>
        <w:t>④无风险利率：</w:t>
      </w:r>
      <w:r>
        <w:rPr>
          <w:rFonts w:ascii="Times New Roman" w:hAnsi="Times New Roman" w:cs="Times New Roman" w:eastAsia="Times New Roman" w:hint="default"/>
          <w:spacing w:val="-4"/>
        </w:rPr>
        <w:t>1.50%</w:t>
      </w:r>
      <w:r>
        <w:rPr>
          <w:spacing w:val="-4"/>
        </w:rPr>
        <w:t>、</w:t>
      </w:r>
      <w:r>
        <w:rPr>
          <w:rFonts w:ascii="Times New Roman" w:hAnsi="Times New Roman" w:cs="Times New Roman" w:eastAsia="Times New Roman" w:hint="default"/>
          <w:spacing w:val="-4"/>
        </w:rPr>
        <w:t>2.10%</w:t>
      </w:r>
      <w:r>
        <w:rPr>
          <w:spacing w:val="-4"/>
        </w:rPr>
        <w:t>、</w:t>
      </w:r>
      <w:r>
        <w:rPr>
          <w:rFonts w:ascii="Times New Roman" w:hAnsi="Times New Roman" w:cs="Times New Roman" w:eastAsia="Times New Roman" w:hint="default"/>
          <w:spacing w:val="-4"/>
        </w:rPr>
        <w:t>2.75%</w:t>
      </w:r>
      <w:r>
        <w:rPr>
          <w:spacing w:val="-4"/>
        </w:rPr>
        <w:t>（分别采用中国人民银行制定的金融机构 </w:t>
      </w:r>
      <w:r>
        <w:rPr>
          <w:rFonts w:ascii="Times New Roman" w:hAnsi="Times New Roman" w:cs="Times New Roman" w:eastAsia="Times New Roman" w:hint="default"/>
        </w:rPr>
        <w:t>1  </w:t>
      </w:r>
      <w:r>
        <w:rPr>
          <w:spacing w:val="-10"/>
        </w:rPr>
        <w:t>年期、</w:t>
      </w:r>
      <w:r>
        <w:rPr>
          <w:rFonts w:ascii="Times New Roman" w:hAnsi="Times New Roman" w:cs="Times New Roman" w:eastAsia="Times New Roman" w:hint="default"/>
          <w:spacing w:val="-10"/>
        </w:rPr>
        <w:t>2  </w:t>
      </w:r>
      <w:r>
        <w:rPr>
          <w:spacing w:val="-11"/>
        </w:rPr>
        <w:t>年期、</w:t>
      </w:r>
      <w:r>
        <w:rPr>
          <w:rFonts w:ascii="Times New Roman" w:hAnsi="Times New Roman" w:cs="Times New Roman" w:eastAsia="Times New Roman" w:hint="default"/>
          <w:spacing w:val="-11"/>
        </w:rPr>
        <w:t>3</w:t>
      </w:r>
      <w:r>
        <w:rPr>
          <w:rFonts w:ascii="Times New Roman" w:hAnsi="Times New Roman" w:cs="Times New Roman" w:eastAsia="Times New Roman" w:hint="default"/>
          <w:spacing w:val="7"/>
        </w:rPr>
        <w:t> </w:t>
      </w:r>
      <w:r>
        <w:rPr/>
        <w:t>年期存款基准利率）</w:t>
      </w:r>
    </w:p>
    <w:p>
      <w:pPr>
        <w:pStyle w:val="BodyText"/>
        <w:spacing w:line="240" w:lineRule="auto" w:before="102"/>
        <w:ind w:left="441" w:right="0"/>
        <w:jc w:val="left"/>
      </w:pPr>
      <w:r>
        <w:rPr/>
        <w:t>⑤股息率：</w:t>
      </w:r>
      <w:r>
        <w:rPr>
          <w:rFonts w:ascii="Times New Roman" w:hAnsi="Times New Roman" w:cs="Times New Roman" w:eastAsia="Times New Roman" w:hint="default"/>
        </w:rPr>
        <w:t>1.6023%</w:t>
      </w:r>
      <w:r>
        <w:rPr/>
        <w:t>、</w:t>
      </w:r>
      <w:r>
        <w:rPr>
          <w:rFonts w:ascii="Times New Roman" w:hAnsi="Times New Roman" w:cs="Times New Roman" w:eastAsia="Times New Roman" w:hint="default"/>
        </w:rPr>
        <w:t>0.8946%</w:t>
      </w:r>
      <w:r>
        <w:rPr/>
        <w:t>、</w:t>
      </w:r>
      <w:r>
        <w:rPr>
          <w:rFonts w:ascii="Times New Roman" w:hAnsi="Times New Roman" w:cs="Times New Roman" w:eastAsia="Times New Roman" w:hint="default"/>
        </w:rPr>
        <w:t>0.6587%</w:t>
      </w:r>
      <w:r>
        <w:rPr/>
        <w:t>（取本激励计划授予前公司最近一年、两年、三年的平均股息率）</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380"/>
      <w:bookmarkEnd w:id="38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四、承诺及或有事项" w:id="381"/>
      <w:bookmarkEnd w:id="381"/>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82"/>
      <w:bookmarkEnd w:id="38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094"/>
        <w:jc w:val="left"/>
      </w:pPr>
      <w:r>
        <w:rPr/>
        <w:pict>
          <v:shape style="position:absolute;margin-left:55.799999pt;margin-top:32.83168pt;width:484.1pt;height:106.6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91"/>
                    <w:gridCol w:w="4669"/>
                  </w:tblGrid>
                  <w:tr>
                    <w:trPr>
                      <w:trHeight w:val="350" w:hRule="exact"/>
                    </w:trPr>
                    <w:tc>
                      <w:tcPr>
                        <w:tcW w:w="4991"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4669" w:type="dxa"/>
                        <w:tcBorders>
                          <w:top w:val="single" w:sz="8" w:space="0" w:color="000000"/>
                          <w:left w:val="single" w:sz="6" w:space="0" w:color="000000"/>
                          <w:bottom w:val="single" w:sz="8" w:space="0" w:color="000000"/>
                          <w:right w:val="single" w:sz="6" w:space="0" w:color="000000"/>
                        </w:tcBorders>
                        <w:shd w:val="clear" w:color="auto" w:fill="D0CECE"/>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4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16,812,775.93</w:t>
                        </w:r>
                      </w:p>
                    </w:tc>
                  </w:tr>
                  <w:tr>
                    <w:trPr>
                      <w:trHeight w:val="353" w:hRule="exact"/>
                    </w:trPr>
                    <w:tc>
                      <w:tcPr>
                        <w:tcW w:w="4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11,559,858.81</w:t>
                        </w:r>
                      </w:p>
                    </w:tc>
                  </w:tr>
                  <w:tr>
                    <w:trPr>
                      <w:trHeight w:val="350" w:hRule="exact"/>
                    </w:trPr>
                    <w:tc>
                      <w:tcPr>
                        <w:tcW w:w="4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6,272,846.86</w:t>
                        </w:r>
                      </w:p>
                    </w:tc>
                  </w:tr>
                  <w:tr>
                    <w:trPr>
                      <w:trHeight w:val="353" w:hRule="exact"/>
                    </w:trPr>
                    <w:tc>
                      <w:tcPr>
                        <w:tcW w:w="4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669" w:type="dxa"/>
                        <w:tcBorders>
                          <w:top w:val="single" w:sz="8" w:space="0" w:color="000000"/>
                          <w:left w:val="single" w:sz="6" w:space="0" w:color="000000"/>
                          <w:bottom w:val="single" w:sz="8" w:space="0" w:color="000000"/>
                          <w:right w:val="single" w:sz="6" w:space="0" w:color="000000"/>
                        </w:tcBorders>
                      </w:tcPr>
                      <w:p>
                        <w:pPr/>
                      </w:p>
                    </w:tc>
                  </w:tr>
                  <w:tr>
                    <w:trPr>
                      <w:trHeight w:val="353" w:hRule="exact"/>
                    </w:trPr>
                    <w:tc>
                      <w:tcPr>
                        <w:tcW w:w="4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34,645,481.60</w:t>
                        </w:r>
                      </w:p>
                    </w:tc>
                  </w:tr>
                </w:tbl>
                <w:p>
                  <w:pPr/>
                </w:p>
              </w:txbxContent>
            </v:textbox>
            <w10:wrap type="none"/>
          </v:shape>
        </w:pict>
      </w:r>
      <w:r>
        <w:rPr/>
        <w:t>资产负债表日存在的重要承诺 经营租赁承诺：根据与出租人签订的租赁合同，不可撤销租赁的最低租赁付款如下：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before="36"/>
        <w:ind w:right="0"/>
        <w:jc w:val="left"/>
        <w:rPr>
          <w:b w:val="0"/>
          <w:bCs w:val="0"/>
        </w:rPr>
      </w:pPr>
      <w:bookmarkStart w:name="2、或有事项" w:id="383"/>
      <w:bookmarkEnd w:id="3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84"/>
      <w:bookmarkEnd w:id="3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月，山西省物产集团进出口有限公司（以下简称</w:t>
      </w:r>
      <w:r>
        <w:rPr>
          <w:rFonts w:ascii="Times New Roman" w:hAnsi="Times New Roman" w:cs="Times New Roman" w:eastAsia="Times New Roman" w:hint="default"/>
          <w:spacing w:val="-2"/>
        </w:rPr>
        <w:t>“</w:t>
      </w:r>
      <w:r>
        <w:rPr>
          <w:spacing w:val="-2"/>
        </w:rPr>
        <w:t>山西物产</w:t>
      </w:r>
      <w:r>
        <w:rPr>
          <w:rFonts w:ascii="Times New Roman" w:hAnsi="Times New Roman" w:cs="Times New Roman" w:eastAsia="Times New Roman" w:hint="default"/>
          <w:spacing w:val="-2"/>
        </w:rPr>
        <w:t>”</w:t>
      </w:r>
      <w:r>
        <w:rPr>
          <w:spacing w:val="-2"/>
        </w:rPr>
        <w:t>）起诉神码中国未按销售合同规定提供货物，请求</w:t>
      </w:r>
      <w:r>
        <w:rPr/>
        <w:t> 法院判令：</w:t>
      </w:r>
      <w:r>
        <w:rPr>
          <w:rFonts w:ascii="Times New Roman" w:hAnsi="Times New Roman" w:cs="Times New Roman" w:eastAsia="Times New Roman" w:hint="default"/>
        </w:rPr>
        <w:t>1</w:t>
      </w:r>
      <w:r>
        <w:rPr/>
        <w:t>、双方解除合同；</w:t>
      </w:r>
      <w:r>
        <w:rPr>
          <w:rFonts w:ascii="Times New Roman" w:hAnsi="Times New Roman" w:cs="Times New Roman" w:eastAsia="Times New Roman" w:hint="default"/>
        </w:rPr>
        <w:t>2</w:t>
      </w:r>
      <w:r>
        <w:rPr/>
        <w:t>、神码中国退还合同金额</w:t>
      </w:r>
      <w:r>
        <w:rPr>
          <w:rFonts w:ascii="Times New Roman" w:hAnsi="Times New Roman" w:cs="Times New Roman" w:eastAsia="Times New Roman" w:hint="default"/>
        </w:rPr>
        <w:t>33,992,678</w:t>
      </w:r>
      <w:r>
        <w:rPr/>
        <w:t>元，并自神码中国收到该合同款之日起赔偿山西物产银</w:t>
      </w:r>
      <w:r>
        <w:rPr>
          <w:spacing w:val="-84"/>
        </w:rPr>
        <w:t> </w:t>
      </w:r>
      <w:r>
        <w:rPr>
          <w:spacing w:val="-84"/>
        </w:rPr>
      </w:r>
      <w:r>
        <w:rPr/>
        <w:t>行同期贷款利息（自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日至实际给付之日止）；</w:t>
      </w:r>
      <w:r>
        <w:rPr>
          <w:rFonts w:ascii="Times New Roman" w:hAnsi="Times New Roman" w:cs="Times New Roman" w:eastAsia="Times New Roman" w:hint="default"/>
        </w:rPr>
        <w:t>3</w:t>
      </w:r>
      <w:r>
        <w:rPr/>
        <w:t>、诉讼费由神码中国承担。神码中国认为已按合同规定发货并取</w:t>
      </w:r>
      <w:r>
        <w:rPr>
          <w:spacing w:val="-85"/>
        </w:rPr>
        <w:t> </w:t>
      </w:r>
      <w:r>
        <w:rPr>
          <w:spacing w:val="-85"/>
        </w:rPr>
      </w:r>
      <w:r>
        <w:rPr/>
        <w:t>得山西物产收货确认单。北京市海淀区人民法院（</w:t>
      </w:r>
      <w:r>
        <w:rPr>
          <w:rFonts w:ascii="Times New Roman" w:hAnsi="Times New Roman" w:cs="Times New Roman" w:eastAsia="Times New Roman" w:hint="default"/>
        </w:rPr>
        <w:t>2013</w:t>
      </w:r>
      <w:r>
        <w:rPr/>
        <w:t>）海民初字第</w:t>
      </w:r>
      <w:r>
        <w:rPr>
          <w:rFonts w:ascii="Times New Roman" w:hAnsi="Times New Roman" w:cs="Times New Roman" w:eastAsia="Times New Roman" w:hint="default"/>
        </w:rPr>
        <w:t>24898</w:t>
      </w:r>
      <w:r>
        <w:rPr/>
        <w:t>号，作出一审判决解除神码中国与山西物产签订</w:t>
      </w:r>
      <w:r>
        <w:rPr>
          <w:spacing w:val="-85"/>
        </w:rPr>
        <w:t> </w:t>
      </w:r>
      <w:r>
        <w:rPr>
          <w:spacing w:val="-85"/>
        </w:rPr>
      </w:r>
      <w:r>
        <w:rPr/>
        <w:t>的《销售合同》，神码中国应向山西物产返还货款及相应利息，并承担诉讼费用。</w:t>
      </w:r>
    </w:p>
    <w:p>
      <w:pPr>
        <w:pStyle w:val="BodyText"/>
        <w:spacing w:line="300" w:lineRule="auto" w:before="31"/>
        <w:ind w:right="1127" w:firstLine="360"/>
        <w:jc w:val="both"/>
      </w:pPr>
      <w:r>
        <w:rPr>
          <w:spacing w:val="-2"/>
        </w:rPr>
        <w:t>神码中国不服一审判决，向北京市第一中级人民法院提起上诉，</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日北京市第一中级人民法院受理，并于</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日公开开庭进行了审理。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日北京市第一中级人民法院（</w:t>
      </w:r>
      <w:r>
        <w:rPr>
          <w:rFonts w:ascii="Times New Roman" w:hAnsi="Times New Roman" w:cs="Times New Roman" w:eastAsia="Times New Roman" w:hint="default"/>
          <w:spacing w:val="-3"/>
        </w:rPr>
        <w:t>2015</w:t>
      </w:r>
      <w:r>
        <w:rPr>
          <w:spacing w:val="-3"/>
        </w:rPr>
        <w:t>）一中民（商）终字第</w:t>
      </w:r>
      <w:r>
        <w:rPr>
          <w:rFonts w:ascii="Times New Roman" w:hAnsi="Times New Roman" w:cs="Times New Roman" w:eastAsia="Times New Roman" w:hint="default"/>
          <w:spacing w:val="-3"/>
        </w:rPr>
        <w:t>4547</w:t>
      </w:r>
      <w:r>
        <w:rPr>
          <w:spacing w:val="-3"/>
        </w:rPr>
        <w:t>号作出终审判决：</w:t>
      </w:r>
      <w:r>
        <w:rPr>
          <w:spacing w:val="-82"/>
        </w:rPr>
        <w:t> </w:t>
      </w:r>
      <w:r>
        <w:rPr>
          <w:spacing w:val="-82"/>
        </w:rPr>
      </w:r>
      <w:r>
        <w:rPr>
          <w:rFonts w:ascii="Times New Roman" w:hAnsi="Times New Roman" w:cs="Times New Roman" w:eastAsia="Times New Roman" w:hint="default"/>
          <w:spacing w:val="-3"/>
        </w:rPr>
        <w:t>1</w:t>
      </w:r>
      <w:r>
        <w:rPr>
          <w:spacing w:val="-3"/>
        </w:rPr>
        <w:t>、撤销北京市海淀区人民法院（</w:t>
      </w:r>
      <w:r>
        <w:rPr>
          <w:rFonts w:ascii="Times New Roman" w:hAnsi="Times New Roman" w:cs="Times New Roman" w:eastAsia="Times New Roman" w:hint="default"/>
          <w:spacing w:val="-3"/>
        </w:rPr>
        <w:t>2013</w:t>
      </w:r>
      <w:r>
        <w:rPr>
          <w:spacing w:val="-3"/>
        </w:rPr>
        <w:t>）海民初字第</w:t>
      </w:r>
      <w:r>
        <w:rPr>
          <w:rFonts w:ascii="Times New Roman" w:hAnsi="Times New Roman" w:cs="Times New Roman" w:eastAsia="Times New Roman" w:hint="default"/>
          <w:spacing w:val="-3"/>
        </w:rPr>
        <w:t>24898</w:t>
      </w:r>
      <w:r>
        <w:rPr>
          <w:spacing w:val="-3"/>
        </w:rPr>
        <w:t>号判决；</w:t>
      </w:r>
      <w:r>
        <w:rPr>
          <w:rFonts w:ascii="Times New Roman" w:hAnsi="Times New Roman" w:cs="Times New Roman" w:eastAsia="Times New Roman" w:hint="default"/>
          <w:spacing w:val="-3"/>
        </w:rPr>
        <w:t>2</w:t>
      </w:r>
      <w:r>
        <w:rPr>
          <w:spacing w:val="-3"/>
        </w:rPr>
        <w:t>、驳回山西省物产集团进出口有限公司的全部诉讼请求。</w:t>
      </w:r>
    </w:p>
    <w:p>
      <w:pPr>
        <w:pStyle w:val="BodyText"/>
        <w:spacing w:line="300" w:lineRule="auto" w:before="13"/>
        <w:ind w:right="1126" w:firstLine="360"/>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月，山西物产不服北京市第一中级人民法院（</w:t>
      </w:r>
      <w:r>
        <w:rPr>
          <w:rFonts w:ascii="Times New Roman" w:hAnsi="Times New Roman" w:cs="Times New Roman" w:eastAsia="Times New Roman" w:hint="default"/>
        </w:rPr>
        <w:t>2015</w:t>
      </w:r>
      <w:r>
        <w:rPr/>
        <w:t>）一中民（商）终字第</w:t>
      </w:r>
      <w:r>
        <w:rPr>
          <w:rFonts w:ascii="Times New Roman" w:hAnsi="Times New Roman" w:cs="Times New Roman" w:eastAsia="Times New Roman" w:hint="default"/>
        </w:rPr>
        <w:t>4547</w:t>
      </w:r>
      <w:r>
        <w:rPr/>
        <w:t>号民事判决，向北京市高级人民 </w:t>
      </w:r>
      <w:r>
        <w:rPr>
          <w:spacing w:val="-4"/>
        </w:rPr>
        <w:t>法院申请再审。北京市高级人民法院作出</w:t>
      </w:r>
      <w:r>
        <w:rPr>
          <w:rFonts w:ascii="Times New Roman" w:hAnsi="Times New Roman" w:cs="Times New Roman" w:eastAsia="Times New Roman" w:hint="default"/>
          <w:spacing w:val="-4"/>
        </w:rPr>
        <w:t>(2016)</w:t>
      </w:r>
      <w:r>
        <w:rPr>
          <w:spacing w:val="-4"/>
        </w:rPr>
        <w:t>京民审</w:t>
      </w:r>
      <w:r>
        <w:rPr>
          <w:rFonts w:ascii="Times New Roman" w:hAnsi="Times New Roman" w:cs="Times New Roman" w:eastAsia="Times New Roman" w:hint="default"/>
          <w:spacing w:val="-4"/>
        </w:rPr>
        <w:t>1560</w:t>
      </w:r>
      <w:r>
        <w:rPr>
          <w:spacing w:val="-4"/>
        </w:rPr>
        <w:t>号裁定：</w:t>
      </w:r>
      <w:r>
        <w:rPr>
          <w:rFonts w:ascii="Times New Roman" w:hAnsi="Times New Roman" w:cs="Times New Roman" w:eastAsia="Times New Roman" w:hint="default"/>
          <w:spacing w:val="-4"/>
        </w:rPr>
        <w:t>1</w:t>
      </w:r>
      <w:r>
        <w:rPr>
          <w:spacing w:val="-4"/>
        </w:rPr>
        <w:t>、本案由本院提审；</w:t>
      </w:r>
      <w:r>
        <w:rPr>
          <w:rFonts w:ascii="Times New Roman" w:hAnsi="Times New Roman" w:cs="Times New Roman" w:eastAsia="Times New Roman" w:hint="default"/>
          <w:spacing w:val="-4"/>
        </w:rPr>
        <w:t>2</w:t>
      </w:r>
      <w:r>
        <w:rPr>
          <w:spacing w:val="-4"/>
        </w:rPr>
        <w:t>、再审期间，中止原判决的执行。</w:t>
      </w:r>
      <w:r>
        <w:rPr>
          <w:spacing w:val="-72"/>
        </w:rPr>
        <w:t> </w:t>
      </w:r>
      <w:r>
        <w:rPr>
          <w:spacing w:val="-72"/>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月，北京市高级人民法院做出《民事裁定书》</w:t>
      </w:r>
      <w:r>
        <w:rPr>
          <w:rFonts w:ascii="Times New Roman" w:hAnsi="Times New Roman" w:cs="Times New Roman" w:eastAsia="Times New Roman" w:hint="default"/>
        </w:rPr>
        <w:t>(2016)</w:t>
      </w:r>
      <w:r>
        <w:rPr/>
        <w:t>京民再</w:t>
      </w:r>
      <w:r>
        <w:rPr>
          <w:rFonts w:ascii="Times New Roman" w:hAnsi="Times New Roman" w:cs="Times New Roman" w:eastAsia="Times New Roman" w:hint="default"/>
        </w:rPr>
        <w:t>101</w:t>
      </w:r>
      <w:r>
        <w:rPr/>
        <w:t>号，撤销北京市第一中级人民法院（</w:t>
      </w:r>
      <w:r>
        <w:rPr>
          <w:rFonts w:ascii="Times New Roman" w:hAnsi="Times New Roman" w:cs="Times New Roman" w:eastAsia="Times New Roman" w:hint="default"/>
        </w:rPr>
        <w:t>2015</w:t>
      </w:r>
      <w:r>
        <w:rPr/>
        <w:t>）一</w:t>
      </w:r>
      <w:r>
        <w:rPr>
          <w:spacing w:val="2"/>
        </w:rPr>
        <w:t> </w:t>
      </w:r>
      <w:r>
        <w:rPr/>
        <w:t>中民（商）终字第</w:t>
      </w:r>
      <w:r>
        <w:rPr>
          <w:rFonts w:ascii="Times New Roman" w:hAnsi="Times New Roman" w:cs="Times New Roman" w:eastAsia="Times New Roman" w:hint="default"/>
        </w:rPr>
        <w:t>4547</w:t>
      </w:r>
      <w:r>
        <w:rPr/>
        <w:t>号民事判决及北京市海淀区人民法院（</w:t>
      </w:r>
      <w:r>
        <w:rPr>
          <w:rFonts w:ascii="Times New Roman" w:hAnsi="Times New Roman" w:cs="Times New Roman" w:eastAsia="Times New Roman" w:hint="default"/>
        </w:rPr>
        <w:t>2013</w:t>
      </w:r>
      <w:r>
        <w:rPr/>
        <w:t>）海民初字第</w:t>
      </w:r>
      <w:r>
        <w:rPr>
          <w:rFonts w:ascii="Times New Roman" w:hAnsi="Times New Roman" w:cs="Times New Roman" w:eastAsia="Times New Roman" w:hint="default"/>
        </w:rPr>
        <w:t>24898</w:t>
      </w:r>
      <w:r>
        <w:rPr/>
        <w:t>号民事判决，本案发回北京市海淀区</w:t>
      </w:r>
    </w:p>
    <w:p>
      <w:pPr>
        <w:pStyle w:val="BodyText"/>
        <w:spacing w:line="240" w:lineRule="auto" w:before="13"/>
        <w:ind w:right="0"/>
        <w:jc w:val="left"/>
      </w:pPr>
      <w:r>
        <w:rPr/>
        <w:t>人民法院重审。</w:t>
      </w:r>
    </w:p>
    <w:p>
      <w:pPr>
        <w:pStyle w:val="BodyText"/>
        <w:spacing w:line="300" w:lineRule="auto" w:before="76"/>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月，北京市海淀区人民法院作出（</w:t>
      </w:r>
      <w:r>
        <w:rPr>
          <w:rFonts w:ascii="Times New Roman" w:hAnsi="Times New Roman" w:cs="Times New Roman" w:eastAsia="Times New Roman" w:hint="default"/>
        </w:rPr>
        <w:t>2019</w:t>
      </w:r>
      <w:r>
        <w:rPr/>
        <w:t>）京</w:t>
      </w:r>
      <w:r>
        <w:rPr>
          <w:rFonts w:ascii="Times New Roman" w:hAnsi="Times New Roman" w:cs="Times New Roman" w:eastAsia="Times New Roman" w:hint="default"/>
        </w:rPr>
        <w:t>0108</w:t>
      </w:r>
      <w:r>
        <w:rPr/>
        <w:t>民再</w:t>
      </w:r>
      <w:r>
        <w:rPr>
          <w:rFonts w:ascii="Times New Roman" w:hAnsi="Times New Roman" w:cs="Times New Roman" w:eastAsia="Times New Roman" w:hint="default"/>
        </w:rPr>
        <w:t>18</w:t>
      </w:r>
      <w:r>
        <w:rPr/>
        <w:t>号《民事判决书》，判决如下：</w:t>
      </w:r>
      <w:r>
        <w:rPr>
          <w:rFonts w:ascii="宋体" w:hAnsi="宋体" w:cs="宋体" w:eastAsia="宋体" w:hint="default"/>
        </w:rPr>
        <w:t>1</w:t>
      </w:r>
      <w:r>
        <w:rPr/>
        <w:t>、驳回山西物产全部 </w:t>
      </w:r>
      <w:r>
        <w:rPr>
          <w:spacing w:val="-1"/>
        </w:rPr>
        <w:t>诉讼请求；</w:t>
      </w:r>
      <w:r>
        <w:rPr>
          <w:rFonts w:ascii="宋体" w:hAnsi="宋体" w:cs="宋体" w:eastAsia="宋体" w:hint="default"/>
          <w:spacing w:val="-1"/>
        </w:rPr>
        <w:t>2</w:t>
      </w:r>
      <w:r>
        <w:rPr>
          <w:spacing w:val="-1"/>
        </w:rPr>
        <w:t>、案件受理费</w:t>
      </w:r>
      <w:r>
        <w:rPr>
          <w:rFonts w:ascii="Times New Roman" w:hAnsi="Times New Roman" w:cs="Times New Roman" w:eastAsia="Times New Roman" w:hint="default"/>
          <w:spacing w:val="-1"/>
        </w:rPr>
        <w:t>211,763</w:t>
      </w:r>
      <w:r>
        <w:rPr>
          <w:spacing w:val="-1"/>
        </w:rPr>
        <w:t>元由山西物产负担；</w:t>
      </w:r>
      <w:r>
        <w:rPr>
          <w:rFonts w:ascii="宋体" w:hAnsi="宋体" w:cs="宋体" w:eastAsia="宋体" w:hint="default"/>
          <w:spacing w:val="-1"/>
        </w:rPr>
        <w:t>3</w:t>
      </w:r>
      <w:r>
        <w:rPr>
          <w:spacing w:val="-1"/>
        </w:rPr>
        <w:t>、公告费</w:t>
      </w:r>
      <w:r>
        <w:rPr>
          <w:rFonts w:ascii="Times New Roman" w:hAnsi="Times New Roman" w:cs="Times New Roman" w:eastAsia="Times New Roman" w:hint="default"/>
          <w:spacing w:val="-1"/>
        </w:rPr>
        <w:t>200</w:t>
      </w:r>
      <w:r>
        <w:rPr>
          <w:spacing w:val="-1"/>
        </w:rPr>
        <w:t>元由山西物产负担。山西物产因不服北京市海淀区人民</w:t>
      </w:r>
      <w:r>
        <w:rPr>
          <w:spacing w:val="-75"/>
        </w:rPr>
        <w:t> </w:t>
      </w:r>
      <w:r>
        <w:rPr>
          <w:spacing w:val="-75"/>
        </w:rPr>
      </w:r>
      <w:r>
        <w:rPr/>
        <w:t>法院作出的（</w:t>
      </w:r>
      <w:r>
        <w:rPr>
          <w:rFonts w:ascii="Times New Roman" w:hAnsi="Times New Roman" w:cs="Times New Roman" w:eastAsia="Times New Roman" w:hint="default"/>
        </w:rPr>
        <w:t>2019</w:t>
      </w:r>
      <w:r>
        <w:rPr/>
        <w:t>）京</w:t>
      </w:r>
      <w:r>
        <w:rPr>
          <w:rFonts w:ascii="Times New Roman" w:hAnsi="Times New Roman" w:cs="Times New Roman" w:eastAsia="Times New Roman" w:hint="default"/>
        </w:rPr>
        <w:t>0108</w:t>
      </w:r>
      <w:r>
        <w:rPr/>
        <w:t>民再《民事判决书》，已经在上诉期内向北京市第一中级人民法院提起了上诉。</w:t>
      </w:r>
    </w:p>
    <w:p>
      <w:pPr>
        <w:pStyle w:val="BodyText"/>
        <w:spacing w:line="240" w:lineRule="auto" w:before="13"/>
        <w:ind w:left="513" w:right="0"/>
        <w:jc w:val="left"/>
      </w:pPr>
      <w:r>
        <w:rPr/>
        <w:t>截至本报告日，本案尚未开庭审理。</w:t>
      </w:r>
    </w:p>
    <w:p>
      <w:pPr>
        <w:spacing w:line="240" w:lineRule="auto" w:before="0"/>
        <w:rPr>
          <w:rFonts w:ascii="宋体" w:hAnsi="宋体" w:cs="宋体" w:eastAsia="宋体" w:hint="default"/>
          <w:sz w:val="18"/>
          <w:szCs w:val="18"/>
        </w:rPr>
      </w:pPr>
    </w:p>
    <w:p>
      <w:pPr>
        <w:pStyle w:val="BodyText"/>
        <w:spacing w:line="300" w:lineRule="auto" w:before="153"/>
        <w:ind w:right="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月，神码北京收到北京市海淀区人民法院（</w:t>
      </w:r>
      <w:r>
        <w:rPr>
          <w:rFonts w:ascii="Times New Roman" w:hAnsi="Times New Roman" w:cs="Times New Roman" w:eastAsia="Times New Roman" w:hint="default"/>
        </w:rPr>
        <w:t>2019</w:t>
      </w:r>
      <w:r>
        <w:rPr/>
        <w:t>）京</w:t>
      </w:r>
      <w:r>
        <w:rPr>
          <w:rFonts w:ascii="Times New Roman" w:hAnsi="Times New Roman" w:cs="Times New Roman" w:eastAsia="Times New Roman" w:hint="default"/>
        </w:rPr>
        <w:t>0108</w:t>
      </w:r>
      <w:r>
        <w:rPr/>
        <w:t>初</w:t>
      </w:r>
      <w:r>
        <w:rPr>
          <w:rFonts w:ascii="Times New Roman" w:hAnsi="Times New Roman" w:cs="Times New Roman" w:eastAsia="Times New Roman" w:hint="default"/>
        </w:rPr>
        <w:t>9315</w:t>
      </w:r>
      <w:r>
        <w:rPr/>
        <w:t>号的传票及民事起诉状。天津祥润昌商贸有限 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祥润昌</w:t>
      </w:r>
      <w:r>
        <w:rPr>
          <w:rFonts w:ascii="Times New Roman" w:hAnsi="Times New Roman" w:cs="Times New Roman" w:eastAsia="Times New Roman" w:hint="default"/>
        </w:rPr>
        <w:t>”)</w:t>
      </w:r>
      <w:r>
        <w:rPr/>
        <w:t>以买卖合同纠纷为由起诉神码北京，请求判令：</w:t>
      </w:r>
      <w:r>
        <w:rPr>
          <w:rFonts w:ascii="Times New Roman" w:hAnsi="Times New Roman" w:cs="Times New Roman" w:eastAsia="Times New Roman" w:hint="default"/>
        </w:rPr>
        <w:t>1</w:t>
      </w:r>
      <w:r>
        <w:rPr/>
        <w:t>、神码北京向祥润昌支付所欠货款</w:t>
      </w:r>
      <w:r>
        <w:rPr>
          <w:rFonts w:ascii="Times New Roman" w:hAnsi="Times New Roman" w:cs="Times New Roman" w:eastAsia="Times New Roman" w:hint="default"/>
        </w:rPr>
        <w:t>51,518,242</w:t>
      </w:r>
      <w:r>
        <w:rPr/>
        <w:t>元；</w:t>
      </w:r>
      <w:r>
        <w:rPr>
          <w:spacing w:val="-12"/>
        </w:rPr>
        <w:t> </w:t>
      </w:r>
      <w:r>
        <w:rPr>
          <w:rFonts w:ascii="Times New Roman" w:hAnsi="Times New Roman" w:cs="Times New Roman" w:eastAsia="Times New Roman" w:hint="default"/>
        </w:rPr>
        <w:t>2</w:t>
      </w:r>
      <w:r>
        <w:rPr/>
        <w:t>、神码北京向祥润昌支付逾期付款违约金至实际付款日为止</w:t>
      </w:r>
      <w:r>
        <w:rPr>
          <w:rFonts w:ascii="Times New Roman" w:hAnsi="Times New Roman" w:cs="Times New Roman" w:eastAsia="Times New Roman" w:hint="default"/>
        </w:rPr>
        <w:t>(</w:t>
      </w:r>
      <w:r>
        <w:rPr/>
        <w:t>暂算至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60,562</w:t>
      </w:r>
      <w:r>
        <w:rPr/>
        <w:t>，</w:t>
      </w:r>
      <w:r>
        <w:rPr>
          <w:rFonts w:ascii="Times New Roman" w:hAnsi="Times New Roman" w:cs="Times New Roman" w:eastAsia="Times New Roman" w:hint="default"/>
        </w:rPr>
        <w:t>871.91</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、本案诉讼费</w:t>
      </w:r>
      <w:r>
        <w:rPr>
          <w:spacing w:val="-33"/>
        </w:rPr>
        <w:t> </w:t>
      </w:r>
      <w:r>
        <w:rPr>
          <w:spacing w:val="-33"/>
        </w:rPr>
      </w:r>
      <w:r>
        <w:rPr/>
        <w:t>由神码北京承担。</w:t>
      </w:r>
    </w:p>
    <w:p>
      <w:pPr>
        <w:pStyle w:val="BodyText"/>
        <w:spacing w:line="240" w:lineRule="auto" w:before="31"/>
        <w:ind w:left="513" w:right="0"/>
        <w:jc w:val="left"/>
      </w:pPr>
      <w:r>
        <w:rPr/>
        <w:t>截至本报告日，该案件尚未开庭审理。</w:t>
      </w:r>
    </w:p>
    <w:p>
      <w:pPr>
        <w:spacing w:line="240" w:lineRule="auto" w:before="0"/>
        <w:rPr>
          <w:rFonts w:ascii="宋体" w:hAnsi="宋体" w:cs="宋体" w:eastAsia="宋体" w:hint="default"/>
          <w:sz w:val="18"/>
          <w:szCs w:val="18"/>
        </w:rPr>
      </w:pPr>
    </w:p>
    <w:p>
      <w:pPr>
        <w:pStyle w:val="BodyText"/>
        <w:spacing w:line="300" w:lineRule="auto" w:before="153"/>
        <w:ind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月，江西银行股份有限公司南昌洪城支行</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江西银行</w:t>
      </w:r>
      <w:r>
        <w:rPr>
          <w:rFonts w:ascii="Times New Roman" w:hAnsi="Times New Roman" w:cs="Times New Roman" w:eastAsia="Times New Roman" w:hint="default"/>
        </w:rPr>
        <w:t>”)</w:t>
      </w:r>
      <w:r>
        <w:rPr/>
        <w:t>以借款合同纠纷为由起诉南昌凯良科技有限公 </w:t>
      </w:r>
      <w:r>
        <w:rPr>
          <w:spacing w:val="5"/>
        </w:rPr>
        <w:t>司、神码上海、陈斐、肖珣、吉安市天际房地产开发有限公司，请求判令</w:t>
      </w:r>
      <w:r>
        <w:rPr>
          <w:rFonts w:ascii="Times New Roman" w:hAnsi="Times New Roman" w:cs="Times New Roman" w:eastAsia="Times New Roman" w:hint="default"/>
          <w:spacing w:val="5"/>
        </w:rPr>
        <w:t>:1</w:t>
      </w:r>
      <w:r>
        <w:rPr>
          <w:spacing w:val="5"/>
        </w:rPr>
        <w:t>、南昌凯良科技有限公司偿还银行承兑垫款</w:t>
      </w:r>
      <w:r>
        <w:rPr>
          <w:spacing w:val="-50"/>
        </w:rPr>
        <w:t> </w:t>
      </w:r>
      <w:r>
        <w:rPr>
          <w:spacing w:val="-50"/>
        </w:rPr>
      </w:r>
      <w:r>
        <w:rPr>
          <w:rFonts w:ascii="Times New Roman" w:hAnsi="Times New Roman" w:cs="Times New Roman" w:eastAsia="Times New Roman" w:hint="default"/>
        </w:rPr>
        <w:t>84,402,787.42</w:t>
      </w:r>
      <w:r>
        <w:rPr/>
        <w:t>元及利息、罚息</w:t>
      </w:r>
      <w:r>
        <w:rPr>
          <w:rFonts w:ascii="Times New Roman" w:hAnsi="Times New Roman" w:cs="Times New Roman" w:eastAsia="Times New Roman" w:hint="default"/>
        </w:rPr>
        <w:t>(</w:t>
      </w:r>
      <w:r>
        <w:rPr/>
        <w:t>利息、罚息暂算至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日为</w:t>
      </w:r>
      <w:r>
        <w:rPr>
          <w:rFonts w:ascii="Times New Roman" w:hAnsi="Times New Roman" w:cs="Times New Roman" w:eastAsia="Times New Roman" w:hint="default"/>
        </w:rPr>
        <w:t>9,791,589.98</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、神码上海对前述第一被告南昌凯良科</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0"/>
        <w:jc w:val="left"/>
      </w:pPr>
      <w:r>
        <w:rPr/>
        <w:t>技有限公司应付银行承兑垫款</w:t>
      </w:r>
      <w:r>
        <w:rPr>
          <w:rFonts w:ascii="Times New Roman" w:hAnsi="Times New Roman" w:cs="Times New Roman" w:eastAsia="Times New Roman" w:hint="default"/>
        </w:rPr>
        <w:t>84,402,787.42</w:t>
      </w:r>
      <w:r>
        <w:rPr/>
        <w:t>元承担差额退款责任，并支付违约金</w:t>
      </w:r>
      <w:r>
        <w:rPr>
          <w:rFonts w:ascii="Times New Roman" w:hAnsi="Times New Roman" w:cs="Times New Roman" w:eastAsia="Times New Roman" w:hint="default"/>
        </w:rPr>
        <w:t>(</w:t>
      </w:r>
      <w:r>
        <w:rPr/>
        <w:t>违约金暂算至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日为</w:t>
      </w:r>
      <w:r>
        <w:rPr>
          <w:rFonts w:ascii="Times New Roman" w:hAnsi="Times New Roman" w:cs="Times New Roman" w:eastAsia="Times New Roman" w:hint="default"/>
        </w:rPr>
        <w:t>3,916,635.99</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、陈斐、肖珣、吉安市天际房地产开发有限公司对南昌凯良科技有限公司应付银行承兑垫款本息承担连带清偿责任；</w:t>
      </w:r>
      <w:r>
        <w:rPr>
          <w:spacing w:val="-58"/>
        </w:rPr>
        <w:t> </w:t>
      </w:r>
      <w:r>
        <w:rPr>
          <w:spacing w:val="-58"/>
        </w:rPr>
      </w:r>
      <w:r>
        <w:rPr>
          <w:rFonts w:ascii="Times New Roman" w:hAnsi="Times New Roman" w:cs="Times New Roman" w:eastAsia="Times New Roman" w:hint="default"/>
        </w:rPr>
        <w:t>4</w:t>
      </w:r>
      <w:r>
        <w:rPr/>
        <w:t>、南昌凯良科技有限公司、神码上海、陈斐、肖珣、吉安市天际房地产开发有限公司承担江西银行为实现本案债权发生的</w:t>
      </w:r>
      <w:r>
        <w:rPr>
          <w:spacing w:val="-84"/>
        </w:rPr>
        <w:t> </w:t>
      </w:r>
      <w:r>
        <w:rPr>
          <w:spacing w:val="-84"/>
        </w:rPr>
      </w:r>
      <w:r>
        <w:rPr/>
        <w:t>费用；</w:t>
      </w:r>
      <w:r>
        <w:rPr>
          <w:rFonts w:ascii="Times New Roman" w:hAnsi="Times New Roman" w:cs="Times New Roman" w:eastAsia="Times New Roman" w:hint="default"/>
        </w:rPr>
        <w:t>5</w:t>
      </w:r>
      <w:r>
        <w:rPr/>
        <w:t>、本案诉讼费、保全费由南昌凯良科技有限公司、神码上海、陈斐、肖珣、吉安市天际房地产开发有限公司承担。</w:t>
      </w:r>
    </w:p>
    <w:p>
      <w:pPr>
        <w:pStyle w:val="BodyText"/>
        <w:spacing w:line="636" w:lineRule="auto" w:before="13"/>
        <w:ind w:right="6614" w:firstLine="360"/>
        <w:jc w:val="left"/>
      </w:pPr>
      <w:r>
        <w:rPr/>
        <w:t>截至本报告日，本案正在一审程序。 除上述事项外，本公司无须作披露的其他或有事项。</w:t>
      </w:r>
    </w:p>
    <w:p>
      <w:pPr>
        <w:pStyle w:val="Heading2"/>
        <w:spacing w:line="240" w:lineRule="auto" w:before="33"/>
        <w:ind w:right="0"/>
        <w:jc w:val="left"/>
        <w:rPr>
          <w:b w:val="0"/>
          <w:bCs w:val="0"/>
        </w:rPr>
      </w:pPr>
      <w:bookmarkStart w:name="十五、资产负债表日后事项" w:id="385"/>
      <w:bookmarkEnd w:id="385"/>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86"/>
      <w:bookmarkEnd w:id="386"/>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137,240,743.29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137,240,743.29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六、其他重要事项" w:id="387"/>
      <w:bookmarkEnd w:id="387"/>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88"/>
      <w:bookmarkEnd w:id="388"/>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1</w:t>
      </w:r>
      <w:r>
        <w:rPr/>
        <w:t>）经营分部</w:t>
      </w:r>
      <w:r>
        <w:rPr>
          <w:b w:val="0"/>
          <w:bCs w:val="0"/>
        </w:rPr>
      </w:r>
    </w:p>
    <w:p>
      <w:pPr>
        <w:pStyle w:val="BodyText"/>
        <w:spacing w:line="300" w:lineRule="auto" w:before="63"/>
        <w:ind w:right="0" w:firstLine="360"/>
        <w:jc w:val="left"/>
      </w:pPr>
      <w:r>
        <w:rPr>
          <w:spacing w:val="-5"/>
        </w:rPr>
        <w:t>本分部逾</w:t>
      </w:r>
      <w:r>
        <w:rPr>
          <w:rFonts w:ascii="Times New Roman" w:hAnsi="Times New Roman" w:cs="Times New Roman" w:eastAsia="Times New Roman" w:hint="default"/>
          <w:spacing w:val="-5"/>
        </w:rPr>
        <w:t>97.58%</w:t>
      </w:r>
      <w:r>
        <w:rPr>
          <w:spacing w:val="-5"/>
        </w:rPr>
        <w:t>的收入源自销售</w:t>
      </w:r>
      <w:r>
        <w:rPr>
          <w:rFonts w:ascii="Times New Roman" w:hAnsi="Times New Roman" w:cs="Times New Roman" w:eastAsia="Times New Roman" w:hint="default"/>
          <w:spacing w:val="-5"/>
        </w:rPr>
        <w:t>IT</w:t>
      </w:r>
      <w:r>
        <w:rPr>
          <w:spacing w:val="-5"/>
        </w:rPr>
        <w:t>产品，由管理层对其进行统一、集中管理；管理层定期评价本分部的整体的财务状况、</w:t>
      </w:r>
      <w:r>
        <w:rPr/>
        <w:t> 经营成果和现金流量。故本集团只有一个分部。</w:t>
      </w:r>
    </w:p>
    <w:p>
      <w:pPr>
        <w:pStyle w:val="Heading4"/>
        <w:spacing w:line="240" w:lineRule="auto" w:before="32"/>
        <w:ind w:left="152" w:right="0"/>
        <w:jc w:val="left"/>
        <w:rPr>
          <w:b w:val="0"/>
          <w:bCs w:val="0"/>
        </w:rPr>
      </w:pPr>
      <w:r>
        <w:rPr/>
        <w:t>（</w:t>
      </w:r>
      <w:r>
        <w:rPr>
          <w:rFonts w:ascii="Times New Roman" w:hAnsi="Times New Roman" w:cs="Times New Roman" w:eastAsia="Times New Roman" w:hint="default"/>
        </w:rPr>
        <w:t>2</w:t>
      </w:r>
      <w:r>
        <w:rPr/>
        <w:t>）对外交易收入</w:t>
      </w:r>
      <w:r>
        <w:rPr>
          <w:rFonts w:ascii="Times New Roman" w:hAnsi="Times New Roman" w:cs="Times New Roman" w:eastAsia="Times New Roman" w:hint="default"/>
        </w:rPr>
        <w:t>—</w:t>
      </w:r>
      <w:r>
        <w:rPr/>
        <w:t>产品和劳务信息</w:t>
      </w:r>
      <w:r>
        <w:rPr>
          <w:b w:val="0"/>
          <w:bCs w:val="0"/>
        </w:rPr>
      </w:r>
    </w:p>
    <w:p>
      <w:pPr>
        <w:spacing w:line="240" w:lineRule="auto" w:before="2"/>
        <w:rPr>
          <w:rFonts w:ascii="宋体" w:hAnsi="宋体" w:cs="宋体" w:eastAsia="宋体" w:hint="default"/>
          <w:b/>
          <w:bCs/>
          <w:sz w:val="4"/>
          <w:szCs w:val="4"/>
        </w:rPr>
      </w:pPr>
    </w:p>
    <w:tbl>
      <w:tblPr>
        <w:tblW w:w="0" w:type="auto"/>
        <w:jc w:val="left"/>
        <w:tblInd w:w="138" w:type="dxa"/>
        <w:tblLayout w:type="fixed"/>
        <w:tblCellMar>
          <w:top w:w="0" w:type="dxa"/>
          <w:left w:w="0" w:type="dxa"/>
          <w:bottom w:w="0" w:type="dxa"/>
          <w:right w:w="0" w:type="dxa"/>
        </w:tblCellMar>
        <w:tblLook w:val="01E0"/>
      </w:tblPr>
      <w:tblGrid>
        <w:gridCol w:w="4760"/>
        <w:gridCol w:w="4899"/>
      </w:tblGrid>
      <w:tr>
        <w:trPr>
          <w:trHeight w:val="326" w:hRule="exact"/>
        </w:trPr>
        <w:tc>
          <w:tcPr>
            <w:tcW w:w="4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r>
      <w:tr>
        <w:trPr>
          <w:trHeight w:val="358"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消费电子业务</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
              <w:jc w:val="right"/>
              <w:rPr>
                <w:rFonts w:ascii="Times New Roman" w:hAnsi="Times New Roman" w:cs="Times New Roman" w:eastAsia="Times New Roman" w:hint="default"/>
                <w:sz w:val="18"/>
                <w:szCs w:val="18"/>
              </w:rPr>
            </w:pPr>
            <w:r>
              <w:rPr>
                <w:rFonts w:ascii="Times New Roman"/>
                <w:spacing w:val="-1"/>
                <w:sz w:val="18"/>
              </w:rPr>
              <w:t>55,379,676,822.01</w:t>
            </w:r>
          </w:p>
        </w:tc>
      </w:tr>
      <w:tr>
        <w:trPr>
          <w:trHeight w:val="34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企业增值业务</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29,326,427,387.19</w:t>
            </w:r>
          </w:p>
        </w:tc>
      </w:tr>
      <w:tr>
        <w:trPr>
          <w:trHeight w:val="34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云计算及数字化转型</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1,530,551,838.92</w:t>
            </w:r>
          </w:p>
        </w:tc>
      </w:tr>
      <w:tr>
        <w:trPr>
          <w:trHeight w:val="34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自主品牌</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553,190,728.52</w:t>
            </w:r>
          </w:p>
        </w:tc>
      </w:tr>
      <w:tr>
        <w:trPr>
          <w:trHeight w:val="34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13,529,613.49</w:t>
            </w:r>
          </w:p>
        </w:tc>
      </w:tr>
      <w:tr>
        <w:trPr>
          <w:trHeight w:val="34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86,803,376,390.13</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十七、母公司财务报表主要项目注释" w:id="389"/>
      <w:bookmarkEnd w:id="389"/>
      <w:r>
        <w:rPr>
          <w:b w:val="0"/>
          <w:bCs w:val="0"/>
        </w:rPr>
      </w:r>
      <w:r>
        <w:rPr/>
        <w:t>十七、母公司财务报表主要项目注释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90"/>
      <w:bookmarkEnd w:id="39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91"/>
      <w:bookmarkEnd w:id="39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7"/>
        <w:gridCol w:w="1524"/>
        <w:gridCol w:w="790"/>
        <w:gridCol w:w="1572"/>
        <w:gridCol w:w="1589"/>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161"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35"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640.86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11,011.14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账期组合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640.86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11,011.14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640.86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11,011.14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按组合计提坏账准备：</w:t>
      </w:r>
      <w:r>
        <w:rPr>
          <w:rFonts w:ascii="Times New Roman" w:hAnsi="Times New Roman" w:cs="Times New Roman" w:eastAsia="Times New Roman" w:hint="default"/>
        </w:rPr>
        <w:t>640.86</w:t>
      </w:r>
      <w:r>
        <w:rPr>
          <w:rFonts w:ascii="Times New Roman" w:hAnsi="Times New Roman" w:cs="Times New Roman" w:eastAsia="Times New Roman" w:hint="default"/>
          <w:spacing w:val="-2"/>
        </w:rPr>
        <w:t> </w:t>
      </w:r>
      <w:r>
        <w:rPr/>
        <w:t>元</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z w:val="18"/>
                <w:szCs w:val="18"/>
              </w:rPr>
              <w:t>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640.86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11,652.00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11,652.00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92"/>
      <w:bookmarkEnd w:id="39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640.86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640.86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应收账款情况" w:id="393"/>
      <w:bookmarkEnd w:id="393"/>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客户二十三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11,652.00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94"/>
      <w:bookmarkEnd w:id="39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53,060,654.92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57,364.22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355,060,654.92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57,364.22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股利" w:id="395"/>
      <w:bookmarkEnd w:id="395"/>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396"/>
      <w:bookmarkEnd w:id="39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97"/>
      <w:bookmarkEnd w:id="39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bookmarkStart w:name="（2）其他应收款" w:id="398"/>
      <w:bookmarkEnd w:id="398"/>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99"/>
      <w:bookmarkEnd w:id="39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22,375,488.05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790,620.01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1,172.48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53,216,108.06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57,652.48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400"/>
      <w:bookmarkEnd w:id="40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71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288.26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153,953.10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1,211.74</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155,164.84</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153,953.10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155,453.10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580" w:bottom="70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53,166,108.02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53,216,108.02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401"/>
      <w:bookmarkEnd w:id="40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3"/>
        <w:gridCol w:w="1889"/>
      </w:tblGrid>
      <w:tr>
        <w:trPr>
          <w:trHeight w:val="404"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按组合计提坏账准备的 其他应收款</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155,164.84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155,453.10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155,453.10</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按欠款方归集的期末余额前五名的其他应收款情况" w:id="402"/>
      <w:bookmarkEnd w:id="40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济南顶安企业管理咨 询合伙企业（有限合 伙）</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北京神州数码云计算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合并范围关联方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22,375,488.05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深圳市水务（集团） 有限公司南山分公司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833,899.97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5,419.50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53,209,388.02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155,419.50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长期股权投资" w:id="403"/>
      <w:bookmarkEnd w:id="40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5,592,906,330.11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5,592,906,330.11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5,587,166,127.04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5,587,166,127.04</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109,564,256.40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109,564,256.40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104,104,256.40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104,104,256.40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5,702,470,586.51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5,702,470,586.51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5,691,270,383.44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5,691,270,383.44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04"/>
      <w:bookmarkEnd w:id="40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268"/>
        <w:gridCol w:w="1429"/>
        <w:gridCol w:w="1133"/>
        <w:gridCol w:w="936"/>
        <w:gridCol w:w="1167"/>
        <w:gridCol w:w="874"/>
        <w:gridCol w:w="155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9"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587" w:right="50"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41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652" w:right="108"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神州控股下属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分销业务公 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5,515,023.79</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5,220,515,023.79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北京神州数码 云计算有限公 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12,166,127.04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112,537.35</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12,278,664.39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上海云角信息 技术有限公司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112,641.93</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360,112,641.93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5,587,166,127.04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5,740,203.07</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5,592,906,330.11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19" w:lineRule="auto" w:before="49"/>
        <w:ind w:right="1130" w:firstLine="360"/>
        <w:jc w:val="both"/>
      </w:pPr>
      <w:r>
        <w:rPr>
          <w:spacing w:val="-3"/>
        </w:rPr>
        <w:t>注：本年增加系本公司实施了股票期权和限制性股票计划，并于</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7"/>
        </w:rPr>
        <w:t> </w:t>
      </w:r>
      <w:r>
        <w:rPr/>
        <w:t>月</w:t>
      </w:r>
      <w:r>
        <w:rPr>
          <w:spacing w:val="-46"/>
        </w:rPr>
        <w:t> </w:t>
      </w:r>
      <w:r>
        <w:rPr>
          <w:rFonts w:ascii="宋体" w:hAnsi="宋体" w:cs="宋体" w:eastAsia="宋体" w:hint="default"/>
        </w:rPr>
        <w:t>19</w:t>
      </w:r>
      <w:r>
        <w:rPr>
          <w:rFonts w:ascii="宋体" w:hAnsi="宋体" w:cs="宋体" w:eastAsia="宋体" w:hint="default"/>
          <w:spacing w:val="-45"/>
        </w:rPr>
        <w:t> </w:t>
      </w:r>
      <w:r>
        <w:rPr/>
        <w:t>日首次授予激励对象股票期权和限制性 </w:t>
      </w:r>
      <w:r>
        <w:rPr>
          <w:spacing w:val="-2"/>
        </w:rPr>
        <w:t>股票。本公司以自身的权益工具结算的股份授予神码公司、神州云计算、上海云角，本公司按照授予日权益工具的公允价值</w:t>
      </w:r>
      <w:r>
        <w:rPr>
          <w:spacing w:val="-63"/>
        </w:rPr>
        <w:t> </w:t>
      </w:r>
      <w:r>
        <w:rPr>
          <w:spacing w:val="-63"/>
        </w:rPr>
      </w:r>
      <w:r>
        <w:rPr/>
        <w:t>确认对子公司的长期股权投资。</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对联营、合营企业投资" w:id="405"/>
      <w:bookmarkEnd w:id="40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3"/>
        <w:gridCol w:w="785"/>
        <w:gridCol w:w="802"/>
        <w:gridCol w:w="803"/>
        <w:gridCol w:w="794"/>
        <w:gridCol w:w="797"/>
        <w:gridCol w:w="800"/>
        <w:gridCol w:w="797"/>
        <w:gridCol w:w="793"/>
        <w:gridCol w:w="803"/>
        <w:gridCol w:w="799"/>
        <w:gridCol w:w="797"/>
      </w:tblGrid>
      <w:tr>
        <w:trPr>
          <w:trHeight w:val="161" w:hRule="exact"/>
        </w:trPr>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8"/>
              <w:ind w:left="267" w:right="86"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7" w:right="3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10" w:space="0" w:color="D2D2D2"/>
              <w:right w:val="single" w:sz="4" w:space="0" w:color="000000"/>
            </w:tcBorders>
          </w:tcPr>
          <w:p>
            <w:pPr>
              <w:pStyle w:val="TableParagraph"/>
              <w:spacing w:line="300" w:lineRule="auto" w:before="8"/>
              <w:ind w:left="266" w:right="95"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803"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3"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92" w:hRule="exact"/>
        </w:trPr>
        <w:tc>
          <w:tcPr>
            <w:tcW w:w="803" w:type="dxa"/>
            <w:vMerge/>
            <w:tcBorders>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6" w:hRule="exact"/>
        </w:trPr>
        <w:tc>
          <w:tcPr>
            <w:tcW w:w="803" w:type="dxa"/>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803"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80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4" w:right="35"/>
              <w:jc w:val="both"/>
              <w:rPr>
                <w:rFonts w:ascii="宋体" w:hAnsi="宋体" w:cs="宋体" w:eastAsia="宋体" w:hint="default"/>
                <w:sz w:val="18"/>
                <w:szCs w:val="18"/>
              </w:rPr>
            </w:pPr>
            <w:r>
              <w:rPr>
                <w:rFonts w:ascii="宋体" w:hAnsi="宋体" w:cs="宋体" w:eastAsia="宋体" w:hint="default"/>
                <w:sz w:val="18"/>
                <w:szCs w:val="18"/>
              </w:rPr>
              <w:t>神州顶联 科技有限 </w:t>
            </w:r>
            <w:r>
              <w:rPr>
                <w:rFonts w:ascii="宋体" w:hAnsi="宋体" w:cs="宋体" w:eastAsia="宋体" w:hint="default"/>
                <w:spacing w:val="-18"/>
                <w:sz w:val="18"/>
                <w:szCs w:val="18"/>
              </w:rPr>
              <w:t>公司（注</w:t>
            </w:r>
          </w:p>
        </w:tc>
        <w:tc>
          <w:tcPr>
            <w:tcW w:w="78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104,104,2</w:t>
            </w:r>
          </w:p>
          <w:p>
            <w:pPr>
              <w:pStyle w:val="TableParagraph"/>
              <w:spacing w:line="160" w:lineRule="exact" w:before="102"/>
              <w:ind w:left="341"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189"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0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109,564,2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56.40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104,104,2</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56.40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109,564,2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104,104,2</w:t>
            </w:r>
          </w:p>
          <w:p>
            <w:pPr>
              <w:pStyle w:val="TableParagraph"/>
              <w:spacing w:line="240" w:lineRule="auto" w:before="103"/>
              <w:ind w:left="353" w:right="0"/>
              <w:jc w:val="left"/>
              <w:rPr>
                <w:rFonts w:ascii="Times New Roman" w:hAnsi="Times New Roman" w:cs="Times New Roman" w:eastAsia="Times New Roman" w:hint="default"/>
                <w:sz w:val="18"/>
                <w:szCs w:val="18"/>
              </w:rPr>
            </w:pPr>
            <w:r>
              <w:rPr>
                <w:rFonts w:ascii="Times New Roman"/>
                <w:sz w:val="18"/>
              </w:rPr>
              <w:t>56.40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109,564,2</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56.40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21"/>
          <w:szCs w:val="21"/>
        </w:rPr>
      </w:pPr>
    </w:p>
    <w:p>
      <w:pPr>
        <w:pStyle w:val="BodyText"/>
        <w:spacing w:line="300" w:lineRule="auto" w:before="44"/>
        <w:ind w:right="0" w:firstLine="360"/>
        <w:jc w:val="left"/>
      </w:pPr>
      <w:r>
        <w:rPr/>
        <w:pict>
          <v:group style="position:absolute;margin-left:96.744003pt;margin-top:-111.158295pt;width:39.4pt;height:25.45pt;mso-position-horizontal-relative:page;mso-position-vertical-relative:paragraph;z-index:-1663336" coordorigin="1935,-2223" coordsize="788,509">
            <v:group style="position:absolute;left:1935;top:-1870;width:788;height:156" coordorigin="1935,-1870" coordsize="788,156">
              <v:shape style="position:absolute;left:1935;top:-1870;width:788;height:156" coordorigin="1935,-1870" coordsize="788,156" path="m1935,-1714l2722,-1714,2722,-1870,1935,-1870,1935,-1714xe" filled="true" fillcolor="#ffffff" stroked="false">
                <v:path arrowok="t"/>
                <v:fill type="solid"/>
              </v:shape>
            </v:group>
            <v:group style="position:absolute;left:1959;top:-2223;width:742;height:353" coordorigin="1959,-2223" coordsize="742,353">
              <v:shape style="position:absolute;left:1959;top:-2223;width:742;height:353" coordorigin="1959,-2223" coordsize="742,353" path="m1959,-1870l2700,-1870,2700,-2223,1959,-2223,1959,-1870xe" filled="true" fillcolor="#ffffff" stroked="false">
                <v:path arrowok="t"/>
                <v:fill type="solid"/>
              </v:shape>
            </v:group>
            <w10:wrap type="none"/>
          </v:group>
        </w:pict>
      </w: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月，本公司与神州顶联科技有限公司</w:t>
      </w:r>
      <w:r>
        <w:rPr>
          <w:rFonts w:ascii="Times New Roman" w:hAnsi="Times New Roman" w:cs="Times New Roman" w:eastAsia="Times New Roman" w:hint="default"/>
        </w:rPr>
        <w:t>(</w:t>
      </w:r>
      <w:r>
        <w:rPr/>
        <w:t>原顶联信息产业股份公司，以下简称</w:t>
      </w:r>
      <w:r>
        <w:rPr>
          <w:rFonts w:ascii="Times New Roman" w:hAnsi="Times New Roman" w:cs="Times New Roman" w:eastAsia="Times New Roman" w:hint="default"/>
        </w:rPr>
        <w:t>“</w:t>
      </w:r>
      <w:r>
        <w:rPr/>
        <w:t>神州顶联</w:t>
      </w:r>
      <w:r>
        <w:rPr>
          <w:rFonts w:ascii="Times New Roman" w:hAnsi="Times New Roman" w:cs="Times New Roman" w:eastAsia="Times New Roman" w:hint="default"/>
        </w:rPr>
        <w:t>”)</w:t>
      </w:r>
      <w:r>
        <w:rPr/>
        <w:t>部分股东济南顶安 </w:t>
      </w:r>
      <w:r>
        <w:rPr>
          <w:spacing w:val="-6"/>
        </w:rPr>
        <w:t>企业管理咨询合伙企业</w:t>
      </w:r>
      <w:r>
        <w:rPr>
          <w:rFonts w:ascii="Times New Roman" w:hAnsi="Times New Roman" w:cs="Times New Roman" w:eastAsia="Times New Roman" w:hint="default"/>
          <w:spacing w:val="-6"/>
        </w:rPr>
        <w:t>(</w:t>
      </w:r>
      <w:r>
        <w:rPr>
          <w:spacing w:val="-6"/>
        </w:rPr>
        <w:t>有限合伙</w:t>
      </w:r>
      <w:r>
        <w:rPr>
          <w:rFonts w:ascii="Times New Roman" w:hAnsi="Times New Roman" w:cs="Times New Roman" w:eastAsia="Times New Roman" w:hint="default"/>
          <w:spacing w:val="-6"/>
        </w:rPr>
        <w:t>)</w:t>
      </w:r>
      <w:r>
        <w:rPr>
          <w:spacing w:val="-6"/>
        </w:rPr>
        <w:t>、刘国梁、上海泉桥资产管理有限公司、李娜、山东中泰天使创业投资基金企业</w:t>
      </w:r>
      <w:r>
        <w:rPr>
          <w:rFonts w:ascii="Times New Roman" w:hAnsi="Times New Roman" w:cs="Times New Roman" w:eastAsia="Times New Roman" w:hint="default"/>
          <w:spacing w:val="-6"/>
        </w:rPr>
        <w:t>(</w:t>
      </w:r>
      <w:r>
        <w:rPr>
          <w:spacing w:val="-6"/>
        </w:rPr>
        <w:t>有限合伙</w:t>
      </w:r>
      <w:r>
        <w:rPr>
          <w:rFonts w:ascii="Times New Roman" w:hAnsi="Times New Roman" w:cs="Times New Roman" w:eastAsia="Times New Roman" w:hint="default"/>
          <w:spacing w:val="-6"/>
        </w:rPr>
        <w:t>)</w:t>
      </w:r>
      <w:r>
        <w:rPr>
          <w:spacing w:val="-6"/>
        </w:rPr>
        <w:t>、</w:t>
      </w:r>
      <w:r>
        <w:rPr>
          <w:spacing w:val="-65"/>
        </w:rPr>
        <w:t> </w:t>
      </w:r>
      <w:r>
        <w:rPr/>
        <w:t>山东南海恒蓝人才创业投资合伙企业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、黄习娣、孙水波、慈昌会、许全槐、杨桂清、王大为签订股权转让协议，</w:t>
      </w:r>
      <w:r>
        <w:rPr>
          <w:spacing w:val="-36"/>
        </w:rPr>
        <w:t> </w:t>
      </w:r>
      <w:r>
        <w:rPr>
          <w:spacing w:val="-36"/>
        </w:rPr>
      </w:r>
      <w:r>
        <w:rPr>
          <w:spacing w:val="-2"/>
        </w:rPr>
        <w:t>本公司以现金对价</w:t>
      </w:r>
      <w:r>
        <w:rPr>
          <w:rFonts w:ascii="Times New Roman" w:hAnsi="Times New Roman" w:cs="Times New Roman" w:eastAsia="Times New Roman" w:hint="default"/>
          <w:spacing w:val="-2"/>
        </w:rPr>
        <w:t>10,000</w:t>
      </w:r>
      <w:r>
        <w:rPr>
          <w:spacing w:val="-2"/>
        </w:rPr>
        <w:t>万元购买上述股东持有的神州顶联</w:t>
      </w:r>
      <w:r>
        <w:rPr>
          <w:rFonts w:ascii="Times New Roman" w:hAnsi="Times New Roman" w:cs="Times New Roman" w:eastAsia="Times New Roman" w:hint="default"/>
          <w:spacing w:val="-2"/>
        </w:rPr>
        <w:t>21%</w:t>
      </w:r>
      <w:r>
        <w:rPr>
          <w:spacing w:val="-2"/>
        </w:rPr>
        <w:t>股权，并向神州顶联派驻两名董事，本公司对其有重大影响，</w:t>
      </w:r>
      <w:r>
        <w:rPr>
          <w:spacing w:val="-73"/>
        </w:rPr>
        <w:t> </w:t>
      </w:r>
      <w:r>
        <w:rPr>
          <w:spacing w:val="-73"/>
        </w:rPr>
      </w:r>
      <w:r>
        <w:rPr/>
        <w:t>故对其长期股权投资采用权益法核算。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日，神州顶联已完成工商变更登记，并变更公司名称为神州顶联科技有 限公司。本公司于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日支付完毕上述价款。</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营业收入和营业成本" w:id="406"/>
      <w:bookmarkEnd w:id="40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414,792.58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358,318.00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414,792.58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358,318.00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投资收益" w:id="407"/>
      <w:bookmarkEnd w:id="40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4,104,256.40</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210,831.00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子公司分红款</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307,670,831.00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1,234,104,256.40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08"/>
      <w:bookmarkEnd w:id="40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09"/>
      <w:bookmarkEnd w:id="4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pict>
          <v:group style="position:absolute;margin-left:253.850006pt;margin-top:62.96172pt;width:141.3pt;height:15.6pt;mso-position-horizontal-relative:page;mso-position-vertical-relative:paragraph;z-index:-1663312" coordorigin="5077,1259" coordsize="2826,312">
            <v:shape style="position:absolute;left:5077;top:1259;width:2826;height:312" coordorigin="5077,1259" coordsize="2826,312" path="m5077,1571l7902,1571,7902,1259,5077,1259,5077,1571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14"/>
        <w:gridCol w:w="924"/>
        <w:gridCol w:w="1922"/>
        <w:gridCol w:w="2799"/>
      </w:tblGrid>
      <w:tr>
        <w:trPr>
          <w:trHeight w:val="40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435,204.30</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924"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48,995,374.79</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857" w:right="0"/>
              <w:jc w:val="left"/>
              <w:rPr>
                <w:rFonts w:ascii="Times New Roman" w:hAnsi="Times New Roman" w:cs="Times New Roman" w:eastAsia="Times New Roman" w:hint="default"/>
                <w:sz w:val="18"/>
                <w:szCs w:val="18"/>
              </w:rPr>
            </w:pPr>
            <w:r>
              <w:rPr>
                <w:rFonts w:ascii="Times New Roman"/>
                <w:sz w:val="18"/>
              </w:rPr>
              <w:t>3,641,453.12</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w:t>
            </w:r>
            <w:r>
              <w:rPr>
                <w:rFonts w:ascii="宋体" w:hAnsi="宋体" w:cs="宋体" w:eastAsia="宋体" w:hint="default"/>
                <w:spacing w:val="-4"/>
                <w:sz w:val="18"/>
                <w:szCs w:val="18"/>
              </w:rPr>
              <w:t>外，持有交易性金融资产、衍生金融资产、交易性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金融负债、衍生金融负债产生的公允价值变动损 </w:t>
            </w:r>
            <w:r>
              <w:rPr>
                <w:rFonts w:ascii="宋体" w:hAnsi="宋体" w:cs="宋体" w:eastAsia="宋体" w:hint="default"/>
                <w:spacing w:val="-4"/>
                <w:sz w:val="18"/>
                <w:szCs w:val="18"/>
              </w:rPr>
              <w:t>益，以及处置交易性金融资产、衍生金融资产、交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易性金融负债、衍生金融负债和其他债权投资取得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的投资收益</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57" w:right="0"/>
              <w:jc w:val="left"/>
              <w:rPr>
                <w:rFonts w:ascii="Times New Roman" w:hAnsi="Times New Roman" w:cs="Times New Roman" w:eastAsia="Times New Roman" w:hint="default"/>
                <w:sz w:val="18"/>
                <w:szCs w:val="18"/>
              </w:rPr>
            </w:pPr>
            <w:r>
              <w:rPr>
                <w:rFonts w:ascii="Times New Roman"/>
                <w:sz w:val="18"/>
              </w:rPr>
              <w:t>1,650,831.00</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846"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287,165.35</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0" w:right="0"/>
              <w:jc w:val="left"/>
              <w:rPr>
                <w:rFonts w:ascii="Times New Roman" w:hAnsi="Times New Roman" w:cs="Times New Roman" w:eastAsia="Times New Roman" w:hint="default"/>
                <w:sz w:val="18"/>
                <w:szCs w:val="18"/>
              </w:rPr>
            </w:pPr>
            <w:r>
              <w:rPr>
                <w:rFonts w:ascii="Times New Roman"/>
                <w:sz w:val="18"/>
              </w:rPr>
              <w:t>99,957,757.00</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46" w:type="dxa"/>
            <w:gridSpan w:val="2"/>
            <w:tcBorders>
              <w:top w:val="single" w:sz="4" w:space="0" w:color="000000"/>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4" w:right="0"/>
              <w:jc w:val="left"/>
              <w:rPr>
                <w:rFonts w:ascii="Times New Roman" w:hAnsi="Times New Roman" w:cs="Times New Roman" w:eastAsia="Times New Roman" w:hint="default"/>
                <w:sz w:val="18"/>
                <w:szCs w:val="18"/>
              </w:rPr>
            </w:pPr>
            <w:r>
              <w:rPr>
                <w:rFonts w:ascii="Times New Roman"/>
                <w:sz w:val="18"/>
              </w:rPr>
              <w:t>35,701,011.53</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w:t>
            </w:r>
          </w:p>
        </w:tc>
        <w:tc>
          <w:tcPr>
            <w:tcW w:w="2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6" w:type="dxa"/>
            <w:gridSpan w:val="2"/>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696" w:right="0"/>
              <w:jc w:val="left"/>
              <w:rPr>
                <w:rFonts w:ascii="Times New Roman" w:hAnsi="Times New Roman" w:cs="Times New Roman" w:eastAsia="Times New Roman" w:hint="default"/>
                <w:sz w:val="18"/>
                <w:szCs w:val="18"/>
              </w:rPr>
            </w:pPr>
            <w:r>
              <w:rPr>
                <w:rFonts w:ascii="Times New Roman"/>
                <w:sz w:val="18"/>
              </w:rPr>
              <w:t>119,266,780.81</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10"/>
      <w:bookmarkEnd w:id="4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0.8914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bookmarkStart w:name="3、境内外会计准则下会计数据差异" w:id="411"/>
      <w:bookmarkEnd w:id="41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12"/>
      <w:bookmarkEnd w:id="41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13"/>
      <w:bookmarkEnd w:id="41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14"/>
      <w:bookmarkEnd w:id="41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3"/>
        <w:ind w:left="3285" w:right="0"/>
        <w:jc w:val="left"/>
        <w:rPr>
          <w:b w:val="0"/>
          <w:bCs w:val="0"/>
        </w:rPr>
      </w:pPr>
      <w:bookmarkStart w:name="第十三节 备查文件目录" w:id="415"/>
      <w:bookmarkEnd w:id="415"/>
      <w:r>
        <w:rPr>
          <w:b w:val="0"/>
          <w:bCs w:val="0"/>
        </w:rPr>
      </w:r>
      <w:r>
        <w:rPr/>
        <w:t>第十三节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2941"/>
        <w:jc w:val="left"/>
      </w:pPr>
      <w:r>
        <w:rPr/>
        <w:t>一、载有公司负责人、主管会计工作负责人、会计机构负责人签名并盖章的财务报表</w:t>
      </w:r>
      <w:r>
        <w:rPr>
          <w:spacing w:val="-17"/>
        </w:rPr>
        <w:t> </w:t>
      </w:r>
      <w:r>
        <w:rPr/>
        <w:t>；</w:t>
      </w:r>
      <w:r>
        <w:rPr/>
        <w:t> 二、载有信永中和会计师事务所（特殊普通合伙）盖章、注册会计师签字并盖章的审计报告原件</w:t>
      </w:r>
      <w:r>
        <w:rPr>
          <w:spacing w:val="-17"/>
        </w:rPr>
        <w:t> </w:t>
      </w:r>
      <w:r>
        <w:rPr/>
        <w:t>；</w:t>
      </w:r>
      <w:r>
        <w:rPr/>
        <w:t> 三、报告期内在中国证监会指定报纸上公开披露过的所有公司文件的正本及公告的原稿；</w:t>
      </w:r>
    </w:p>
    <w:p>
      <w:pPr>
        <w:pStyle w:val="BodyText"/>
        <w:spacing w:line="240" w:lineRule="auto" w:before="59"/>
        <w:ind w:right="0"/>
        <w:jc w:val="left"/>
      </w:pPr>
      <w:r>
        <w:rPr/>
        <w:t>四、载有董事长签名的年度报告文本。</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600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400" type="#_x0000_t75" stroked="false">
          <v:imagedata r:id="rId1" o:title=""/>
        </v:shape>
      </w:pict>
    </w:r>
    <w:r>
      <w:rPr/>
      <w:pict>
        <v:shape style="position:absolute;margin-left:523.099976pt;margin-top:781.933899pt;width:17.7pt;height:11pt;mso-position-horizontal-relative:page;mso-position-vertical-relative:page;z-index:-1665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65328" type="#_x0000_t75" stroked="false">
          <v:imagedata r:id="rId1" o:title=""/>
        </v:shape>
      </w:pict>
    </w:r>
    <w:r>
      <w:rPr/>
      <w:pict>
        <v:shape style="position:absolute;margin-left:754.460022pt;margin-top:535.333923pt;width:17.7pt;height:11pt;mso-position-horizontal-relative:page;mso-position-vertical-relative:page;z-index:-1665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232" type="#_x0000_t75" stroked="false">
          <v:imagedata r:id="rId1" o:title=""/>
        </v:shape>
      </w:pict>
    </w:r>
    <w:r>
      <w:rPr/>
      <w:pict>
        <v:shape style="position:absolute;margin-left:523.099976pt;margin-top:781.933899pt;width:17.7pt;height:11pt;mso-position-horizontal-relative:page;mso-position-vertical-relative:page;z-index:-1665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139</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65160" type="#_x0000_t75" stroked="false">
          <v:imagedata r:id="rId1" o:title=""/>
        </v:shape>
      </w:pict>
    </w:r>
    <w:r>
      <w:rPr/>
      <w:pict>
        <v:shape style="position:absolute;margin-left:754.460022pt;margin-top:535.333923pt;width:17.7pt;height:11pt;mso-position-horizontal-relative:page;mso-position-vertical-relative:page;z-index:-1665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167</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064" type="#_x0000_t75" stroked="false">
          <v:imagedata r:id="rId1" o:title=""/>
        </v:shape>
      </w:pict>
    </w:r>
    <w:r>
      <w:rPr/>
      <w:pict>
        <v:shape style="position:absolute;margin-left:523.099976pt;margin-top:781.933899pt;width:17.7pt;height:11pt;mso-position-horizontal-relative:page;mso-position-vertical-relative:page;z-index:-1665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64992" type="#_x0000_t75" stroked="false">
          <v:imagedata r:id="rId1" o:title=""/>
        </v:shape>
      </w:pict>
    </w:r>
    <w:r>
      <w:rPr/>
      <w:pict>
        <v:shape style="position:absolute;margin-left:754.460022pt;margin-top:535.333923pt;width:17.7pt;height:11pt;mso-position-horizontal-relative:page;mso-position-vertical-relative:page;z-index:-1664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179</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4896" type="#_x0000_t75" stroked="false">
          <v:imagedata r:id="rId1" o:title=""/>
        </v:shape>
      </w:pict>
    </w:r>
    <w:r>
      <w:rPr/>
      <w:pict>
        <v:shape style="position:absolute;margin-left:523.099976pt;margin-top:781.933899pt;width:17.7pt;height:11pt;mso-position-horizontal-relative:page;mso-position-vertical-relative:page;z-index:-1664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4848" type="#_x0000_t75" stroked="false">
          <v:imagedata r:id="rId1" o:title=""/>
        </v:shape>
      </w:pict>
    </w:r>
    <w:r>
      <w:rPr/>
      <w:pict>
        <v:shape style="position:absolute;margin-left:524.099976pt;margin-top:781.933899pt;width:15.7pt;height:11pt;mso-position-horizontal-relative:page;mso-position-vertical-relative:page;z-index:-16648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4800" type="#_x0000_t75" stroked="false">
          <v:imagedata r:id="rId1" o:title=""/>
        </v:shape>
      </w:pict>
    </w:r>
    <w:r>
      <w:rPr/>
      <w:pict>
        <v:shape style="position:absolute;margin-left:523.099976pt;margin-top:781.933899pt;width:17.7pt;height:11pt;mso-position-horizontal-relative:page;mso-position-vertical-relative:page;z-index:-1664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928" type="#_x0000_t75" stroked="false">
          <v:imagedata r:id="rId1" o:title=""/>
        </v:shape>
      </w:pict>
    </w:r>
    <w:r>
      <w:rPr/>
      <w:pict>
        <v:shape style="position:absolute;margin-left:527.659973pt;margin-top:781.933899pt;width:13.15pt;height:11pt;mso-position-horizontal-relative:page;mso-position-vertical-relative:page;z-index:-1665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65856" type="#_x0000_t75" stroked="false">
          <v:imagedata r:id="rId1" o:title=""/>
        </v:shape>
      </w:pict>
    </w:r>
    <w:r>
      <w:rPr/>
      <w:pict>
        <v:shape style="position:absolute;margin-left:759.02002pt;margin-top:535.333923pt;width:13.15pt;height:11pt;mso-position-horizontal-relative:page;mso-position-vertical-relative:page;z-index:-1665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760" type="#_x0000_t75" stroked="false">
          <v:imagedata r:id="rId1" o:title=""/>
        </v:shape>
      </w:pict>
    </w:r>
    <w:r>
      <w:rPr/>
      <w:pict>
        <v:shape style="position:absolute;margin-left:527.659973pt;margin-top:781.933899pt;width:13.15pt;height:11pt;mso-position-horizontal-relative:page;mso-position-vertical-relative:page;z-index:-1665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65688" type="#_x0000_t75" stroked="false">
          <v:imagedata r:id="rId1" o:title=""/>
        </v:shape>
      </w:pict>
    </w:r>
    <w:r>
      <w:rPr/>
      <w:pict>
        <v:shape style="position:absolute;margin-left:759.02002pt;margin-top:535.333923pt;width:13.15pt;height:11pt;mso-position-horizontal-relative:page;mso-position-vertical-relative:page;z-index:-1665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592" type="#_x0000_t75" stroked="false">
          <v:imagedata r:id="rId1" o:title=""/>
        </v:shape>
      </w:pict>
    </w:r>
    <w:r>
      <w:rPr/>
      <w:pict>
        <v:shape style="position:absolute;margin-left:527.659973pt;margin-top:781.933899pt;width:13.15pt;height:11pt;mso-position-horizontal-relative:page;mso-position-vertical-relative:page;z-index:-1665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544" type="#_x0000_t75" stroked="false">
          <v:imagedata r:id="rId1" o:title=""/>
        </v:shape>
      </w:pict>
    </w:r>
    <w:r>
      <w:rPr/>
      <w:pict>
        <v:shape style="position:absolute;margin-left:524.099976pt;margin-top:781.933899pt;width:15.7pt;height:11pt;mso-position-horizontal-relative:page;mso-position-vertical-relative:page;z-index:-1665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496" type="#_x0000_t75" stroked="false">
          <v:imagedata r:id="rId1" o:title=""/>
        </v:shape>
      </w:pict>
    </w:r>
    <w:r>
      <w:rPr/>
      <w:pict>
        <v:shape style="position:absolute;margin-left:523.099976pt;margin-top:781.933899pt;width:17.7pt;height:11pt;mso-position-horizontal-relative:page;mso-position-vertical-relative:page;z-index:-1665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65448" type="#_x0000_t75" stroked="false">
          <v:imagedata r:id="rId1" o:title=""/>
        </v:shape>
      </w:pict>
    </w:r>
    <w:r>
      <w:rPr/>
      <w:pict>
        <v:shape style="position:absolute;margin-left:523.460022pt;margin-top:781.933899pt;width:17.3pt;height:11pt;mso-position-horizontal-relative:page;mso-position-vertical-relative:page;z-index:-1665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5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070007pt;margin-top:42.865608pt;width:195.75pt;height:11.5pt;mso-position-horizontal-relative:page;mso-position-vertical-relative:page;z-index:-1665952"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665016"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4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664920"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665880"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58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665784"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665712"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56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665616"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665352"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52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665256"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665184"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65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665088" type="#_x0000_t202" filled="false" stroked="false">
          <v:textbox inset="0,0,0,0">
            <w:txbxContent>
              <w:p>
                <w:pPr>
                  <w:pStyle w:val="BodyText"/>
                  <w:spacing w:line="214" w:lineRule="exact"/>
                  <w:ind w:left="20" w:right="0"/>
                  <w:jc w:val="left"/>
                </w:pPr>
                <w:r>
                  <w:rPr/>
                  <w:t>神州数码集团股份有限公司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4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digitalchina.com/" TargetMode="External"/><Relationship Id="rId11" Type="http://schemas.openxmlformats.org/officeDocument/2006/relationships/hyperlink" Target="mailto:dcg-ir@digitalchina.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image" Target="media/image3.jpe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4.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header" Target="header7.xml"/><Relationship Id="rId29" Type="http://schemas.openxmlformats.org/officeDocument/2006/relationships/footer" Target="footer12.xml"/><Relationship Id="rId30" Type="http://schemas.openxmlformats.org/officeDocument/2006/relationships/header" Target="header8.xml"/><Relationship Id="rId31" Type="http://schemas.openxmlformats.org/officeDocument/2006/relationships/footer" Target="footer13.xml"/><Relationship Id="rId32" Type="http://schemas.openxmlformats.org/officeDocument/2006/relationships/header" Target="header9.xml"/><Relationship Id="rId33" Type="http://schemas.openxmlformats.org/officeDocument/2006/relationships/footer" Target="footer14.xml"/><Relationship Id="rId34" Type="http://schemas.openxmlformats.org/officeDocument/2006/relationships/header" Target="header10.xml"/><Relationship Id="rId35" Type="http://schemas.openxmlformats.org/officeDocument/2006/relationships/footer" Target="footer15.xml"/><Relationship Id="rId36" Type="http://schemas.openxmlformats.org/officeDocument/2006/relationships/header" Target="header11.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神州数码集团股份有限公司</dc:creator>
  <dc:title>神州数码集团股份有限公司2019年年度报告全文</dc:title>
  <dcterms:created xsi:type="dcterms:W3CDTF">2020-05-19T02:00:58Z</dcterms:created>
  <dcterms:modified xsi:type="dcterms:W3CDTF">2020-05-19T02:00:58Z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