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18" w:right="1132" w:bottom="984" w:left="3760" w:header="0" w:footer="3" w:gutter="0"/>
          <w:pgNumType w:start="1"/>
          <w:cols w:space="720"/>
          <w:noEndnote/>
          <w:rtlGutter w:val="0"/>
          <w:docGrid w:linePitch="360"/>
        </w:sectPr>
      </w:pPr>
    </w:p>
    <w:p>
      <w:pPr>
        <w:pStyle w:val="Style6"/>
        <w:keepNext w:val="0"/>
        <w:keepLines w:val="0"/>
        <w:framePr w:w="1109" w:h="523" w:wrap="none" w:vAnchor="text" w:hAnchor="page" w:x="5979" w:y="151"/>
        <w:widowControl w:val="0"/>
        <w:shd w:val="clear" w:color="auto" w:fill="auto"/>
        <w:bidi w:val="0"/>
        <w:spacing w:before="0" w:after="0" w:line="240" w:lineRule="auto"/>
        <w:ind w:left="0" w:right="0" w:firstLine="0"/>
        <w:jc w:val="center"/>
        <w:rPr>
          <w:sz w:val="26"/>
          <w:szCs w:val="26"/>
        </w:rPr>
      </w:pPr>
      <w:r>
        <w:rPr>
          <w:rFonts w:ascii="SimHei" w:eastAsia="SimHei" w:hAnsi="SimHei" w:cs="SimHei"/>
          <w:spacing w:val="0"/>
          <w:w w:val="100"/>
          <w:position w:val="0"/>
          <w:sz w:val="26"/>
          <w:szCs w:val="26"/>
        </w:rPr>
        <w:t>神州数码</w:t>
      </w:r>
    </w:p>
    <w:p>
      <w:pPr>
        <w:pStyle w:val="Style6"/>
        <w:keepNext w:val="0"/>
        <w:keepLines w:val="0"/>
        <w:framePr w:w="1109" w:h="523" w:wrap="none" w:vAnchor="text" w:hAnchor="page" w:x="5979" w:y="151"/>
        <w:widowControl w:val="0"/>
        <w:shd w:val="clear" w:color="auto" w:fill="auto"/>
        <w:bidi w:val="0"/>
        <w:spacing w:before="0" w:after="0" w:line="204" w:lineRule="auto"/>
        <w:ind w:left="0" w:right="0" w:firstLine="0"/>
        <w:jc w:val="left"/>
      </w:pPr>
      <w:r>
        <w:rPr>
          <w:spacing w:val="0"/>
          <w:w w:val="100"/>
          <w:position w:val="0"/>
        </w:rPr>
        <w:t>Digital China</w:t>
      </w:r>
    </w:p>
    <w:p>
      <w:pPr>
        <w:pStyle w:val="Style9"/>
        <w:keepNext w:val="0"/>
        <w:keepLines w:val="0"/>
        <w:framePr w:w="4373" w:h="442" w:wrap="none" w:vAnchor="text" w:hAnchor="page" w:x="3761" w:y="1172"/>
        <w:widowControl w:val="0"/>
        <w:shd w:val="clear" w:color="auto" w:fill="auto"/>
        <w:bidi w:val="0"/>
        <w:spacing w:before="0" w:after="0" w:line="240" w:lineRule="auto"/>
        <w:ind w:left="0" w:right="0" w:firstLine="0"/>
        <w:jc w:val="center"/>
      </w:pPr>
      <w:r>
        <w:rPr>
          <w:color w:val="000000"/>
          <w:spacing w:val="0"/>
          <w:w w:val="100"/>
          <w:position w:val="0"/>
        </w:rPr>
        <w:t>神州数码集团股份有限公司</w:t>
      </w:r>
    </w:p>
    <w:p>
      <w:pPr>
        <w:pStyle w:val="Style11"/>
        <w:keepNext w:val="0"/>
        <w:keepLines w:val="0"/>
        <w:framePr w:w="2371" w:h="408" w:wrap="none" w:vAnchor="text" w:hAnchor="page" w:x="4760" w:y="202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4"/>
        <w:keepNext w:val="0"/>
        <w:keepLines w:val="0"/>
        <w:framePr w:w="1872" w:h="408" w:wrap="none" w:vAnchor="text" w:hAnchor="page" w:x="5004" w:y="843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widowControl w:val="0"/>
        <w:spacing w:line="360" w:lineRule="exact"/>
      </w:pPr>
      <w:r>
        <w:drawing>
          <wp:anchor distT="0" distB="0" distL="0" distR="734695" simplePos="0" relativeHeight="62914694" behindDoc="1" locked="0" layoutInCell="1" allowOverlap="1">
            <wp:simplePos x="0" y="0"/>
            <wp:positionH relativeFrom="page">
              <wp:posOffset>3204845</wp:posOffset>
            </wp:positionH>
            <wp:positionV relativeFrom="paragraph">
              <wp:posOffset>12700</wp:posOffset>
            </wp:positionV>
            <wp:extent cx="560705" cy="44513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560705" cy="4451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pos w:val="pageBottom"/>
            <w:numFmt w:val="decimal"/>
            <w:numRestart w:val="continuous"/>
          </w:footnotePr>
          <w:type w:val="continuous"/>
          <w:pgSz w:w="11900" w:h="16840"/>
          <w:pgMar w:top="1018" w:right="1132" w:bottom="984" w:left="3760" w:header="0" w:footer="3" w:gutter="0"/>
          <w:cols w:space="720"/>
          <w:noEndnote/>
          <w:rtlGutter w:val="0"/>
          <w:docGrid w:linePitch="360"/>
        </w:sectPr>
      </w:pPr>
    </w:p>
    <w:p>
      <w:pPr>
        <w:pStyle w:val="Style11"/>
        <w:keepNext w:val="0"/>
        <w:keepLines w:val="0"/>
        <w:widowControl w:val="0"/>
        <w:shd w:val="clear" w:color="auto" w:fill="auto"/>
        <w:bidi w:val="0"/>
        <w:spacing w:before="200" w:line="240" w:lineRule="auto"/>
        <w:ind w:left="0" w:right="0" w:firstLine="0"/>
        <w:jc w:val="center"/>
      </w:pPr>
      <w:r>
        <w:rPr>
          <w:color w:val="000000"/>
          <w:spacing w:val="0"/>
          <w:w w:val="100"/>
          <w:position w:val="0"/>
        </w:rPr>
        <w:t>董事长致辞</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rPr>
        <w:t>各位尊敬的股东及所有关心神州数码集团的朋友：</w:t>
      </w:r>
    </w:p>
    <w:p>
      <w:pPr>
        <w:pStyle w:val="Style17"/>
        <w:keepNext w:val="0"/>
        <w:keepLines w:val="0"/>
        <w:widowControl w:val="0"/>
        <w:shd w:val="clear" w:color="auto" w:fill="auto"/>
        <w:bidi w:val="0"/>
        <w:spacing w:before="0" w:after="0" w:line="412" w:lineRule="exact"/>
        <w:ind w:left="0" w:right="0"/>
        <w:jc w:val="both"/>
      </w:pPr>
      <w:r>
        <w:rPr>
          <w:color w:val="000000"/>
          <w:spacing w:val="0"/>
          <w:w w:val="100"/>
          <w:position w:val="0"/>
        </w:rPr>
        <w:t>回顾</w:t>
      </w:r>
      <w:r>
        <w:rPr>
          <w:rFonts w:ascii="Times New Roman" w:eastAsia="Times New Roman" w:hAnsi="Times New Roman" w:cs="Times New Roman"/>
          <w:color w:val="000000"/>
          <w:spacing w:val="0"/>
          <w:w w:val="100"/>
          <w:position w:val="0"/>
        </w:rPr>
        <w:t>2020</w:t>
      </w:r>
      <w:r>
        <w:rPr>
          <w:color w:val="000000"/>
          <w:spacing w:val="0"/>
          <w:w w:val="100"/>
          <w:position w:val="0"/>
        </w:rPr>
        <w:t>年，突如其来的新冠肺炎疫情对社会和经济发展产生了前所未有的影响，也带来了全球范 围内数字化需求的激增。以云计算和大数据为代表的数字技术和应用成为战疫取胜的决定性武器，整个社 会正在全面迈入数字经济时代。“十四五”规划和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年远景目标，树立了科技创新驱动现代化经济体系 构建和高质量发展的指导思想，明确了科技创新在未来发展中的首要地位，并提出通过加强数字技术应用、 推动数字产业化、产业数字化转型等手段，将数字经济贯穿到社会各个角落。</w:t>
      </w:r>
    </w:p>
    <w:p>
      <w:pPr>
        <w:pStyle w:val="Style17"/>
        <w:keepNext w:val="0"/>
        <w:keepLines w:val="0"/>
        <w:widowControl w:val="0"/>
        <w:shd w:val="clear" w:color="auto" w:fill="auto"/>
        <w:bidi w:val="0"/>
        <w:spacing w:before="0" w:after="0"/>
        <w:ind w:left="0" w:right="0"/>
        <w:jc w:val="both"/>
      </w:pPr>
      <w:r>
        <w:rPr>
          <w:color w:val="000000"/>
          <w:spacing w:val="0"/>
          <w:w w:val="100"/>
          <w:position w:val="0"/>
        </w:rPr>
        <w:t>“十四五”规划提出，加快建设数字经济、数字社会、数字政府，以数字化转型整体驱动生产方式、 生活方式和治理方式变革。数字经济时代正在经历三大颠覆式创新。一是以云为代表的信息化基础设施的 重构，基于多样化算力构建的多云和混合云将成为企业实现数字化转型的牢固基座；二是基于数据和知识 的核心竞争力的重塑，蕴含着巨大价值的海量数据和知识图谱将成为现代社会最重要的生产要素和战略资 产，以云为基础的大数据和人工智能的结合，将通过数据挖掘、信息处理、知识计量和图形绘制等极大提 升企业的核心竞争力；三是面向场景的业务和技术的深度融合与创新，新兴数字技术和海量数据在行业丰 富应用场景下的紧密融合，将显著推动传统产业转型升级，催生新产业新业态新模式，壮大经济发展新引 擎。面对数字经济时代下三大颠覆式创新带来的巨大发展机遇，作为企业数字化转型的探索者、实践者和 赋能者，神州数码将矢志不渝地帮助客户高效、精准地汇聚算力资源，实现业务流程到全产业生态的数字 化，通过数据、知识图谱和智能算法，助力客户突破面向行业场景的融合创新。</w:t>
      </w:r>
    </w:p>
    <w:p>
      <w:pPr>
        <w:pStyle w:val="Style17"/>
        <w:keepNext w:val="0"/>
        <w:keepLines w:val="0"/>
        <w:widowControl w:val="0"/>
        <w:shd w:val="clear" w:color="auto" w:fill="auto"/>
        <w:bidi w:val="0"/>
        <w:spacing w:before="0" w:after="0" w:line="407" w:lineRule="exact"/>
        <w:ind w:left="0" w:right="0"/>
        <w:jc w:val="both"/>
      </w:pPr>
      <w:r>
        <w:rPr>
          <w:color w:val="000000"/>
          <w:spacing w:val="0"/>
          <w:w w:val="100"/>
          <w:position w:val="0"/>
        </w:rPr>
        <w:t>当前，在全球数字经济加速发展以及国家大力推进“新基建”的背景下，国内企业对上云重要性和紧 迫性的认知不断深化，同时推进政务信息系统云迁移也写入“十四五”规划。一方面云计算与人工智能、 与机器学习、物联网、边缘计算、量子计算、区块链等新兴技术不断融合，拓展出更深度的融合场景；另 一方面云</w:t>
      </w:r>
      <w:r>
        <w:rPr>
          <w:rFonts w:ascii="Times New Roman" w:eastAsia="Times New Roman" w:hAnsi="Times New Roman" w:cs="Times New Roman"/>
          <w:color w:val="000000"/>
          <w:spacing w:val="0"/>
          <w:w w:val="100"/>
          <w:position w:val="0"/>
        </w:rPr>
        <w:t>MSP</w:t>
      </w:r>
      <w:r>
        <w:rPr>
          <w:color w:val="000000"/>
          <w:spacing w:val="0"/>
          <w:w w:val="100"/>
          <w:position w:val="0"/>
        </w:rPr>
        <w:t>、</w:t>
      </w:r>
      <w:r>
        <w:rPr>
          <w:color w:val="000000"/>
          <w:spacing w:val="0"/>
          <w:w w:val="100"/>
          <w:position w:val="0"/>
        </w:rPr>
        <w:t>云原生、容器、微服务、</w:t>
      </w:r>
      <w:r>
        <w:rPr>
          <w:rFonts w:ascii="Times New Roman" w:eastAsia="Times New Roman" w:hAnsi="Times New Roman" w:cs="Times New Roman"/>
          <w:color w:val="000000"/>
          <w:spacing w:val="0"/>
          <w:w w:val="100"/>
          <w:position w:val="0"/>
        </w:rPr>
        <w:t>API</w:t>
      </w:r>
      <w:r>
        <w:rPr>
          <w:color w:val="000000"/>
          <w:spacing w:val="0"/>
          <w:w w:val="100"/>
          <w:position w:val="0"/>
        </w:rPr>
        <w:t>等新的服务也在不断出现，产生更广阔的应用空间。随着全 社会上云不断加速，云管理服务将长期成为企业主流应用多云混合云架构下的刚性需求和企业数字化转型 的必要途径。神州数码自</w:t>
      </w:r>
      <w:r>
        <w:rPr>
          <w:rFonts w:ascii="Times New Roman" w:eastAsia="Times New Roman" w:hAnsi="Times New Roman" w:cs="Times New Roman"/>
          <w:color w:val="000000"/>
          <w:spacing w:val="0"/>
          <w:w w:val="100"/>
          <w:position w:val="0"/>
        </w:rPr>
        <w:t>2017</w:t>
      </w:r>
      <w:r>
        <w:rPr>
          <w:color w:val="000000"/>
          <w:spacing w:val="0"/>
          <w:w w:val="100"/>
          <w:position w:val="0"/>
        </w:rPr>
        <w:t>年开启面向云的战略转型以来，依托国内领先的多云及混合云架构综合管 理服务能力，在技术服务能力和客户积淀开拓等方面取得了长足发展。</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年，在疫情的严重影响下，公 司云业务依然实现了 </w:t>
      </w:r>
      <w:r>
        <w:rPr>
          <w:rFonts w:ascii="Times New Roman" w:eastAsia="Times New Roman" w:hAnsi="Times New Roman" w:cs="Times New Roman"/>
          <w:color w:val="000000"/>
          <w:spacing w:val="0"/>
          <w:w w:val="100"/>
          <w:position w:val="0"/>
        </w:rPr>
        <w:t>74%</w:t>
      </w:r>
      <w:r>
        <w:rPr>
          <w:color w:val="000000"/>
          <w:spacing w:val="0"/>
          <w:w w:val="100"/>
          <w:position w:val="0"/>
        </w:rPr>
        <w:t>的高速增长，成为国内唯一拥有覆盖全球五大公有云服务能力的多云技术公司， 并且在</w:t>
      </w:r>
      <w:r>
        <w:rPr>
          <w:rFonts w:ascii="Times New Roman" w:eastAsia="Times New Roman" w:hAnsi="Times New Roman" w:cs="Times New Roman"/>
          <w:color w:val="000000"/>
          <w:spacing w:val="0"/>
          <w:w w:val="100"/>
          <w:position w:val="0"/>
        </w:rPr>
        <w:t>IDC</w:t>
      </w:r>
      <w:r>
        <w:rPr>
          <w:color w:val="000000"/>
          <w:spacing w:val="0"/>
          <w:w w:val="100"/>
          <w:position w:val="0"/>
        </w:rPr>
        <w:t>《中国第三方云管理服务市场份额报告</w:t>
      </w:r>
      <w:r>
        <w:rPr>
          <w:rFonts w:ascii="Times New Roman" w:eastAsia="Times New Roman" w:hAnsi="Times New Roman" w:cs="Times New Roman"/>
          <w:color w:val="000000"/>
          <w:spacing w:val="0"/>
          <w:w w:val="100"/>
          <w:position w:val="0"/>
        </w:rPr>
        <w:t>2019</w:t>
      </w:r>
      <w:r>
        <w:rPr>
          <w:color w:val="000000"/>
          <w:spacing w:val="0"/>
          <w:w w:val="100"/>
          <w:position w:val="0"/>
        </w:rPr>
        <w:t>》中获得了市占率第一的骄人成绩。</w:t>
      </w:r>
    </w:p>
    <w:p>
      <w:pPr>
        <w:pStyle w:val="Style17"/>
        <w:keepNext w:val="0"/>
        <w:keepLines w:val="0"/>
        <w:widowControl w:val="0"/>
        <w:shd w:val="clear" w:color="auto" w:fill="auto"/>
        <w:bidi w:val="0"/>
        <w:spacing w:before="0" w:after="0" w:line="409" w:lineRule="exact"/>
        <w:ind w:left="0" w:right="0"/>
        <w:jc w:val="both"/>
      </w:pPr>
      <w:r>
        <w:rPr>
          <w:color w:val="000000"/>
          <w:spacing w:val="0"/>
          <w:w w:val="100"/>
          <w:position w:val="0"/>
        </w:rPr>
        <w:t>建设科技强国是中华民族伟大复兴的基础工程，面对日益错综复杂的国际环境，全面加大科技创新和 进口替代力度，先进技术做到自给自足，是深化供给侧结构性改革的重点，也是实现国家经济数字化转型 和高质量发展的关键。信创产业是推进新基建的安全之基，从技术体系引进、强化产业基础、加强保障能 力等方面着手，逐步建立基于自主知识产权的</w:t>
      </w:r>
      <w:r>
        <w:rPr>
          <w:rFonts w:ascii="Times New Roman" w:eastAsia="Times New Roman" w:hAnsi="Times New Roman" w:cs="Times New Roman"/>
          <w:color w:val="000000"/>
          <w:spacing w:val="0"/>
          <w:w w:val="100"/>
          <w:position w:val="0"/>
        </w:rPr>
        <w:t>IT</w:t>
      </w:r>
      <w:r>
        <w:rPr>
          <w:color w:val="000000"/>
          <w:spacing w:val="0"/>
          <w:w w:val="100"/>
          <w:position w:val="0"/>
        </w:rPr>
        <w:t>底层架构和标准，最终实现基础设施、基础软件、应用 软件以及网络安全可掌控、可研究、可发展、可生产的战略目标。</w:t>
      </w:r>
      <w:r>
        <w:rPr>
          <w:rFonts w:ascii="Times New Roman" w:eastAsia="Times New Roman" w:hAnsi="Times New Roman" w:cs="Times New Roman"/>
          <w:color w:val="000000"/>
          <w:spacing w:val="0"/>
          <w:w w:val="100"/>
          <w:position w:val="0"/>
        </w:rPr>
        <w:t>2020</w:t>
      </w:r>
      <w:r>
        <w:rPr>
          <w:color w:val="000000"/>
          <w:spacing w:val="0"/>
          <w:w w:val="100"/>
          <w:position w:val="0"/>
        </w:rPr>
        <w:t>年是中国信创产业元年，也是神州 数码全面启动信创战略业务元年，年内我们实现了鲲鹏架构从</w:t>
      </w:r>
      <w:r>
        <w:rPr>
          <w:rFonts w:ascii="Times New Roman" w:eastAsia="Times New Roman" w:hAnsi="Times New Roman" w:cs="Times New Roman"/>
          <w:color w:val="000000"/>
          <w:spacing w:val="0"/>
          <w:w w:val="100"/>
          <w:position w:val="0"/>
        </w:rPr>
        <w:t>0</w:t>
      </w:r>
      <w:r>
        <w:rPr>
          <w:color w:val="000000"/>
          <w:spacing w:val="0"/>
          <w:w w:val="100"/>
          <w:position w:val="0"/>
        </w:rPr>
        <w:t>到</w:t>
      </w:r>
      <w:r>
        <w:rPr>
          <w:rFonts w:ascii="Times New Roman" w:eastAsia="Times New Roman" w:hAnsi="Times New Roman" w:cs="Times New Roman"/>
          <w:color w:val="000000"/>
          <w:spacing w:val="0"/>
          <w:w w:val="100"/>
          <w:position w:val="0"/>
        </w:rPr>
        <w:t>1</w:t>
      </w:r>
      <w:r>
        <w:rPr>
          <w:color w:val="000000"/>
          <w:spacing w:val="0"/>
          <w:w w:val="100"/>
          <w:position w:val="0"/>
        </w:rPr>
        <w:t xml:space="preserve">的突破，生产基地的落成投产，形成 了服务器、网络、存储、一体机的产品体系，并迅速实现了重点行业的营销端突破及产品交付。同时，我 </w:t>
      </w:r>
      <w:r>
        <w:rPr>
          <w:color w:val="000000"/>
          <w:spacing w:val="0"/>
          <w:w w:val="100"/>
          <w:position w:val="0"/>
        </w:rPr>
        <w:t>们完成了信创业务</w:t>
      </w:r>
      <w:r>
        <w:rPr>
          <w:rFonts w:ascii="Times New Roman" w:eastAsia="Times New Roman" w:hAnsi="Times New Roman" w:cs="Times New Roman"/>
          <w:color w:val="000000"/>
          <w:spacing w:val="0"/>
          <w:w w:val="100"/>
          <w:position w:val="0"/>
        </w:rPr>
        <w:t>20</w:t>
      </w:r>
      <w:r>
        <w:rPr>
          <w:color w:val="000000"/>
          <w:spacing w:val="0"/>
          <w:w w:val="100"/>
          <w:position w:val="0"/>
        </w:rPr>
        <w:t>亿元战略融资在合肥的落地，为信创业务的长远发展奠定了坚实基础。</w:t>
      </w:r>
    </w:p>
    <w:p>
      <w:pPr>
        <w:pStyle w:val="Style17"/>
        <w:keepNext w:val="0"/>
        <w:keepLines w:val="0"/>
        <w:widowControl w:val="0"/>
        <w:shd w:val="clear" w:color="auto" w:fill="auto"/>
        <w:bidi w:val="0"/>
        <w:spacing w:before="0" w:after="480" w:line="410"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年是“十四五”开局之年、建党百年，是我国发展历程中非常重要的转折点。面对数字经济时代 三大颠覆性创新带来的巨大机遇，我们将坚持创新驱动发展，加强关键数字技术创新应用，推动数字化赋 能全产业链协同转型，全面塑造发展新优势，推动数字中国建设，为股东创造更大价值。</w:t>
      </w:r>
    </w:p>
    <w:p>
      <w:pPr>
        <w:pStyle w:val="Style17"/>
        <w:keepNext w:val="0"/>
        <w:keepLines w:val="0"/>
        <w:widowControl w:val="0"/>
        <w:shd w:val="clear" w:color="auto" w:fill="auto"/>
        <w:bidi w:val="0"/>
        <w:spacing w:before="0" w:after="0" w:line="410" w:lineRule="exact"/>
        <w:ind w:left="0" w:right="0" w:firstLine="0"/>
        <w:jc w:val="center"/>
      </w:pPr>
      <w:r>
        <w:rPr>
          <w:color w:val="000000"/>
          <w:spacing w:val="0"/>
          <w:w w:val="100"/>
          <w:position w:val="0"/>
        </w:rPr>
        <w:t>神州数码集团股份有限公司</w:t>
      </w:r>
    </w:p>
    <w:p>
      <w:pPr>
        <w:pStyle w:val="Style17"/>
        <w:keepNext w:val="0"/>
        <w:keepLines w:val="0"/>
        <w:widowControl w:val="0"/>
        <w:shd w:val="clear" w:color="auto" w:fill="auto"/>
        <w:bidi w:val="0"/>
        <w:spacing w:before="0" w:after="260" w:line="410" w:lineRule="exact"/>
        <w:ind w:left="0" w:right="0" w:firstLine="0"/>
        <w:jc w:val="center"/>
        <w:sectPr>
          <w:footnotePr>
            <w:pos w:val="pageBottom"/>
            <w:numFmt w:val="decimal"/>
            <w:numRestart w:val="continuous"/>
          </w:footnotePr>
          <w:pgSz w:w="11900" w:h="16840"/>
          <w:pgMar w:top="1297" w:right="1026" w:bottom="1489" w:left="1086" w:header="0" w:footer="3" w:gutter="0"/>
          <w:cols w:space="720"/>
          <w:noEndnote/>
          <w:rtlGutter w:val="0"/>
          <w:docGrid w:linePitch="360"/>
        </w:sectPr>
      </w:pPr>
      <w:r>
        <w:rPr>
          <w:color w:val="000000"/>
          <w:spacing w:val="0"/>
          <w:w w:val="100"/>
          <w:position w:val="0"/>
        </w:rPr>
        <w:t>董事长：郭为</w:t>
      </w:r>
    </w:p>
    <w:p>
      <w:pPr>
        <w:pStyle w:val="Style2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22"/>
        <w:keepNext w:val="0"/>
        <w:keepLines w:val="0"/>
        <w:widowControl w:val="0"/>
        <w:shd w:val="clear" w:color="auto" w:fill="auto"/>
        <w:bidi w:val="0"/>
        <w:spacing w:before="0" w:line="619" w:lineRule="exact"/>
        <w:ind w:left="0" w:right="0"/>
        <w:jc w:val="both"/>
      </w:pPr>
      <w:r>
        <w:rPr>
          <w:color w:val="000000"/>
          <w:spacing w:val="0"/>
          <w:w w:val="100"/>
          <w:position w:val="0"/>
        </w:rPr>
        <w:t>公司负责人郭为、主管会计工作负责人辛昕及会计机构负责人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詹晓红声明：保证本年度报告中财务报告的真实、准确、完整。</w:t>
      </w:r>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line="627" w:lineRule="exact"/>
        <w:ind w:left="0" w:right="0"/>
        <w:jc w:val="both"/>
      </w:pPr>
      <w:r>
        <w:rPr>
          <w:color w:val="000000"/>
          <w:spacing w:val="0"/>
          <w:w w:val="100"/>
          <w:position w:val="0"/>
        </w:rPr>
        <w:t>《证券时报》、《上海证券报》、《中国证券报》和巨潮资讯网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）为公司信息披露指定媒体，公司所有信息均以上述指定 媒体刊登的信息为准，本报告第四节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分析了公司未来可 能面临的风险，敬请投资者查阅并注意投资风险。</w:t>
      </w:r>
    </w:p>
    <w:p>
      <w:pPr>
        <w:pStyle w:val="Style22"/>
        <w:keepNext w:val="0"/>
        <w:keepLines w:val="0"/>
        <w:widowControl w:val="0"/>
        <w:shd w:val="clear" w:color="auto" w:fill="auto"/>
        <w:bidi w:val="0"/>
        <w:spacing w:before="0" w:line="626" w:lineRule="exact"/>
        <w:ind w:left="0" w:right="0"/>
        <w:jc w:val="both"/>
        <w:sectPr>
          <w:headerReference w:type="default" r:id="rId9"/>
          <w:footerReference w:type="default" r:id="rId10"/>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 xml:space="preserve">公司经本次董事会审议通过的利润分配预案为：以披露日前最新总股本 </w:t>
      </w:r>
      <w:r>
        <w:rPr>
          <w:rFonts w:ascii="Times New Roman" w:eastAsia="Times New Roman" w:hAnsi="Times New Roman" w:cs="Times New Roman"/>
          <w:color w:val="000000"/>
          <w:spacing w:val="0"/>
          <w:w w:val="100"/>
          <w:position w:val="0"/>
        </w:rPr>
        <w:t>659,598,277</w:t>
      </w:r>
      <w:r>
        <w:rPr>
          <w:color w:val="000000"/>
          <w:spacing w:val="0"/>
          <w:w w:val="100"/>
          <w:position w:val="0"/>
        </w:rPr>
        <w:t>股扣除回购专用账户</w:t>
      </w:r>
      <w:r>
        <w:rPr>
          <w:rFonts w:ascii="Times New Roman" w:eastAsia="Times New Roman" w:hAnsi="Times New Roman" w:cs="Times New Roman"/>
          <w:color w:val="000000"/>
          <w:spacing w:val="0"/>
          <w:w w:val="100"/>
          <w:position w:val="0"/>
        </w:rPr>
        <w:t>12,632,272</w:t>
      </w:r>
      <w:r>
        <w:rPr>
          <w:color w:val="000000"/>
          <w:spacing w:val="0"/>
          <w:w w:val="100"/>
          <w:position w:val="0"/>
        </w:rPr>
        <w:t>股后的</w:t>
      </w:r>
      <w:r>
        <w:rPr>
          <w:rFonts w:ascii="Times New Roman" w:eastAsia="Times New Roman" w:hAnsi="Times New Roman" w:cs="Times New Roman"/>
          <w:color w:val="000000"/>
          <w:spacing w:val="0"/>
          <w:w w:val="100"/>
          <w:position w:val="0"/>
        </w:rPr>
        <w:t>646,966,005</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1.89</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 转增股本。</w:t>
      </w:r>
    </w:p>
    <w:p>
      <w:pPr>
        <w:pStyle w:val="Style9"/>
        <w:keepNext w:val="0"/>
        <w:keepLines w:val="0"/>
        <w:widowControl w:val="0"/>
        <w:shd w:val="clear" w:color="auto" w:fill="auto"/>
        <w:bidi w:val="0"/>
        <w:spacing w:before="1400" w:after="1600" w:line="240" w:lineRule="auto"/>
        <w:ind w:left="0" w:right="0" w:firstLine="0"/>
        <w:jc w:val="center"/>
      </w:pPr>
      <w:r>
        <w:rPr>
          <w:color w:val="000000"/>
          <w:spacing w:val="0"/>
          <w:w w:val="100"/>
          <w:position w:val="0"/>
        </w:rPr>
        <w:t>目录</w:t>
      </w:r>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4</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color w:val="000000"/>
            <w:spacing w:val="0"/>
            <w:w w:val="100"/>
            <w:position w:val="0"/>
            <w:sz w:val="24"/>
            <w:szCs w:val="24"/>
          </w:rPr>
          <w:t>9</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color w:val="000000"/>
            <w:spacing w:val="0"/>
            <w:w w:val="100"/>
            <w:position w:val="0"/>
            <w:sz w:val="24"/>
            <w:szCs w:val="24"/>
          </w:rPr>
          <w:t>14</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85"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color w:val="000000"/>
            <w:spacing w:val="0"/>
            <w:w w:val="100"/>
            <w:position w:val="0"/>
            <w:sz w:val="24"/>
            <w:szCs w:val="24"/>
          </w:rPr>
          <w:t>18</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247"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41</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40"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81</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37" w:tooltip="Current Document">
        <w:r>
          <w:rPr>
            <w:color w:val="000000"/>
            <w:spacing w:val="0"/>
            <w:w w:val="100"/>
            <w:position w:val="0"/>
            <w:sz w:val="22"/>
            <w:szCs w:val="22"/>
          </w:rPr>
          <w:t>第七节优先股相关情况</w:t>
        </w:r>
        <w:r>
          <w:rPr>
            <w:color w:val="000000"/>
            <w:spacing w:val="0"/>
            <w:w w:val="100"/>
            <w:position w:val="0"/>
            <w:sz w:val="22"/>
            <w:szCs w:val="22"/>
          </w:rPr>
          <w:tab/>
        </w:r>
        <w:r>
          <w:rPr>
            <w:color w:val="000000"/>
            <w:spacing w:val="0"/>
            <w:w w:val="100"/>
            <w:position w:val="0"/>
            <w:sz w:val="24"/>
            <w:szCs w:val="24"/>
          </w:rPr>
          <w:t>88</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497"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color w:val="000000"/>
            <w:spacing w:val="0"/>
            <w:w w:val="100"/>
            <w:position w:val="0"/>
            <w:sz w:val="24"/>
            <w:szCs w:val="24"/>
          </w:rPr>
          <w:t>89</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01"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color w:val="000000"/>
            <w:spacing w:val="0"/>
            <w:w w:val="100"/>
            <w:position w:val="0"/>
            <w:sz w:val="24"/>
            <w:szCs w:val="24"/>
          </w:rPr>
          <w:t>90</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545" w:tooltip="Current Document">
        <w:r>
          <w:rPr>
            <w:color w:val="000000"/>
            <w:spacing w:val="0"/>
            <w:w w:val="100"/>
            <w:position w:val="0"/>
            <w:sz w:val="22"/>
            <w:szCs w:val="22"/>
          </w:rPr>
          <w:t>第十节公司治理</w:t>
        </w:r>
        <w:r>
          <w:rPr>
            <w:color w:val="000000"/>
            <w:spacing w:val="0"/>
            <w:w w:val="100"/>
            <w:position w:val="0"/>
            <w:sz w:val="22"/>
            <w:szCs w:val="22"/>
          </w:rPr>
          <w:tab/>
        </w:r>
        <w:r>
          <w:rPr>
            <w:color w:val="000000"/>
            <w:spacing w:val="0"/>
            <w:w w:val="100"/>
            <w:position w:val="0"/>
            <w:sz w:val="24"/>
            <w:szCs w:val="24"/>
          </w:rPr>
          <w:t>101</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48"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color w:val="000000"/>
            <w:spacing w:val="0"/>
            <w:w w:val="100"/>
            <w:position w:val="0"/>
            <w:sz w:val="24"/>
            <w:szCs w:val="24"/>
          </w:rPr>
          <w:t>109</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652" w:tooltip="Current Document">
        <w:r>
          <w:rPr>
            <w:color w:val="000000"/>
            <w:spacing w:val="0"/>
            <w:w w:val="100"/>
            <w:position w:val="0"/>
            <w:sz w:val="22"/>
            <w:szCs w:val="22"/>
          </w:rPr>
          <w:t>第十二节财务报告</w:t>
        </w:r>
        <w:r>
          <w:rPr>
            <w:color w:val="000000"/>
            <w:spacing w:val="0"/>
            <w:w w:val="100"/>
            <w:position w:val="0"/>
            <w:sz w:val="22"/>
            <w:szCs w:val="22"/>
          </w:rPr>
          <w:tab/>
        </w:r>
        <w:r>
          <w:rPr>
            <w:color w:val="000000"/>
            <w:spacing w:val="0"/>
            <w:w w:val="100"/>
            <w:position w:val="0"/>
            <w:sz w:val="24"/>
            <w:szCs w:val="24"/>
          </w:rPr>
          <w:t>110</w:t>
        </w:r>
      </w:hyperlink>
    </w:p>
    <w:p>
      <w:pPr>
        <w:pStyle w:val="Style25"/>
        <w:keepNext w:val="0"/>
        <w:keepLines w:val="0"/>
        <w:widowControl w:val="0"/>
        <w:shd w:val="clear" w:color="auto" w:fill="auto"/>
        <w:tabs>
          <w:tab w:leader="dot" w:pos="9609" w:val="right"/>
        </w:tabs>
        <w:bidi w:val="0"/>
        <w:spacing w:before="0" w:line="240" w:lineRule="auto"/>
        <w:ind w:left="0" w:right="0" w:firstLine="0"/>
        <w:jc w:val="left"/>
        <w:rPr>
          <w:sz w:val="24"/>
          <w:szCs w:val="24"/>
        </w:rPr>
      </w:pPr>
      <w:hyperlink w:anchor="bookmark1745" w:tooltip="Current Document">
        <w:r>
          <w:rPr>
            <w:color w:val="000000"/>
            <w:spacing w:val="0"/>
            <w:w w:val="100"/>
            <w:position w:val="0"/>
            <w:sz w:val="22"/>
            <w:szCs w:val="22"/>
          </w:rPr>
          <w:t>第十三节 备查文件目录</w:t>
        </w:r>
        <w:r>
          <w:rPr>
            <w:color w:val="000000"/>
            <w:spacing w:val="0"/>
            <w:w w:val="100"/>
            <w:position w:val="0"/>
            <w:sz w:val="22"/>
            <w:szCs w:val="22"/>
          </w:rPr>
          <w:tab/>
        </w:r>
        <w:r>
          <w:rPr>
            <w:color w:val="000000"/>
            <w:spacing w:val="0"/>
            <w:w w:val="100"/>
            <w:position w:val="0"/>
            <w:sz w:val="24"/>
            <w:szCs w:val="24"/>
          </w:rPr>
          <w:t>244</w:t>
        </w:r>
      </w:hyperlink>
      <w:r>
        <w:br w:type="page"/>
      </w:r>
      <w:r>
        <w:fldChar w:fldCharType="end"/>
      </w:r>
    </w:p>
    <w:p>
      <w:pPr>
        <w:pStyle w:val="Style11"/>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公司、本公司、神州数码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深信泰丰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深圳市深信泰丰（集团）股份有限公司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神州数码集团股份有限公司及其下属子公司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上市公司及其子公司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上市公司及其纳入合并财务报表范围内的子公司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神州数码管理层</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神州数码控股有限公司，一家注册于百慕大并于香港上市的公司，股 票代码为</w:t>
            </w:r>
            <w:r>
              <w:rPr>
                <w:rFonts w:ascii="Times New Roman" w:eastAsia="Times New Roman" w:hAnsi="Times New Roman" w:cs="Times New Roman"/>
                <w:color w:val="000000"/>
                <w:spacing w:val="0"/>
                <w:w w:val="100"/>
                <w:position w:val="0"/>
                <w:sz w:val="18"/>
                <w:szCs w:val="18"/>
              </w:rPr>
              <w:t>0861.HK</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神州数码信息服务股份有限公司，股票代码为</w:t>
            </w:r>
            <w:r>
              <w:rPr>
                <w:rFonts w:ascii="Times New Roman" w:eastAsia="Times New Roman" w:hAnsi="Times New Roman" w:cs="Times New Roman"/>
                <w:color w:val="000000"/>
                <w:spacing w:val="0"/>
                <w:w w:val="100"/>
                <w:position w:val="0"/>
                <w:sz w:val="18"/>
                <w:szCs w:val="18"/>
              </w:rPr>
              <w:t>SZ.000555</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神州控股下属</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年上市公司实施重大资产重组所收购的神州数码控股有限公司 下属公司，主要包括神码中国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股权和神码 广州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标的资产核心管理团队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分销业务的高级管理人员</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北京神州数码供应链服务有限公司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神码郑州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神州数码（郑州）有限公司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神码沈阳</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沈阳神州数码有限公司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神州数码（深圳）有限公司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神码南京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南京神州数码有限公司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神码杭州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神码西安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神码福州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福州神州数码有限公司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神码成都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成都神州数码有限公司</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神码电商</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北京神州数码电商科技有限公司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上海通信技术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上海神州数码通信技术有限公司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北京云科信息技术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神州云计算</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北京神州数码云计算有限公司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贵州云计算</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贵州神州数码云计算有限公司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武汉云科网络</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武汉神州数码云科网络技术有限公司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神州数码科技发展有限公司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系统信息香港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系统信息科技（香港）有限公司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神州数码（香港）有限公司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神码数据服务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神州数码数据服务（香港）有限公司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神州数码云有限公司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神码网络香港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神州数码网络（香港）有限公司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DCMS</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Digital China Marketing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Services Ltd</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神州鲲泰（厦门）信息技术有限公司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神州信创</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神州信创（北京）集团有限公司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神州数码澳门离岸商业服务有限公司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神码马来西亚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Technology (Malaysia) Sdn. Bhd.</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神州慧安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北京神州慧安科技有限公司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北京趣云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北京趣云万维信息技术有限公司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深圳数云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深圳数云创想信息技术有限公司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GoPomelo</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GoPomelo Holdings Pte.Ltd.</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卓越置业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卓越置业集团有限公司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北京智慧生活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北京神州数码智慧生活科技有限公司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深圳云科数据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深圳神州数码云科数据技术有限公司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北京云角</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北京神州数码云角信息技术有限公司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神码武汉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神码中国杭州分公司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神州数码（中国）有限公司杭州分公司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江西银行股份有限公司南昌洪城支行</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神码有限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神州数码有限公司</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迪信通</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北京迪信通商贸股份有限公司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中信建投基金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中信建投基金管理有限公司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厦门市政府</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厦门市人民政府</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信创业务、信创</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信息技术应用创新业务</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特定目的实体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资产支持专项计划</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bl>
    <w:p>
      <w:pPr>
        <w:sectPr>
          <w:footnotePr>
            <w:pos w:val="pageBottom"/>
            <w:numFmt w:val="decimal"/>
            <w:numRestart w:val="continuous"/>
          </w:footnotePr>
          <w:pgSz w:w="11900" w:h="16840"/>
          <w:pgMar w:top="1441" w:right="1135" w:bottom="1715" w:left="1088" w:header="0" w:footer="3" w:gutter="0"/>
          <w:cols w:space="720"/>
          <w:noEndnote/>
          <w:rtlGutter w:val="0"/>
          <w:docGrid w:linePitch="360"/>
        </w:sectPr>
      </w:pPr>
    </w:p>
    <w:p>
      <w:pPr>
        <w:pStyle w:val="Style20"/>
        <w:keepNext/>
        <w:keepLines/>
        <w:widowControl w:val="0"/>
        <w:shd w:val="clear" w:color="auto" w:fill="auto"/>
        <w:bidi w:val="0"/>
        <w:spacing w:before="480" w:after="5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32"/>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Group Co.,Ltd.</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深圳市南山区粤海街道科发路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号金融基地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E1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digitalchina. com</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dcg-ir@digitalchina. com</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2842"/>
        <w:gridCol w:w="3398"/>
        <w:gridCol w:w="334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北京市海淀区上地九街九号数码科技广场</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010-82705411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010-82705411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010-82705651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010-82705651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dcg-ir@digitalchina. com</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dcg-ir@digitalchina. com</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1032" w:val="left"/>
              </w:tabs>
              <w:bidi w:val="0"/>
              <w:spacing w:before="0" w:after="0" w:line="240" w:lineRule="auto"/>
              <w:ind w:left="0" w:right="0" w:firstLine="0"/>
              <w:jc w:val="left"/>
            </w:pPr>
            <w:r>
              <w:rPr>
                <w:color w:val="000000"/>
                <w:spacing w:val="0"/>
                <w:w w:val="100"/>
                <w:position w:val="0"/>
              </w:rPr>
              <w:t>巨潮资讯网</w:t>
              <w:tab/>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北京市海淀区上地九街九号数码科技广场神州数码集团股份有限公司 证券部</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2131"/>
        <w:gridCol w:w="745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9144030019218259X7</w:t>
            </w:r>
          </w:p>
        </w:tc>
      </w:tr>
      <w:tr>
        <w:trPr>
          <w:trHeight w:val="99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 变化情况（如有）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公司工商登记注册关于经营范围的变更情况为：</w:t>
            </w:r>
          </w:p>
          <w:p>
            <w:pPr>
              <w:pStyle w:val="Style28"/>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月，经营范围为：食用动物，肉类加工，饲料。畜用药，畜禽医疗器械。</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日，经营范围变更为：食用动物，肉类加工，饲料，果树种植。畜用药，畜禽医疗器械。</w:t>
            </w:r>
          </w:p>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日，经营范围变更为：经营国内商业、物资供销业（不含专营、专卖、专控 商品）；进出口业务按深贸管审证字</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号文办理；食用动物、肉类加工，饲料，果树种植。畜 用药，畜禽医疗器械。</w:t>
            </w:r>
          </w:p>
          <w:p>
            <w:pPr>
              <w:pStyle w:val="Style28"/>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S，</w:t>
            </w:r>
            <w:r>
              <w:rPr>
                <w:color w:val="000000"/>
                <w:spacing w:val="0"/>
                <w:w w:val="100"/>
                <w:position w:val="0"/>
              </w:rPr>
              <w:t>经营范围变更为：国内商业、物资供销业（不含专营、专控、专卖商品）。 进出口业务（按深贸管审证字</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号文办理）；食用动物、肉类加工、果树种植；畜用药。</w:t>
            </w:r>
          </w:p>
          <w:p>
            <w:pPr>
              <w:pStyle w:val="Style28"/>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日，经营范围变更为：（一）研究、开发计算机硬件及配套零件；网络产品、 多媒体产品、电子信息产品及通讯产品、办公自动化设备、仪器仪表、电器及印刷照排设备、 计算机应用系统的安装和维修；自产产品的技术咨询、技术服务、技术转让；经营自产产品的 出口业务；代理销售计算机硬件、软件及外围设施；销售自产产品。（不涉及国营贸易管理商品； 涉及配额、许可证管理商品的按国家有关规定办理申请手续）依法须经批准的项目，经相关部 门批准后依批准的内容开展经营活动。（二）国内商业、物资供销业（不含专营、专控、专卖商 品）、进出口业务（按深贸管审证字</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号文办理）、食用动物、肉类加工、果树种植、畜用药。</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（三）开发、生产销售无绳电话机、多功能电话机、遥控器、电子智能学习机、电话注塑配件、 电视机塑胶配件；通信设备、电子、计算机配件的技术开发；进出口业务（按资格证书办理）； 计算机软件、信息技术、系统集成、办公自动化、综合布线技术的研发（不含限制项目）；生产 机电一体化产品。（四）购销饲料、农副产品、浓缩饲料添加剂（以上不含专营专卖、专控商品）； 兴办种、养殖业（不含限制项目）。（五）在深圳市范围内从事房地产开发经营业务；兴办实业</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（具体项目另行审批）。</w:t>
            </w:r>
          </w:p>
          <w:p>
            <w:pPr>
              <w:pStyle w:val="Style28"/>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日，经营范围变更为：（一）计算机硬件及配套零件的研究、开发；网络产 品、多媒体产品、电子信息产品及通讯产品、办公自动化设备、仪器仪表、电器及印刷照排设 备、计算机应用系统的安装和维修；自产产品的技术咨询、技术服务、技术转让（法律、行政 法规、国务院决定禁止的项目除外，限制的项目须取得许可后方可经营）；经营进出口业务（法 律、行政法规、国务院决定禁止的项目除外，限制的项目须取得许可后方可经营）；计算机硬件、 软件及外围设施的代理销售；销售自产产品（法律、行政法规、国务院决定禁止的项目除外， 限制的项目须取得许可后方可经营）；（二）通信设备、电子、计算机配件的技术开发；计算机 软件、信息技术、系统集成、办公自动化、综合布线技术的研发（不含限制项目）；（三）投资 兴办实业（具体项目另行申报）；在合法取得使用权的土地上从事房地产开发经营。（以上项目 法律、行政法规、国务院决定禁止的项目除外，限制的项目须取得许可后方可经营）。</w:t>
            </w:r>
          </w:p>
        </w:tc>
      </w:tr>
      <w:tr>
        <w:trPr>
          <w:trHeight w:val="1114"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历次控股股东的变更情况</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274"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月，公司控股股东由深圳市宝安区投资管理公司变更为深圳国际信托投资公司。</w:t>
            </w:r>
          </w:p>
          <w:p>
            <w:pPr>
              <w:pStyle w:val="Style28"/>
              <w:keepNext w:val="0"/>
              <w:keepLines w:val="0"/>
              <w:widowControl w:val="0"/>
              <w:shd w:val="clear" w:color="auto" w:fill="auto"/>
              <w:tabs>
                <w:tab w:pos="254"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月，公司控股股东由深圳国际信托投资有限责任公司变更为中国希格玛有限公司。</w:t>
            </w:r>
          </w:p>
          <w:p>
            <w:pPr>
              <w:pStyle w:val="Style28"/>
              <w:keepNext w:val="0"/>
              <w:keepLines w:val="0"/>
              <w:widowControl w:val="0"/>
              <w:shd w:val="clear" w:color="auto" w:fill="auto"/>
              <w:tabs>
                <w:tab w:pos="264"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月，公司控股股东由中国希格玛有限公司变更为郭为先生。</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bl>
    <w:p>
      <w:pPr>
        <w:spacing w:lineRule="exact" w:line="1"/>
        <w:rPr>
          <w:sz w:val="2"/>
          <w:szCs w:val="2"/>
        </w:rPr>
      </w:pP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pStyle w:val="Style3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522"/>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92,060,443,406.22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86,803,376,390.13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81,858,054,493.23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624,091,822.04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701,410,697.57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512,408,008.06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651,852,180.94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582,143,916.76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472,153,753.44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1,456,920,143.56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1,499,628,700.32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360,539,617.54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30,689,603,232.90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29,420,902,442.41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25,985,451,950.06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4,700,059,977.98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4,372,145,715.43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3,841,446,080.18</w:t>
            </w:r>
          </w:p>
        </w:tc>
      </w:tr>
    </w:tbl>
    <w:p>
      <w:pPr>
        <w:pStyle w:val="Style3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3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80" w:line="322"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757"/>
        <w:gridCol w:w="4867"/>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659,598,277</w:t>
            </w:r>
          </w:p>
        </w:tc>
      </w:tr>
    </w:tbl>
    <w:p>
      <w:pPr>
        <w:widowControl w:val="0"/>
        <w:spacing w:after="359" w:line="1" w:lineRule="exact"/>
      </w:pPr>
    </w:p>
    <w:p>
      <w:pPr>
        <w:pStyle w:val="Style35"/>
        <w:keepNext w:val="0"/>
        <w:keepLines w:val="0"/>
        <w:widowControl w:val="0"/>
        <w:shd w:val="clear" w:color="auto" w:fill="auto"/>
        <w:bidi w:val="0"/>
        <w:spacing w:before="0" w:after="0" w:line="240" w:lineRule="auto"/>
        <w:ind w:left="96" w:right="0" w:firstLine="0"/>
        <w:jc w:val="left"/>
      </w:pPr>
      <w:r>
        <w:rPr>
          <w:color w:val="000000"/>
          <w:spacing w:val="0"/>
          <w:w w:val="100"/>
          <w:position w:val="0"/>
        </w:rPr>
        <w:t>用最新股本计算的全面摊薄每股收益</w:t>
      </w:r>
    </w:p>
    <w:tbl>
      <w:tblPr>
        <w:tblOverlap w:val="never"/>
        <w:jc w:val="center"/>
        <w:tblLayout w:type="fixed"/>
      </w:tblPr>
      <w:tblGrid>
        <w:gridCol w:w="4910"/>
        <w:gridCol w:w="47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0.9462</w:t>
            </w:r>
          </w:p>
        </w:tc>
      </w:tr>
    </w:tbl>
    <w:p>
      <w:pPr>
        <w:pStyle w:val="Style32"/>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、境内外会计准则下会计数据差异</w:t>
      </w:r>
      <w:bookmarkEnd w:id="31"/>
      <w:bookmarkEnd w:id="32"/>
      <w:bookmarkEnd w:id="34"/>
    </w:p>
    <w:p>
      <w:pPr>
        <w:pStyle w:val="Style40"/>
        <w:keepNext/>
        <w:keepLines/>
        <w:widowControl w:val="0"/>
        <w:shd w:val="clear" w:color="auto" w:fill="auto"/>
        <w:tabs>
          <w:tab w:pos="368"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0"/>
        <w:keepNext/>
        <w:keepLines/>
        <w:widowControl w:val="0"/>
        <w:shd w:val="clear" w:color="auto" w:fill="auto"/>
        <w:tabs>
          <w:tab w:pos="378"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2"/>
        <w:keepNext/>
        <w:keepLines/>
        <w:widowControl w:val="0"/>
        <w:shd w:val="clear" w:color="auto" w:fill="auto"/>
        <w:bidi w:val="0"/>
        <w:spacing w:before="0" w:after="4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、分季度主要财务指标</w:t>
      </w:r>
      <w:bookmarkEnd w:id="43"/>
      <w:bookmarkEnd w:id="44"/>
      <w:bookmarkEnd w:id="4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17,965,931,618.10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22,654,892,202.47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23,066,506,321.81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28,373,113,263.84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118,179,590.18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125,493,374.94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149,936,001.81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230,482,855.11</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113,498,591.88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191,862,066.27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142,370,838.36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204,120,684.43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995,352,004.63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-153,213,026.18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615,845,169.56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-1,064,004.45</w:t>
            </w:r>
          </w:p>
        </w:tc>
      </w:tr>
    </w:tbl>
    <w:p>
      <w:pPr>
        <w:pStyle w:val="Style3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3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4"/>
        <w:gridCol w:w="1416"/>
        <w:gridCol w:w="1421"/>
        <w:gridCol w:w="1416"/>
        <w:gridCol w:w="135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非流动资产处置损益（包括已计提资产减值准备的 冲销部分）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10,439,074.43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435,204.30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-1,467,524.25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 按照国家统一标准定额或定量享受的政府补助除 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27,097,791.44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48,995,374.79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45,541,319.26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15,354,333.38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3,641,453.12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10,532,903.51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-3,031,792.93</w:t>
            </w: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除同公司正常经营业务相关的有效套期保值业务 外，持有交易性金融资产、衍生金融资产、交易性 金融负债、衍生金融负债产生的公允价值变动损 益，以及处置交易性金融资产、衍生金融资产、交 易性金融负债、衍生金融负债和其他债权投资取得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2,241,445.00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1,650,831.00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467,403.34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74"/>
        <w:gridCol w:w="1416"/>
        <w:gridCol w:w="1421"/>
        <w:gridCol w:w="1416"/>
        <w:gridCol w:w="13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287,165.35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重组项目评估审计费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99,957,757.00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-9,818,677.07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35,701,011.53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11,719,457.90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-185,011.53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-27,760,358.90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119,266,780.81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40,254,254.62</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093" w:bottom="1441" w:left="103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20"/>
        <w:keepNext/>
        <w:keepLines/>
        <w:widowControl w:val="0"/>
        <w:shd w:val="clear" w:color="auto" w:fill="auto"/>
        <w:bidi w:val="0"/>
        <w:spacing w:before="560" w:after="56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32"/>
        <w:keepNext/>
        <w:keepLines/>
        <w:widowControl w:val="0"/>
        <w:shd w:val="clear" w:color="auto" w:fill="auto"/>
        <w:bidi w:val="0"/>
        <w:spacing w:before="0" w:after="24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37"/>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公司是否需要遵守特殊行业的披露要求</w:t>
      </w:r>
    </w:p>
    <w:p>
      <w:pPr>
        <w:pStyle w:val="Style37"/>
        <w:keepNext w:val="0"/>
        <w:keepLines w:val="0"/>
        <w:widowControl w:val="0"/>
        <w:shd w:val="clear" w:color="auto" w:fill="auto"/>
        <w:bidi w:val="0"/>
        <w:spacing w:before="0" w:after="0" w:line="365" w:lineRule="exact"/>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after="0" w:line="365" w:lineRule="exact"/>
        <w:ind w:left="0" w:right="0"/>
        <w:jc w:val="both"/>
      </w:pPr>
      <w:r>
        <w:rPr>
          <w:color w:val="000000"/>
          <w:spacing w:val="0"/>
          <w:w w:val="100"/>
          <w:position w:val="0"/>
          <w:sz w:val="18"/>
          <w:szCs w:val="18"/>
        </w:rPr>
        <w:t>2020</w:t>
      </w:r>
      <w:r>
        <w:rPr>
          <w:color w:val="000000"/>
          <w:spacing w:val="0"/>
          <w:w w:val="100"/>
          <w:position w:val="0"/>
        </w:rPr>
        <w:t>年，新冠肺炎疫情对社会和经济发展带来前所未有的系统性冲击，但困境中数字经济的爆发式增长背后是近</w:t>
      </w:r>
      <w:r>
        <w:rPr>
          <w:color w:val="000000"/>
          <w:spacing w:val="0"/>
          <w:w w:val="100"/>
          <w:position w:val="0"/>
          <w:sz w:val="18"/>
          <w:szCs w:val="18"/>
        </w:rPr>
        <w:t>20</w:t>
      </w:r>
      <w:r>
        <w:rPr>
          <w:color w:val="000000"/>
          <w:spacing w:val="0"/>
          <w:w w:val="100"/>
          <w:position w:val="0"/>
        </w:rPr>
        <w:t>年 中国信息化建设发展的厚积薄发。</w:t>
      </w:r>
      <w:r>
        <w:rPr>
          <w:color w:val="000000"/>
          <w:spacing w:val="0"/>
          <w:w w:val="100"/>
          <w:position w:val="0"/>
          <w:sz w:val="18"/>
          <w:szCs w:val="18"/>
        </w:rPr>
        <w:t>2021</w:t>
      </w:r>
      <w:r>
        <w:rPr>
          <w:color w:val="000000"/>
          <w:spacing w:val="0"/>
          <w:w w:val="100"/>
          <w:position w:val="0"/>
        </w:rPr>
        <w:t>年国家出台的“十四五”规划和</w:t>
      </w:r>
      <w:r>
        <w:rPr>
          <w:color w:val="000000"/>
          <w:spacing w:val="0"/>
          <w:w w:val="100"/>
          <w:position w:val="0"/>
          <w:sz w:val="18"/>
          <w:szCs w:val="18"/>
        </w:rPr>
        <w:t>2035</w:t>
      </w:r>
      <w:r>
        <w:rPr>
          <w:color w:val="000000"/>
          <w:spacing w:val="0"/>
          <w:w w:val="100"/>
          <w:position w:val="0"/>
        </w:rPr>
        <w:t>年远景目标，树立了科技创新驱动现代化经 济体系构建和高质量发展的指导思想，明确了科技创新在未来五年发展过程中的第一地位，并提出通过加强数字技术应用、 推动数字产业化、产业数字化转型等手段，将数字经济贯穿到经济社会各个角落。</w:t>
      </w:r>
    </w:p>
    <w:p>
      <w:pPr>
        <w:pStyle w:val="Style37"/>
        <w:keepNext w:val="0"/>
        <w:keepLines w:val="0"/>
        <w:widowControl w:val="0"/>
        <w:shd w:val="clear" w:color="auto" w:fill="auto"/>
        <w:bidi w:val="0"/>
        <w:spacing w:before="0" w:after="0" w:line="360" w:lineRule="exact"/>
        <w:ind w:left="0" w:right="0"/>
        <w:jc w:val="both"/>
      </w:pPr>
      <w:r>
        <w:rPr>
          <w:color w:val="000000"/>
          <w:spacing w:val="0"/>
          <w:w w:val="100"/>
          <w:position w:val="0"/>
        </w:rPr>
        <w:t>企业发展的关键是要在技术变革中不断寻找自主创新的突破口，技术奇点引爆数字服务经济。当云、</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AI</w:t>
      </w:r>
      <w:r>
        <w:rPr>
          <w:color w:val="000000"/>
          <w:spacing w:val="0"/>
          <w:w w:val="100"/>
          <w:position w:val="0"/>
        </w:rPr>
        <w:t>成为这个 时代的主题，各行各业都将进入一个数字服务经济的时代。在这样一个数字奇点上，从一个企业的角度来看，在数字化转型 的过程中，将面临着面向</w:t>
      </w:r>
      <w:r>
        <w:rPr>
          <w:color w:val="000000"/>
          <w:spacing w:val="0"/>
          <w:w w:val="100"/>
          <w:position w:val="0"/>
          <w:sz w:val="18"/>
          <w:szCs w:val="18"/>
        </w:rPr>
        <w:t>XaaS</w:t>
      </w:r>
      <w:r>
        <w:rPr>
          <w:color w:val="000000"/>
          <w:spacing w:val="0"/>
          <w:w w:val="100"/>
          <w:position w:val="0"/>
        </w:rPr>
        <w:t>的企业</w:t>
      </w:r>
      <w:r>
        <w:rPr>
          <w:color w:val="000000"/>
          <w:spacing w:val="0"/>
          <w:w w:val="100"/>
          <w:position w:val="0"/>
          <w:sz w:val="18"/>
          <w:szCs w:val="18"/>
        </w:rPr>
        <w:t>IT</w:t>
      </w:r>
      <w:r>
        <w:rPr>
          <w:color w:val="000000"/>
          <w:spacing w:val="0"/>
          <w:w w:val="100"/>
          <w:position w:val="0"/>
        </w:rPr>
        <w:t>基础设施重构、基于数据和知识或知识图谱的企业核心竞争力重塑和面向场景的业 务和技术深度融合与创新三个重大的机遇和挑战。而作为一家脱胎于中科院计算所的科技企业，神州数码秉承锐意创新的科 学家基因和务实进取的企业家精神，从诞生第一天起就以</w:t>
      </w:r>
      <w:r>
        <w:rPr>
          <w:color w:val="000000"/>
          <w:spacing w:val="0"/>
          <w:w w:val="100"/>
          <w:position w:val="0"/>
          <w:sz w:val="18"/>
          <w:szCs w:val="18"/>
        </w:rPr>
        <w:t>Digital China</w:t>
      </w:r>
      <w:r>
        <w:rPr>
          <w:color w:val="000000"/>
          <w:spacing w:val="0"/>
          <w:w w:val="100"/>
          <w:position w:val="0"/>
        </w:rPr>
        <w:t>作为公司的英文名称以及企业的使命愿景。公司凭 借二十年来矢志不渝践行数字中国战略的深厚积累，在技术快速变革和数字经济爆发的背景下，作为探索者、实践者和赋能 者助力业客户在数字化转型过程中通过云和基础设施汇聚算力资源，实现从业务流程到全产业生态的数字化；通过数据、知 识图谱和智能算法，实现面向行业场景的融合创新。</w:t>
      </w:r>
    </w:p>
    <w:p>
      <w:pPr>
        <w:pStyle w:val="Style37"/>
        <w:keepNext w:val="0"/>
        <w:keepLines w:val="0"/>
        <w:widowControl w:val="0"/>
        <w:shd w:val="clear" w:color="auto" w:fill="auto"/>
        <w:bidi w:val="0"/>
        <w:spacing w:before="0" w:after="0" w:line="360" w:lineRule="exact"/>
        <w:ind w:left="0" w:right="0"/>
        <w:jc w:val="both"/>
      </w:pPr>
      <w:r>
        <w:rPr>
          <w:color w:val="000000"/>
          <w:spacing w:val="0"/>
          <w:w w:val="100"/>
          <w:position w:val="0"/>
        </w:rPr>
        <w:t>报告期内，公司从事的主要业务包括：</w:t>
      </w:r>
    </w:p>
    <w:p>
      <w:pPr>
        <w:pStyle w:val="Style37"/>
        <w:keepNext w:val="0"/>
        <w:keepLines w:val="0"/>
        <w:widowControl w:val="0"/>
        <w:shd w:val="clear" w:color="auto" w:fill="auto"/>
        <w:tabs>
          <w:tab w:pos="866" w:val="left"/>
        </w:tabs>
        <w:bidi w:val="0"/>
        <w:spacing w:before="0" w:after="0" w:line="360" w:lineRule="exact"/>
        <w:ind w:left="0" w:right="0"/>
        <w:jc w:val="both"/>
      </w:pPr>
      <w:bookmarkStart w:id="59" w:name="bookmark59"/>
      <w:r>
        <w:rPr>
          <w:b/>
          <w:bCs/>
          <w:color w:val="000000"/>
          <w:spacing w:val="0"/>
          <w:w w:val="100"/>
          <w:position w:val="0"/>
        </w:rPr>
        <w:t>（</w:t>
      </w:r>
      <w:bookmarkEnd w:id="59"/>
      <w:r>
        <w:rPr>
          <w:b/>
          <w:bCs/>
          <w:color w:val="000000"/>
          <w:spacing w:val="0"/>
          <w:w w:val="100"/>
          <w:position w:val="0"/>
        </w:rPr>
        <w:t>一）</w:t>
        <w:tab/>
        <w:t>云计算和数字化转型业务</w:t>
      </w:r>
    </w:p>
    <w:p>
      <w:pPr>
        <w:pStyle w:val="Style37"/>
        <w:keepNext w:val="0"/>
        <w:keepLines w:val="0"/>
        <w:widowControl w:val="0"/>
        <w:shd w:val="clear" w:color="auto" w:fill="auto"/>
        <w:bidi w:val="0"/>
        <w:spacing w:before="0" w:after="0" w:line="360" w:lineRule="exact"/>
        <w:ind w:left="0" w:right="0"/>
        <w:jc w:val="both"/>
      </w:pPr>
      <w:r>
        <w:rPr>
          <w:color w:val="000000"/>
          <w:spacing w:val="0"/>
          <w:w w:val="100"/>
          <w:position w:val="0"/>
        </w:rPr>
        <w:t>公司主要为企业客户提供从</w:t>
      </w:r>
      <w:r>
        <w:rPr>
          <w:color w:val="000000"/>
          <w:spacing w:val="0"/>
          <w:w w:val="100"/>
          <w:position w:val="0"/>
          <w:sz w:val="18"/>
          <w:szCs w:val="18"/>
        </w:rPr>
        <w:t>IaaS</w:t>
      </w:r>
      <w:r>
        <w:rPr>
          <w:color w:val="000000"/>
          <w:spacing w:val="0"/>
          <w:w w:val="100"/>
          <w:position w:val="0"/>
        </w:rPr>
        <w:t>、</w:t>
      </w:r>
      <w:r>
        <w:rPr>
          <w:color w:val="000000"/>
          <w:spacing w:val="0"/>
          <w:w w:val="100"/>
          <w:position w:val="0"/>
          <w:sz w:val="18"/>
          <w:szCs w:val="18"/>
        </w:rPr>
        <w:t>PaaS</w:t>
      </w:r>
      <w:r>
        <w:rPr>
          <w:color w:val="000000"/>
          <w:spacing w:val="0"/>
          <w:w w:val="100"/>
          <w:position w:val="0"/>
        </w:rPr>
        <w:t>到</w:t>
      </w:r>
      <w:r>
        <w:rPr>
          <w:color w:val="000000"/>
          <w:spacing w:val="0"/>
          <w:w w:val="100"/>
          <w:position w:val="0"/>
          <w:sz w:val="18"/>
          <w:szCs w:val="18"/>
        </w:rPr>
        <w:t>SaaS</w:t>
      </w:r>
      <w:r>
        <w:rPr>
          <w:color w:val="000000"/>
          <w:spacing w:val="0"/>
          <w:w w:val="100"/>
          <w:position w:val="0"/>
        </w:rPr>
        <w:t>的各类产品、服务及企业数字化解决方案，主要包括：</w:t>
      </w:r>
      <w:r>
        <w:rPr>
          <w:color w:val="000000"/>
          <w:spacing w:val="0"/>
          <w:w w:val="100"/>
          <w:position w:val="0"/>
          <w:sz w:val="18"/>
          <w:szCs w:val="18"/>
        </w:rPr>
        <w:t>（1）</w:t>
      </w:r>
      <w:r>
        <w:rPr>
          <w:color w:val="000000"/>
          <w:spacing w:val="0"/>
          <w:w w:val="100"/>
          <w:position w:val="0"/>
        </w:rPr>
        <w:t>云管理服务</w:t>
      </w:r>
    </w:p>
    <w:p>
      <w:pPr>
        <w:pStyle w:val="Style37"/>
        <w:keepNext w:val="0"/>
        <w:keepLines w:val="0"/>
        <w:widowControl w:val="0"/>
        <w:shd w:val="clear" w:color="auto" w:fill="auto"/>
        <w:bidi w:val="0"/>
        <w:spacing w:before="0" w:after="0" w:line="36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MSP</w:t>
      </w:r>
      <w:r>
        <w:rPr>
          <w:color w:val="000000"/>
          <w:spacing w:val="0"/>
          <w:w w:val="100"/>
          <w:position w:val="0"/>
        </w:rPr>
        <w:t>）：</w:t>
      </w:r>
      <w:r>
        <w:rPr>
          <w:color w:val="000000"/>
          <w:spacing w:val="0"/>
          <w:w w:val="100"/>
          <w:position w:val="0"/>
        </w:rPr>
        <w:t>包括咨询、培训、迁移、实施、运维和支持、优化和安全等一系列全生命周期的服务；利用公司自主研发的云管 理平台，实时监控、控制风险和优化成本，帮助客户实现多云及混合云资源的一站式管理，云管理服务能力已经全面覆盖全 球五大公有云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Azure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Aliyun</w:t>
      </w:r>
      <w:r>
        <w:rPr>
          <w:color w:val="000000"/>
          <w:spacing w:val="0"/>
          <w:w w:val="100"/>
          <w:position w:val="0"/>
        </w:rPr>
        <w:t>、</w:t>
      </w:r>
      <w:r>
        <w:rPr>
          <w:color w:val="000000"/>
          <w:spacing w:val="0"/>
          <w:w w:val="100"/>
          <w:position w:val="0"/>
        </w:rPr>
        <w:t>谷歌云、腾讯云）与国内主流公有云厂商；</w:t>
      </w:r>
      <w:r>
        <w:rPr>
          <w:color w:val="000000"/>
          <w:spacing w:val="0"/>
          <w:w w:val="100"/>
          <w:position w:val="0"/>
          <w:sz w:val="18"/>
          <w:szCs w:val="18"/>
        </w:rPr>
        <w:t>（2）</w:t>
      </w:r>
      <w:r>
        <w:rPr>
          <w:color w:val="000000"/>
          <w:spacing w:val="0"/>
          <w:w w:val="100"/>
          <w:position w:val="0"/>
        </w:rPr>
        <w:t>数字化解决方案业务</w:t>
      </w:r>
      <w:r>
        <w:rPr>
          <w:color w:val="000000"/>
          <w:spacing w:val="0"/>
          <w:w w:val="100"/>
          <w:position w:val="0"/>
          <w:sz w:val="18"/>
          <w:szCs w:val="18"/>
        </w:rPr>
        <w:t>（ISV）：</w:t>
      </w:r>
      <w:r>
        <w:rPr>
          <w:color w:val="000000"/>
          <w:spacing w:val="0"/>
          <w:w w:val="100"/>
          <w:position w:val="0"/>
        </w:rPr>
        <w:t>立足 于客户上云、用云，为包括零售、快消、汽车等行业世界五百强企业在内的广大企业客户提供以物联网、大数据、人工智能 等技术为基础的数字化商业全套解决方案；</w:t>
      </w:r>
      <w:r>
        <w:rPr>
          <w:color w:val="000000"/>
          <w:spacing w:val="0"/>
          <w:w w:val="100"/>
          <w:position w:val="0"/>
          <w:sz w:val="18"/>
          <w:szCs w:val="18"/>
        </w:rPr>
        <w:t>（3）</w:t>
      </w:r>
      <w:r>
        <w:rPr>
          <w:color w:val="000000"/>
          <w:spacing w:val="0"/>
          <w:w w:val="100"/>
          <w:position w:val="0"/>
        </w:rPr>
        <w:t>联合运营解决方案</w:t>
      </w:r>
      <w:r>
        <w:rPr>
          <w:color w:val="000000"/>
          <w:spacing w:val="0"/>
          <w:w w:val="100"/>
          <w:position w:val="0"/>
          <w:sz w:val="18"/>
          <w:szCs w:val="18"/>
        </w:rPr>
        <w:t>（</w:t>
      </w:r>
      <w:r>
        <w:rPr>
          <w:color w:val="000000"/>
          <w:spacing w:val="0"/>
          <w:w w:val="100"/>
          <w:position w:val="0"/>
          <w:sz w:val="18"/>
          <w:szCs w:val="18"/>
        </w:rPr>
        <w:t>SaaS Hosting）：</w:t>
      </w:r>
      <w:r>
        <w:rPr>
          <w:color w:val="000000"/>
          <w:spacing w:val="0"/>
          <w:w w:val="100"/>
          <w:position w:val="0"/>
        </w:rPr>
        <w:t>引进全球优秀的</w:t>
      </w:r>
      <w:r>
        <w:rPr>
          <w:color w:val="000000"/>
          <w:spacing w:val="0"/>
          <w:w w:val="100"/>
          <w:position w:val="0"/>
          <w:sz w:val="18"/>
          <w:szCs w:val="18"/>
        </w:rPr>
        <w:t>SaaS</w:t>
      </w:r>
      <w:r>
        <w:rPr>
          <w:color w:val="000000"/>
          <w:spacing w:val="0"/>
          <w:w w:val="100"/>
          <w:position w:val="0"/>
        </w:rPr>
        <w:t>服务，落地中国 并提供本地运营服务，凭借云运营牌照、合规运营管理体系、最优基础资源配置、多平台技术支撑、以及庞大的营销服务体 系等全系列服务，为企业级客户提供国内最大的</w:t>
      </w:r>
      <w:r>
        <w:rPr>
          <w:color w:val="000000"/>
          <w:spacing w:val="0"/>
          <w:w w:val="100"/>
          <w:position w:val="0"/>
          <w:sz w:val="18"/>
          <w:szCs w:val="18"/>
        </w:rPr>
        <w:t>SaaS</w:t>
      </w:r>
      <w:r>
        <w:rPr>
          <w:color w:val="000000"/>
          <w:spacing w:val="0"/>
          <w:w w:val="100"/>
          <w:position w:val="0"/>
        </w:rPr>
        <w:t>产品资源池；</w:t>
      </w:r>
      <w:r>
        <w:rPr>
          <w:color w:val="000000"/>
          <w:spacing w:val="0"/>
          <w:w w:val="100"/>
          <w:position w:val="0"/>
          <w:sz w:val="18"/>
          <w:szCs w:val="18"/>
        </w:rPr>
        <w:t>（4）</w:t>
      </w:r>
      <w:r>
        <w:rPr>
          <w:color w:val="000000"/>
          <w:spacing w:val="0"/>
          <w:w w:val="100"/>
          <w:position w:val="0"/>
        </w:rPr>
        <w:t>专有云业务：针对金融、政府等行业和中大型企业 客户的复杂定制化和专属化特点，系统性整合自有及生态资源、技术与能力，向客户提供一揽子专有云服务，提供完整的基 础设施虚拟化和云管理、云运营服务，满足企业上云及数字化转型的整体需求；基于超算中心提供云化的高性能计算解决方 案，包括海量存储、海量计算能力等；</w:t>
      </w:r>
      <w:r>
        <w:rPr>
          <w:color w:val="000000"/>
          <w:spacing w:val="0"/>
          <w:w w:val="100"/>
          <w:position w:val="0"/>
          <w:sz w:val="18"/>
          <w:szCs w:val="18"/>
        </w:rPr>
        <w:t xml:space="preserve">（5） </w:t>
      </w:r>
      <w:r>
        <w:rPr>
          <w:color w:val="000000"/>
          <w:spacing w:val="0"/>
          <w:w w:val="100"/>
          <w:position w:val="0"/>
        </w:rPr>
        <w:t>一站式云资源对接业务：包括公有云资源、混合云平台、软件授权及</w:t>
      </w:r>
      <w:r>
        <w:rPr>
          <w:color w:val="000000"/>
          <w:spacing w:val="0"/>
          <w:w w:val="100"/>
          <w:position w:val="0"/>
          <w:sz w:val="18"/>
          <w:szCs w:val="18"/>
        </w:rPr>
        <w:t>SaaS</w:t>
      </w:r>
      <w:r>
        <w:rPr>
          <w:color w:val="000000"/>
          <w:spacing w:val="0"/>
          <w:w w:val="100"/>
          <w:position w:val="0"/>
        </w:rPr>
        <w:t>服务 等。</w:t>
      </w:r>
    </w:p>
    <w:p>
      <w:pPr>
        <w:pStyle w:val="Style37"/>
        <w:keepNext w:val="0"/>
        <w:keepLines w:val="0"/>
        <w:widowControl w:val="0"/>
        <w:shd w:val="clear" w:color="auto" w:fill="auto"/>
        <w:tabs>
          <w:tab w:pos="866" w:val="left"/>
        </w:tabs>
        <w:bidi w:val="0"/>
        <w:spacing w:before="0" w:after="0" w:line="360" w:lineRule="exact"/>
        <w:ind w:left="0" w:right="0"/>
        <w:jc w:val="both"/>
      </w:pPr>
      <w:bookmarkStart w:id="60" w:name="bookmark60"/>
      <w:r>
        <w:rPr>
          <w:b/>
          <w:bCs/>
          <w:color w:val="000000"/>
          <w:spacing w:val="0"/>
          <w:w w:val="100"/>
          <w:position w:val="0"/>
        </w:rPr>
        <w:t>（</w:t>
      </w:r>
      <w:bookmarkEnd w:id="60"/>
      <w:r>
        <w:rPr>
          <w:b/>
          <w:bCs/>
          <w:color w:val="000000"/>
          <w:spacing w:val="0"/>
          <w:w w:val="100"/>
          <w:position w:val="0"/>
        </w:rPr>
        <w:t>二）</w:t>
        <w:tab/>
        <w:t>信息技术应用创新业务</w:t>
      </w:r>
    </w:p>
    <w:p>
      <w:pPr>
        <w:pStyle w:val="Style37"/>
        <w:keepNext w:val="0"/>
        <w:keepLines w:val="0"/>
        <w:widowControl w:val="0"/>
        <w:shd w:val="clear" w:color="auto" w:fill="auto"/>
        <w:bidi w:val="0"/>
        <w:spacing w:before="0" w:line="355" w:lineRule="exact"/>
        <w:ind w:left="0" w:right="0"/>
        <w:jc w:val="both"/>
      </w:pPr>
      <w:r>
        <w:rPr>
          <w:color w:val="000000"/>
          <w:spacing w:val="0"/>
          <w:w w:val="100"/>
          <w:position w:val="0"/>
        </w:rPr>
        <w:t>公司多年来始终坚持自有信息技术应用创新（以下简称“信创”）品牌的研发投入和产品创新，在北京、深圳、上海、 武汉等地建立大型研发基地，拥有从设计到制造的产品闭环管理体系，打造出覆盖存储及应用管理、网络、数据库一体机领 域的自主品牌，形成包括服务器、网络、存储、一体机、大数据应用等</w:t>
      </w:r>
      <w:r>
        <w:rPr>
          <w:color w:val="000000"/>
          <w:spacing w:val="0"/>
          <w:w w:val="100"/>
          <w:position w:val="0"/>
          <w:sz w:val="18"/>
          <w:szCs w:val="18"/>
        </w:rPr>
        <w:t>22</w:t>
      </w:r>
      <w:r>
        <w:rPr>
          <w:color w:val="000000"/>
          <w:spacing w:val="0"/>
          <w:w w:val="100"/>
          <w:position w:val="0"/>
        </w:rPr>
        <w:t>个品类</w:t>
      </w:r>
      <w:r>
        <w:rPr>
          <w:color w:val="000000"/>
          <w:spacing w:val="0"/>
          <w:w w:val="100"/>
          <w:position w:val="0"/>
          <w:sz w:val="18"/>
          <w:szCs w:val="18"/>
        </w:rPr>
        <w:t>600</w:t>
      </w:r>
      <w:r>
        <w:rPr>
          <w:color w:val="000000"/>
          <w:spacing w:val="0"/>
          <w:w w:val="100"/>
          <w:position w:val="0"/>
        </w:rPr>
        <w:t xml:space="preserve">余种产品在内的自有品牌体系，完全 </w:t>
      </w:r>
      <w:r>
        <w:rPr>
          <w:color w:val="000000"/>
          <w:spacing w:val="0"/>
          <w:w w:val="100"/>
          <w:position w:val="0"/>
        </w:rPr>
        <w:t>满足国内各类用户数据中心基础需求的全线解决方案。另外，公司践行国家“新基建”和信创战略，率先参与鲲鹏产业生态 建设，报告期间，公司位于厦门基于鲲鹏处理器的自主品牌服务器和</w:t>
      </w:r>
      <w:r>
        <w:rPr>
          <w:color w:val="000000"/>
          <w:spacing w:val="0"/>
          <w:w w:val="100"/>
          <w:position w:val="0"/>
          <w:sz w:val="18"/>
          <w:szCs w:val="18"/>
        </w:rPr>
        <w:t>PC</w:t>
      </w:r>
      <w:r>
        <w:rPr>
          <w:color w:val="000000"/>
          <w:spacing w:val="0"/>
          <w:w w:val="100"/>
          <w:position w:val="0"/>
        </w:rPr>
        <w:t>等系列产品的生产基地正式落成投产，并实现行业 端的营销突破及产品交付；基于公司自主品牌服务器并由公司投资建设运营的超算中心，已向厦门政府、高校、科研院所及 地方企业提供高性能算力、存储等服务。与此同时，公司积极推动信创业务的全方位布局和国产算力产业的协同发展，加强 了与天津飞腾、成都申威、上海兆芯、澜起科技、景嘉微电子等国产厂商在半导体芯片推广及解决方案领域的深度战略合作。 公司以创新的应用产品和技术服务，打造自主、核心产品体系，配合融入行业解决方案的能力，持续推动产业生态发展，全 面携手合作伙伴，共同为各行各业提供基于信创架构的</w:t>
      </w:r>
      <w:r>
        <w:rPr>
          <w:color w:val="000000"/>
          <w:spacing w:val="0"/>
          <w:w w:val="100"/>
          <w:position w:val="0"/>
          <w:sz w:val="18"/>
          <w:szCs w:val="18"/>
        </w:rPr>
        <w:t>IT</w:t>
      </w:r>
      <w:r>
        <w:rPr>
          <w:color w:val="000000"/>
          <w:spacing w:val="0"/>
          <w:w w:val="100"/>
          <w:position w:val="0"/>
        </w:rPr>
        <w:t xml:space="preserve">基础设施及行业应用。公司深耕运营商行业，取得了重大突破， 已经相继中标了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年中国联通通用服务器集中采购项目”以及“中移动信息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年一级</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云资源池整机柜定制 化服务器采购项目”。此外，公司已与合肥市相关机构签署投资合作协议，将在合肥设立子公司建设信创总部基地，通过业 务和法人体的重组承接上市公司信创业务。合肥建投、合肥滨投、合肥滨湖金融以投后</w:t>
      </w:r>
      <w:r>
        <w:rPr>
          <w:color w:val="000000"/>
          <w:spacing w:val="0"/>
          <w:w w:val="100"/>
          <w:position w:val="0"/>
          <w:sz w:val="18"/>
          <w:szCs w:val="18"/>
        </w:rPr>
        <w:t>100</w:t>
      </w:r>
      <w:r>
        <w:rPr>
          <w:color w:val="000000"/>
          <w:spacing w:val="0"/>
          <w:w w:val="100"/>
          <w:position w:val="0"/>
        </w:rPr>
        <w:t>亿的估值，向信创总部投资</w:t>
      </w:r>
      <w:r>
        <w:rPr>
          <w:color w:val="000000"/>
          <w:spacing w:val="0"/>
          <w:w w:val="100"/>
          <w:position w:val="0"/>
          <w:sz w:val="18"/>
          <w:szCs w:val="18"/>
        </w:rPr>
        <w:t xml:space="preserve">20 </w:t>
      </w:r>
      <w:r>
        <w:rPr>
          <w:color w:val="000000"/>
          <w:spacing w:val="0"/>
          <w:w w:val="100"/>
          <w:position w:val="0"/>
        </w:rPr>
        <w:t>亿现金，持有公司信创总部基地</w:t>
      </w:r>
      <w:r>
        <w:rPr>
          <w:color w:val="000000"/>
          <w:spacing w:val="0"/>
          <w:w w:val="100"/>
          <w:position w:val="0"/>
          <w:sz w:val="18"/>
          <w:szCs w:val="18"/>
        </w:rPr>
        <w:t>20%</w:t>
      </w:r>
      <w:r>
        <w:rPr>
          <w:color w:val="000000"/>
          <w:spacing w:val="0"/>
          <w:w w:val="100"/>
          <w:position w:val="0"/>
        </w:rPr>
        <w:t>的股份，以共同建设信创总部基地。</w:t>
      </w:r>
    </w:p>
    <w:p>
      <w:pPr>
        <w:pStyle w:val="Style37"/>
        <w:keepNext w:val="0"/>
        <w:keepLines w:val="0"/>
        <w:widowControl w:val="0"/>
        <w:shd w:val="clear" w:color="auto" w:fill="auto"/>
        <w:bidi w:val="0"/>
        <w:spacing w:before="0" w:line="358" w:lineRule="exact"/>
        <w:ind w:left="0" w:right="0"/>
        <w:jc w:val="both"/>
      </w:pPr>
      <w:bookmarkStart w:id="61" w:name="bookmark61"/>
      <w:r>
        <w:rPr>
          <w:b/>
          <w:bCs/>
          <w:color w:val="000000"/>
          <w:spacing w:val="0"/>
          <w:w w:val="100"/>
          <w:position w:val="0"/>
        </w:rPr>
        <w:t>（</w:t>
      </w:r>
      <w:bookmarkEnd w:id="61"/>
      <w:r>
        <w:rPr>
          <w:b/>
          <w:bCs/>
          <w:color w:val="000000"/>
          <w:spacing w:val="0"/>
          <w:w w:val="100"/>
          <w:position w:val="0"/>
        </w:rPr>
        <w:t>三）</w:t>
      </w:r>
      <w:r>
        <w:rPr>
          <w:b/>
          <w:bCs/>
          <w:color w:val="000000"/>
          <w:spacing w:val="0"/>
          <w:w w:val="100"/>
          <w:position w:val="0"/>
        </w:rPr>
        <w:t>IT</w:t>
      </w:r>
      <w:r>
        <w:rPr>
          <w:b/>
          <w:bCs/>
          <w:color w:val="000000"/>
          <w:spacing w:val="0"/>
          <w:w w:val="100"/>
          <w:position w:val="0"/>
        </w:rPr>
        <w:t>分销和增值服务业务</w:t>
      </w:r>
    </w:p>
    <w:p>
      <w:pPr>
        <w:pStyle w:val="Style37"/>
        <w:keepNext w:val="0"/>
        <w:keepLines w:val="0"/>
        <w:widowControl w:val="0"/>
        <w:shd w:val="clear" w:color="auto" w:fill="auto"/>
        <w:bidi w:val="0"/>
        <w:spacing w:before="0" w:after="380" w:line="313" w:lineRule="exact"/>
        <w:ind w:left="0" w:right="0"/>
        <w:jc w:val="both"/>
      </w:pPr>
      <w:r>
        <w:rPr>
          <w:color w:val="000000"/>
          <w:spacing w:val="0"/>
          <w:w w:val="100"/>
          <w:position w:val="0"/>
        </w:rPr>
        <w:t>公司是中国最大的、涉及领域最广的</w:t>
      </w:r>
      <w:r>
        <w:rPr>
          <w:color w:val="000000"/>
          <w:spacing w:val="0"/>
          <w:w w:val="100"/>
          <w:position w:val="0"/>
          <w:sz w:val="18"/>
          <w:szCs w:val="18"/>
        </w:rPr>
        <w:t>IT</w:t>
      </w:r>
      <w:r>
        <w:rPr>
          <w:color w:val="000000"/>
          <w:spacing w:val="0"/>
          <w:w w:val="100"/>
          <w:position w:val="0"/>
        </w:rPr>
        <w:t>领域分销和增值服务商。经过二十多年的积累，公司建立了国内覆盖范围最广 （遍布国内</w:t>
      </w:r>
      <w:r>
        <w:rPr>
          <w:color w:val="000000"/>
          <w:spacing w:val="0"/>
          <w:w w:val="100"/>
          <w:position w:val="0"/>
          <w:sz w:val="18"/>
          <w:szCs w:val="18"/>
        </w:rPr>
        <w:t>1000</w:t>
      </w:r>
      <w:r>
        <w:rPr>
          <w:color w:val="000000"/>
          <w:spacing w:val="0"/>
          <w:w w:val="100"/>
          <w:position w:val="0"/>
        </w:rPr>
        <w:t>余座城市）、生态规模最大（涵盖</w:t>
      </w:r>
      <w:r>
        <w:rPr>
          <w:color w:val="000000"/>
          <w:spacing w:val="0"/>
          <w:w w:val="100"/>
          <w:position w:val="0"/>
          <w:sz w:val="18"/>
          <w:szCs w:val="18"/>
        </w:rPr>
        <w:t>30000</w:t>
      </w:r>
      <w:r>
        <w:rPr>
          <w:color w:val="000000"/>
          <w:spacing w:val="0"/>
          <w:w w:val="100"/>
          <w:position w:val="0"/>
        </w:rPr>
        <w:t>余家渠道合作伙伴）、运营效率最高（存货周转率和资金成本等运 营效率指标均显著高于行业平均水平）的</w:t>
      </w:r>
      <w:r>
        <w:rPr>
          <w:color w:val="000000"/>
          <w:spacing w:val="0"/>
          <w:w w:val="100"/>
          <w:position w:val="0"/>
          <w:sz w:val="18"/>
          <w:szCs w:val="18"/>
        </w:rPr>
        <w:t>To B</w:t>
      </w:r>
      <w:r>
        <w:rPr>
          <w:color w:val="000000"/>
          <w:spacing w:val="0"/>
          <w:w w:val="100"/>
          <w:position w:val="0"/>
        </w:rPr>
        <w:t>营销渠道网络。该渠道网络长期服务并深度绑定国内海量企业级客户，资源 价值巨大、经营壁垒极高，是国内外科技类厂商进入中国企业级</w:t>
      </w:r>
      <w:r>
        <w:rPr>
          <w:color w:val="000000"/>
          <w:spacing w:val="0"/>
          <w:w w:val="100"/>
          <w:position w:val="0"/>
          <w:sz w:val="18"/>
          <w:szCs w:val="18"/>
        </w:rPr>
        <w:t>IT</w:t>
      </w:r>
      <w:r>
        <w:rPr>
          <w:color w:val="000000"/>
          <w:spacing w:val="0"/>
          <w:w w:val="100"/>
          <w:position w:val="0"/>
        </w:rPr>
        <w:t xml:space="preserve">市场的首选合作伙伴。公司经营涵盖的产品包括移动办 公设备、计算机配件、智能硬件、物联网设备、笔记本电脑、显示设备、服务器、存储设备、网络设备应用软件等上万种 </w:t>
      </w:r>
      <w:r>
        <w:rPr>
          <w:color w:val="000000"/>
          <w:spacing w:val="0"/>
          <w:w w:val="100"/>
          <w:position w:val="0"/>
          <w:sz w:val="18"/>
          <w:szCs w:val="18"/>
        </w:rPr>
        <w:t>IT</w:t>
      </w:r>
      <w:r>
        <w:rPr>
          <w:color w:val="000000"/>
          <w:spacing w:val="0"/>
          <w:w w:val="100"/>
          <w:position w:val="0"/>
        </w:rPr>
        <w:t>产品，连续十几年蝉联</w:t>
      </w:r>
      <w:r>
        <w:rPr>
          <w:color w:val="000000"/>
          <w:spacing w:val="0"/>
          <w:w w:val="100"/>
          <w:position w:val="0"/>
          <w:sz w:val="18"/>
          <w:szCs w:val="18"/>
        </w:rPr>
        <w:t>IT</w:t>
      </w:r>
      <w:r>
        <w:rPr>
          <w:color w:val="000000"/>
          <w:spacing w:val="0"/>
          <w:w w:val="100"/>
          <w:position w:val="0"/>
        </w:rPr>
        <w:t>分销领域国内市场第一。在为广大企业级客户及消费者提供丰富电子产品的同时，公司已累计 向超过</w:t>
      </w:r>
      <w:r>
        <w:rPr>
          <w:color w:val="000000"/>
          <w:spacing w:val="0"/>
          <w:w w:val="100"/>
          <w:position w:val="0"/>
          <w:sz w:val="18"/>
          <w:szCs w:val="18"/>
        </w:rPr>
        <w:t>100</w:t>
      </w:r>
      <w:r>
        <w:rPr>
          <w:color w:val="000000"/>
          <w:spacing w:val="0"/>
          <w:w w:val="100"/>
          <w:position w:val="0"/>
        </w:rPr>
        <w:t>万家中国企业提供数字化转型所需要的产品、解决方案和服务。面对以云计算为重要标志的数字化转型大潮以及 构建鲲鹏生态带来的市场新机遇，公司强大的</w:t>
      </w:r>
      <w:r>
        <w:rPr>
          <w:color w:val="000000"/>
          <w:spacing w:val="0"/>
          <w:w w:val="100"/>
          <w:position w:val="0"/>
          <w:sz w:val="18"/>
          <w:szCs w:val="18"/>
        </w:rPr>
        <w:t>To B</w:t>
      </w:r>
      <w:r>
        <w:rPr>
          <w:color w:val="000000"/>
          <w:spacing w:val="0"/>
          <w:w w:val="100"/>
          <w:position w:val="0"/>
        </w:rPr>
        <w:t>营销渠道网络和企业级客户覆盖能力展现出巨大的价值。</w:t>
      </w:r>
    </w:p>
    <w:p>
      <w:pPr>
        <w:pStyle w:val="Style32"/>
        <w:keepNext/>
        <w:keepLines/>
        <w:widowControl w:val="0"/>
        <w:shd w:val="clear" w:color="auto" w:fill="auto"/>
        <w:bidi w:val="0"/>
        <w:spacing w:before="0" w:after="38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、主要资产重大变化情况</w:t>
      </w:r>
      <w:bookmarkEnd w:id="62"/>
      <w:bookmarkEnd w:id="63"/>
      <w:bookmarkEnd w:id="65"/>
    </w:p>
    <w:p>
      <w:pPr>
        <w:pStyle w:val="Style40"/>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1</w:t>
      </w:r>
      <w:bookmarkEnd w:id="68"/>
      <w:r>
        <w:rPr>
          <w:color w:val="000000"/>
          <w:spacing w:val="0"/>
          <w:w w:val="100"/>
          <w:position w:val="0"/>
        </w:rPr>
        <w:t>、主要资产重大变化情况</w:t>
      </w:r>
      <w:bookmarkEnd w:id="66"/>
      <w:bookmarkEnd w:id="67"/>
      <w:bookmarkEnd w:id="69"/>
    </w:p>
    <w:tbl>
      <w:tblPr>
        <w:tblOverlap w:val="never"/>
        <w:jc w:val="center"/>
        <w:tblLayout w:type="fixed"/>
      </w:tblPr>
      <w:tblGrid>
        <w:gridCol w:w="2558"/>
        <w:gridCol w:w="7022"/>
      </w:tblGrid>
      <w:tr>
        <w:trPr>
          <w:trHeight w:val="76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固定资产与上年末相比增加</w:t>
            </w:r>
            <w:r>
              <w:rPr>
                <w:rFonts w:ascii="Times New Roman" w:eastAsia="Times New Roman" w:hAnsi="Times New Roman" w:cs="Times New Roman"/>
                <w:color w:val="000000"/>
                <w:spacing w:val="0"/>
                <w:w w:val="100"/>
                <w:position w:val="0"/>
                <w:sz w:val="18"/>
                <w:szCs w:val="18"/>
              </w:rPr>
              <w:t>30.78%</w:t>
            </w:r>
            <w:r>
              <w:rPr>
                <w:color w:val="000000"/>
                <w:spacing w:val="0"/>
                <w:w w:val="100"/>
                <w:position w:val="0"/>
              </w:rPr>
              <w:t>，主要原因是本报告期加大生产设备及研发设备投入；</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在建工程与上年度末相比增加</w:t>
            </w:r>
            <w:r>
              <w:rPr>
                <w:rFonts w:ascii="Times New Roman" w:eastAsia="Times New Roman" w:hAnsi="Times New Roman" w:cs="Times New Roman"/>
                <w:color w:val="000000"/>
                <w:spacing w:val="0"/>
                <w:w w:val="100"/>
                <w:position w:val="0"/>
                <w:sz w:val="18"/>
                <w:szCs w:val="18"/>
              </w:rPr>
              <w:t>70.47%</w:t>
            </w:r>
            <w:r>
              <w:rPr>
                <w:color w:val="000000"/>
                <w:spacing w:val="0"/>
                <w:w w:val="100"/>
                <w:position w:val="0"/>
              </w:rPr>
              <w:t>，主要原因是本报告期深圳土地项目工程投入增加；</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2</w:t>
      </w:r>
      <w:bookmarkEnd w:id="72"/>
      <w:r>
        <w:rPr>
          <w:color w:val="000000"/>
          <w:spacing w:val="0"/>
          <w:w w:val="100"/>
          <w:position w:val="0"/>
        </w:rPr>
        <w:t>、主要境外资产情况</w:t>
      </w:r>
      <w:bookmarkEnd w:id="70"/>
      <w:bookmarkEnd w:id="71"/>
      <w:bookmarkEnd w:id="73"/>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、核心竞争力分析</w:t>
      </w:r>
      <w:bookmarkEnd w:id="74"/>
      <w:bookmarkEnd w:id="75"/>
      <w:bookmarkEnd w:id="77"/>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after="160" w:line="240" w:lineRule="auto"/>
        <w:ind w:left="0" w:right="0"/>
        <w:jc w:val="both"/>
      </w:pPr>
      <w:r>
        <w:rPr>
          <w:color w:val="000000"/>
          <w:spacing w:val="0"/>
          <w:w w:val="100"/>
          <w:position w:val="0"/>
        </w:rPr>
        <w:t>成立至今，公司始终践行数字中国使命。近年来在国内数字化转型不断推进的大背景下，在云计算和数字化转型领域也</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迅速建立和积累了显著的竞争优势，具体如下：</w:t>
      </w:r>
    </w:p>
    <w:p>
      <w:pPr>
        <w:pStyle w:val="Style37"/>
        <w:keepNext w:val="0"/>
        <w:keepLines w:val="0"/>
        <w:widowControl w:val="0"/>
        <w:shd w:val="clear" w:color="auto" w:fill="auto"/>
        <w:bidi w:val="0"/>
        <w:spacing w:before="0" w:after="320" w:line="240" w:lineRule="auto"/>
        <w:ind w:left="0" w:right="0"/>
        <w:jc w:val="left"/>
      </w:pPr>
      <w:bookmarkStart w:id="78" w:name="bookmark78"/>
      <w:r>
        <w:rPr>
          <w:color w:val="000000"/>
          <w:spacing w:val="0"/>
          <w:w w:val="100"/>
          <w:position w:val="0"/>
          <w:sz w:val="18"/>
          <w:szCs w:val="18"/>
        </w:rPr>
        <w:t>1</w:t>
      </w:r>
      <w:bookmarkEnd w:id="78"/>
      <w:r>
        <w:rPr>
          <w:color w:val="000000"/>
          <w:spacing w:val="0"/>
          <w:w w:val="100"/>
          <w:position w:val="0"/>
        </w:rPr>
        <w:t>、国内领先的云计算产业相关服务技术优势</w:t>
      </w:r>
    </w:p>
    <w:p>
      <w:pPr>
        <w:pStyle w:val="Style37"/>
        <w:keepNext w:val="0"/>
        <w:keepLines w:val="0"/>
        <w:widowControl w:val="0"/>
        <w:shd w:val="clear" w:color="auto" w:fill="auto"/>
        <w:bidi w:val="0"/>
        <w:spacing w:before="0" w:after="0" w:line="359" w:lineRule="exact"/>
        <w:ind w:left="0" w:right="0"/>
        <w:jc w:val="both"/>
      </w:pPr>
      <w:r>
        <w:rPr>
          <w:color w:val="000000"/>
          <w:spacing w:val="0"/>
          <w:w w:val="100"/>
          <w:position w:val="0"/>
        </w:rPr>
        <w:t>公司云计算团队技术实力雄厚，全集团已获得微软、</w:t>
      </w:r>
      <w:r>
        <w:rPr>
          <w:color w:val="000000"/>
          <w:spacing w:val="0"/>
          <w:w w:val="100"/>
          <w:position w:val="0"/>
          <w:sz w:val="18"/>
          <w:szCs w:val="18"/>
        </w:rPr>
        <w:t>AWS</w:t>
      </w:r>
      <w:r>
        <w:rPr>
          <w:color w:val="000000"/>
          <w:spacing w:val="0"/>
          <w:w w:val="100"/>
          <w:position w:val="0"/>
        </w:rPr>
        <w:t>、</w:t>
      </w:r>
      <w:r>
        <w:rPr>
          <w:color w:val="000000"/>
          <w:spacing w:val="0"/>
          <w:w w:val="100"/>
          <w:position w:val="0"/>
        </w:rPr>
        <w:t>阿里云、</w:t>
      </w:r>
      <w:r>
        <w:rPr>
          <w:color w:val="000000"/>
          <w:spacing w:val="0"/>
          <w:w w:val="100"/>
          <w:position w:val="0"/>
          <w:sz w:val="18"/>
          <w:szCs w:val="18"/>
        </w:rPr>
        <w:t>Red Hat</w:t>
      </w:r>
      <w:r>
        <w:rPr>
          <w:color w:val="000000"/>
          <w:spacing w:val="0"/>
          <w:w w:val="100"/>
          <w:position w:val="0"/>
        </w:rPr>
        <w:t>、</w:t>
      </w:r>
      <w:r>
        <w:rPr>
          <w:color w:val="000000"/>
          <w:spacing w:val="0"/>
          <w:w w:val="100"/>
          <w:position w:val="0"/>
          <w:sz w:val="18"/>
          <w:szCs w:val="18"/>
        </w:rPr>
        <w:t>Oracle</w:t>
      </w:r>
      <w:r>
        <w:rPr>
          <w:color w:val="000000"/>
          <w:spacing w:val="0"/>
          <w:w w:val="100"/>
          <w:position w:val="0"/>
        </w:rPr>
        <w:t>、</w:t>
      </w:r>
      <w:r>
        <w:rPr>
          <w:color w:val="000000"/>
          <w:spacing w:val="0"/>
          <w:w w:val="100"/>
          <w:position w:val="0"/>
        </w:rPr>
        <w:t>华为等国内外顶级云相关专业化 认证的人员超过</w:t>
      </w:r>
      <w:r>
        <w:rPr>
          <w:color w:val="000000"/>
          <w:spacing w:val="0"/>
          <w:w w:val="100"/>
          <w:position w:val="0"/>
          <w:sz w:val="18"/>
          <w:szCs w:val="18"/>
        </w:rPr>
        <w:t>500</w:t>
      </w:r>
      <w:r>
        <w:rPr>
          <w:color w:val="000000"/>
          <w:spacing w:val="0"/>
          <w:w w:val="100"/>
          <w:position w:val="0"/>
        </w:rPr>
        <w:t>人次。公司在云计算方面的技术优势主要包括：国内少数能够在多云环境下实现</w:t>
      </w:r>
      <w:r>
        <w:rPr>
          <w:color w:val="000000"/>
          <w:spacing w:val="0"/>
          <w:w w:val="100"/>
          <w:position w:val="0"/>
          <w:sz w:val="18"/>
          <w:szCs w:val="18"/>
        </w:rPr>
        <w:t>MSP</w:t>
      </w:r>
      <w:r>
        <w:rPr>
          <w:color w:val="000000"/>
          <w:spacing w:val="0"/>
          <w:w w:val="100"/>
          <w:position w:val="0"/>
        </w:rPr>
        <w:t>服务的企业、国内极 少数能够实现对云平台原生</w:t>
      </w:r>
      <w:r>
        <w:rPr>
          <w:color w:val="000000"/>
          <w:spacing w:val="0"/>
          <w:w w:val="100"/>
          <w:position w:val="0"/>
          <w:sz w:val="18"/>
          <w:szCs w:val="18"/>
        </w:rPr>
        <w:t>PaaS</w:t>
      </w:r>
      <w:r>
        <w:rPr>
          <w:color w:val="000000"/>
          <w:spacing w:val="0"/>
          <w:w w:val="100"/>
          <w:position w:val="0"/>
        </w:rPr>
        <w:t>监控的企业、国内极少数能够帮助客户在多云环境下实现数字化应用开发的企业。公司对</w:t>
      </w:r>
      <w:r>
        <w:rPr>
          <w:color w:val="000000"/>
          <w:spacing w:val="0"/>
          <w:w w:val="100"/>
          <w:position w:val="0"/>
          <w:sz w:val="18"/>
          <w:szCs w:val="18"/>
        </w:rPr>
        <w:t xml:space="preserve">3A </w:t>
      </w:r>
      <w:r>
        <w:rPr>
          <w:color w:val="000000"/>
          <w:spacing w:val="0"/>
          <w:w w:val="100"/>
          <w:position w:val="0"/>
        </w:rPr>
        <w:t>等主流云厂商的</w:t>
      </w:r>
      <w:r>
        <w:rPr>
          <w:color w:val="000000"/>
          <w:spacing w:val="0"/>
          <w:w w:val="100"/>
          <w:position w:val="0"/>
          <w:sz w:val="18"/>
          <w:szCs w:val="18"/>
        </w:rPr>
        <w:t>IaaS+PaaS</w:t>
      </w:r>
      <w:r>
        <w:rPr>
          <w:color w:val="000000"/>
          <w:spacing w:val="0"/>
          <w:w w:val="100"/>
          <w:position w:val="0"/>
        </w:rPr>
        <w:t>架构和技术非常熟悉，拥有基于</w:t>
      </w:r>
      <w:r>
        <w:rPr>
          <w:color w:val="000000"/>
          <w:spacing w:val="0"/>
          <w:w w:val="100"/>
          <w:position w:val="0"/>
          <w:sz w:val="18"/>
          <w:szCs w:val="18"/>
        </w:rPr>
        <w:t>3A</w:t>
      </w:r>
      <w:r>
        <w:rPr>
          <w:color w:val="000000"/>
          <w:spacing w:val="0"/>
          <w:w w:val="100"/>
          <w:position w:val="0"/>
        </w:rPr>
        <w:t>平台、开源平台以及混合云架构的技术服务能力；具备从设计， 到实施，到开发的全生命周期云专业服务</w:t>
      </w:r>
      <w:r>
        <w:rPr>
          <w:color w:val="000000"/>
          <w:spacing w:val="0"/>
          <w:w w:val="100"/>
          <w:position w:val="0"/>
          <w:sz w:val="18"/>
          <w:szCs w:val="18"/>
        </w:rPr>
        <w:t>（</w:t>
      </w:r>
      <w:r>
        <w:rPr>
          <w:color w:val="000000"/>
          <w:spacing w:val="0"/>
          <w:w w:val="100"/>
          <w:position w:val="0"/>
          <w:sz w:val="18"/>
          <w:szCs w:val="18"/>
        </w:rPr>
        <w:t>CPS）</w:t>
      </w:r>
      <w:r>
        <w:rPr>
          <w:color w:val="000000"/>
          <w:spacing w:val="0"/>
          <w:w w:val="100"/>
          <w:position w:val="0"/>
        </w:rPr>
        <w:t>能力；利用自主研发、国内领先的云管理平台，为客户提供自动化的开发 运维服务；具备为</w:t>
      </w:r>
      <w:r>
        <w:rPr>
          <w:color w:val="000000"/>
          <w:spacing w:val="0"/>
          <w:w w:val="100"/>
          <w:position w:val="0"/>
          <w:sz w:val="18"/>
          <w:szCs w:val="18"/>
        </w:rPr>
        <w:t>SAP</w:t>
      </w:r>
      <w:r>
        <w:rPr>
          <w:color w:val="000000"/>
          <w:spacing w:val="0"/>
          <w:w w:val="100"/>
          <w:position w:val="0"/>
        </w:rPr>
        <w:t>、</w:t>
      </w:r>
      <w:r>
        <w:rPr>
          <w:color w:val="000000"/>
          <w:spacing w:val="0"/>
          <w:w w:val="100"/>
          <w:position w:val="0"/>
          <w:sz w:val="18"/>
          <w:szCs w:val="18"/>
        </w:rPr>
        <w:t>Salesforce</w:t>
      </w:r>
      <w:r>
        <w:rPr>
          <w:color w:val="000000"/>
          <w:spacing w:val="0"/>
          <w:w w:val="100"/>
          <w:position w:val="0"/>
        </w:rPr>
        <w:t>等国内外巨头</w:t>
      </w:r>
      <w:r>
        <w:rPr>
          <w:color w:val="000000"/>
          <w:spacing w:val="0"/>
          <w:w w:val="100"/>
          <w:position w:val="0"/>
          <w:sz w:val="18"/>
          <w:szCs w:val="18"/>
        </w:rPr>
        <w:t>SaaS</w:t>
      </w:r>
      <w:r>
        <w:rPr>
          <w:color w:val="000000"/>
          <w:spacing w:val="0"/>
          <w:w w:val="100"/>
          <w:position w:val="0"/>
        </w:rPr>
        <w:t>厂商提供交付和实施服务的能力。</w:t>
      </w:r>
    </w:p>
    <w:p>
      <w:pPr>
        <w:pStyle w:val="Style37"/>
        <w:keepNext w:val="0"/>
        <w:keepLines w:val="0"/>
        <w:widowControl w:val="0"/>
        <w:shd w:val="clear" w:color="auto" w:fill="auto"/>
        <w:tabs>
          <w:tab w:pos="664" w:val="left"/>
        </w:tabs>
        <w:bidi w:val="0"/>
        <w:spacing w:before="0" w:after="0" w:line="360" w:lineRule="exact"/>
        <w:ind w:left="0" w:right="0"/>
        <w:jc w:val="both"/>
      </w:pPr>
      <w:bookmarkStart w:id="79" w:name="bookmark79"/>
      <w:r>
        <w:rPr>
          <w:color w:val="000000"/>
          <w:spacing w:val="0"/>
          <w:w w:val="100"/>
          <w:position w:val="0"/>
          <w:sz w:val="18"/>
          <w:szCs w:val="18"/>
        </w:rPr>
        <w:t>2</w:t>
      </w:r>
      <w:bookmarkEnd w:id="79"/>
      <w:r>
        <w:rPr>
          <w:color w:val="000000"/>
          <w:spacing w:val="0"/>
          <w:w w:val="100"/>
          <w:position w:val="0"/>
        </w:rPr>
        <w:t>、</w:t>
        <w:tab/>
        <w:t>产业级云计算服务业务成功案例的成熟经验优势</w:t>
      </w:r>
    </w:p>
    <w:p>
      <w:pPr>
        <w:pStyle w:val="Style37"/>
        <w:keepNext w:val="0"/>
        <w:keepLines w:val="0"/>
        <w:widowControl w:val="0"/>
        <w:shd w:val="clear" w:color="auto" w:fill="auto"/>
        <w:bidi w:val="0"/>
        <w:spacing w:before="0" w:after="0" w:line="360" w:lineRule="exact"/>
        <w:ind w:left="0" w:right="0"/>
        <w:jc w:val="both"/>
      </w:pPr>
      <w:r>
        <w:rPr>
          <w:color w:val="000000"/>
          <w:spacing w:val="0"/>
          <w:w w:val="100"/>
          <w:position w:val="0"/>
        </w:rPr>
        <w:t>在顶尖行业客户的信任同自身技术实力的见证下，公司积累了大量成功的行业云服务成熟运营经验，以及世界五百强客 户为代表的标杆性成功案例方案。公司累计服务超过</w:t>
      </w:r>
      <w:r>
        <w:rPr>
          <w:color w:val="000000"/>
          <w:spacing w:val="0"/>
          <w:w w:val="100"/>
          <w:position w:val="0"/>
          <w:sz w:val="18"/>
          <w:szCs w:val="18"/>
        </w:rPr>
        <w:t>100</w:t>
      </w:r>
      <w:r>
        <w:rPr>
          <w:color w:val="000000"/>
          <w:spacing w:val="0"/>
          <w:w w:val="100"/>
          <w:position w:val="0"/>
        </w:rPr>
        <w:t xml:space="preserve">家中大型企业（不包含纯转售业务客户），其中世界五百强客户超过 </w:t>
      </w:r>
      <w:r>
        <w:rPr>
          <w:color w:val="000000"/>
          <w:spacing w:val="0"/>
          <w:w w:val="100"/>
          <w:position w:val="0"/>
          <w:sz w:val="18"/>
          <w:szCs w:val="18"/>
        </w:rPr>
        <w:t>30</w:t>
      </w:r>
      <w:r>
        <w:rPr>
          <w:color w:val="000000"/>
          <w:spacing w:val="0"/>
          <w:w w:val="100"/>
          <w:position w:val="0"/>
        </w:rPr>
        <w:t>家，重点客户云计算业务年收入超过</w:t>
      </w:r>
      <w:r>
        <w:rPr>
          <w:color w:val="000000"/>
          <w:spacing w:val="0"/>
          <w:w w:val="100"/>
          <w:position w:val="0"/>
          <w:sz w:val="18"/>
          <w:szCs w:val="18"/>
        </w:rPr>
        <w:t>1000</w:t>
      </w:r>
      <w:r>
        <w:rPr>
          <w:color w:val="000000"/>
          <w:spacing w:val="0"/>
          <w:w w:val="100"/>
          <w:position w:val="0"/>
        </w:rPr>
        <w:t>万元且依然保持高速增长，实现了单体客户云运维服务收入过亿元的重大突破， 全方位、多角度、全生命周期地协助客户基于云计算进行数字化转型。此外，通过长期服务行业顶级客户，公司积累了包括 大数据、物联网、人工智能、混合现实、智能制造、视频云、云桌面、行业专有云等</w:t>
      </w:r>
      <w:r>
        <w:rPr>
          <w:color w:val="000000"/>
          <w:spacing w:val="0"/>
          <w:w w:val="100"/>
          <w:position w:val="0"/>
          <w:sz w:val="18"/>
          <w:szCs w:val="18"/>
        </w:rPr>
        <w:t>17</w:t>
      </w:r>
      <w:r>
        <w:rPr>
          <w:color w:val="000000"/>
          <w:spacing w:val="0"/>
          <w:w w:val="100"/>
          <w:position w:val="0"/>
        </w:rPr>
        <w:t>类自主产权的公有云解决方案并实现 了重点行业解决方案产品化。</w:t>
      </w:r>
    </w:p>
    <w:p>
      <w:pPr>
        <w:pStyle w:val="Style37"/>
        <w:keepNext w:val="0"/>
        <w:keepLines w:val="0"/>
        <w:widowControl w:val="0"/>
        <w:shd w:val="clear" w:color="auto" w:fill="auto"/>
        <w:tabs>
          <w:tab w:pos="664" w:val="left"/>
        </w:tabs>
        <w:bidi w:val="0"/>
        <w:spacing w:before="0" w:after="0" w:line="360" w:lineRule="exact"/>
        <w:ind w:left="0" w:right="0"/>
        <w:jc w:val="both"/>
      </w:pPr>
      <w:bookmarkStart w:id="80" w:name="bookmark80"/>
      <w:r>
        <w:rPr>
          <w:color w:val="000000"/>
          <w:spacing w:val="0"/>
          <w:w w:val="100"/>
          <w:position w:val="0"/>
          <w:sz w:val="18"/>
          <w:szCs w:val="18"/>
        </w:rPr>
        <w:t>3</w:t>
      </w:r>
      <w:bookmarkEnd w:id="80"/>
      <w:r>
        <w:rPr>
          <w:color w:val="000000"/>
          <w:spacing w:val="0"/>
          <w:w w:val="100"/>
          <w:position w:val="0"/>
        </w:rPr>
        <w:t>、</w:t>
        <w:tab/>
        <w:t>国内最大的</w:t>
      </w:r>
      <w:r>
        <w:rPr>
          <w:color w:val="000000"/>
          <w:spacing w:val="0"/>
          <w:w w:val="100"/>
          <w:position w:val="0"/>
          <w:sz w:val="18"/>
          <w:szCs w:val="18"/>
        </w:rPr>
        <w:t>To B</w:t>
      </w:r>
      <w:r>
        <w:rPr>
          <w:color w:val="000000"/>
          <w:spacing w:val="0"/>
          <w:w w:val="100"/>
          <w:position w:val="0"/>
        </w:rPr>
        <w:t>销售网络渠道优势</w:t>
      </w:r>
    </w:p>
    <w:p>
      <w:pPr>
        <w:pStyle w:val="Style37"/>
        <w:keepNext w:val="0"/>
        <w:keepLines w:val="0"/>
        <w:widowControl w:val="0"/>
        <w:shd w:val="clear" w:color="auto" w:fill="auto"/>
        <w:bidi w:val="0"/>
        <w:spacing w:before="0" w:after="0" w:line="361" w:lineRule="exact"/>
        <w:ind w:left="0" w:right="0"/>
        <w:jc w:val="both"/>
      </w:pPr>
      <w:r>
        <w:rPr>
          <w:color w:val="000000"/>
          <w:spacing w:val="0"/>
          <w:w w:val="100"/>
          <w:position w:val="0"/>
        </w:rPr>
        <w:t>通过二十年积累而形成的</w:t>
      </w:r>
      <w:r>
        <w:rPr>
          <w:color w:val="000000"/>
          <w:spacing w:val="0"/>
          <w:w w:val="100"/>
          <w:position w:val="0"/>
          <w:sz w:val="18"/>
          <w:szCs w:val="18"/>
        </w:rPr>
        <w:t>To B</w:t>
      </w:r>
      <w:r>
        <w:rPr>
          <w:color w:val="000000"/>
          <w:spacing w:val="0"/>
          <w:w w:val="100"/>
          <w:position w:val="0"/>
        </w:rPr>
        <w:t>渠道网络，是公司最重要的战略资源。通过专注于国内企业级</w:t>
      </w:r>
      <w:r>
        <w:rPr>
          <w:color w:val="000000"/>
          <w:spacing w:val="0"/>
          <w:w w:val="100"/>
          <w:position w:val="0"/>
          <w:sz w:val="18"/>
          <w:szCs w:val="18"/>
        </w:rPr>
        <w:t>IT</w:t>
      </w:r>
      <w:r>
        <w:rPr>
          <w:color w:val="000000"/>
          <w:spacing w:val="0"/>
          <w:w w:val="100"/>
          <w:position w:val="0"/>
        </w:rPr>
        <w:t>市场的不懈耕耘，公司构 建了遍布国内</w:t>
      </w:r>
      <w:r>
        <w:rPr>
          <w:color w:val="000000"/>
          <w:spacing w:val="0"/>
          <w:w w:val="100"/>
          <w:position w:val="0"/>
          <w:sz w:val="18"/>
          <w:szCs w:val="18"/>
        </w:rPr>
        <w:t>1000</w:t>
      </w:r>
      <w:r>
        <w:rPr>
          <w:color w:val="000000"/>
          <w:spacing w:val="0"/>
          <w:w w:val="100"/>
          <w:position w:val="0"/>
        </w:rPr>
        <w:t>余座城市、覆盖各大垂直行业、整合</w:t>
      </w:r>
      <w:r>
        <w:rPr>
          <w:color w:val="000000"/>
          <w:spacing w:val="0"/>
          <w:w w:val="100"/>
          <w:position w:val="0"/>
          <w:sz w:val="18"/>
          <w:szCs w:val="18"/>
        </w:rPr>
        <w:t>30000</w:t>
      </w:r>
      <w:r>
        <w:rPr>
          <w:color w:val="000000"/>
          <w:spacing w:val="0"/>
          <w:w w:val="100"/>
          <w:position w:val="0"/>
        </w:rPr>
        <w:t>余家销售渠道的全国最大</w:t>
      </w:r>
      <w:r>
        <w:rPr>
          <w:color w:val="000000"/>
          <w:spacing w:val="0"/>
          <w:w w:val="100"/>
          <w:position w:val="0"/>
          <w:sz w:val="18"/>
          <w:szCs w:val="18"/>
        </w:rPr>
        <w:t>To B</w:t>
      </w:r>
      <w:r>
        <w:rPr>
          <w:color w:val="000000"/>
          <w:spacing w:val="0"/>
          <w:w w:val="100"/>
          <w:position w:val="0"/>
        </w:rPr>
        <w:t>销售渠道网络，同国内外各大厂 商客户以及各类合作伙伴建立起了牢固的企业级</w:t>
      </w:r>
      <w:r>
        <w:rPr>
          <w:color w:val="000000"/>
          <w:spacing w:val="0"/>
          <w:w w:val="100"/>
          <w:position w:val="0"/>
          <w:sz w:val="18"/>
          <w:szCs w:val="18"/>
        </w:rPr>
        <w:t>IT</w:t>
      </w:r>
      <w:r>
        <w:rPr>
          <w:color w:val="000000"/>
          <w:spacing w:val="0"/>
          <w:w w:val="100"/>
          <w:position w:val="0"/>
        </w:rPr>
        <w:t>市场产业链和生态圈。这一渠道网络是公司长期深耕细作、日积月累的成 果结晶，资源价值极大、竞争壁垒极高。基于多年渠道服务经验，公司对于企业客户的行业特性和应用场景有着深度理解， 能够持续高效触达客户并快速响应客户需求，对客户特别是大</w:t>
      </w:r>
      <w:r>
        <w:rPr>
          <w:color w:val="000000"/>
          <w:spacing w:val="0"/>
          <w:w w:val="100"/>
          <w:position w:val="0"/>
          <w:sz w:val="18"/>
          <w:szCs w:val="18"/>
        </w:rPr>
        <w:t>B</w:t>
      </w:r>
      <w:r>
        <w:rPr>
          <w:color w:val="000000"/>
          <w:spacing w:val="0"/>
          <w:w w:val="100"/>
          <w:position w:val="0"/>
        </w:rPr>
        <w:t>企业级客户形成了超高粘性，成为扩展市场的可靠保障。通 过这一销售渠道网络，公司能够将全面涵盖企业信息化和数字化需求的产品、解决方案及服务精准高效地传递给企业客户， 并根据客户需求和行业属性进行快速映射并落地实施。未来，随着数字化转型大潮和鲲鹏生态带来市场新机遇的爆发，这一 覆盖全地域、全行业、全产品、全周期的销售渠道网络必将成为公司在云计算、大数据、数字化转型以及鲲鹏生态等</w:t>
      </w:r>
      <w:r>
        <w:rPr>
          <w:color w:val="000000"/>
          <w:spacing w:val="0"/>
          <w:w w:val="100"/>
          <w:position w:val="0"/>
          <w:sz w:val="18"/>
          <w:szCs w:val="18"/>
        </w:rPr>
        <w:t xml:space="preserve">To B </w:t>
      </w:r>
      <w:r>
        <w:rPr>
          <w:color w:val="000000"/>
          <w:spacing w:val="0"/>
          <w:w w:val="100"/>
          <w:position w:val="0"/>
        </w:rPr>
        <w:t>企业级业务市场实现爆发式增长的坚实基础和有力保障，承载和实现越来越大的产业价值和商业利益。</w:t>
      </w:r>
    </w:p>
    <w:p>
      <w:pPr>
        <w:pStyle w:val="Style37"/>
        <w:keepNext w:val="0"/>
        <w:keepLines w:val="0"/>
        <w:widowControl w:val="0"/>
        <w:shd w:val="clear" w:color="auto" w:fill="auto"/>
        <w:tabs>
          <w:tab w:pos="669" w:val="left"/>
        </w:tabs>
        <w:bidi w:val="0"/>
        <w:spacing w:before="0" w:after="0" w:line="366" w:lineRule="exact"/>
        <w:ind w:left="0" w:right="0"/>
        <w:jc w:val="both"/>
      </w:pPr>
      <w:bookmarkStart w:id="81" w:name="bookmark81"/>
      <w:r>
        <w:rPr>
          <w:color w:val="000000"/>
          <w:spacing w:val="0"/>
          <w:w w:val="100"/>
          <w:position w:val="0"/>
          <w:sz w:val="18"/>
          <w:szCs w:val="18"/>
        </w:rPr>
        <w:t>4</w:t>
      </w:r>
      <w:bookmarkEnd w:id="81"/>
      <w:r>
        <w:rPr>
          <w:color w:val="000000"/>
          <w:spacing w:val="0"/>
          <w:w w:val="100"/>
          <w:position w:val="0"/>
        </w:rPr>
        <w:t>、</w:t>
        <w:tab/>
        <w:t>顶尖的云资源优势和云业务全牌照资质</w:t>
      </w:r>
    </w:p>
    <w:p>
      <w:pPr>
        <w:pStyle w:val="Style37"/>
        <w:keepNext w:val="0"/>
        <w:keepLines w:val="0"/>
        <w:widowControl w:val="0"/>
        <w:shd w:val="clear" w:color="auto" w:fill="auto"/>
        <w:bidi w:val="0"/>
        <w:spacing w:before="0" w:after="0" w:line="366" w:lineRule="exact"/>
        <w:ind w:left="0" w:right="0"/>
        <w:jc w:val="both"/>
      </w:pPr>
      <w:r>
        <w:rPr>
          <w:color w:val="000000"/>
          <w:spacing w:val="0"/>
          <w:w w:val="100"/>
          <w:position w:val="0"/>
        </w:rPr>
        <w:t>公司与国内外各大云厂商巨头保持了长期紧密的合作关系，同时拥有阿里云钻石合作伙伴及</w:t>
      </w:r>
      <w:r>
        <w:rPr>
          <w:color w:val="000000"/>
          <w:spacing w:val="0"/>
          <w:w w:val="100"/>
          <w:position w:val="0"/>
          <w:sz w:val="18"/>
          <w:szCs w:val="18"/>
        </w:rPr>
        <w:t>MSP</w:t>
      </w:r>
      <w:r>
        <w:rPr>
          <w:color w:val="000000"/>
          <w:spacing w:val="0"/>
          <w:w w:val="100"/>
          <w:position w:val="0"/>
        </w:rPr>
        <w:t>认证服务商的核心合作 伙伴、</w:t>
      </w:r>
      <w:r>
        <w:rPr>
          <w:color w:val="000000"/>
          <w:spacing w:val="0"/>
          <w:w w:val="100"/>
          <w:position w:val="0"/>
          <w:sz w:val="18"/>
          <w:szCs w:val="18"/>
        </w:rPr>
        <w:t>Azure</w:t>
      </w:r>
      <w:r>
        <w:rPr>
          <w:color w:val="000000"/>
          <w:spacing w:val="0"/>
          <w:w w:val="100"/>
          <w:position w:val="0"/>
        </w:rPr>
        <w:t>金牌合作伙伴、</w:t>
      </w:r>
      <w:r>
        <w:rPr>
          <w:color w:val="000000"/>
          <w:spacing w:val="0"/>
          <w:w w:val="100"/>
          <w:position w:val="0"/>
          <w:sz w:val="18"/>
          <w:szCs w:val="18"/>
        </w:rPr>
        <w:t>AWS</w:t>
      </w:r>
      <w:r>
        <w:rPr>
          <w:color w:val="000000"/>
          <w:spacing w:val="0"/>
          <w:w w:val="100"/>
          <w:position w:val="0"/>
        </w:rPr>
        <w:t>高级咨询合作伙伴以及</w:t>
      </w:r>
      <w:r>
        <w:rPr>
          <w:color w:val="000000"/>
          <w:spacing w:val="0"/>
          <w:w w:val="100"/>
          <w:position w:val="0"/>
          <w:sz w:val="18"/>
          <w:szCs w:val="18"/>
        </w:rPr>
        <w:t>AWS</w:t>
      </w:r>
      <w:r>
        <w:rPr>
          <w:color w:val="000000"/>
          <w:spacing w:val="0"/>
          <w:w w:val="100"/>
          <w:position w:val="0"/>
        </w:rPr>
        <w:t>中国区域的第一家授权增值推广商的身份，也是首批通过</w:t>
      </w:r>
      <w:r>
        <w:rPr>
          <w:color w:val="000000"/>
          <w:spacing w:val="0"/>
          <w:w w:val="100"/>
          <w:position w:val="0"/>
          <w:sz w:val="18"/>
          <w:szCs w:val="18"/>
        </w:rPr>
        <w:t>Oracle Cloud MSP</w:t>
      </w:r>
      <w:r>
        <w:rPr>
          <w:color w:val="000000"/>
          <w:spacing w:val="0"/>
          <w:w w:val="100"/>
          <w:position w:val="0"/>
        </w:rPr>
        <w:t>认证的大中华区合作伙伴及华为战略合作伙伴；以</w:t>
      </w:r>
      <w:r>
        <w:rPr>
          <w:color w:val="000000"/>
          <w:spacing w:val="0"/>
          <w:w w:val="100"/>
          <w:position w:val="0"/>
          <w:sz w:val="18"/>
          <w:szCs w:val="18"/>
        </w:rPr>
        <w:t>MS Office365</w:t>
      </w:r>
      <w:r>
        <w:rPr>
          <w:color w:val="000000"/>
          <w:spacing w:val="0"/>
          <w:w w:val="100"/>
          <w:position w:val="0"/>
        </w:rPr>
        <w:t>、</w:t>
      </w:r>
      <w:r>
        <w:rPr>
          <w:color w:val="000000"/>
          <w:spacing w:val="0"/>
          <w:w w:val="100"/>
          <w:position w:val="0"/>
          <w:sz w:val="18"/>
          <w:szCs w:val="18"/>
        </w:rPr>
        <w:t>Adobe</w:t>
      </w:r>
      <w:r>
        <w:rPr>
          <w:color w:val="000000"/>
          <w:spacing w:val="0"/>
          <w:w w:val="100"/>
          <w:position w:val="0"/>
        </w:rPr>
        <w:t>、</w:t>
      </w:r>
      <w:r>
        <w:rPr>
          <w:color w:val="000000"/>
          <w:spacing w:val="0"/>
          <w:w w:val="100"/>
          <w:position w:val="0"/>
          <w:sz w:val="18"/>
          <w:szCs w:val="18"/>
        </w:rPr>
        <w:t>Oracle</w:t>
      </w:r>
      <w:r>
        <w:rPr>
          <w:color w:val="000000"/>
          <w:spacing w:val="0"/>
          <w:w w:val="100"/>
          <w:position w:val="0"/>
        </w:rPr>
        <w:t>、</w:t>
      </w:r>
      <w:r>
        <w:rPr>
          <w:color w:val="000000"/>
          <w:spacing w:val="0"/>
          <w:w w:val="100"/>
          <w:position w:val="0"/>
          <w:sz w:val="18"/>
          <w:szCs w:val="18"/>
        </w:rPr>
        <w:t>Autodesk</w:t>
      </w:r>
      <w:r>
        <w:rPr>
          <w:color w:val="000000"/>
          <w:spacing w:val="0"/>
          <w:w w:val="100"/>
          <w:position w:val="0"/>
        </w:rPr>
        <w:t xml:space="preserve">为主力，构建起汇聚 </w:t>
      </w:r>
      <w:r>
        <w:rPr>
          <w:color w:val="000000"/>
          <w:spacing w:val="0"/>
          <w:w w:val="100"/>
          <w:position w:val="0"/>
          <w:sz w:val="18"/>
          <w:szCs w:val="18"/>
        </w:rPr>
        <w:t>120</w:t>
      </w:r>
      <w:r>
        <w:rPr>
          <w:color w:val="000000"/>
          <w:spacing w:val="0"/>
          <w:w w:val="100"/>
          <w:position w:val="0"/>
        </w:rPr>
        <w:t>余种主流云应用</w:t>
      </w:r>
      <w:r>
        <w:rPr>
          <w:color w:val="000000"/>
          <w:spacing w:val="0"/>
          <w:w w:val="100"/>
          <w:position w:val="0"/>
          <w:sz w:val="18"/>
          <w:szCs w:val="18"/>
        </w:rPr>
        <w:t>SaaS</w:t>
      </w:r>
      <w:r>
        <w:rPr>
          <w:color w:val="000000"/>
          <w:spacing w:val="0"/>
          <w:w w:val="100"/>
          <w:position w:val="0"/>
        </w:rPr>
        <w:t>资源、</w:t>
      </w:r>
      <w:r>
        <w:rPr>
          <w:color w:val="000000"/>
          <w:spacing w:val="0"/>
          <w:w w:val="100"/>
          <w:position w:val="0"/>
          <w:sz w:val="18"/>
          <w:szCs w:val="18"/>
        </w:rPr>
        <w:t>600</w:t>
      </w:r>
      <w:r>
        <w:rPr>
          <w:color w:val="000000"/>
          <w:spacing w:val="0"/>
          <w:w w:val="100"/>
          <w:position w:val="0"/>
        </w:rPr>
        <w:t>余家云生态合作伙伴资源的云资源池。另外，公司是国内少数拥有</w:t>
      </w:r>
      <w:r>
        <w:rPr>
          <w:color w:val="000000"/>
          <w:spacing w:val="0"/>
          <w:w w:val="100"/>
          <w:position w:val="0"/>
          <w:sz w:val="18"/>
          <w:szCs w:val="18"/>
        </w:rPr>
        <w:t xml:space="preserve">IDC </w:t>
      </w:r>
      <w:r>
        <w:rPr>
          <w:color w:val="000000"/>
          <w:spacing w:val="0"/>
          <w:w w:val="100"/>
          <w:position w:val="0"/>
          <w:sz w:val="18"/>
          <w:szCs w:val="18"/>
        </w:rPr>
        <w:t>（</w:t>
      </w:r>
      <w:r>
        <w:rPr>
          <w:color w:val="000000"/>
          <w:spacing w:val="0"/>
          <w:w w:val="100"/>
          <w:position w:val="0"/>
        </w:rPr>
        <w:t>含互联网资源协 作）、</w:t>
      </w:r>
      <w:r>
        <w:rPr>
          <w:color w:val="000000"/>
          <w:spacing w:val="0"/>
          <w:w w:val="100"/>
          <w:position w:val="0"/>
          <w:sz w:val="18"/>
          <w:szCs w:val="18"/>
        </w:rPr>
        <w:t>ISP</w:t>
      </w:r>
      <w:r>
        <w:rPr>
          <w:color w:val="000000"/>
          <w:spacing w:val="0"/>
          <w:w w:val="100"/>
          <w:position w:val="0"/>
        </w:rPr>
        <w:t>、</w:t>
      </w:r>
      <w:r>
        <w:rPr>
          <w:color w:val="000000"/>
          <w:spacing w:val="0"/>
          <w:w w:val="100"/>
          <w:position w:val="0"/>
          <w:sz w:val="18"/>
          <w:szCs w:val="18"/>
        </w:rPr>
        <w:t>ICP</w:t>
      </w:r>
      <w:r>
        <w:rPr>
          <w:color w:val="000000"/>
          <w:spacing w:val="0"/>
          <w:w w:val="100"/>
          <w:position w:val="0"/>
        </w:rPr>
        <w:t>牌照且能够对接所有主流云资源厂商的企业，公司广泛的云合作体系，能够为客户提供主流的、多样化的选 择，使客户兼顾成本、适用性和拓展性做出最优选择。</w:t>
      </w:r>
    </w:p>
    <w:p>
      <w:pPr>
        <w:pStyle w:val="Style37"/>
        <w:keepNext w:val="0"/>
        <w:keepLines w:val="0"/>
        <w:widowControl w:val="0"/>
        <w:shd w:val="clear" w:color="auto" w:fill="auto"/>
        <w:tabs>
          <w:tab w:pos="669" w:val="left"/>
        </w:tabs>
        <w:bidi w:val="0"/>
        <w:spacing w:before="0" w:after="0" w:line="366" w:lineRule="exact"/>
        <w:ind w:left="0" w:right="0"/>
        <w:jc w:val="both"/>
      </w:pPr>
      <w:bookmarkStart w:id="82" w:name="bookmark82"/>
      <w:r>
        <w:rPr>
          <w:color w:val="000000"/>
          <w:spacing w:val="0"/>
          <w:w w:val="100"/>
          <w:position w:val="0"/>
          <w:sz w:val="18"/>
          <w:szCs w:val="18"/>
        </w:rPr>
        <w:t>5</w:t>
      </w:r>
      <w:bookmarkEnd w:id="82"/>
      <w:r>
        <w:rPr>
          <w:color w:val="000000"/>
          <w:spacing w:val="0"/>
          <w:w w:val="100"/>
          <w:position w:val="0"/>
        </w:rPr>
        <w:t>、</w:t>
        <w:tab/>
        <w:t>全面的云和数字化生态整合能力优势</w:t>
      </w:r>
    </w:p>
    <w:p>
      <w:pPr>
        <w:pStyle w:val="Style37"/>
        <w:keepNext w:val="0"/>
        <w:keepLines w:val="0"/>
        <w:widowControl w:val="0"/>
        <w:shd w:val="clear" w:color="auto" w:fill="auto"/>
        <w:bidi w:val="0"/>
        <w:spacing w:before="0" w:after="0" w:line="359" w:lineRule="exact"/>
        <w:ind w:left="0" w:right="0"/>
        <w:jc w:val="both"/>
      </w:pPr>
      <w:r>
        <w:rPr>
          <w:color w:val="000000"/>
          <w:spacing w:val="0"/>
          <w:w w:val="100"/>
          <w:position w:val="0"/>
        </w:rPr>
        <w:t>新基建包括信息基础设施、融合基础设施与创新基础设施。云计算作为信息基础设施一部分，不仅提升虚拟化资源，并 且以云原生为技术体系，构建面向全域数据高速互联与算力全覆盖的整体架构，全面提升网络和算力能力水平。同时，云计 算是信息基础设施中通信网络、算力基础设施与新技术基础设施进行协同配合的重要结合点。公司作为中国领先的云和数字 化转型服务商之一，具备云和数字化转型领域的先发优势、打造了广泛的云资源池和领先的行业技术优势。而且在基础设施 领域形成了覆盖服务器、网络、存储、一体机、大数据应用等在内的</w:t>
      </w:r>
      <w:r>
        <w:rPr>
          <w:color w:val="000000"/>
          <w:spacing w:val="0"/>
          <w:w w:val="100"/>
          <w:position w:val="0"/>
          <w:sz w:val="18"/>
          <w:szCs w:val="18"/>
        </w:rPr>
        <w:t>22</w:t>
      </w:r>
      <w:r>
        <w:rPr>
          <w:color w:val="000000"/>
          <w:spacing w:val="0"/>
          <w:w w:val="100"/>
          <w:position w:val="0"/>
        </w:rPr>
        <w:t>个品类</w:t>
      </w:r>
      <w:r>
        <w:rPr>
          <w:color w:val="000000"/>
          <w:spacing w:val="0"/>
          <w:w w:val="100"/>
          <w:position w:val="0"/>
          <w:sz w:val="18"/>
          <w:szCs w:val="18"/>
        </w:rPr>
        <w:t>600</w:t>
      </w:r>
      <w:r>
        <w:rPr>
          <w:color w:val="000000"/>
          <w:spacing w:val="0"/>
          <w:w w:val="100"/>
          <w:position w:val="0"/>
        </w:rPr>
        <w:t>余种自有产品体系，并且于厦门建立了鲲 泰服务器和</w:t>
      </w:r>
      <w:r>
        <w:rPr>
          <w:color w:val="000000"/>
          <w:spacing w:val="0"/>
          <w:w w:val="100"/>
          <w:position w:val="0"/>
          <w:sz w:val="18"/>
          <w:szCs w:val="18"/>
        </w:rPr>
        <w:t>PC</w:t>
      </w:r>
      <w:r>
        <w:rPr>
          <w:color w:val="000000"/>
          <w:spacing w:val="0"/>
          <w:w w:val="100"/>
          <w:position w:val="0"/>
        </w:rPr>
        <w:t xml:space="preserve">产品生产基地及超算中心，成为鲲鹏系列产品生产基地建设的重要实践者。公司持续深耕鲲鹏和云计算的生态 发展，基于云计算为其他技术基础设施和应用提供技术支撑能力，加强多种算力的统一调度，提高算力基础设施的资源利用 </w:t>
      </w:r>
      <w:r>
        <w:rPr>
          <w:color w:val="000000"/>
          <w:spacing w:val="0"/>
          <w:w w:val="100"/>
          <w:position w:val="0"/>
        </w:rPr>
        <w:t>率，同时与人工智能、区块链等新技术基础设施融合发展加快新技术应用。公司全面携手生态合作伙伴在云计算、鲲鹏生态、 智慧城市、智慧农业、智慧金融、物联网、供应链、海外市场拓展、场景化联合解决方案等领域的深度协同，在新基建政策 的推动下，进一步发挥云计算的操作系统属性，深度整合算力、网络与其他新技术，推动新基建赋能产业生态的做大做强。</w:t>
      </w:r>
    </w:p>
    <w:p>
      <w:pPr>
        <w:pStyle w:val="Style37"/>
        <w:keepNext w:val="0"/>
        <w:keepLines w:val="0"/>
        <w:widowControl w:val="0"/>
        <w:shd w:val="clear" w:color="auto" w:fill="auto"/>
        <w:bidi w:val="0"/>
        <w:spacing w:before="0" w:after="0" w:line="360" w:lineRule="exact"/>
        <w:ind w:left="0" w:right="0" w:firstLine="360"/>
        <w:jc w:val="both"/>
      </w:pPr>
      <w:bookmarkStart w:id="83" w:name="bookmark83"/>
      <w:r>
        <w:rPr>
          <w:color w:val="000000"/>
          <w:spacing w:val="0"/>
          <w:w w:val="100"/>
          <w:position w:val="0"/>
          <w:sz w:val="18"/>
          <w:szCs w:val="18"/>
        </w:rPr>
        <w:t>6</w:t>
      </w:r>
      <w:bookmarkEnd w:id="83"/>
      <w:r>
        <w:rPr>
          <w:color w:val="000000"/>
          <w:spacing w:val="0"/>
          <w:w w:val="100"/>
          <w:position w:val="0"/>
        </w:rPr>
        <w:t>、包括供应链、资金链等在内的系统化运营优势</w:t>
      </w:r>
    </w:p>
    <w:p>
      <w:pPr>
        <w:pStyle w:val="Style37"/>
        <w:keepNext w:val="0"/>
        <w:keepLines w:val="0"/>
        <w:widowControl w:val="0"/>
        <w:shd w:val="clear" w:color="auto" w:fill="auto"/>
        <w:bidi w:val="0"/>
        <w:spacing w:before="0" w:after="0" w:line="360" w:lineRule="exact"/>
        <w:ind w:left="0" w:right="0" w:firstLine="360"/>
        <w:jc w:val="both"/>
        <w:sectPr>
          <w:footnotePr>
            <w:pos w:val="pageBottom"/>
            <w:numFmt w:val="decimal"/>
            <w:numRestart w:val="continuous"/>
          </w:footnotePr>
          <w:pgSz w:w="11900" w:h="16840"/>
          <w:pgMar w:top="1350" w:right="1013" w:bottom="1499" w:left="1105" w:header="0" w:footer="3" w:gutter="0"/>
          <w:cols w:space="720"/>
          <w:noEndnote/>
          <w:rtlGutter w:val="0"/>
          <w:docGrid w:linePitch="360"/>
        </w:sectPr>
      </w:pPr>
      <w:r>
        <w:rPr>
          <w:color w:val="000000"/>
          <w:spacing w:val="0"/>
          <w:w w:val="100"/>
          <w:position w:val="0"/>
        </w:rPr>
        <w:t>传统的</w:t>
      </w:r>
      <w:r>
        <w:rPr>
          <w:color w:val="000000"/>
          <w:spacing w:val="0"/>
          <w:w w:val="100"/>
          <w:position w:val="0"/>
          <w:sz w:val="18"/>
          <w:szCs w:val="18"/>
        </w:rPr>
        <w:t>IT</w:t>
      </w:r>
      <w:r>
        <w:rPr>
          <w:color w:val="000000"/>
          <w:spacing w:val="0"/>
          <w:w w:val="100"/>
          <w:position w:val="0"/>
        </w:rPr>
        <w:t>分销业务是一个极度考验公司运营效率的行业。公司自成立之日起，不断强化自身技术优势，重点拓展技术含 量更足、毛利水平更高的增值分销业务，持续优化和提升内部管理和运营效率。在如此激烈竞争的行业中长期保持龙头地位， 足以证明公司具备强大的运营能力。供应链管理方面，公司运营效率达到了国际先进水平，较之竞争对手，公司存货周转率 更高，存货周转天数更短，具有明显优势。融资能力方面，基于多年来积累的良好信用和持续增长的业绩表现，公司与各大 银行、金融机构保持良好关系，具备强大的融资能力。此外，公司充分发挥集团在香港和内地同时拥有融资平台的国际化优 势，资本成本显著低于行业水平，通过财务资金管理体系为业务发展提供了稳定支持，保证公司财产的完整安全、实现保值 增值。通过专注于产业及行业的深耕，公司在</w:t>
      </w:r>
      <w:r>
        <w:rPr>
          <w:color w:val="000000"/>
          <w:spacing w:val="0"/>
          <w:w w:val="100"/>
          <w:position w:val="0"/>
          <w:sz w:val="18"/>
          <w:szCs w:val="18"/>
        </w:rPr>
        <w:t>IT</w:t>
      </w:r>
      <w:r>
        <w:rPr>
          <w:color w:val="000000"/>
          <w:spacing w:val="0"/>
          <w:w w:val="100"/>
          <w:position w:val="0"/>
        </w:rPr>
        <w:t>业内积累了强大的品牌优势、大数据业务的全牌照优势以及其他综合优势， 为公司各项业务的快速发展提供了系统化的充分保障。</w:t>
      </w:r>
    </w:p>
    <w:p>
      <w:pPr>
        <w:pStyle w:val="Style20"/>
        <w:keepNext/>
        <w:keepLines/>
        <w:widowControl w:val="0"/>
        <w:shd w:val="clear" w:color="auto" w:fill="auto"/>
        <w:bidi w:val="0"/>
        <w:spacing w:before="280" w:after="540" w:line="240" w:lineRule="auto"/>
        <w:ind w:left="0" w:right="0" w:firstLine="0"/>
        <w:jc w:val="center"/>
      </w:pPr>
      <w:bookmarkStart w:id="84" w:name="bookmark84"/>
      <w:bookmarkStart w:id="85" w:name="bookmark85"/>
      <w:bookmarkStart w:id="86" w:name="bookmark86"/>
      <w:r>
        <w:rPr>
          <w:color w:val="000000"/>
          <w:spacing w:val="0"/>
          <w:w w:val="100"/>
          <w:position w:val="0"/>
        </w:rPr>
        <w:t>第四节经营情况讨论与分析</w:t>
      </w:r>
      <w:bookmarkEnd w:id="84"/>
      <w:bookmarkEnd w:id="85"/>
      <w:bookmarkEnd w:id="86"/>
    </w:p>
    <w:p>
      <w:pPr>
        <w:pStyle w:val="Style32"/>
        <w:keepNext/>
        <w:keepLines/>
        <w:widowControl w:val="0"/>
        <w:shd w:val="clear" w:color="auto" w:fill="auto"/>
        <w:bidi w:val="0"/>
        <w:spacing w:before="0" w:after="260" w:line="240" w:lineRule="auto"/>
        <w:ind w:left="0" w:right="0" w:firstLine="0"/>
        <w:jc w:val="both"/>
      </w:pPr>
      <w:bookmarkStart w:id="87" w:name="bookmark87"/>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、概述</w:t>
      </w:r>
      <w:bookmarkEnd w:id="88"/>
      <w:bookmarkEnd w:id="89"/>
      <w:bookmarkEnd w:id="91"/>
      <w:bookmarkEnd w:id="87"/>
    </w:p>
    <w:p>
      <w:pPr>
        <w:pStyle w:val="Style3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中国信通院发布的《云计算白皮书（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）》统计显示，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年我国已经应用云计算的企业占比达到</w:t>
      </w:r>
      <w:r>
        <w:rPr>
          <w:rFonts w:ascii="Times New Roman" w:eastAsia="Times New Roman" w:hAnsi="Times New Roman" w:cs="Times New Roman"/>
          <w:color w:val="000000"/>
          <w:spacing w:val="0"/>
          <w:w w:val="100"/>
          <w:position w:val="0"/>
          <w:sz w:val="18"/>
          <w:szCs w:val="18"/>
        </w:rPr>
        <w:t>66.1%</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年上升了</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年中国云计算市场规模达</w:t>
      </w:r>
      <w:r>
        <w:rPr>
          <w:rFonts w:ascii="Times New Roman" w:eastAsia="Times New Roman" w:hAnsi="Times New Roman" w:cs="Times New Roman"/>
          <w:color w:val="000000"/>
          <w:spacing w:val="0"/>
          <w:w w:val="100"/>
          <w:position w:val="0"/>
          <w:sz w:val="18"/>
          <w:szCs w:val="18"/>
        </w:rPr>
        <w:t>1334</w:t>
      </w:r>
      <w:r>
        <w:rPr>
          <w:color w:val="000000"/>
          <w:spacing w:val="0"/>
          <w:w w:val="100"/>
          <w:position w:val="0"/>
        </w:rPr>
        <w:t>亿元，增速</w:t>
      </w:r>
      <w:r>
        <w:rPr>
          <w:rFonts w:ascii="Times New Roman" w:eastAsia="Times New Roman" w:hAnsi="Times New Roman" w:cs="Times New Roman"/>
          <w:color w:val="000000"/>
          <w:spacing w:val="0"/>
          <w:w w:val="100"/>
          <w:position w:val="0"/>
          <w:sz w:val="18"/>
          <w:szCs w:val="18"/>
        </w:rPr>
        <w:t>38.6%</w:t>
      </w: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年市场规模将接近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为中 国实现数字技术跃迁提供了契机，云计算为企业数字化转型提供了工具，而神州数码作为国内领先的云和数字化转型服务商，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color w:val="000000"/>
          <w:spacing w:val="0"/>
          <w:w w:val="100"/>
          <w:position w:val="0"/>
          <w:sz w:val="18"/>
          <w:szCs w:val="18"/>
        </w:rPr>
        <w:t>，</w:t>
      </w:r>
      <w:r>
        <w:rPr>
          <w:color w:val="000000"/>
          <w:spacing w:val="0"/>
          <w:w w:val="100"/>
          <w:position w:val="0"/>
        </w:rPr>
        <w:t>，的探索者、实践者和赋能者，紧抓国家对云计算和信创产业利好政策不断加码的历史性机遇，综合运用云、人工 智能、物联网、大数据等多种数字技术，在持续自主创新中不断突破技术难关，为传统产业数字化转型升级，以及各个行业 企业实现数字时代下的价值重构，实现数字化转型的弯道超车提供路径。</w:t>
      </w:r>
    </w:p>
    <w:p>
      <w:pPr>
        <w:pStyle w:val="Style37"/>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报告期内，公司依托国内领先的多云及混合云架构综合服务能力、深厚的行业头部客户服务成功经验、最大的</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渠 道网络覆盖，以及最广泛的云计算资源聚合，云计算和数字化转型业务继续保持高速增长，在生态建设、技术研发、业务开 拓、客户服务等方面都取得了长足发展，细分领域竞争优势进一步凸显。与此同时，公司响应国家加快推进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新基建，'的号召， 进一步推进公司信创产业的布局。报告期内，公司首个基于鲲鹏处理器的自主品牌服务器和</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的生产基地——鲲泰生产基 地已经于厦门正式落成投产并实现重点行业营销端突破及产品交付，这是公司深化信创产业布局，助力鲲鹏计算产业生态发 展的重要一步；此外，合肥建投、合肥滨投、合肥滨湖金融以投后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亿的估值，向公司投资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亿现金，合计持有公司信创 总部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的股份，将与神州数码共同建设位于综合性国家科学中心城市的信创总部基地，助力公司迅速扩大信创业务规模， 确立行业地位。</w:t>
      </w:r>
    </w:p>
    <w:p>
      <w:pPr>
        <w:pStyle w:val="Style37"/>
        <w:keepNext w:val="0"/>
        <w:keepLines w:val="0"/>
        <w:widowControl w:val="0"/>
        <w:shd w:val="clear" w:color="auto" w:fill="auto"/>
        <w:tabs>
          <w:tab w:pos="866" w:val="left"/>
        </w:tabs>
        <w:bidi w:val="0"/>
        <w:spacing w:before="0" w:after="0" w:line="313" w:lineRule="exact"/>
        <w:ind w:left="0" w:right="0"/>
        <w:jc w:val="both"/>
      </w:pPr>
      <w:bookmarkStart w:id="92" w:name="bookmark92"/>
      <w:r>
        <w:rPr>
          <w:b/>
          <w:bCs/>
          <w:color w:val="000000"/>
          <w:spacing w:val="0"/>
          <w:w w:val="100"/>
          <w:position w:val="0"/>
        </w:rPr>
        <w:t>（</w:t>
      </w:r>
      <w:bookmarkEnd w:id="92"/>
      <w:r>
        <w:rPr>
          <w:b/>
          <w:bCs/>
          <w:color w:val="000000"/>
          <w:spacing w:val="0"/>
          <w:w w:val="100"/>
          <w:position w:val="0"/>
        </w:rPr>
        <w:t>一）</w:t>
        <w:tab/>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年整体经营情况</w:t>
      </w:r>
    </w:p>
    <w:p>
      <w:pPr>
        <w:pStyle w:val="Style37"/>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920.6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6.06%</w:t>
      </w:r>
      <w:r>
        <w:rPr>
          <w:color w:val="000000"/>
          <w:spacing w:val="0"/>
          <w:w w:val="100"/>
          <w:position w:val="0"/>
        </w:rPr>
        <w:t>；扣除非经常性损益的净利润</w:t>
      </w:r>
      <w:r>
        <w:rPr>
          <w:rFonts w:ascii="Times New Roman" w:eastAsia="Times New Roman" w:hAnsi="Times New Roman" w:cs="Times New Roman"/>
          <w:color w:val="000000"/>
          <w:spacing w:val="0"/>
          <w:w w:val="100"/>
          <w:position w:val="0"/>
          <w:sz w:val="18"/>
          <w:szCs w:val="18"/>
        </w:rPr>
        <w:t>6.5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11.97%</w:t>
      </w:r>
      <w:r>
        <w:rPr>
          <w:color w:val="000000"/>
          <w:spacing w:val="0"/>
          <w:w w:val="100"/>
          <w:position w:val="0"/>
        </w:rPr>
        <w:t>； 经营性现金流</w:t>
      </w:r>
      <w:r>
        <w:rPr>
          <w:rFonts w:ascii="Times New Roman" w:eastAsia="Times New Roman" w:hAnsi="Times New Roman" w:cs="Times New Roman"/>
          <w:color w:val="000000"/>
          <w:spacing w:val="0"/>
          <w:w w:val="100"/>
          <w:position w:val="0"/>
          <w:sz w:val="18"/>
          <w:szCs w:val="18"/>
        </w:rPr>
        <w:t>14.57</w:t>
      </w:r>
      <w:r>
        <w:rPr>
          <w:color w:val="000000"/>
          <w:spacing w:val="0"/>
          <w:w w:val="100"/>
          <w:position w:val="0"/>
        </w:rPr>
        <w:t>亿元。云计算及数字化转型业务成绩突出，实现营业收入</w:t>
      </w:r>
      <w:r>
        <w:rPr>
          <w:rFonts w:ascii="Times New Roman" w:eastAsia="Times New Roman" w:hAnsi="Times New Roman" w:cs="Times New Roman"/>
          <w:color w:val="000000"/>
          <w:spacing w:val="0"/>
          <w:w w:val="100"/>
          <w:position w:val="0"/>
          <w:sz w:val="18"/>
          <w:szCs w:val="18"/>
        </w:rPr>
        <w:t>26.66</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74.19%</w:t>
      </w:r>
      <w:r>
        <w:rPr>
          <w:color w:val="000000"/>
          <w:spacing w:val="0"/>
          <w:w w:val="100"/>
          <w:position w:val="0"/>
        </w:rPr>
        <w:t>；研发投入持续增 加，累计研发投入</w:t>
      </w:r>
      <w:r>
        <w:rPr>
          <w:rFonts w:ascii="Times New Roman" w:eastAsia="Times New Roman" w:hAnsi="Times New Roman" w:cs="Times New Roman"/>
          <w:color w:val="000000"/>
          <w:spacing w:val="0"/>
          <w:w w:val="100"/>
          <w:position w:val="0"/>
          <w:sz w:val="18"/>
          <w:szCs w:val="18"/>
        </w:rPr>
        <w:t>1.82</w:t>
      </w:r>
      <w:r>
        <w:rPr>
          <w:color w:val="000000"/>
          <w:spacing w:val="0"/>
          <w:w w:val="100"/>
          <w:position w:val="0"/>
        </w:rPr>
        <w:t>亿，同比增长近</w:t>
      </w:r>
      <w:r>
        <w:rPr>
          <w:rFonts w:ascii="Times New Roman" w:eastAsia="Times New Roman" w:hAnsi="Times New Roman" w:cs="Times New Roman"/>
          <w:color w:val="000000"/>
          <w:spacing w:val="0"/>
          <w:w w:val="100"/>
          <w:position w:val="0"/>
          <w:sz w:val="18"/>
          <w:szCs w:val="18"/>
        </w:rPr>
        <w:t>23.11%</w:t>
      </w:r>
      <w:r>
        <w:rPr>
          <w:color w:val="000000"/>
          <w:spacing w:val="0"/>
          <w:w w:val="100"/>
          <w:position w:val="0"/>
        </w:rPr>
        <w:t>。报告期内，公司的行业地位与市场影响力得到了广泛认可，公司荣登</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年《财富》中国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强第</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位，自登陆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股以来连续四年跻身该榜单</w:t>
      </w:r>
      <w:r>
        <w:rPr>
          <w:color w:val="000000"/>
          <w:spacing w:val="0"/>
          <w:w w:val="100"/>
          <w:position w:val="0"/>
          <w:sz w:val="18"/>
          <w:szCs w:val="18"/>
        </w:rPr>
        <w:t>，</w:t>
      </w:r>
      <w:r>
        <w:rPr>
          <w:color w:val="000000"/>
          <w:spacing w:val="0"/>
          <w:w w:val="100"/>
          <w:position w:val="0"/>
        </w:rPr>
        <w:t>同时入选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电子政务提供商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强。另外，公司的云业 务获得多家权威机构的重磅认可，以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亿人民币的云管理服务收入和</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的份额占比位列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《中国第三方云管理 服务市场份额报告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》榜单第一位；以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云管理服务提供商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Managed service providers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身份上榜</w:t>
      </w:r>
      <w:r>
        <w:rPr>
          <w:rFonts w:ascii="Times New Roman" w:eastAsia="Times New Roman" w:hAnsi="Times New Roman" w:cs="Times New Roman"/>
          <w:color w:val="000000"/>
          <w:spacing w:val="0"/>
          <w:w w:val="100"/>
          <w:position w:val="0"/>
          <w:sz w:val="18"/>
          <w:szCs w:val="18"/>
        </w:rPr>
        <w:t>Forrester</w:t>
      </w:r>
      <w:r>
        <w:rPr>
          <w:color w:val="000000"/>
          <w:spacing w:val="0"/>
          <w:w w:val="100"/>
          <w:position w:val="0"/>
        </w:rPr>
        <w:t>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第四季度中国混合云管软件报告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Now Tech: Hybrid Cloud Management Software in China, Q4 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月，公司首 度被纳入全球知名机构</w:t>
      </w:r>
      <w:r>
        <w:rPr>
          <w:rFonts w:ascii="Times New Roman" w:eastAsia="Times New Roman" w:hAnsi="Times New Roman" w:cs="Times New Roman"/>
          <w:color w:val="000000"/>
          <w:spacing w:val="0"/>
          <w:w w:val="100"/>
          <w:position w:val="0"/>
          <w:sz w:val="18"/>
          <w:szCs w:val="18"/>
        </w:rPr>
        <w:t>Gartner</w:t>
      </w:r>
      <w:r>
        <w:rPr>
          <w:color w:val="000000"/>
          <w:spacing w:val="0"/>
          <w:w w:val="100"/>
          <w:position w:val="0"/>
        </w:rPr>
        <w:t>发布的亚太区公有云托管和专业服务提供商入市手册。</w:t>
      </w:r>
    </w:p>
    <w:p>
      <w:pPr>
        <w:pStyle w:val="Style37"/>
        <w:keepNext w:val="0"/>
        <w:keepLines w:val="0"/>
        <w:widowControl w:val="0"/>
        <w:shd w:val="clear" w:color="auto" w:fill="auto"/>
        <w:tabs>
          <w:tab w:pos="866" w:val="left"/>
        </w:tabs>
        <w:bidi w:val="0"/>
        <w:spacing w:before="0" w:after="0" w:line="313" w:lineRule="exact"/>
        <w:ind w:left="0" w:right="0"/>
        <w:jc w:val="both"/>
      </w:pPr>
      <w:bookmarkStart w:id="93" w:name="bookmark93"/>
      <w:r>
        <w:rPr>
          <w:b/>
          <w:bCs/>
          <w:color w:val="000000"/>
          <w:spacing w:val="0"/>
          <w:w w:val="100"/>
          <w:position w:val="0"/>
        </w:rPr>
        <w:t>（</w:t>
      </w:r>
      <w:bookmarkEnd w:id="93"/>
      <w:r>
        <w:rPr>
          <w:b/>
          <w:bCs/>
          <w:color w:val="000000"/>
          <w:spacing w:val="0"/>
          <w:w w:val="100"/>
          <w:position w:val="0"/>
        </w:rPr>
        <w:t>二）</w:t>
        <w:tab/>
        <w:t>云计算和数字化转型业务</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面对疫情，云计算和数字化产业的发展可谓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危中有机在疫情防控期间，云办公、云会议等数字化服务几乎成为了 社会主流的工作方式，云计算和数字化服务的渗透率和普及度显著增强，数字化转型进程加速推进。同时，基于对数据安全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铁</w:t>
      </w:r>
      <w:r>
        <w:rPr>
          <w:color w:val="000000"/>
          <w:spacing w:val="0"/>
          <w:w w:val="100"/>
          <w:position w:val="0"/>
          <w:sz w:val="18"/>
          <w:szCs w:val="18"/>
        </w:rPr>
        <w:t>，</w:t>
      </w:r>
      <w:r>
        <w:rPr>
          <w:color w:val="000000"/>
          <w:spacing w:val="0"/>
          <w:w w:val="100"/>
          <w:position w:val="0"/>
        </w:rPr>
        <w:t>'定律，混合云带来的数据安全策略优势，在加快企业用户选择云的途径上成为了首要考虑对象。</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在云和数字化转型业务领域，公司已形成广泛的资源聚集、全面的技术积累和服务交付能力，拥有覆盖多个行业头部客 户的丰富实践和成功案例，成为客户信赖的云服务和数字化转型专家。报告期内，公司不断深化布局，持续夯实多云及混合 云管理的专业服务能力，进一步加强</w:t>
      </w:r>
      <w:r>
        <w:rPr>
          <w:rFonts w:ascii="Times New Roman" w:eastAsia="Times New Roman" w:hAnsi="Times New Roman" w:cs="Times New Roman"/>
          <w:color w:val="000000"/>
          <w:spacing w:val="0"/>
          <w:w w:val="100"/>
          <w:position w:val="0"/>
          <w:sz w:val="18"/>
          <w:szCs w:val="18"/>
        </w:rPr>
        <w:t xml:space="preserve">3A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Azure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Aliyun</w:t>
      </w:r>
      <w:r>
        <w:rPr>
          <w:color w:val="000000"/>
          <w:spacing w:val="0"/>
          <w:w w:val="100"/>
          <w:position w:val="0"/>
        </w:rPr>
        <w:t>）</w:t>
      </w:r>
      <w:r>
        <w:rPr>
          <w:color w:val="000000"/>
          <w:spacing w:val="0"/>
          <w:w w:val="100"/>
          <w:position w:val="0"/>
        </w:rPr>
        <w:t>以及谷歌云、华为云、腾讯云、移动云、京东智联云等主 流公有云厂商的服务能力；开拓性地基于国产算力打造超算中心云上服务创新模式，真正面向客户需求和业务场景提供国内 领先的全栈式云和数字化转型服务，协助企业客户获得更高的敏捷性、弹性、安全性和成本效益；同时，围绕自主研发的神 州视讯和荟视云享产品，针对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端，'三方面进行开发和整合，为广大行业客户提供安全的视频云服务和产品。</w:t>
      </w:r>
    </w:p>
    <w:p>
      <w:pPr>
        <w:pStyle w:val="Style37"/>
        <w:keepNext w:val="0"/>
        <w:keepLines w:val="0"/>
        <w:widowControl w:val="0"/>
        <w:shd w:val="clear" w:color="auto" w:fill="auto"/>
        <w:bidi w:val="0"/>
        <w:spacing w:before="0" w:after="140" w:line="314"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年，公司云计算及数字化转型业务成绩突出，实现营业收入</w:t>
      </w:r>
      <w:r>
        <w:rPr>
          <w:rFonts w:ascii="Times New Roman" w:eastAsia="Times New Roman" w:hAnsi="Times New Roman" w:cs="Times New Roman"/>
          <w:color w:val="000000"/>
          <w:spacing w:val="0"/>
          <w:w w:val="100"/>
          <w:position w:val="0"/>
          <w:sz w:val="18"/>
          <w:szCs w:val="18"/>
        </w:rPr>
        <w:t>26.66</w:t>
      </w:r>
      <w:r>
        <w:rPr>
          <w:color w:val="000000"/>
          <w:spacing w:val="0"/>
          <w:w w:val="100"/>
          <w:position w:val="0"/>
        </w:rPr>
        <w:t>亿元，其中云转售业务收入</w:t>
      </w:r>
      <w:r>
        <w:rPr>
          <w:rFonts w:ascii="Times New Roman" w:eastAsia="Times New Roman" w:hAnsi="Times New Roman" w:cs="Times New Roman"/>
          <w:color w:val="000000"/>
          <w:spacing w:val="0"/>
          <w:w w:val="100"/>
          <w:position w:val="0"/>
          <w:sz w:val="18"/>
          <w:szCs w:val="18"/>
        </w:rPr>
        <w:t>23.76</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sz w:val="18"/>
          <w:szCs w:val="18"/>
        </w:rPr>
        <w:t>89.57%</w:t>
      </w: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7.64%</w:t>
      </w:r>
      <w:r>
        <w:rPr>
          <w:color w:val="000000"/>
          <w:spacing w:val="0"/>
          <w:w w:val="100"/>
          <w:position w:val="0"/>
        </w:rPr>
        <w:t>；云管理服务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MSP</w:t>
      </w:r>
      <w:r>
        <w:rPr>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2.09</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10.64%</w:t>
      </w: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46.63%</w:t>
      </w:r>
      <w:r>
        <w:rPr>
          <w:color w:val="000000"/>
          <w:spacing w:val="0"/>
          <w:w w:val="100"/>
          <w:position w:val="0"/>
        </w:rPr>
        <w:t>；数字化转型解决方案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 xml:space="preserve">） </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0.8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亿元，同比减少</w:t>
      </w:r>
      <w:r>
        <w:rPr>
          <w:rFonts w:ascii="Times New Roman" w:eastAsia="Times New Roman" w:hAnsi="Times New Roman" w:cs="Times New Roman"/>
          <w:color w:val="000000"/>
          <w:spacing w:val="0"/>
          <w:w w:val="100"/>
          <w:position w:val="0"/>
          <w:sz w:val="18"/>
          <w:szCs w:val="18"/>
        </w:rPr>
        <w:t>7.88%</w:t>
      </w:r>
      <w:r>
        <w:rPr>
          <w:color w:val="000000"/>
          <w:spacing w:val="0"/>
          <w:w w:val="100"/>
          <w:position w:val="0"/>
        </w:rPr>
        <w:t>，毛利率</w:t>
      </w:r>
      <w:r>
        <w:rPr>
          <w:rFonts w:ascii="Times New Roman" w:eastAsia="Times New Roman" w:hAnsi="Times New Roman" w:cs="Times New Roman"/>
          <w:color w:val="000000"/>
          <w:spacing w:val="0"/>
          <w:w w:val="100"/>
          <w:position w:val="0"/>
          <w:sz w:val="18"/>
          <w:szCs w:val="18"/>
        </w:rPr>
        <w:t>79.22%</w:t>
      </w:r>
      <w:r>
        <w:rPr>
          <w:color w:val="000000"/>
          <w:spacing w:val="0"/>
          <w:w w:val="100"/>
          <w:position w:val="0"/>
        </w:rPr>
        <w:t>。</w:t>
      </w:r>
    </w:p>
    <w:p>
      <w:pPr>
        <w:pStyle w:val="Style37"/>
        <w:keepNext w:val="0"/>
        <w:keepLines w:val="0"/>
        <w:widowControl w:val="0"/>
        <w:shd w:val="clear" w:color="auto" w:fill="auto"/>
        <w:tabs>
          <w:tab w:pos="659" w:val="left"/>
        </w:tabs>
        <w:bidi w:val="0"/>
        <w:spacing w:before="0" w:after="0" w:line="313" w:lineRule="exact"/>
        <w:ind w:left="0" w:right="0"/>
        <w:jc w:val="both"/>
      </w:pPr>
      <w:bookmarkStart w:id="94" w:name="bookmark94"/>
      <w:r>
        <w:rPr>
          <w:rFonts w:ascii="Times New Roman" w:eastAsia="Times New Roman" w:hAnsi="Times New Roman" w:cs="Times New Roman"/>
          <w:b/>
          <w:bCs/>
          <w:color w:val="000000"/>
          <w:spacing w:val="0"/>
          <w:w w:val="100"/>
          <w:position w:val="0"/>
          <w:sz w:val="18"/>
          <w:szCs w:val="18"/>
        </w:rPr>
        <w:t>1</w:t>
      </w:r>
      <w:bookmarkEnd w:id="94"/>
      <w:r>
        <w:rPr>
          <w:b/>
          <w:bCs/>
          <w:color w:val="000000"/>
          <w:spacing w:val="0"/>
          <w:w w:val="100"/>
          <w:position w:val="0"/>
        </w:rPr>
        <w:t>、</w:t>
        <w:tab/>
        <w:t>云管理服务</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MSP</w:t>
      </w:r>
      <w:r>
        <w:rPr>
          <w:b/>
          <w:bCs/>
          <w:color w:val="000000"/>
          <w:spacing w:val="0"/>
          <w:w w:val="100"/>
          <w:position w:val="0"/>
        </w:rPr>
        <w:t>）</w:t>
      </w:r>
    </w:p>
    <w:p>
      <w:pPr>
        <w:pStyle w:val="Style37"/>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 xml:space="preserve">IDC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月发布的《中国第三方云管理服务市场份额报告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》数据显示：中国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第三方云管理服务市场规模达 到</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亿美元，同比增长</w:t>
      </w:r>
      <w:r>
        <w:rPr>
          <w:rFonts w:ascii="Times New Roman" w:eastAsia="Times New Roman" w:hAnsi="Times New Roman" w:cs="Times New Roman"/>
          <w:color w:val="000000"/>
          <w:spacing w:val="0"/>
          <w:w w:val="100"/>
          <w:position w:val="0"/>
          <w:sz w:val="18"/>
          <w:szCs w:val="18"/>
        </w:rPr>
        <w:t>82.6%</w:t>
      </w:r>
      <w:r>
        <w:rPr>
          <w:color w:val="000000"/>
          <w:spacing w:val="0"/>
          <w:w w:val="100"/>
          <w:position w:val="0"/>
        </w:rPr>
        <w:t>，预期</w:t>
      </w:r>
      <w:r>
        <w:rPr>
          <w:rFonts w:ascii="Times New Roman" w:eastAsia="Times New Roman" w:hAnsi="Times New Roman" w:cs="Times New Roman"/>
          <w:color w:val="000000"/>
          <w:spacing w:val="0"/>
          <w:w w:val="100"/>
          <w:position w:val="0"/>
          <w:sz w:val="18"/>
          <w:szCs w:val="18"/>
        </w:rPr>
        <w:t>2019-2023</w:t>
      </w:r>
      <w:r>
        <w:rPr>
          <w:color w:val="000000"/>
          <w:spacing w:val="0"/>
          <w:w w:val="100"/>
          <w:position w:val="0"/>
        </w:rPr>
        <w:t>年该市场复合增长率将达到</w:t>
      </w:r>
      <w:r>
        <w:rPr>
          <w:rFonts w:ascii="Times New Roman" w:eastAsia="Times New Roman" w:hAnsi="Times New Roman" w:cs="Times New Roman"/>
          <w:color w:val="000000"/>
          <w:spacing w:val="0"/>
          <w:w w:val="100"/>
          <w:position w:val="0"/>
          <w:sz w:val="18"/>
          <w:szCs w:val="18"/>
        </w:rPr>
        <w:t>54.7%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年市场规模预计达到</w:t>
      </w:r>
      <w:r>
        <w:rPr>
          <w:rFonts w:ascii="Times New Roman" w:eastAsia="Times New Roman" w:hAnsi="Times New Roman" w:cs="Times New Roman"/>
          <w:color w:val="000000"/>
          <w:spacing w:val="0"/>
          <w:w w:val="100"/>
          <w:position w:val="0"/>
          <w:sz w:val="18"/>
          <w:szCs w:val="18"/>
        </w:rPr>
        <w:t>32.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亿美元。中 国公有云、私有云、多云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混合云的并行快速发展正在持续催生并壮大第三方云管理服务市场。作为国内领先的云及数字化 服务商，公司以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亿人民币的云管理服务收入位列榜单第一位。报告期内，公司进一步提升咨询、迁移、运维、优 化、安全、培训等全生命周期的云管理服务能力，拓宽以</w:t>
      </w:r>
      <w:r>
        <w:rPr>
          <w:rFonts w:ascii="Times New Roman" w:eastAsia="Times New Roman" w:hAnsi="Times New Roman" w:cs="Times New Roman"/>
          <w:color w:val="000000"/>
          <w:spacing w:val="0"/>
          <w:w w:val="100"/>
          <w:position w:val="0"/>
          <w:sz w:val="18"/>
          <w:szCs w:val="18"/>
        </w:rPr>
        <w:t>3A</w:t>
      </w:r>
      <w:r>
        <w:rPr>
          <w:color w:val="000000"/>
          <w:spacing w:val="0"/>
          <w:w w:val="100"/>
          <w:position w:val="0"/>
        </w:rPr>
        <w:t>为核心的云合作伙伴生态，为企业级客户提供更深、更广的全 方位自动化云管理服务。</w:t>
      </w:r>
    </w:p>
    <w:p>
      <w:pPr>
        <w:pStyle w:val="Style37"/>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公司凭借强劲的公有云服务能力和对于全球主流云平台架构的深刻理解，继续扩大</w:t>
      </w:r>
      <w:r>
        <w:rPr>
          <w:rFonts w:ascii="Times New Roman" w:eastAsia="Times New Roman" w:hAnsi="Times New Roman" w:cs="Times New Roman"/>
          <w:color w:val="000000"/>
          <w:spacing w:val="0"/>
          <w:w w:val="100"/>
          <w:position w:val="0"/>
          <w:sz w:val="18"/>
          <w:szCs w:val="18"/>
        </w:rPr>
        <w:t xml:space="preserve">3A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Azure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Aliyun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TOP </w:t>
      </w:r>
      <w:r>
        <w:rPr>
          <w:color w:val="000000"/>
          <w:spacing w:val="0"/>
          <w:w w:val="100"/>
          <w:position w:val="0"/>
        </w:rPr>
        <w:t>级合作伙伴的优势，并且不断拓展云和数字化合作伙伴生态布局（</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Azure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Aliyun</w:t>
      </w:r>
      <w:r>
        <w:rPr>
          <w:color w:val="000000"/>
          <w:spacing w:val="0"/>
          <w:w w:val="100"/>
          <w:position w:val="0"/>
        </w:rPr>
        <w:t>、谷歌云、腾讯云），云管理服务 能力已经覆盖全球五大公有云及华为云等国内主流公有云厂商，公司构筑了全面覆盖阿里云、</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Azure</w:t>
      </w:r>
      <w:r>
        <w:rPr>
          <w:color w:val="000000"/>
          <w:spacing w:val="0"/>
          <w:w w:val="100"/>
          <w:position w:val="0"/>
        </w:rPr>
        <w:t>、</w:t>
      </w:r>
      <w:r>
        <w:rPr>
          <w:color w:val="000000"/>
          <w:spacing w:val="0"/>
          <w:w w:val="100"/>
          <w:position w:val="0"/>
        </w:rPr>
        <w:t>华为云、中国 移动云、京东智联云、腾讯云等七大公有云的能力，拥有从云到端的、完善的技术研发、方案服务能力。公司满分通过</w:t>
      </w:r>
      <w:r>
        <w:rPr>
          <w:rFonts w:ascii="Times New Roman" w:eastAsia="Times New Roman" w:hAnsi="Times New Roman" w:cs="Times New Roman"/>
          <w:color w:val="000000"/>
          <w:spacing w:val="0"/>
          <w:w w:val="100"/>
          <w:position w:val="0"/>
          <w:sz w:val="18"/>
          <w:szCs w:val="18"/>
        </w:rPr>
        <w:t xml:space="preserve">AWS </w:t>
      </w:r>
      <w:r>
        <w:rPr>
          <w:color w:val="000000"/>
          <w:spacing w:val="0"/>
          <w:w w:val="100"/>
          <w:position w:val="0"/>
        </w:rPr>
        <w:t>管理服务能力审计并与</w:t>
      </w:r>
      <w:r>
        <w:rPr>
          <w:rFonts w:ascii="Times New Roman" w:eastAsia="Times New Roman" w:hAnsi="Times New Roman" w:cs="Times New Roman"/>
          <w:color w:val="000000"/>
          <w:spacing w:val="0"/>
          <w:w w:val="100"/>
          <w:position w:val="0"/>
          <w:sz w:val="18"/>
          <w:szCs w:val="18"/>
        </w:rPr>
        <w:t>AWS</w:t>
      </w:r>
      <w:r>
        <w:rPr>
          <w:color w:val="000000"/>
          <w:spacing w:val="0"/>
          <w:w w:val="100"/>
          <w:position w:val="0"/>
        </w:rPr>
        <w:t>达成战略合作，成为其中国的唯一的</w:t>
      </w:r>
      <w:r>
        <w:rPr>
          <w:rFonts w:ascii="Times New Roman" w:eastAsia="Times New Roman" w:hAnsi="Times New Roman" w:cs="Times New Roman"/>
          <w:color w:val="000000"/>
          <w:spacing w:val="0"/>
          <w:w w:val="100"/>
          <w:position w:val="0"/>
          <w:sz w:val="18"/>
          <w:szCs w:val="18"/>
        </w:rPr>
        <w:t>VAP</w:t>
      </w:r>
      <w:r>
        <w:rPr>
          <w:color w:val="000000"/>
          <w:spacing w:val="0"/>
          <w:w w:val="100"/>
          <w:position w:val="0"/>
        </w:rPr>
        <w:t>伙伴；国内唯一荣获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年微软年度合作伙伴奖（中 国区）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的云服务商，通过了</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Microsoft Azure Expert MSP</w:t>
      </w:r>
      <w:r>
        <w:rPr>
          <w:color w:val="000000"/>
          <w:spacing w:val="0"/>
          <w:w w:val="100"/>
          <w:position w:val="0"/>
        </w:rPr>
        <w:t>合作伙伴审核，成为目前中国区唯一通过最新</w:t>
      </w:r>
      <w:r>
        <w:rPr>
          <w:rFonts w:ascii="Times New Roman" w:eastAsia="Times New Roman" w:hAnsi="Times New Roman" w:cs="Times New Roman"/>
          <w:color w:val="000000"/>
          <w:spacing w:val="0"/>
          <w:w w:val="100"/>
          <w:position w:val="0"/>
          <w:sz w:val="18"/>
          <w:szCs w:val="18"/>
        </w:rPr>
        <w:t>V1.8</w:t>
      </w:r>
      <w:r>
        <w:rPr>
          <w:color w:val="000000"/>
          <w:spacing w:val="0"/>
          <w:w w:val="100"/>
          <w:position w:val="0"/>
        </w:rPr>
        <w:t>版本认证的 云服务商；公司已成为阿里云生态体系内集全国总经销商、钻石级合作伙伴、</w:t>
      </w:r>
      <w:r>
        <w:rPr>
          <w:rFonts w:ascii="Times New Roman" w:eastAsia="Times New Roman" w:hAnsi="Times New Roman" w:cs="Times New Roman"/>
          <w:color w:val="000000"/>
          <w:spacing w:val="0"/>
          <w:w w:val="100"/>
          <w:position w:val="0"/>
          <w:sz w:val="18"/>
          <w:szCs w:val="18"/>
        </w:rPr>
        <w:t>MSP</w:t>
      </w:r>
      <w:r>
        <w:rPr>
          <w:color w:val="000000"/>
          <w:spacing w:val="0"/>
          <w:w w:val="100"/>
          <w:position w:val="0"/>
        </w:rPr>
        <w:t>核心合作伙伴等多个身份为一体的核心合 作伙伴之一，双方合作涵盖产品、行业、云服务、生态等在内的五个维度，共同为客户的数字化转型提供云的产品、服务， 以及数字化解决方案。此外，公司与京东智联云达成战略合作协议，双方携手在代理、开发、咨询和服务四个发展方向进行 合作，合力构建全新的企业云生态，以先进的技术与优质的服务推动智能云的落地与实践，赋能中国产业智能化转型升级； 培训方面，公司立足技术赋能，为企业级客户及技术人员提供优质的云技术学习平台，全年培训及考试学员约</w:t>
      </w:r>
      <w:r>
        <w:rPr>
          <w:color w:val="000000"/>
          <w:spacing w:val="0"/>
          <w:w w:val="100"/>
          <w:position w:val="0"/>
          <w:sz w:val="18"/>
          <w:szCs w:val="18"/>
        </w:rPr>
        <w:t>30000</w:t>
      </w:r>
      <w:r>
        <w:rPr>
          <w:color w:val="000000"/>
          <w:spacing w:val="0"/>
          <w:w w:val="100"/>
          <w:position w:val="0"/>
        </w:rPr>
        <w:t>人次； 公司通过收购拥有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谷歌核心伙伴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身份的</w:t>
      </w:r>
      <w:r>
        <w:rPr>
          <w:rFonts w:ascii="Times New Roman" w:eastAsia="Times New Roman" w:hAnsi="Times New Roman" w:cs="Times New Roman"/>
          <w:color w:val="000000"/>
          <w:spacing w:val="0"/>
          <w:w w:val="100"/>
          <w:position w:val="0"/>
          <w:sz w:val="18"/>
          <w:szCs w:val="18"/>
        </w:rPr>
        <w:t xml:space="preserve">GoPomelo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的股权，成为</w:t>
      </w:r>
      <w:r>
        <w:rPr>
          <w:rFonts w:ascii="Times New Roman" w:eastAsia="Times New Roman" w:hAnsi="Times New Roman" w:cs="Times New Roman"/>
          <w:color w:val="000000"/>
          <w:spacing w:val="0"/>
          <w:w w:val="100"/>
          <w:position w:val="0"/>
          <w:sz w:val="18"/>
          <w:szCs w:val="18"/>
        </w:rPr>
        <w:t>GoPomelo</w:t>
      </w:r>
      <w:r>
        <w:rPr>
          <w:color w:val="000000"/>
          <w:spacing w:val="0"/>
          <w:w w:val="100"/>
          <w:position w:val="0"/>
        </w:rPr>
        <w:t>的控股股东，成为国内唯一拥有覆盖全球五 大公有云的多云技术公司；公司与中国移动在专有云等领域展开多维度布局与落地实践，报告期内中标中国移动</w:t>
      </w:r>
      <w:r>
        <w:rPr>
          <w:rFonts w:ascii="Times New Roman" w:eastAsia="Times New Roman" w:hAnsi="Times New Roman" w:cs="Times New Roman"/>
          <w:color w:val="000000"/>
          <w:spacing w:val="0"/>
          <w:w w:val="100"/>
          <w:position w:val="0"/>
          <w:sz w:val="18"/>
          <w:szCs w:val="18"/>
        </w:rPr>
        <w:t>DICT</w:t>
      </w:r>
      <w:r>
        <w:rPr>
          <w:color w:val="000000"/>
          <w:spacing w:val="0"/>
          <w:w w:val="100"/>
          <w:position w:val="0"/>
        </w:rPr>
        <w:t>全国 集成库第一批集中采购框架私有云项目；公司通过全球企业安全领导厂商</w:t>
      </w:r>
      <w:r>
        <w:rPr>
          <w:rFonts w:ascii="Times New Roman" w:eastAsia="Times New Roman" w:hAnsi="Times New Roman" w:cs="Times New Roman"/>
          <w:color w:val="000000"/>
          <w:spacing w:val="0"/>
          <w:w w:val="100"/>
          <w:position w:val="0"/>
          <w:sz w:val="18"/>
          <w:szCs w:val="18"/>
        </w:rPr>
        <w:t>Palo Alto Networks</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Managed Security Service Provider, MSSP</w:t>
      </w:r>
      <w:r>
        <w:rPr>
          <w:color w:val="000000"/>
          <w:spacing w:val="0"/>
          <w:w w:val="100"/>
          <w:position w:val="0"/>
        </w:rPr>
        <w:t>安全管理服务商认证，为大型跨国企业提供整合的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云上安全管理服务。</w:t>
      </w:r>
    </w:p>
    <w:p>
      <w:pPr>
        <w:pStyle w:val="Style37"/>
        <w:keepNext w:val="0"/>
        <w:keepLines w:val="0"/>
        <w:widowControl w:val="0"/>
        <w:shd w:val="clear" w:color="auto" w:fill="auto"/>
        <w:tabs>
          <w:tab w:pos="674" w:val="left"/>
        </w:tabs>
        <w:bidi w:val="0"/>
        <w:spacing w:before="0" w:after="0" w:line="313" w:lineRule="exact"/>
        <w:ind w:left="0" w:right="0"/>
        <w:jc w:val="both"/>
      </w:pPr>
      <w:bookmarkStart w:id="95" w:name="bookmark95"/>
      <w:r>
        <w:rPr>
          <w:rFonts w:ascii="Times New Roman" w:eastAsia="Times New Roman" w:hAnsi="Times New Roman" w:cs="Times New Roman"/>
          <w:b/>
          <w:bCs/>
          <w:color w:val="000000"/>
          <w:spacing w:val="0"/>
          <w:w w:val="100"/>
          <w:position w:val="0"/>
          <w:sz w:val="18"/>
          <w:szCs w:val="18"/>
        </w:rPr>
        <w:t>2</w:t>
      </w:r>
      <w:bookmarkEnd w:id="95"/>
      <w:r>
        <w:rPr>
          <w:b/>
          <w:bCs/>
          <w:color w:val="000000"/>
          <w:spacing w:val="0"/>
          <w:w w:val="100"/>
          <w:position w:val="0"/>
        </w:rPr>
        <w:t>、</w:t>
        <w:tab/>
        <w:t>数字化解决方案</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ISV</w:t>
      </w:r>
      <w:r>
        <w:rPr>
          <w:b/>
          <w:bCs/>
          <w:color w:val="000000"/>
          <w:spacing w:val="0"/>
          <w:w w:val="100"/>
          <w:position w:val="0"/>
        </w:rPr>
        <w:t>）</w:t>
      </w:r>
    </w:p>
    <w:p>
      <w:pPr>
        <w:pStyle w:val="Style3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随着企业上云和数字化进程的不断深入，云上的数据将呈现爆炸式增长，带来大量企业云上数字化解决方案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）需 求。基于多年服务行业头部客户积累的强大技术实力与丰富经验，报告期内，公司持续为包括零售、快消、汽车、文旅、金 融等行业世界五百强企业在内的广大客户提供以物联网、大数据、人工智能等技术为基础且可复制性高的行业数字化解决方 案，获得了更多客户的认可。报告期内，公司的</w:t>
      </w:r>
      <w:r>
        <w:rPr>
          <w:rFonts w:ascii="Times New Roman" w:eastAsia="Times New Roman" w:hAnsi="Times New Roman" w:cs="Times New Roman"/>
          <w:color w:val="000000"/>
          <w:spacing w:val="0"/>
          <w:w w:val="100"/>
          <w:position w:val="0"/>
          <w:sz w:val="18"/>
          <w:szCs w:val="18"/>
        </w:rPr>
        <w:t>TDMP</w:t>
      </w:r>
      <w:r>
        <w:rPr>
          <w:color w:val="000000"/>
          <w:spacing w:val="0"/>
          <w:w w:val="100"/>
          <w:position w:val="0"/>
        </w:rPr>
        <w:t xml:space="preserve">数据脱敏系统解决方案经过不断打磨取得了突破性进展，最新发布了 </w:t>
      </w:r>
      <w:r>
        <w:rPr>
          <w:rFonts w:ascii="Times New Roman" w:eastAsia="Times New Roman" w:hAnsi="Times New Roman" w:cs="Times New Roman"/>
          <w:color w:val="000000"/>
          <w:spacing w:val="0"/>
          <w:w w:val="100"/>
          <w:position w:val="0"/>
          <w:sz w:val="18"/>
          <w:szCs w:val="18"/>
        </w:rPr>
        <w:t>TDMP 3.0</w:t>
      </w:r>
      <w:r>
        <w:rPr>
          <w:color w:val="000000"/>
          <w:spacing w:val="0"/>
          <w:w w:val="100"/>
          <w:position w:val="0"/>
        </w:rPr>
        <w:t>版本，内置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算法明显提升了针对不规则数据敏感信息发现精准度，在行业同类产品中取得领先优势；基于分布 式集群布署模式，能够在复杂环境、</w:t>
      </w:r>
      <w:r>
        <w:rPr>
          <w:rFonts w:ascii="Times New Roman" w:eastAsia="Times New Roman" w:hAnsi="Times New Roman" w:cs="Times New Roman"/>
          <w:color w:val="000000"/>
          <w:spacing w:val="0"/>
          <w:w w:val="100"/>
          <w:position w:val="0"/>
          <w:sz w:val="18"/>
          <w:szCs w:val="18"/>
        </w:rPr>
        <w:t>PB</w:t>
      </w:r>
      <w:r>
        <w:rPr>
          <w:color w:val="000000"/>
          <w:spacing w:val="0"/>
          <w:w w:val="100"/>
          <w:position w:val="0"/>
        </w:rPr>
        <w:t>级海量数据的业务环境中快速、稳定地完成脱敏任务。</w:t>
      </w:r>
      <w:r>
        <w:rPr>
          <w:rFonts w:ascii="Times New Roman" w:eastAsia="Times New Roman" w:hAnsi="Times New Roman" w:cs="Times New Roman"/>
          <w:color w:val="000000"/>
          <w:spacing w:val="0"/>
          <w:w w:val="100"/>
          <w:position w:val="0"/>
          <w:sz w:val="18"/>
          <w:szCs w:val="18"/>
        </w:rPr>
        <w:t>TDMP</w:t>
      </w:r>
      <w:r>
        <w:rPr>
          <w:color w:val="000000"/>
          <w:spacing w:val="0"/>
          <w:w w:val="100"/>
          <w:position w:val="0"/>
        </w:rPr>
        <w:t>以优越的兼容性和高 效、稳定、流畅的运行结果，在报告期内顺利通过华为基于鲲鹏处理器的</w:t>
      </w:r>
      <w:r>
        <w:rPr>
          <w:rFonts w:ascii="Times New Roman" w:eastAsia="Times New Roman" w:hAnsi="Times New Roman" w:cs="Times New Roman"/>
          <w:color w:val="000000"/>
          <w:spacing w:val="0"/>
          <w:w w:val="100"/>
          <w:position w:val="0"/>
          <w:sz w:val="18"/>
          <w:szCs w:val="18"/>
        </w:rPr>
        <w:t>TaiShan200</w:t>
      </w:r>
      <w:r>
        <w:rPr>
          <w:color w:val="000000"/>
          <w:spacing w:val="0"/>
          <w:w w:val="100"/>
          <w:position w:val="0"/>
        </w:rPr>
        <w:t>系列服务器兼容性测试，成为鲲鹏计算 平台用户的首选安全类解决方案。该方案与</w:t>
      </w:r>
      <w:r>
        <w:rPr>
          <w:rFonts w:ascii="Times New Roman" w:eastAsia="Times New Roman" w:hAnsi="Times New Roman" w:cs="Times New Roman"/>
          <w:color w:val="000000"/>
          <w:spacing w:val="0"/>
          <w:w w:val="100"/>
          <w:position w:val="0"/>
          <w:sz w:val="18"/>
          <w:szCs w:val="18"/>
        </w:rPr>
        <w:t xml:space="preserve">TaiShan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服务器的完美结合，一方面丰富了鲲鹏计算产业生态体系，拓展了 相关产品在金融机构、运营商、政府、电商等数据密集型、高敏感型行业的应用；另一方面，也凸显了</w:t>
      </w:r>
      <w:r>
        <w:rPr>
          <w:rFonts w:ascii="Times New Roman" w:eastAsia="Times New Roman" w:hAnsi="Times New Roman" w:cs="Times New Roman"/>
          <w:color w:val="000000"/>
          <w:spacing w:val="0"/>
          <w:w w:val="100"/>
          <w:position w:val="0"/>
          <w:sz w:val="18"/>
          <w:szCs w:val="18"/>
        </w:rPr>
        <w:t>TDMP</w:t>
      </w:r>
      <w:r>
        <w:rPr>
          <w:color w:val="000000"/>
          <w:spacing w:val="0"/>
          <w:w w:val="100"/>
          <w:position w:val="0"/>
        </w:rPr>
        <w:t>数据脱敏系统 解决方案广泛的适配性与易用性，再次证明了公司在数据脱敏领域的创新能力与服务水平。</w:t>
      </w:r>
      <w:r>
        <w:rPr>
          <w:rFonts w:ascii="Times New Roman" w:eastAsia="Times New Roman" w:hAnsi="Times New Roman" w:cs="Times New Roman"/>
          <w:color w:val="000000"/>
          <w:spacing w:val="0"/>
          <w:w w:val="100"/>
          <w:position w:val="0"/>
          <w:sz w:val="18"/>
          <w:szCs w:val="18"/>
        </w:rPr>
        <w:t>TDMP</w:t>
      </w:r>
      <w:r>
        <w:rPr>
          <w:color w:val="000000"/>
          <w:spacing w:val="0"/>
          <w:w w:val="100"/>
          <w:position w:val="0"/>
        </w:rPr>
        <w:t>达到了银河麒麟高级服务 器操作系统</w:t>
      </w:r>
      <w:r>
        <w:rPr>
          <w:rFonts w:ascii="Times New Roman" w:eastAsia="Times New Roman" w:hAnsi="Times New Roman" w:cs="Times New Roman"/>
          <w:color w:val="000000"/>
          <w:spacing w:val="0"/>
          <w:w w:val="100"/>
          <w:position w:val="0"/>
          <w:sz w:val="18"/>
          <w:szCs w:val="18"/>
        </w:rPr>
        <w:t xml:space="preserve">V10 </w:t>
      </w:r>
      <w:r>
        <w:rPr>
          <w:color w:val="000000"/>
          <w:spacing w:val="0"/>
          <w:w w:val="100"/>
          <w:position w:val="0"/>
        </w:rPr>
        <w:t>（鲲鹏版、飞腾版）和中标麒麟高级服务器操作系统软件</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ARM64</w:t>
      </w:r>
      <w:r>
        <w:rPr>
          <w:color w:val="000000"/>
          <w:spacing w:val="0"/>
          <w:w w:val="100"/>
          <w:position w:val="0"/>
        </w:rPr>
        <w:t>版）的通用兼容性邀请及性能、可靠 性要求，满足用户的关键性应用需求，获颁</w:t>
      </w:r>
      <w:r>
        <w:rPr>
          <w:rFonts w:ascii="Times New Roman" w:eastAsia="Times New Roman" w:hAnsi="Times New Roman" w:cs="Times New Roman"/>
          <w:color w:val="000000"/>
          <w:spacing w:val="0"/>
          <w:w w:val="100"/>
          <w:position w:val="0"/>
          <w:sz w:val="18"/>
          <w:szCs w:val="18"/>
        </w:rPr>
        <w:t>NeoCertify</w:t>
      </w:r>
      <w:r>
        <w:rPr>
          <w:color w:val="000000"/>
          <w:spacing w:val="0"/>
          <w:w w:val="100"/>
          <w:position w:val="0"/>
        </w:rPr>
        <w:t>认证，完成了麒麟软件的兼容性测试。此外，</w:t>
      </w:r>
      <w:r>
        <w:rPr>
          <w:rFonts w:ascii="Times New Roman" w:eastAsia="Times New Roman" w:hAnsi="Times New Roman" w:cs="Times New Roman"/>
          <w:color w:val="000000"/>
          <w:spacing w:val="0"/>
          <w:w w:val="100"/>
          <w:position w:val="0"/>
          <w:sz w:val="18"/>
          <w:szCs w:val="18"/>
        </w:rPr>
        <w:t>TDMP</w:t>
      </w:r>
      <w:r>
        <w:rPr>
          <w:color w:val="000000"/>
          <w:spacing w:val="0"/>
          <w:w w:val="100"/>
          <w:position w:val="0"/>
        </w:rPr>
        <w:t>数据脱敏系统成 功通过了公安部计算机信息系统安全产品质量监督检验中心多项高标准、高级别的权威安全测试后，在安徽省农村信用社联 合社年度供应商评比中，以</w:t>
      </w:r>
      <w:r>
        <w:rPr>
          <w:rFonts w:ascii="Times New Roman" w:eastAsia="Times New Roman" w:hAnsi="Times New Roman" w:cs="Times New Roman"/>
          <w:color w:val="000000"/>
          <w:spacing w:val="0"/>
          <w:w w:val="100"/>
          <w:position w:val="0"/>
          <w:sz w:val="18"/>
          <w:szCs w:val="18"/>
        </w:rPr>
        <w:t>92.50</w:t>
      </w:r>
      <w:r>
        <w:rPr>
          <w:color w:val="000000"/>
          <w:spacing w:val="0"/>
          <w:w w:val="100"/>
          <w:position w:val="0"/>
        </w:rPr>
        <w:t>的高分获评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数据服务商身份；为平安科技、平安银行持续提供数据脱敏服务的同时， 公司成功签约平安人寿大数据平台脱敏项目，标志着公司技术实力与服务水平进一步得到了政务、金融等高安全等级行业标 准客户的认可与肯定。此外，</w:t>
      </w:r>
      <w:r>
        <w:rPr>
          <w:rFonts w:ascii="Times New Roman" w:eastAsia="Times New Roman" w:hAnsi="Times New Roman" w:cs="Times New Roman"/>
          <w:color w:val="000000"/>
          <w:spacing w:val="0"/>
          <w:w w:val="100"/>
          <w:position w:val="0"/>
          <w:sz w:val="18"/>
          <w:szCs w:val="18"/>
        </w:rPr>
        <w:t>TDMP</w:t>
      </w:r>
      <w:r>
        <w:rPr>
          <w:color w:val="000000"/>
          <w:spacing w:val="0"/>
          <w:w w:val="100"/>
          <w:position w:val="0"/>
        </w:rPr>
        <w:t>还受到了来自政府、银行、保险、证券、物流运输、制造企业等领域多个头部客户的青 睐，并已正式登陆</w:t>
      </w:r>
      <w:r>
        <w:rPr>
          <w:rFonts w:ascii="Times New Roman" w:eastAsia="Times New Roman" w:hAnsi="Times New Roman" w:cs="Times New Roman"/>
          <w:color w:val="000000"/>
          <w:spacing w:val="0"/>
          <w:w w:val="100"/>
          <w:position w:val="0"/>
          <w:sz w:val="18"/>
          <w:szCs w:val="18"/>
        </w:rPr>
        <w:t>Azure</w:t>
      </w:r>
      <w:r>
        <w:rPr>
          <w:color w:val="000000"/>
          <w:spacing w:val="0"/>
          <w:w w:val="100"/>
          <w:position w:val="0"/>
        </w:rPr>
        <w:t>应用市场，为</w:t>
      </w:r>
      <w:r>
        <w:rPr>
          <w:rFonts w:ascii="Times New Roman" w:eastAsia="Times New Roman" w:hAnsi="Times New Roman" w:cs="Times New Roman"/>
          <w:color w:val="000000"/>
          <w:spacing w:val="0"/>
          <w:w w:val="100"/>
          <w:position w:val="0"/>
          <w:sz w:val="18"/>
          <w:szCs w:val="18"/>
        </w:rPr>
        <w:t>Azure</w:t>
      </w:r>
      <w:r>
        <w:rPr>
          <w:color w:val="000000"/>
          <w:spacing w:val="0"/>
          <w:w w:val="100"/>
          <w:position w:val="0"/>
        </w:rPr>
        <w:t>云端用户提供基于敏感数据脱敏的专业解决方案与系列安全服务。另外，</w:t>
      </w:r>
      <w:r>
        <w:rPr>
          <w:rFonts w:ascii="Times New Roman" w:eastAsia="Times New Roman" w:hAnsi="Times New Roman" w:cs="Times New Roman"/>
          <w:color w:val="000000"/>
          <w:spacing w:val="0"/>
          <w:w w:val="100"/>
          <w:position w:val="0"/>
          <w:sz w:val="18"/>
          <w:szCs w:val="18"/>
        </w:rPr>
        <w:t xml:space="preserve">TDMP </w:t>
      </w:r>
      <w:r>
        <w:rPr>
          <w:color w:val="000000"/>
          <w:spacing w:val="0"/>
          <w:w w:val="100"/>
          <w:position w:val="0"/>
        </w:rPr>
        <w:t>数据脱敏系统在由国家互联网信息办公室、国家发展和改革委员会、工业和信息化部、福建省人民政府主办的第三届数字中 国建设峰会的创新大赛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鲲鹏计算赛道中荣获创新创意奖。</w:t>
      </w:r>
    </w:p>
    <w:p>
      <w:pPr>
        <w:pStyle w:val="Style37"/>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报告期内，公司的客户数据平台</w:t>
      </w:r>
      <w:r>
        <w:rPr>
          <w:rFonts w:ascii="Times New Roman" w:eastAsia="Times New Roman" w:hAnsi="Times New Roman" w:cs="Times New Roman"/>
          <w:color w:val="000000"/>
          <w:spacing w:val="0"/>
          <w:w w:val="100"/>
          <w:position w:val="0"/>
          <w:sz w:val="18"/>
          <w:szCs w:val="18"/>
        </w:rPr>
        <w:t>Bluenic</w:t>
      </w:r>
      <w:r>
        <w:rPr>
          <w:color w:val="000000"/>
          <w:spacing w:val="0"/>
          <w:w w:val="100"/>
          <w:position w:val="0"/>
        </w:rPr>
        <w:t>发布了</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版本，在营销系统中新加入广告数据回流、广告媒体投放、广告交易、 创意内容等模块，帮助客户在数字营销世界寻找新的与客户、潜在客户联结的机会，快速实现针对个性化消费者的市场营销。 </w:t>
      </w:r>
      <w:r>
        <w:rPr>
          <w:color w:val="000000"/>
          <w:spacing w:val="0"/>
          <w:w w:val="100"/>
          <w:position w:val="0"/>
          <w:sz w:val="18"/>
          <w:szCs w:val="18"/>
        </w:rPr>
        <w:t>Bluenic2.0S</w:t>
      </w:r>
      <w:r>
        <w:rPr>
          <w:color w:val="000000"/>
          <w:spacing w:val="0"/>
          <w:w w:val="100"/>
          <w:position w:val="0"/>
        </w:rPr>
        <w:t>经与主流第三方广告平台完成对接，能够帮助企业架设包括抖音、小红书在内的，多媒体营销平台通路，基于 精准的客户画像和灵活群组筛选设置，设计实施基于私有平台的组合式营销推广策略，实现精准营销推广和效果追踪、数据 回流，有效提升广告、活动、营销投放的针对性与营销转化的成功率。另外，基于公司积累的数据及多云管理的技术研发与 服务能力，公司推出了</w:t>
      </w:r>
      <w:r>
        <w:rPr>
          <w:color w:val="000000"/>
          <w:spacing w:val="0"/>
          <w:w w:val="100"/>
          <w:position w:val="0"/>
          <w:sz w:val="18"/>
          <w:szCs w:val="18"/>
        </w:rPr>
        <w:t>Bluem</w:t>
      </w:r>
      <w:r>
        <w:rPr>
          <w:color w:val="000000"/>
          <w:spacing w:val="0"/>
          <w:w w:val="100"/>
          <w:position w:val="0"/>
        </w:rPr>
        <w:t>。多云账单管理平台。该产品旨在为企业用户提供多云环境下的多粒度分账，帮助企业对云账单 进行透视、管理及优化，有效降低成本、提升效率、加强数据安全，将多云部署的优势最大化。</w:t>
      </w:r>
    </w:p>
    <w:p>
      <w:pPr>
        <w:pStyle w:val="Style37"/>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未来，公司将继续加大</w:t>
      </w:r>
      <w:r>
        <w:rPr>
          <w:rFonts w:ascii="Times New Roman" w:eastAsia="Times New Roman" w:hAnsi="Times New Roman" w:cs="Times New Roman"/>
          <w:color w:val="000000"/>
          <w:spacing w:val="0"/>
          <w:w w:val="100"/>
          <w:position w:val="0"/>
          <w:sz w:val="18"/>
          <w:szCs w:val="18"/>
        </w:rPr>
        <w:t>ISV</w:t>
      </w:r>
      <w:r>
        <w:rPr>
          <w:color w:val="000000"/>
          <w:spacing w:val="0"/>
          <w:w w:val="100"/>
          <w:position w:val="0"/>
        </w:rPr>
        <w:t>投入，针对多项行业数字化解决方案进行产品化研发，进一步提升交付管理效率和质量。</w:t>
      </w:r>
    </w:p>
    <w:p>
      <w:pPr>
        <w:pStyle w:val="Style37"/>
        <w:keepNext w:val="0"/>
        <w:keepLines w:val="0"/>
        <w:widowControl w:val="0"/>
        <w:shd w:val="clear" w:color="auto" w:fill="auto"/>
        <w:tabs>
          <w:tab w:pos="674" w:val="left"/>
        </w:tabs>
        <w:bidi w:val="0"/>
        <w:spacing w:before="0" w:after="0" w:line="314" w:lineRule="exact"/>
        <w:ind w:left="0" w:right="0"/>
        <w:jc w:val="both"/>
      </w:pPr>
      <w:bookmarkStart w:id="96" w:name="bookmark96"/>
      <w:r>
        <w:rPr>
          <w:rFonts w:ascii="Times New Roman" w:eastAsia="Times New Roman" w:hAnsi="Times New Roman" w:cs="Times New Roman"/>
          <w:b/>
          <w:bCs/>
          <w:color w:val="000000"/>
          <w:spacing w:val="0"/>
          <w:w w:val="100"/>
          <w:position w:val="0"/>
          <w:sz w:val="18"/>
          <w:szCs w:val="18"/>
        </w:rPr>
        <w:t>3</w:t>
      </w:r>
      <w:bookmarkEnd w:id="96"/>
      <w:r>
        <w:rPr>
          <w:b/>
          <w:bCs/>
          <w:color w:val="000000"/>
          <w:spacing w:val="0"/>
          <w:w w:val="100"/>
          <w:position w:val="0"/>
        </w:rPr>
        <w:t>、</w:t>
        <w:tab/>
        <w:t>联合运营解决方案</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SaaS Hosting</w:t>
      </w:r>
      <w:r>
        <w:rPr>
          <w:b/>
          <w:bCs/>
          <w:color w:val="000000"/>
          <w:spacing w:val="0"/>
          <w:w w:val="100"/>
          <w:position w:val="0"/>
        </w:rPr>
        <w:t>)</w:t>
      </w:r>
    </w:p>
    <w:p>
      <w:pPr>
        <w:pStyle w:val="Style37"/>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年国内企业受疫情影响加快云化习惯培养，</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服务必将成为企业上云的重要抓手，预计未来市场的接受周期会 缩短，伴随企业上云进程不断深入，将进一步加速</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发展。在此背景下，公司继续凭借</w:t>
      </w:r>
      <w:r>
        <w:rPr>
          <w:rFonts w:ascii="Times New Roman" w:eastAsia="Times New Roman" w:hAnsi="Times New Roman" w:cs="Times New Roman"/>
          <w:color w:val="000000"/>
          <w:spacing w:val="0"/>
          <w:w w:val="100"/>
          <w:position w:val="0"/>
          <w:sz w:val="18"/>
          <w:szCs w:val="18"/>
        </w:rPr>
        <w:t>SaaS Hosting</w:t>
      </w:r>
      <w:r>
        <w:rPr>
          <w:color w:val="000000"/>
          <w:spacing w:val="0"/>
          <w:w w:val="100"/>
          <w:position w:val="0"/>
        </w:rPr>
        <w:t>方式聚集国内外最 广泛的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资源，帮助海外</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厂商迅速进入国内市场，以最优化的公有云及其他基础资源配置选择方案，为客户提供更加 高效、快捷、安全的云上服务。</w:t>
      </w:r>
    </w:p>
    <w:p>
      <w:pPr>
        <w:pStyle w:val="Style37"/>
        <w:keepNext w:val="0"/>
        <w:keepLines w:val="0"/>
        <w:widowControl w:val="0"/>
        <w:shd w:val="clear" w:color="auto" w:fill="auto"/>
        <w:bidi w:val="0"/>
        <w:spacing w:before="0" w:after="500" w:line="313" w:lineRule="exact"/>
        <w:ind w:left="0" w:right="0" w:firstLine="440"/>
        <w:jc w:val="both"/>
      </w:pPr>
      <w:r>
        <w:rPr>
          <w:color w:val="000000"/>
          <w:spacing w:val="0"/>
          <w:w w:val="100"/>
          <w:position w:val="0"/>
        </w:rPr>
        <w:t>报告期内，神州数码已正式成为</w:t>
      </w:r>
      <w:r>
        <w:rPr>
          <w:rFonts w:ascii="Times New Roman" w:eastAsia="Times New Roman" w:hAnsi="Times New Roman" w:cs="Times New Roman"/>
          <w:color w:val="000000"/>
          <w:spacing w:val="0"/>
          <w:w w:val="100"/>
          <w:position w:val="0"/>
          <w:sz w:val="18"/>
          <w:szCs w:val="18"/>
        </w:rPr>
        <w:t>Prisma™ Cloud</w:t>
      </w:r>
      <w:r>
        <w:rPr>
          <w:color w:val="000000"/>
          <w:spacing w:val="0"/>
          <w:w w:val="100"/>
          <w:position w:val="0"/>
        </w:rPr>
        <w:t>商业合规版中国区运营服务商，为中国用户的云上旅程提供全方位的安 全保护和服务。此次在中国区域推出的</w:t>
      </w:r>
      <w:r>
        <w:rPr>
          <w:rFonts w:ascii="Times New Roman" w:eastAsia="Times New Roman" w:hAnsi="Times New Roman" w:cs="Times New Roman"/>
          <w:color w:val="000000"/>
          <w:spacing w:val="0"/>
          <w:w w:val="100"/>
          <w:position w:val="0"/>
          <w:sz w:val="18"/>
          <w:szCs w:val="18"/>
        </w:rPr>
        <w:t>Prisma™ Cloud</w:t>
      </w:r>
      <w:r>
        <w:rPr>
          <w:color w:val="000000"/>
          <w:spacing w:val="0"/>
          <w:w w:val="100"/>
          <w:position w:val="0"/>
        </w:rPr>
        <w:t>商业合规版会与全球版本保持一致并同步更新，还将遵循全球统一运 营流程，提供优化的本地服务等级，满足国内云监管与合规的更高标准。同时，公司将基于对国内用户、市场的深刻洞察， 结合自身资源与技术优势，提供本地化运营、</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支持及客户服务等专业的本土服务，保护客户的数据安全。公司也将 持续与更多的海外知名</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厂商进行沟通，希望未来可以为国内的企业级客户带来更多细分领域的优质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产品。另外， </w:t>
      </w:r>
      <w:r>
        <w:rPr>
          <w:rFonts w:ascii="Times New Roman" w:eastAsia="Times New Roman" w:hAnsi="Times New Roman" w:cs="Times New Roman"/>
          <w:color w:val="000000"/>
          <w:spacing w:val="0"/>
          <w:w w:val="100"/>
          <w:position w:val="0"/>
          <w:sz w:val="18"/>
          <w:szCs w:val="18"/>
        </w:rPr>
        <w:t>Rescale</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SaaS Hosting</w:t>
      </w:r>
      <w:r>
        <w:rPr>
          <w:color w:val="000000"/>
          <w:spacing w:val="0"/>
          <w:w w:val="100"/>
          <w:position w:val="0"/>
        </w:rPr>
        <w:t>合作项目亦实现落地。</w:t>
      </w:r>
    </w:p>
    <w:p>
      <w:pPr>
        <w:pStyle w:val="Style37"/>
        <w:keepNext w:val="0"/>
        <w:keepLines w:val="0"/>
        <w:widowControl w:val="0"/>
        <w:shd w:val="clear" w:color="auto" w:fill="auto"/>
        <w:tabs>
          <w:tab w:pos="674" w:val="left"/>
        </w:tabs>
        <w:bidi w:val="0"/>
        <w:spacing w:before="0" w:after="0" w:line="360" w:lineRule="auto"/>
        <w:ind w:left="0" w:right="0"/>
        <w:jc w:val="both"/>
      </w:pPr>
      <w:bookmarkStart w:id="97" w:name="bookmark97"/>
      <w:r>
        <w:rPr>
          <w:rFonts w:ascii="Times New Roman" w:eastAsia="Times New Roman" w:hAnsi="Times New Roman" w:cs="Times New Roman"/>
          <w:b/>
          <w:bCs/>
          <w:color w:val="000000"/>
          <w:spacing w:val="0"/>
          <w:w w:val="100"/>
          <w:position w:val="0"/>
          <w:sz w:val="18"/>
          <w:szCs w:val="18"/>
        </w:rPr>
        <w:t>4</w:t>
      </w:r>
      <w:bookmarkEnd w:id="97"/>
      <w:r>
        <w:rPr>
          <w:b/>
          <w:bCs/>
          <w:color w:val="000000"/>
          <w:spacing w:val="0"/>
          <w:w w:val="100"/>
          <w:position w:val="0"/>
        </w:rPr>
        <w:t>、</w:t>
        <w:tab/>
        <w:t>视频云产品和服务</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新冠疫情改变了公司工作方式，特别是对行业客户的移动视频办公习惯进行了有效培养，视频云随着云计算、人工智 能等新技术的快速迭代发展，在提升沉浸感使用体验的同时，大幅降低了使用成本，已逐渐成为提升企业移动办公效率的重 要工具。在抗疫和复工复产的过程中，公司自有品牌视讯云服务、协同云应用等产品为武汉地区用户提供多项免费服务，有 效支持远程会诊、在线培训、异地探视、应急指挥、火神山和雷神山建设等多个应用场景。</w:t>
      </w:r>
    </w:p>
    <w:p>
      <w:pPr>
        <w:pStyle w:val="Style3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报告期内，公司的视频云产品和服务，特别是自主研发的神州视讯和荟视云享等产品需求均有明显的提升。围绕行业 客户对视频云产品安全的关注特点，公司针对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三方面进行了有针对性的开发和产品整合，主打安全视讯产 品概念。在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方面，公司以先进的技术保障为前提，重点突出防火墙能力，确保会议内容安全；在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方面，公司以运营 商专线物理隔离与互联网</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加密为基础，重点突出量子加密确保传输安全；在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方面，公司以信创战略为出发点，在成 本可控的基础上，重点突出国产芯片与信创技术落地应用。公司通过行业客户经验和技术的积累，结合自主创新能力，为广 大行业客户提供安全的视频云服务和视频云产品，正逐步成为用户不可替代的视讯管家。</w:t>
      </w:r>
    </w:p>
    <w:p>
      <w:pPr>
        <w:pStyle w:val="Style37"/>
        <w:keepNext w:val="0"/>
        <w:keepLines w:val="0"/>
        <w:widowControl w:val="0"/>
        <w:shd w:val="clear" w:color="auto" w:fill="auto"/>
        <w:bidi w:val="0"/>
        <w:spacing w:before="0" w:after="500" w:line="317" w:lineRule="exact"/>
        <w:ind w:left="0" w:right="0" w:firstLine="44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时代的到来，视频云行业海量客户和激增流量，公司也将不断提升技术能力，将云边协同模式在自主研发的视 频云产品中落地实践，通过与中国移动的战略合作关系，借助云边协同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技术，以及边缘计算节点和云上处理能力，为视 频云用户打造全新的体验升级，提供端到端的一站式视频云解决方案和产品。</w:t>
      </w:r>
    </w:p>
    <w:p>
      <w:pPr>
        <w:pStyle w:val="Style37"/>
        <w:keepNext w:val="0"/>
        <w:keepLines w:val="0"/>
        <w:widowControl w:val="0"/>
        <w:shd w:val="clear" w:color="auto" w:fill="auto"/>
        <w:tabs>
          <w:tab w:pos="674" w:val="left"/>
        </w:tabs>
        <w:bidi w:val="0"/>
        <w:spacing w:before="0" w:after="0" w:line="360" w:lineRule="auto"/>
        <w:ind w:left="0" w:right="0"/>
        <w:jc w:val="both"/>
      </w:pPr>
      <w:bookmarkStart w:id="98" w:name="bookmark98"/>
      <w:r>
        <w:rPr>
          <w:rFonts w:ascii="Times New Roman" w:eastAsia="Times New Roman" w:hAnsi="Times New Roman" w:cs="Times New Roman"/>
          <w:b/>
          <w:bCs/>
          <w:color w:val="000000"/>
          <w:spacing w:val="0"/>
          <w:w w:val="100"/>
          <w:position w:val="0"/>
          <w:sz w:val="18"/>
          <w:szCs w:val="18"/>
        </w:rPr>
        <w:t>5</w:t>
      </w:r>
      <w:bookmarkEnd w:id="98"/>
      <w:r>
        <w:rPr>
          <w:b/>
          <w:bCs/>
          <w:color w:val="000000"/>
          <w:spacing w:val="0"/>
          <w:w w:val="100"/>
          <w:position w:val="0"/>
        </w:rPr>
        <w:t>、</w:t>
        <w:tab/>
        <w:t>超算中心云上服务</w:t>
      </w:r>
    </w:p>
    <w:p>
      <w:pPr>
        <w:pStyle w:val="Style37"/>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 xml:space="preserve">报告期内，公司建设运营的首个鲲鹏超算中心正式落地厦门并正式投入运营，其创新性的运营模式，入选首届人民网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科技创新企业优秀案例和由中国电子技术标准化研究院联合相关机构共同编写的《政务云数据中心发展白皮书》。超算 中心项目一期主要采用以鲲鹏处理器为核心的高性能数据中心服务器，提供多核、高密度、高内存通量的算力服务，通过运 用云化计算解决方案，以高性能算力与海量存储为依托，构建起鲲鹏架构的超算平台。超算中心凭借高性能、高吞吐、高集 成、高效能的特性，与厦门市公安局、厦门市信息中心、厦门大学等需求单位签署了合作协议，覆盖了大数据、人工智能、 基因测序、气象环境等多项高性能计算场景。超算中心作为厦门市政府与公司战略合作的实质性落地项目，是双方对国家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新 </w:t>
      </w:r>
      <w:r>
        <w:rPr>
          <w:color w:val="000000"/>
          <w:spacing w:val="0"/>
          <w:w w:val="100"/>
          <w:position w:val="0"/>
        </w:rPr>
        <w:t>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政策号召的有力践行，公司创新性地采用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企业投资建设运营、政府购买服务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的模式，以产业实际需求为导向，为政 府、产业、高校及科研机构等用户提供大数据集群、云搜索、云数据库、三维渲染、微服务、容器等多元化的新型超算服务。 超算中心的云化基础架构，让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按需扩容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成为现实，使超算服务成为中小企业也能负担得起新型服务，突破了传统超算模式 的局限性，在满足市场需求的同时，为超算行业的建设和商业运营模式提供可借鉴、可复制、可推广的范本。</w:t>
      </w:r>
    </w:p>
    <w:p>
      <w:pPr>
        <w:pStyle w:val="Style37"/>
        <w:keepNext w:val="0"/>
        <w:keepLines w:val="0"/>
        <w:widowControl w:val="0"/>
        <w:shd w:val="clear" w:color="auto" w:fill="auto"/>
        <w:tabs>
          <w:tab w:pos="866" w:val="left"/>
        </w:tabs>
        <w:bidi w:val="0"/>
        <w:spacing w:before="0" w:line="314" w:lineRule="exact"/>
        <w:ind w:left="0" w:right="0"/>
        <w:jc w:val="both"/>
      </w:pPr>
      <w:bookmarkStart w:id="99" w:name="bookmark99"/>
      <w:r>
        <w:rPr>
          <w:b/>
          <w:bCs/>
          <w:color w:val="000000"/>
          <w:spacing w:val="0"/>
          <w:w w:val="100"/>
          <w:position w:val="0"/>
        </w:rPr>
        <w:t>（</w:t>
      </w:r>
      <w:bookmarkEnd w:id="99"/>
      <w:r>
        <w:rPr>
          <w:b/>
          <w:bCs/>
          <w:color w:val="000000"/>
          <w:spacing w:val="0"/>
          <w:w w:val="100"/>
          <w:position w:val="0"/>
        </w:rPr>
        <w:t>三）</w:t>
        <w:tab/>
        <w:t>信息技术应用创新业务</w:t>
      </w:r>
    </w:p>
    <w:p>
      <w:pPr>
        <w:pStyle w:val="Style37"/>
        <w:keepNext w:val="0"/>
        <w:keepLines w:val="0"/>
        <w:widowControl w:val="0"/>
        <w:shd w:val="clear" w:color="auto" w:fill="auto"/>
        <w:bidi w:val="0"/>
        <w:spacing w:before="0" w:line="313" w:lineRule="exact"/>
        <w:ind w:left="0" w:right="0" w:firstLine="440"/>
        <w:jc w:val="both"/>
      </w:pPr>
      <w:r>
        <w:rPr>
          <w:color w:val="000000"/>
          <w:spacing w:val="0"/>
          <w:w w:val="100"/>
          <w:position w:val="0"/>
        </w:rPr>
        <w:t>立足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开局之年，信创产业加速落地，已成为推动产业升级和数字经济发展的重要推动力，彰显蓬勃发展强劲 动力并迎来黄金机遇期。据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预测，到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双循环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、科技自立自强战略驱动下，政企持续加速推进数 字化转型，中国数字经济占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的比例将超过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，芯片、数据库、操作系统、人工智能、企业核心应用解决方案等领域的 核心技术将越来越多。公司作为鲲鹏产业生态的核心企业，聚焦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核心技术创新、核心产品研发、核心业务可控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，展开信创 产业全新布局，通过服务器及</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产品生产基地建设的重要实践，正在全面构建从研发、生产、供应链及销售服务、售后服 务的完整软硬件生态配套系统。</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核心技术创新、核心产品研发、核心业务可控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，展开信创产业全新布局，通过服务器及</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产品 生产基地建设的重要实践，正在全面构建从研发、生产、供应链及销售服务、售后服务的完整软硬件生态配套系统。报告期 内，完成了基于鲲鹏架构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的突破，首个鲲鹏</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和服务器生产基地——鲲泰生产基地在厦门动工建设、正式落地投 产，并实现行业端的营销突破及产品交付。公司为鲲泰生产基地搭建的两条智能化产线，采用先进的智能公司研发并发布了 从</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w:t>
      </w:r>
      <w:r>
        <w:rPr>
          <w:color w:val="000000"/>
          <w:spacing w:val="0"/>
          <w:w w:val="100"/>
          <w:position w:val="0"/>
        </w:rPr>
        <w:t>一体机，到支撑云端算力的多样化服务器，以及多样化的解决方案一体机等多种产品，进一步推动核心技术和产品 全面国产化、打造自有品牌端到端全产业链体系。随着神州鲲泰服务器的量产，神州数码已与上百家公司进行了软硬件适配 等相关工作。目前，自有品牌神州鲲泰服务器已在厦门鲲鹏超算中心上架使用，入围中标中国联通、中国移动等运营商的服 务器集采，并在互联网、金融、运营商等行业成功实现营销。此外，在产品适配、产品研发、产学研生态建设等方面，公司 也已展开快速布局，并构建起面向未来的发展基础。</w:t>
      </w:r>
    </w:p>
    <w:p>
      <w:pPr>
        <w:pStyle w:val="Style37"/>
        <w:keepNext w:val="0"/>
        <w:keepLines w:val="0"/>
        <w:widowControl w:val="0"/>
        <w:shd w:val="clear" w:color="auto" w:fill="auto"/>
        <w:bidi w:val="0"/>
        <w:spacing w:before="0" w:line="311" w:lineRule="exact"/>
        <w:ind w:left="0" w:right="0" w:firstLine="440"/>
        <w:jc w:val="both"/>
      </w:pPr>
      <w:r>
        <w:rPr>
          <w:color w:val="000000"/>
          <w:spacing w:val="0"/>
          <w:w w:val="100"/>
          <w:position w:val="0"/>
        </w:rPr>
        <w:t xml:space="preserve">与此同时，公司积极推动信息技术应用创新业务的全方位布局和国产算力产业的协同发展，成为首批签约入驻北京市 经济技术开发区信创园的企业，并加强了与天津飞腾、成都申威、上海兆芯、澜起科技、景嘉微电子等国产厂商在半导体芯 片推广及解决方案领域的深度战略合作，带动公司芯片业务实现较高增长的同时，赋能行业客户数字化转型，推动信创算力 产业生态在各行业领域的长足发展。在构建完整的信创产业生态方面，公司与麒麟软件有限公司、统信软件技术有限公司等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家合作伙伴分别签署合作协议，将在数据库、操作系统、存储等多个领域的展开深度合作，持续完善信创产业链，构筑协 同发展新势能。此外，公司已经开展基于龙芯、飞腾处理器的</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测试，进一步探索深度合作模式。</w:t>
      </w:r>
    </w:p>
    <w:p>
      <w:pPr>
        <w:pStyle w:val="Style37"/>
        <w:keepNext w:val="0"/>
        <w:keepLines w:val="0"/>
        <w:widowControl w:val="0"/>
        <w:shd w:val="clear" w:color="auto" w:fill="auto"/>
        <w:bidi w:val="0"/>
        <w:spacing w:before="0" w:after="380" w:line="319" w:lineRule="exact"/>
        <w:ind w:left="0" w:right="0" w:firstLine="440"/>
        <w:jc w:val="both"/>
      </w:pPr>
      <w:r>
        <w:rPr>
          <w:color w:val="000000"/>
          <w:spacing w:val="0"/>
          <w:w w:val="100"/>
          <w:position w:val="0"/>
        </w:rPr>
        <w:t>公司已与合肥市相关机构签署投资合作协议，合肥建投、合肥滨投、合肥滨湖金融以投后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亿的估值，向信创总部投 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亿现金，持有公司信创总部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的股份，与神州数码共同建设位于综合性国家科学中心城市的信创总部基地，助力公司 迅速扩大信创业务规模，加大研发力度，持续奠定行业地位。</w:t>
      </w:r>
    </w:p>
    <w:p>
      <w:pPr>
        <w:pStyle w:val="Style37"/>
        <w:keepNext w:val="0"/>
        <w:keepLines w:val="0"/>
        <w:widowControl w:val="0"/>
        <w:shd w:val="clear" w:color="auto" w:fill="auto"/>
        <w:tabs>
          <w:tab w:pos="866" w:val="left"/>
        </w:tabs>
        <w:bidi w:val="0"/>
        <w:spacing w:before="0" w:line="314" w:lineRule="exact"/>
        <w:ind w:left="0" w:right="0"/>
        <w:jc w:val="both"/>
      </w:pPr>
      <w:bookmarkStart w:id="100" w:name="bookmark100"/>
      <w:r>
        <w:rPr>
          <w:b/>
          <w:bCs/>
          <w:color w:val="000000"/>
          <w:spacing w:val="0"/>
          <w:w w:val="100"/>
          <w:position w:val="0"/>
        </w:rPr>
        <w:t>（</w:t>
      </w:r>
      <w:bookmarkEnd w:id="100"/>
      <w:r>
        <w:rPr>
          <w:b/>
          <w:bCs/>
          <w:color w:val="000000"/>
          <w:spacing w:val="0"/>
          <w:w w:val="100"/>
          <w:position w:val="0"/>
        </w:rPr>
        <w:t>四）</w:t>
        <w:tab/>
      </w:r>
      <w:r>
        <w:rPr>
          <w:rFonts w:ascii="Times New Roman" w:eastAsia="Times New Roman" w:hAnsi="Times New Roman" w:cs="Times New Roman"/>
          <w:b/>
          <w:bCs/>
          <w:color w:val="000000"/>
          <w:spacing w:val="0"/>
          <w:w w:val="100"/>
          <w:position w:val="0"/>
          <w:sz w:val="18"/>
          <w:szCs w:val="18"/>
        </w:rPr>
        <w:t>IT</w:t>
      </w:r>
      <w:r>
        <w:rPr>
          <w:b/>
          <w:bCs/>
          <w:color w:val="000000"/>
          <w:spacing w:val="0"/>
          <w:w w:val="100"/>
          <w:position w:val="0"/>
        </w:rPr>
        <w:t>分销及增值服务业务</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Gartner</w:t>
      </w:r>
      <w:r>
        <w:rPr>
          <w:color w:val="000000"/>
          <w:spacing w:val="0"/>
          <w:w w:val="100"/>
          <w:position w:val="0"/>
        </w:rPr>
        <w:t>的预测，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支出预计为</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万亿，相比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年，公司全员齐心协力，克服新 冠疫情的不利影响，继续保持了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分销和服务业务的稳健增长。公司持续挖掘新业务增长点，合作的厂商和产品线数量逐年 稳步增加，</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等新业务现领域实高速增长；大华为、</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w:t>
      </w:r>
      <w:r>
        <w:rPr>
          <w:color w:val="000000"/>
          <w:spacing w:val="0"/>
          <w:w w:val="100"/>
          <w:position w:val="0"/>
        </w:rPr>
        <w:t>微电子等业务继续保持良好增长；</w:t>
      </w:r>
      <w:r>
        <w:rPr>
          <w:color w:val="000000"/>
          <w:spacing w:val="0"/>
          <w:w w:val="100"/>
          <w:position w:val="0"/>
          <w:sz w:val="18"/>
          <w:szCs w:val="18"/>
        </w:rPr>
        <w:t>Oracle</w:t>
      </w:r>
      <w:r>
        <w:rPr>
          <w:color w:val="000000"/>
          <w:spacing w:val="0"/>
          <w:w w:val="100"/>
          <w:position w:val="0"/>
        </w:rPr>
        <w:t>、</w:t>
      </w:r>
      <w:r>
        <w:rPr>
          <w:color w:val="000000"/>
          <w:spacing w:val="0"/>
          <w:w w:val="100"/>
          <w:position w:val="0"/>
        </w:rPr>
        <w:t>希捷、斑马物联 网、爱普生、思科、</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F5</w:t>
      </w:r>
      <w:r>
        <w:rPr>
          <w:color w:val="000000"/>
          <w:spacing w:val="0"/>
          <w:w w:val="100"/>
          <w:position w:val="0"/>
        </w:rPr>
        <w:t>等业务继续保持厂商份额绝对领先。</w:t>
      </w:r>
    </w:p>
    <w:p>
      <w:pPr>
        <w:pStyle w:val="Style37"/>
        <w:keepNext w:val="0"/>
        <w:keepLines w:val="0"/>
        <w:widowControl w:val="0"/>
        <w:shd w:val="clear" w:color="auto" w:fill="auto"/>
        <w:bidi w:val="0"/>
        <w:spacing w:before="0" w:line="314" w:lineRule="exact"/>
        <w:ind w:left="0" w:right="0" w:firstLine="440"/>
        <w:jc w:val="both"/>
      </w:pPr>
      <w:r>
        <w:rPr>
          <w:color w:val="000000"/>
          <w:spacing w:val="0"/>
          <w:w w:val="100"/>
          <w:position w:val="0"/>
        </w:rPr>
        <w:t>公司运营水平以及资金使用效率在保持行业领先的基础上继续优化，存货周转率、应收账款周转率、现金周转率等指 标持续提升，现金流保持优异水平。同时，公司进一步加强商机管理和核心渠道建设，提升精细化管理水平，建立基于客户 和渠道的新营销体系，通过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解决方案的共享、技术应用的共研、新业务模式的拓展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，与合作伙伴实现互利共赢，确保传统 业务的长期稳定增长。</w:t>
      </w:r>
    </w:p>
    <w:p>
      <w:pPr>
        <w:pStyle w:val="Style32"/>
        <w:keepNext/>
        <w:keepLines/>
        <w:widowControl w:val="0"/>
        <w:shd w:val="clear" w:color="auto" w:fill="auto"/>
        <w:bidi w:val="0"/>
        <w:spacing w:before="0" w:after="3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二</w:t>
      </w:r>
      <w:bookmarkEnd w:id="103"/>
      <w:r>
        <w:rPr>
          <w:color w:val="000000"/>
          <w:spacing w:val="0"/>
          <w:w w:val="100"/>
          <w:position w:val="0"/>
        </w:rPr>
        <w:t>、主营业务分析</w:t>
      </w:r>
      <w:bookmarkEnd w:id="101"/>
      <w:bookmarkEnd w:id="102"/>
      <w:bookmarkEnd w:id="104"/>
    </w:p>
    <w:p>
      <w:pPr>
        <w:pStyle w:val="Style40"/>
        <w:keepNext/>
        <w:keepLines/>
        <w:widowControl w:val="0"/>
        <w:shd w:val="clear" w:color="auto" w:fill="auto"/>
        <w:tabs>
          <w:tab w:pos="368"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w:t>
        <w:tab/>
        <w:t>概述</w:t>
      </w:r>
      <w:bookmarkEnd w:id="105"/>
      <w:bookmarkEnd w:id="106"/>
      <w:bookmarkEnd w:id="108"/>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0"/>
        <w:keepNext/>
        <w:keepLines/>
        <w:widowControl w:val="0"/>
        <w:shd w:val="clear" w:color="auto" w:fill="auto"/>
        <w:tabs>
          <w:tab w:pos="378"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收入与成本</w:t>
      </w:r>
      <w:bookmarkEnd w:id="109"/>
      <w:bookmarkEnd w:id="110"/>
      <w:bookmarkEnd w:id="112"/>
    </w:p>
    <w:p>
      <w:pPr>
        <w:pStyle w:val="Style47"/>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3"/>
      <w:bookmarkEnd w:id="114"/>
      <w:bookmarkEnd w:id="11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93"/>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92,060,443,406.22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86,803,376,390.13</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88,653,444,617.61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84,706,104,209.20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97.58%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2,666,133,995.12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1,530,551,838.92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727,504,389.80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553,190,728.52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13,360,403.69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13,529,613.49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57,417,498,316.29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55,379,676,822.01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31,235,946,301.32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29,326,427,387.19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2,666,133,995.12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1,530,551,838.92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727,504,389.80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553,190,728.52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13,360,403.69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13,529,613.49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85,356,227,095.09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79,551,095,927.20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91.65%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6,704,216,311.13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7,252,280,462.93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7"/>
      <w:bookmarkEnd w:id="118"/>
      <w:bookmarkEnd w:id="120"/>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9"/>
        <w:gridCol w:w="1560"/>
        <w:gridCol w:w="1070"/>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88,653,444,617.61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85,524,474,005.63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3"/>
        <w:gridCol w:w="1469"/>
        <w:gridCol w:w="1560"/>
        <w:gridCol w:w="1070"/>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57,417,498,316.29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56,105,710,810.93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31,235,946,301.32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29,418,763,194.70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85,356,227,095.09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82,010,328,056.59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3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1"/>
      <w:bookmarkEnd w:id="122"/>
      <w:bookmarkEnd w:id="124"/>
    </w:p>
    <w:p>
      <w:pPr>
        <w:pStyle w:val="Style3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704"/>
        <w:gridCol w:w="1493"/>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88,653,444,617.61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84,706,104,209.20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2,666,133,995.12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1,530,551,838.92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727,504,389.80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553,190,728.52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13,360,403.69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13,529,613.49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云计算及数字化转型本报告期增加的原因主要是国内企业数字化转型快速推进，云计算和数字化转型业务继续保持高速 增长；</w:t>
      </w:r>
    </w:p>
    <w:p>
      <w:pPr>
        <w:pStyle w:val="Style37"/>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自主品牌本报告期增加的原因主要是信创业务的投入，自主品牌业务收入增长。</w:t>
      </w:r>
    </w:p>
    <w:p>
      <w:pPr>
        <w:pStyle w:val="Style47"/>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5"/>
      <w:bookmarkEnd w:id="126"/>
      <w:bookmarkEnd w:id="128"/>
    </w:p>
    <w:p>
      <w:pPr>
        <w:pStyle w:val="Style3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2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9"/>
      <w:bookmarkEnd w:id="130"/>
      <w:bookmarkEnd w:id="132"/>
    </w:p>
    <w:p>
      <w:pPr>
        <w:pStyle w:val="Style3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行业和产品分类</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854"/>
        <w:gridCol w:w="1416"/>
        <w:gridCol w:w="1565"/>
        <w:gridCol w:w="1411"/>
        <w:gridCol w:w="1421"/>
        <w:gridCol w:w="12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85,524,474,005.63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81,619,622,048.35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2,322,170,441.83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1,254,055,322.06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613,280,543.40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437,334,851.26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5,750,198.38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5,638,640.87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bl>
    <w:p>
      <w:pPr>
        <w:widowControl w:val="0"/>
        <w:spacing w:after="79" w:line="1" w:lineRule="exact"/>
      </w:pPr>
    </w:p>
    <w:p>
      <w:pPr>
        <w:pStyle w:val="Style37"/>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704"/>
        <w:gridCol w:w="1037"/>
        <w:gridCol w:w="1517"/>
        <w:gridCol w:w="1219"/>
        <w:gridCol w:w="1474"/>
        <w:gridCol w:w="1421"/>
        <w:gridCol w:w="12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56,105,710,810.93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54,076,436,990.22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29,418,763,194.70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27,543,185,058.13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2,322,170,441.83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1,254,055,322.06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613,280,543.40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437,334,851.26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5,750,198.38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5,638,640.87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bl>
    <w:p>
      <w:pPr>
        <w:pStyle w:val="Style37"/>
        <w:keepNext w:val="0"/>
        <w:keepLines w:val="0"/>
        <w:widowControl w:val="0"/>
        <w:shd w:val="clear" w:color="auto" w:fill="auto"/>
        <w:bidi w:val="0"/>
        <w:spacing w:before="0" w:after="80" w:line="307" w:lineRule="exact"/>
        <w:ind w:left="0" w:right="0" w:firstLine="0"/>
        <w:jc w:val="left"/>
      </w:pPr>
      <w:r>
        <w:rPr>
          <w:color w:val="000000"/>
          <w:spacing w:val="0"/>
          <w:w w:val="100"/>
          <w:position w:val="0"/>
        </w:rPr>
        <w:t>说明</w:t>
      </w:r>
    </w:p>
    <w:p>
      <w:pPr>
        <w:pStyle w:val="Style3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3"/>
      <w:bookmarkEnd w:id="134"/>
      <w:bookmarkEnd w:id="136"/>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7"/>
        <w:keepNext w:val="0"/>
        <w:keepLines w:val="0"/>
        <w:widowControl w:val="0"/>
        <w:shd w:val="clear" w:color="auto" w:fill="auto"/>
        <w:bidi w:val="0"/>
        <w:spacing w:before="0" w:after="380" w:line="307" w:lineRule="exact"/>
        <w:ind w:left="0" w:right="0" w:firstLine="300"/>
        <w:jc w:val="left"/>
      </w:pPr>
      <w:r>
        <w:rPr>
          <w:color w:val="000000"/>
          <w:spacing w:val="0"/>
          <w:w w:val="100"/>
          <w:position w:val="0"/>
        </w:rPr>
        <w:t>本年因设立新增神州鲲泰（厦门）信息技术有限公司、神州信创（北京）集团有限公司、神州信创（厦门）研究院有限 公司、武汉神州数码云创新科技有限公司、重庆神州智享信息技术有限公司、厦门神州数码云计算有限公司、</w:t>
      </w:r>
      <w:r>
        <w:rPr>
          <w:rFonts w:ascii="Times New Roman" w:eastAsia="Times New Roman" w:hAnsi="Times New Roman" w:cs="Times New Roman"/>
          <w:color w:val="000000"/>
          <w:spacing w:val="0"/>
          <w:w w:val="100"/>
          <w:position w:val="0"/>
          <w:sz w:val="18"/>
          <w:szCs w:val="18"/>
        </w:rPr>
        <w:t>Digital China Cloud Singapore Pte.Ltd</w:t>
      </w:r>
      <w:r>
        <w:rPr>
          <w:color w:val="000000"/>
          <w:spacing w:val="0"/>
          <w:w w:val="100"/>
          <w:position w:val="0"/>
        </w:rPr>
        <w:t>。</w:t>
      </w:r>
    </w:p>
    <w:p>
      <w:pPr>
        <w:pStyle w:val="Style47"/>
        <w:keepNext/>
        <w:keepLines/>
        <w:widowControl w:val="0"/>
        <w:shd w:val="clear" w:color="auto" w:fill="auto"/>
        <w:bidi w:val="0"/>
        <w:spacing w:before="0" w:line="240" w:lineRule="auto"/>
        <w:ind w:left="0" w:right="0" w:firstLine="14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公司报告期内业务、产品或服务发生重大变化或调整有关情况</w:t>
      </w:r>
      <w:bookmarkEnd w:id="137"/>
      <w:bookmarkEnd w:id="138"/>
      <w:bookmarkEnd w:id="140"/>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14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1"/>
      <w:bookmarkEnd w:id="142"/>
      <w:bookmarkEnd w:id="144"/>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29,836,663,139.19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26,157,864,401.61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1,185,313,281.87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992,498,561.37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753,393,854.34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747,593,039.99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29,836,663,139.19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54,725,639,008.00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21,507,843,160.00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12,161,752,558.00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8,319,498,220.00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6,617,144,170.00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6,119,400,901.00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5.90%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54,725,639,008.00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53.10%</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7"/>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40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1,769,346,583.68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1,698,215,203.52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238,509,366.95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264,454,079.15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195,811,841.57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490,287,007.09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主要原因是本报告期人民币升值，形 成汇兑收益；</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181,767,255.95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145,505,051.85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主要原因是本报告期加大云业务及 信创业务研发投入所致；</w:t>
            </w:r>
          </w:p>
        </w:tc>
      </w:tr>
    </w:tbl>
    <w:p>
      <w:pPr>
        <w:widowControl w:val="0"/>
        <w:spacing w:after="339" w:line="1" w:lineRule="exact"/>
      </w:pPr>
    </w:p>
    <w:p>
      <w:pPr>
        <w:pStyle w:val="Style40"/>
        <w:keepNext/>
        <w:keepLines/>
        <w:widowControl w:val="0"/>
        <w:shd w:val="clear" w:color="auto" w:fill="auto"/>
        <w:bidi w:val="0"/>
        <w:spacing w:before="0" w:after="2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37"/>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40" w:line="309" w:lineRule="exact"/>
        <w:ind w:left="0" w:right="0" w:firstLine="300"/>
        <w:jc w:val="both"/>
      </w:pPr>
      <w:r>
        <w:rPr>
          <w:color w:val="000000"/>
          <w:spacing w:val="0"/>
          <w:w w:val="100"/>
          <w:position w:val="0"/>
        </w:rPr>
        <w:t>基于多年服务行业头部客户积累的强大技术实力与丰富经验，公司持续为包括零售、快消、汽车、文旅、金融等行业世 界五百强企业在内的广大客户提供以物联网、大数据、云计算、人工智能等技术为基础且可复制性高的数字化解决方案。公 司围绕数据获取、数据计算、数据存储、数据管理和数据分析这一完整大数据产业链，对应性地构建并完善了从数据获取到 数据应用的全方位大数据解决方案，有效地赋能零售、酒店、汽车等行业客户提升经营效率，包括超算方案、数据脱敏解决 方案、零售行业数据建模分析方案、酒店行业数字化解决方案、汽车行业数字化解决方案、智能仓储解决方案等。本报告期 内，公司与研发有关的支出共计</w:t>
      </w:r>
      <w:r>
        <w:rPr>
          <w:rFonts w:ascii="Times New Roman" w:eastAsia="Times New Roman" w:hAnsi="Times New Roman" w:cs="Times New Roman"/>
          <w:color w:val="000000"/>
          <w:spacing w:val="0"/>
          <w:w w:val="100"/>
          <w:position w:val="0"/>
          <w:sz w:val="18"/>
          <w:szCs w:val="18"/>
        </w:rPr>
        <w:t>18,176.73</w:t>
      </w:r>
      <w:r>
        <w:rPr>
          <w:color w:val="000000"/>
          <w:spacing w:val="0"/>
          <w:w w:val="100"/>
          <w:position w:val="0"/>
        </w:rPr>
        <w:t>万元，占公司营业收入的</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w:t>
      </w:r>
    </w:p>
    <w:p>
      <w:pPr>
        <w:pStyle w:val="Style37"/>
        <w:keepNext w:val="0"/>
        <w:keepLines w:val="0"/>
        <w:widowControl w:val="0"/>
        <w:shd w:val="clear" w:color="auto" w:fill="auto"/>
        <w:bidi w:val="0"/>
        <w:spacing w:before="0" w:after="200" w:line="309" w:lineRule="exact"/>
        <w:ind w:left="0" w:right="0" w:firstLine="0"/>
        <w:jc w:val="left"/>
      </w:pPr>
      <w:r>
        <w:rPr>
          <w:color w:val="000000"/>
          <w:spacing w:val="0"/>
          <w:w w:val="100"/>
          <w:position w:val="0"/>
        </w:rPr>
        <w:t>公司研发投入情况</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181,767,255.95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147,643,269.20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101,325,601,327.67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98,751,024,672.07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99,868,681,184.11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97,251,395,971.75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1,456,920,143.56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1,499,628,700.32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63,807,542.34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310,838,610.40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520,453,906.23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199,522,421.08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-456,646,363.89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111,316,189.32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19,218,076,001.80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20,375,933,593.59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19,927,829,712.03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19,889,239,288.81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-709,753,710.23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486,694,304.78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262,775,221.57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2,096,654,243.65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w:t>
            </w:r>
          </w:p>
        </w:tc>
      </w:tr>
    </w:tbl>
    <w:p>
      <w:pPr>
        <w:pStyle w:val="Style37"/>
        <w:keepNext w:val="0"/>
        <w:keepLines w:val="0"/>
        <w:widowControl w:val="0"/>
        <w:shd w:val="clear" w:color="auto" w:fill="auto"/>
        <w:bidi w:val="0"/>
        <w:spacing w:before="0" w:after="140" w:line="370" w:lineRule="exact"/>
        <w:ind w:left="0" w:right="0" w:firstLine="0"/>
        <w:jc w:val="left"/>
      </w:pPr>
      <w:r>
        <w:rPr>
          <w:color w:val="000000"/>
          <w:spacing w:val="0"/>
          <w:w w:val="100"/>
          <w:position w:val="0"/>
        </w:rPr>
        <w:t>相关数据同比发生重大变动的主要影响因素说明</w:t>
      </w:r>
    </w:p>
    <w:p>
      <w:pPr>
        <w:pStyle w:val="Style37"/>
        <w:keepNext w:val="0"/>
        <w:keepLines w:val="0"/>
        <w:widowControl w:val="0"/>
        <w:shd w:val="clear" w:color="auto" w:fill="auto"/>
        <w:bidi w:val="0"/>
        <w:spacing w:before="0" w:after="0" w:line="43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tabs>
          <w:tab w:pos="445" w:val="left"/>
        </w:tabs>
        <w:bidi w:val="0"/>
        <w:spacing w:before="0" w:after="0" w:line="240" w:lineRule="auto"/>
        <w:ind w:left="0" w:right="0" w:firstLine="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投资活动产生的现金流量净额同比减少</w:t>
      </w:r>
      <w:r>
        <w:rPr>
          <w:rFonts w:ascii="Times New Roman" w:eastAsia="Times New Roman" w:hAnsi="Times New Roman" w:cs="Times New Roman"/>
          <w:color w:val="000000"/>
          <w:spacing w:val="0"/>
          <w:w w:val="100"/>
          <w:position w:val="0"/>
          <w:sz w:val="18"/>
          <w:szCs w:val="18"/>
        </w:rPr>
        <w:t>510.22%</w:t>
      </w:r>
      <w:r>
        <w:rPr>
          <w:color w:val="000000"/>
          <w:spacing w:val="0"/>
          <w:w w:val="100"/>
          <w:position w:val="0"/>
        </w:rPr>
        <w:t>，主要原因是去年同期出售参股公司，确认现金流入。</w:t>
      </w:r>
    </w:p>
    <w:p>
      <w:pPr>
        <w:pStyle w:val="Style37"/>
        <w:keepNext w:val="0"/>
        <w:keepLines w:val="0"/>
        <w:widowControl w:val="0"/>
        <w:shd w:val="clear" w:color="auto" w:fill="auto"/>
        <w:tabs>
          <w:tab w:pos="541" w:val="left"/>
        </w:tabs>
        <w:bidi w:val="0"/>
        <w:spacing w:before="0" w:after="140" w:line="370" w:lineRule="exact"/>
        <w:ind w:left="0" w:right="0" w:firstLine="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sz w:val="18"/>
          <w:szCs w:val="18"/>
        </w:rPr>
        <w:t>245.83%</w:t>
      </w:r>
      <w:r>
        <w:rPr>
          <w:color w:val="000000"/>
          <w:spacing w:val="0"/>
          <w:w w:val="100"/>
          <w:position w:val="0"/>
        </w:rPr>
        <w:t>,主要原因是根据整体融资需求降低借款规模。 报告期内公司经营活动产生的现金净流量与本年度净利润存在重大差异的原因说明</w:t>
      </w:r>
    </w:p>
    <w:p>
      <w:pPr>
        <w:pStyle w:val="Style37"/>
        <w:keepNext w:val="0"/>
        <w:keepLines w:val="0"/>
        <w:widowControl w:val="0"/>
        <w:shd w:val="clear" w:color="auto" w:fill="auto"/>
        <w:bidi w:val="0"/>
        <w:spacing w:before="0" w:after="0" w:line="43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80" w:line="370" w:lineRule="exact"/>
        <w:ind w:left="0" w:right="0" w:firstLine="0"/>
        <w:jc w:val="left"/>
        <w:rPr>
          <w:sz w:val="18"/>
          <w:szCs w:val="18"/>
        </w:rPr>
      </w:pPr>
      <w:r>
        <w:rPr>
          <w:color w:val="000000"/>
          <w:spacing w:val="0"/>
          <w:w w:val="100"/>
          <w:position w:val="0"/>
          <w:sz w:val="17"/>
          <w:szCs w:val="17"/>
        </w:rPr>
        <w:t>差异情况详见本报告第十二节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7"/>
          <w:szCs w:val="17"/>
        </w:rPr>
        <w:t>、现金流量表补充资料</w:t>
      </w:r>
      <w:r>
        <w:rPr>
          <w:rFonts w:ascii="Times New Roman" w:eastAsia="Times New Roman" w:hAnsi="Times New Roman" w:cs="Times New Roman"/>
          <w:color w:val="000000"/>
          <w:spacing w:val="0"/>
          <w:w w:val="100"/>
          <w:position w:val="0"/>
          <w:sz w:val="18"/>
          <w:szCs w:val="18"/>
        </w:rPr>
        <w:t>”</w:t>
      </w:r>
    </w:p>
    <w:p>
      <w:pPr>
        <w:pStyle w:val="Style32"/>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三</w:t>
      </w:r>
      <w:bookmarkEnd w:id="161"/>
      <w:r>
        <w:rPr>
          <w:color w:val="000000"/>
          <w:spacing w:val="0"/>
          <w:w w:val="100"/>
          <w:position w:val="0"/>
        </w:rPr>
        <w:t>、非主营业务分析</w:t>
      </w:r>
      <w:bookmarkEnd w:id="159"/>
      <w:bookmarkEnd w:id="160"/>
      <w:bookmarkEnd w:id="162"/>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26"/>
        <w:gridCol w:w="1915"/>
        <w:gridCol w:w="1627"/>
        <w:gridCol w:w="2731"/>
        <w:gridCol w:w="178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-109,396,819.64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主要是衍生品公允价值变动；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-84,209,133.11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主要是衍生品公允价值变动；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21,093,299.71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主要是存货削价；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14,745,429.25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主要是收到的与日常经营活动无 关的政府补助；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98,594,087.45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主要是计提预计负债；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39,238,111.23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主要是收到的与日常经营活动相 关政府补助；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-86,526,484.12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主要计提应收坏账准备金；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四</w:t>
      </w:r>
      <w:bookmarkEnd w:id="165"/>
      <w:r>
        <w:rPr>
          <w:color w:val="000000"/>
          <w:spacing w:val="0"/>
          <w:w w:val="100"/>
          <w:position w:val="0"/>
        </w:rPr>
        <w:t>、资产及负债状况分析</w:t>
      </w:r>
      <w:bookmarkEnd w:id="163"/>
      <w:bookmarkEnd w:id="164"/>
      <w:bookmarkEnd w:id="166"/>
    </w:p>
    <w:p>
      <w:pPr>
        <w:pStyle w:val="Style40"/>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998"/>
        <w:gridCol w:w="1416"/>
        <w:gridCol w:w="994"/>
        <w:gridCol w:w="1387"/>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730,146,171.91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主要原因是本报告期深圳土地项目 工程投入增加；</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9,461,489,844.04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9,691,753,164.15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主要原因是本报告期根据整体资金 需求降低借款规模；</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、以公允价值计量的资产和负债</w:t>
      </w:r>
      <w:bookmarkEnd w:id="171"/>
      <w:bookmarkEnd w:id="172"/>
      <w:bookmarkEnd w:id="174"/>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04"/>
        <w:gridCol w:w="1310"/>
        <w:gridCol w:w="1133"/>
        <w:gridCol w:w="1138"/>
        <w:gridCol w:w="850"/>
        <w:gridCol w:w="1018"/>
        <w:gridCol w:w="1109"/>
        <w:gridCol w:w="710"/>
        <w:gridCol w:w="1210"/>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6,193,221.28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7,717,771.78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13,910,993.06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104"/>
        <w:gridCol w:w="1310"/>
        <w:gridCol w:w="1133"/>
        <w:gridCol w:w="1138"/>
        <w:gridCol w:w="850"/>
        <w:gridCol w:w="1018"/>
        <w:gridCol w:w="1109"/>
        <w:gridCol w:w="710"/>
        <w:gridCol w:w="1210"/>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27,085,995.00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13,489,457.32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5,935,722.75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4,551,076.58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45,126,528.90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应收款项融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391,954,244.02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845,769.47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-4,041,691.33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22,501,817.12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370,298,196.37</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429,673,460.30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23,628,998.57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1,894,031.42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6,651,076.58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36,412,810.18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423,540,725.27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22,085,412.30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93,502,904.89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86,483,847.90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29,104,469.29</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、截至报告期末的资产权利受限情况</w:t>
      </w:r>
      <w:bookmarkEnd w:id="175"/>
      <w:bookmarkEnd w:id="176"/>
      <w:bookmarkEnd w:id="178"/>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详情见本报告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第十二节财务报告、七、合并财务报表项目注释、</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五</w:t>
      </w:r>
      <w:bookmarkEnd w:id="181"/>
      <w:r>
        <w:rPr>
          <w:color w:val="000000"/>
          <w:spacing w:val="0"/>
          <w:w w:val="100"/>
          <w:position w:val="0"/>
        </w:rPr>
        <w:t>、投资状况</w:t>
      </w:r>
      <w:bookmarkEnd w:id="179"/>
      <w:bookmarkEnd w:id="180"/>
      <w:bookmarkEnd w:id="182"/>
    </w:p>
    <w:p>
      <w:pPr>
        <w:pStyle w:val="Style40"/>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1,083,329,455.08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1,135,055,094.45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bl>
    <w:p>
      <w:pPr>
        <w:sectPr>
          <w:footnotePr>
            <w:pos w:val="pageBottom"/>
            <w:numFmt w:val="decimal"/>
            <w:numRestart w:val="continuous"/>
          </w:footnotePr>
          <w:pgSz w:w="11900" w:h="16840"/>
          <w:pgMar w:top="1383" w:right="1050" w:bottom="1441" w:left="1063" w:header="0" w:footer="3" w:gutter="0"/>
          <w:cols w:space="720"/>
          <w:noEndnote/>
          <w:rtlGutter w:val="0"/>
          <w:docGrid w:linePitch="360"/>
        </w:sectPr>
      </w:pPr>
    </w:p>
    <w:p>
      <w:pPr>
        <w:pStyle w:val="Style40"/>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、报告期内获取的重大的股权投资情况</w:t>
      </w:r>
      <w:bookmarkEnd w:id="187"/>
      <w:bookmarkEnd w:id="188"/>
      <w:bookmarkEnd w:id="190"/>
    </w:p>
    <w:p>
      <w:pPr>
        <w:pStyle w:val="Style3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917"/>
        <w:gridCol w:w="917"/>
        <w:gridCol w:w="917"/>
        <w:gridCol w:w="1181"/>
        <w:gridCol w:w="922"/>
        <w:gridCol w:w="912"/>
        <w:gridCol w:w="917"/>
        <w:gridCol w:w="922"/>
        <w:gridCol w:w="917"/>
        <w:gridCol w:w="917"/>
        <w:gridCol w:w="917"/>
        <w:gridCol w:w="917"/>
        <w:gridCol w:w="917"/>
        <w:gridCol w:w="917"/>
        <w:gridCol w:w="926"/>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投资期限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截至资产 负债表日 的进展情</w:t>
            </w:r>
          </w:p>
          <w:p>
            <w:pPr>
              <w:pStyle w:val="Style28"/>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本期投资</w:t>
            </w:r>
          </w:p>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盈亏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是否涉诉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3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合肥神州 数码信创 控股有限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信创产品 的研发、生 产及软件 开发、软件 适配等信 创业务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合肥市建 设投资控 股（集团） 有限公司、 合肥市滨 湖新区建 设投资有 限公司、合 肥滨湖金 融投资集 团有限公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信创产品 的研发、生 产等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与合作方 签署了《投 资合作协 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巨潮资讯 网，公告编 号</w:t>
            </w:r>
          </w:p>
          <w:p>
            <w:pPr>
              <w:pStyle w:val="Style2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380" w:line="315"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日公司董事会审议通过了《关于签署信创总部基地项目投资合作协议的议案》，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月合肥神州数码信创控股有限公司设立。截至披露日，公司已按 照《投资合作协议》约定通过重组将公司信创业务置入合肥神州数码信创控股有限公司。合肥市建设投资控股（集团）有限公司、合肥市滨湖新区建设投资有限公司、合肥滨湖金 融投资集团有限公司已按照《投资合作协议》完成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的增资共计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亿元人民币。合肥神州数码信创控股有限公司已完成工商变更，将合肥市建设投资控股（集团）有限公司、 合肥市滨湖新区建设投资有限公司、合肥滨湖金融投资集团有限公司登记为股东。</w:t>
      </w:r>
    </w:p>
    <w:p>
      <w:pPr>
        <w:pStyle w:val="Style40"/>
        <w:keepNext/>
        <w:keepLines/>
        <w:widowControl w:val="0"/>
        <w:shd w:val="clear" w:color="auto" w:fill="auto"/>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、报告期内正在进行的重大的非股权投资情况</w:t>
      </w:r>
      <w:bookmarkEnd w:id="191"/>
      <w:bookmarkEnd w:id="192"/>
      <w:bookmarkEnd w:id="194"/>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046"/>
        <w:gridCol w:w="1051"/>
        <w:gridCol w:w="1046"/>
        <w:gridCol w:w="1046"/>
        <w:gridCol w:w="1181"/>
        <w:gridCol w:w="1315"/>
        <w:gridCol w:w="1051"/>
        <w:gridCol w:w="1046"/>
        <w:gridCol w:w="1046"/>
        <w:gridCol w:w="1051"/>
        <w:gridCol w:w="1046"/>
        <w:gridCol w:w="1051"/>
        <w:gridCol w:w="1051"/>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是否为固定 资产投资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投资项目涉</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及行业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截至报告期末累 计实际投入金额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项目进度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 末累计实现 的收益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 进度和预计 收益的原因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披露日期（如 有）</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披露索引</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深圳湾超级 总部基地</w:t>
            </w:r>
          </w:p>
          <w:p>
            <w:pPr>
              <w:pStyle w:val="Style28"/>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T207-0052</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地块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自建总部基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619,818,401.33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5,137,419,120.19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619,818,401.33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5,137,419,120.19</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、金融资产投资</w:t>
      </w:r>
      <w:bookmarkEnd w:id="195"/>
      <w:bookmarkEnd w:id="196"/>
      <w:bookmarkEnd w:id="198"/>
    </w:p>
    <w:p>
      <w:pPr>
        <w:pStyle w:val="Style47"/>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9"/>
      <w:bookmarkEnd w:id="200"/>
      <w:bookmarkEnd w:id="202"/>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864"/>
        <w:gridCol w:w="946"/>
        <w:gridCol w:w="802"/>
        <w:gridCol w:w="1181"/>
        <w:gridCol w:w="859"/>
        <w:gridCol w:w="1090"/>
        <w:gridCol w:w="1090"/>
        <w:gridCol w:w="1003"/>
        <w:gridCol w:w="1181"/>
        <w:gridCol w:w="1181"/>
        <w:gridCol w:w="998"/>
        <w:gridCol w:w="1094"/>
        <w:gridCol w:w="854"/>
        <w:gridCol w:w="88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最初投资成本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会计计量 模式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期初账面价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期末账面价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境内外股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29,220,402.41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27,085,995.00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13,489,457.32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5,935,722.75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4,551,076.58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665,445.00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45,126,528.90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工具投资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国家开发 银行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战疫专题 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2301192002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天添利普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惠计划</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115,236.34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p>
      <w:pPr>
        <w:spacing w:lineRule="exact" w:line="1"/>
        <w:rPr>
          <w:sz w:val="2"/>
          <w:szCs w:val="2"/>
        </w:rPr>
      </w:pPr>
      <w:r>
        <w:br w:type="page"/>
      </w:r>
    </w:p>
    <w:tbl>
      <w:tblPr>
        <w:tblOverlap w:val="never"/>
        <w:jc w:val="center"/>
        <w:tblLayout w:type="fixed"/>
      </w:tblPr>
      <w:tblGrid>
        <w:gridCol w:w="864"/>
        <w:gridCol w:w="946"/>
        <w:gridCol w:w="797"/>
        <w:gridCol w:w="1186"/>
        <w:gridCol w:w="859"/>
        <w:gridCol w:w="1090"/>
        <w:gridCol w:w="1090"/>
        <w:gridCol w:w="1003"/>
        <w:gridCol w:w="1181"/>
        <w:gridCol w:w="1181"/>
        <w:gridCol w:w="998"/>
        <w:gridCol w:w="1094"/>
        <w:gridCol w:w="854"/>
        <w:gridCol w:w="888"/>
      </w:tblGrid>
      <w:tr>
        <w:trPr>
          <w:trHeight w:val="10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证券简称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最初投资成本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会计计量 模式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期初账面价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期末账面价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资金来源</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中航信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天玑 汇财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债券投资 集合资金 信托计划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318,493.15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9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中航信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天启 </w:t>
            </w:r>
            <w:r>
              <w:rPr>
                <w:rFonts w:ascii="Times New Roman" w:eastAsia="Times New Roman" w:hAnsi="Times New Roman" w:cs="Times New Roman"/>
                <w:color w:val="000000"/>
                <w:spacing w:val="0"/>
                <w:w w:val="100"/>
                <w:position w:val="0"/>
                <w:sz w:val="18"/>
                <w:szCs w:val="18"/>
              </w:rPr>
              <w:t>328</w:t>
            </w:r>
            <w:r>
              <w:rPr>
                <w:color w:val="000000"/>
                <w:spacing w:val="0"/>
                <w:w w:val="100"/>
                <w:position w:val="0"/>
              </w:rPr>
              <w:t>号天 玑聚富集 合资金信 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478,626.53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234,320,402.41</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27,085,995.00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13,489,457.32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5,935,722.75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250,151,076.58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1,577,801.02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45,226,528.90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证券投资审批董事会公告披露日 期</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gridSpan w:val="3"/>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证券投资审批股东会公告披露日 期(如有</w:t>
            </w:r>
            <w:r>
              <w:rPr>
                <w:color w:val="000000"/>
                <w:spacing w:val="0"/>
                <w:w w:val="100"/>
                <w:position w:val="0"/>
                <w:sz w:val="18"/>
                <w:szCs w:val="18"/>
              </w:rPr>
              <w:t>)</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13" w:hRule="exact"/>
        </w:trPr>
        <w:tc>
          <w:tcPr>
            <w:gridSpan w:val="3"/>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19" w:line="1" w:lineRule="exact"/>
      </w:pPr>
    </w:p>
    <w:p>
      <w:pPr>
        <w:pStyle w:val="Style47"/>
        <w:keepNext/>
        <w:keepLines/>
        <w:widowControl w:val="0"/>
        <w:numPr>
          <w:ilvl w:val="0"/>
          <w:numId w:val="1"/>
        </w:numPr>
        <w:shd w:val="clear" w:color="auto" w:fill="auto"/>
        <w:bidi w:val="0"/>
        <w:spacing w:before="0" w:line="240" w:lineRule="auto"/>
        <w:ind w:left="0" w:right="0" w:firstLine="140"/>
        <w:jc w:val="left"/>
      </w:pPr>
      <w:bookmarkStart w:id="203" w:name="bookmark203"/>
      <w:bookmarkStart w:id="204" w:name="bookmark204"/>
      <w:bookmarkStart w:id="205" w:name="bookmark205"/>
      <w:bookmarkStart w:id="206" w:name="bookmark206"/>
      <w:bookmarkEnd w:id="205"/>
      <w:r>
        <w:rPr>
          <w:color w:val="000000"/>
          <w:spacing w:val="0"/>
          <w:w w:val="100"/>
          <w:position w:val="0"/>
        </w:rPr>
        <w:t>衍生品投资情况</w:t>
      </w:r>
      <w:bookmarkEnd w:id="203"/>
      <w:bookmarkEnd w:id="204"/>
      <w:bookmarkEnd w:id="206"/>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50"/>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衍生品投资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衍生品投资 初始投资金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计提减值准 备金额（如</w:t>
            </w:r>
          </w:p>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right"/>
            </w:pPr>
            <w:r>
              <w:rPr>
                <w:color w:val="000000"/>
                <w:spacing w:val="0"/>
                <w:w w:val="100"/>
                <w:position w:val="0"/>
              </w:rPr>
              <w:t>报告期实 际损益金</w:t>
            </w:r>
          </w:p>
          <w:p>
            <w:pPr>
              <w:pStyle w:val="Style28"/>
              <w:keepNext w:val="0"/>
              <w:keepLines w:val="0"/>
              <w:widowControl w:val="0"/>
              <w:shd w:val="clear" w:color="auto" w:fill="auto"/>
              <w:bidi w:val="0"/>
              <w:spacing w:before="0" w:after="0" w:line="298" w:lineRule="exact"/>
              <w:ind w:left="0" w:right="320" w:firstLine="0"/>
              <w:jc w:val="righ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78.97</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869.75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-241.08</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313.01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128.96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4,828.19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93.16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7,603.67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7,603.67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161.62</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-625.12</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-565.41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331.48</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256.3</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50"/>
      </w:tblGrid>
      <w:tr>
        <w:trPr>
          <w:trHeight w:val="137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衍生品投资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衍生品投资 初始投资金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计提减值准 备金额（如</w:t>
            </w:r>
          </w:p>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报告期实 际损益金</w:t>
            </w:r>
          </w:p>
          <w:p>
            <w:pPr>
              <w:pStyle w:val="Style28"/>
              <w:keepNext w:val="0"/>
              <w:keepLines w:val="0"/>
              <w:widowControl w:val="0"/>
              <w:shd w:val="clear" w:color="auto" w:fill="auto"/>
              <w:bidi w:val="0"/>
              <w:spacing w:before="0" w:after="0" w:line="298" w:lineRule="exact"/>
              <w:ind w:left="0" w:right="320" w:firstLine="0"/>
              <w:jc w:val="righ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307.38</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-848.29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-1,280.33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256.26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-1,294.15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-1,803.78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-1,657.46</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2,308.27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-195.42</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7,707.75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-652.56</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50"/>
      </w:tblGrid>
      <w:tr>
        <w:trPr>
          <w:trHeight w:val="137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衍生品投资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衍生品投资 初始投资金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计提减值准 备金额（如</w:t>
            </w:r>
          </w:p>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报告期实 际损益金</w:t>
            </w:r>
          </w:p>
          <w:p>
            <w:pPr>
              <w:pStyle w:val="Style28"/>
              <w:keepNext w:val="0"/>
              <w:keepLines w:val="0"/>
              <w:widowControl w:val="0"/>
              <w:shd w:val="clear" w:color="auto" w:fill="auto"/>
              <w:bidi w:val="0"/>
              <w:spacing w:before="0" w:after="0" w:line="298" w:lineRule="exact"/>
              <w:ind w:left="0" w:right="320" w:firstLine="0"/>
              <w:jc w:val="righ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28,308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21,354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16,366.27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16,366.27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-259.47</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-361.79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-323.03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28,703.57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28,703.57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-345.15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外汇远期合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汇丰银行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利率互换合 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bl>
    <w:p>
      <w:pPr>
        <w:spacing w:lineRule="exact" w:line="1"/>
        <w:rPr>
          <w:sz w:val="2"/>
          <w:szCs w:val="2"/>
        </w:rPr>
      </w:pPr>
      <w:r>
        <w:br w:type="page"/>
      </w:r>
    </w:p>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50"/>
      </w:tblGrid>
      <w:tr>
        <w:trPr>
          <w:trHeight w:val="137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衍生品投资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衍生品投资 初始投资金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计提减值准 备金额（如</w:t>
            </w:r>
          </w:p>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报告期实 际损益金</w:t>
            </w:r>
          </w:p>
          <w:p>
            <w:pPr>
              <w:pStyle w:val="Style28"/>
              <w:keepNext w:val="0"/>
              <w:keepLines w:val="0"/>
              <w:widowControl w:val="0"/>
              <w:shd w:val="clear" w:color="auto" w:fill="auto"/>
              <w:bidi w:val="0"/>
              <w:spacing w:before="0" w:after="0" w:line="298" w:lineRule="exact"/>
              <w:ind w:left="0" w:right="0" w:firstLine="320"/>
              <w:jc w:val="left"/>
            </w:pPr>
            <w:r>
              <w:rPr>
                <w:color w:val="000000"/>
                <w:spacing w:val="0"/>
                <w:w w:val="100"/>
                <w:position w:val="0"/>
              </w:rPr>
              <w:t>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野村国际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利率互换合 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w:t>
            </w:r>
          </w:p>
        </w:tc>
      </w:tr>
      <w:tr>
        <w:trPr>
          <w:trHeight w:val="398"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1,026.14</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294,973.35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283,810.52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86,228.12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-16,809.83</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未涉诉</w:t>
            </w:r>
          </w:p>
        </w:tc>
      </w:tr>
      <w:tr>
        <w:trPr>
          <w:trHeight w:val="403" w:hRule="exact"/>
        </w:trPr>
        <w:tc>
          <w:tcPr>
            <w:gridSpan w:val="4"/>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衍生品投资审批董事会公告披露日期（如有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gridSpan w:val="4"/>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gridSpan w:val="4"/>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衍生品投资审批股东会公告披露日期（如有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gridSpan w:val="4"/>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3408"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报告期衍生品持仓的风险分析及控制措施说明（包括 但不限于市场风险、流动性风险、信用风险、操作风 险、法律风险等）</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年度公司开展了保值型衍生品投资，主要风险分析及控制措施如下：</w:t>
            </w:r>
          </w:p>
          <w:p>
            <w:pPr>
              <w:pStyle w:val="Style28"/>
              <w:keepNext w:val="0"/>
              <w:keepLines w:val="0"/>
              <w:widowControl w:val="0"/>
              <w:shd w:val="clear" w:color="auto" w:fill="auto"/>
              <w:tabs>
                <w:tab w:pos="278"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市场风险：保值衍生品投资合约汇率与到期日实际汇率的差异将产生投资损益；在衍生品的存续期内，每一会计期间将产 生重估损益，至到期日重估损益的累计值等于投资损益；</w:t>
            </w:r>
          </w:p>
          <w:p>
            <w:pPr>
              <w:pStyle w:val="Style28"/>
              <w:keepNext w:val="0"/>
              <w:keepLines w:val="0"/>
              <w:widowControl w:val="0"/>
              <w:shd w:val="clear" w:color="auto" w:fill="auto"/>
              <w:tabs>
                <w:tab w:pos="283"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流动性风险：保值衍生品以公司外汇收支预算为依据，与实际外汇收支相匹配，以保证在交割时拥有足额资金供清算，或 选择净额交割衍生品，以减少到期日现金流需求；</w:t>
            </w:r>
          </w:p>
          <w:p>
            <w:pPr>
              <w:pStyle w:val="Style28"/>
              <w:keepNext w:val="0"/>
              <w:keepLines w:val="0"/>
              <w:widowControl w:val="0"/>
              <w:shd w:val="clear" w:color="auto" w:fill="auto"/>
              <w:tabs>
                <w:tab w:pos="274"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信用风险：公司进行的衍生品投资交易对手均为信用良好且与公司已建立长期业务往来的银行，基本不存在履约风险；</w:t>
            </w:r>
          </w:p>
          <w:p>
            <w:pPr>
              <w:pStyle w:val="Style28"/>
              <w:keepNext w:val="0"/>
              <w:keepLines w:val="0"/>
              <w:widowControl w:val="0"/>
              <w:shd w:val="clear" w:color="auto" w:fill="auto"/>
              <w:tabs>
                <w:tab w:pos="283" w:val="left"/>
              </w:tabs>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其它风险：在开展业务时，如操作人员未按规定程序进行衍生品投资操作或未充分理解衍生品信息，将带来操作风险；如 交易合同条款的不明确，将可能面临法律风险。</w:t>
            </w:r>
          </w:p>
          <w:p>
            <w:pPr>
              <w:pStyle w:val="Style28"/>
              <w:keepNext w:val="0"/>
              <w:keepLines w:val="0"/>
              <w:widowControl w:val="0"/>
              <w:shd w:val="clear" w:color="auto" w:fill="auto"/>
              <w:tabs>
                <w:tab w:pos="245" w:val="left"/>
              </w:tabs>
              <w:bidi w:val="0"/>
              <w:spacing w:before="0" w:after="0" w:line="329"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控制措施：公司已制定《衍生品投资风险控制及信息披露制度》，对公司进行衍生品投资的风险控制、审批程序和信息披露、 后续管理和信息披露等进行明确规定，以有效规范衍生品投资行为，控制衍生品投资风险。</w:t>
            </w:r>
          </w:p>
        </w:tc>
      </w:tr>
      <w:tr>
        <w:trPr>
          <w:trHeight w:val="1037"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已投资衍生品报告期内市场价格或产品公允价值变 动的情况,对衍生品公允价值的分析应披露具体使用 的方法及相关假设与参数的设定</w:t>
            </w: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公司对报告期内衍生品投资损益情况进行了确认，报告期内确认公允价值变动损益</w:t>
            </w:r>
            <w:r>
              <w:rPr>
                <w:rFonts w:ascii="Times New Roman" w:eastAsia="Times New Roman" w:hAnsi="Times New Roman" w:cs="Times New Roman"/>
                <w:color w:val="000000"/>
                <w:spacing w:val="0"/>
                <w:w w:val="100"/>
                <w:position w:val="0"/>
                <w:sz w:val="18"/>
                <w:szCs w:val="18"/>
              </w:rPr>
              <w:t>-8578.51</w:t>
            </w:r>
            <w:r>
              <w:rPr>
                <w:color w:val="000000"/>
                <w:spacing w:val="0"/>
                <w:w w:val="100"/>
                <w:position w:val="0"/>
              </w:rPr>
              <w:t>万元人民币，公允价值计算以产品 资产负债表日的市场价格为基准。</w:t>
            </w:r>
          </w:p>
        </w:tc>
      </w:tr>
    </w:tbl>
    <w:tbl>
      <w:tblPr>
        <w:tblOverlap w:val="never"/>
        <w:jc w:val="center"/>
        <w:tblLayout w:type="fixed"/>
      </w:tblPr>
      <w:tblGrid>
        <w:gridCol w:w="1018"/>
        <w:gridCol w:w="1013"/>
        <w:gridCol w:w="1008"/>
        <w:gridCol w:w="1075"/>
        <w:gridCol w:w="1013"/>
        <w:gridCol w:w="1008"/>
        <w:gridCol w:w="1003"/>
        <w:gridCol w:w="1013"/>
        <w:gridCol w:w="1003"/>
        <w:gridCol w:w="1008"/>
        <w:gridCol w:w="1003"/>
        <w:gridCol w:w="1013"/>
        <w:gridCol w:w="1003"/>
        <w:gridCol w:w="850"/>
      </w:tblGrid>
      <w:tr>
        <w:trPr>
          <w:trHeight w:val="137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衍生品投资 操作方名称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是否关联交 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衍生品投资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衍生品投资 初始投资金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计提减值准 备金额（如</w:t>
            </w:r>
          </w:p>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期末投资金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期末投资金 额占公司报 告期末净资 产比例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报告期实 际损益金</w:t>
            </w:r>
          </w:p>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额</w:t>
            </w:r>
          </w:p>
        </w:tc>
      </w:tr>
      <w:tr>
        <w:trPr>
          <w:trHeight w:val="715"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报告期公司衍生品的会计政策及会计核算具体原则 与上一报告期相比是否发生重大变化的说明</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报告期内，公司衍生品的会计政策及会计核算具体原则与上一报告期比较没有重大变化。</w:t>
            </w:r>
          </w:p>
        </w:tc>
      </w:tr>
      <w:tr>
        <w:trPr>
          <w:trHeight w:val="1037"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独立董事对公司衍生品投资及风险控制情况的专项 意见</w:t>
            </w: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经核查，报告期内公司开展的衍生品投资业务均履行了相应的审批程序，我们一致认为，公司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年开展的衍生品投资业务 符合《公司章程》、《衍生品交易风险控制及信息披露制度》等相关规定，公司内部制度完善，决策程序科学，不存在损害公司 和中小股东利益的情形。</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、募集资金使用情况</w:t>
      </w:r>
      <w:bookmarkEnd w:id="207"/>
      <w:bookmarkEnd w:id="208"/>
      <w:bookmarkEnd w:id="210"/>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32"/>
        <w:keepNext/>
        <w:keepLines/>
        <w:widowControl w:val="0"/>
        <w:shd w:val="clear" w:color="auto" w:fill="auto"/>
        <w:tabs>
          <w:tab w:pos="517"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六</w:t>
      </w:r>
      <w:bookmarkEnd w:id="213"/>
      <w:r>
        <w:rPr>
          <w:color w:val="000000"/>
          <w:spacing w:val="0"/>
          <w:w w:val="100"/>
          <w:position w:val="0"/>
        </w:rPr>
        <w:t>、</w:t>
        <w:tab/>
        <w:t>重大资产和股权出售</w:t>
      </w:r>
      <w:bookmarkEnd w:id="211"/>
      <w:bookmarkEnd w:id="212"/>
      <w:bookmarkEnd w:id="214"/>
    </w:p>
    <w:p>
      <w:pPr>
        <w:pStyle w:val="Style40"/>
        <w:keepNext/>
        <w:keepLines/>
        <w:widowControl w:val="0"/>
        <w:shd w:val="clear" w:color="auto" w:fill="auto"/>
        <w:tabs>
          <w:tab w:pos="395"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0"/>
        <w:keepNext/>
        <w:keepLines/>
        <w:widowControl w:val="0"/>
        <w:shd w:val="clear" w:color="auto" w:fill="auto"/>
        <w:tabs>
          <w:tab w:pos="395"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22"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七</w:t>
      </w:r>
      <w:bookmarkEnd w:id="225"/>
      <w:r>
        <w:rPr>
          <w:color w:val="000000"/>
          <w:spacing w:val="0"/>
          <w:w w:val="100"/>
          <w:position w:val="0"/>
        </w:rPr>
        <w:t>、</w:t>
        <w:tab/>
        <w:t>主要控股参股公司分析</w:t>
      </w:r>
      <w:bookmarkEnd w:id="223"/>
      <w:bookmarkEnd w:id="224"/>
      <w:bookmarkEnd w:id="226"/>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br w:type="page"/>
      </w: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5"/>
        <w:keepNext w:val="0"/>
        <w:keepLines w:val="0"/>
        <w:widowControl w:val="0"/>
        <w:shd w:val="clear" w:color="auto" w:fill="auto"/>
        <w:bidi w:val="0"/>
        <w:spacing w:before="0" w:after="0" w:line="240" w:lineRule="auto"/>
        <w:ind w:left="13085" w:right="0" w:firstLine="0"/>
        <w:jc w:val="left"/>
      </w:pPr>
      <w:r>
        <w:rPr>
          <w:color w:val="000000"/>
          <w:spacing w:val="0"/>
          <w:w w:val="100"/>
          <w:position w:val="0"/>
        </w:rPr>
        <w:t>单位：亿元</w:t>
      </w:r>
    </w:p>
    <w:tbl>
      <w:tblPr>
        <w:tblOverlap w:val="never"/>
        <w:jc w:val="center"/>
        <w:tblLayout w:type="fixed"/>
      </w:tblPr>
      <w:tblGrid>
        <w:gridCol w:w="1877"/>
        <w:gridCol w:w="1430"/>
        <w:gridCol w:w="1531"/>
        <w:gridCol w:w="1536"/>
        <w:gridCol w:w="1526"/>
        <w:gridCol w:w="1531"/>
        <w:gridCol w:w="1526"/>
        <w:gridCol w:w="1531"/>
        <w:gridCol w:w="154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净利润</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神码中国及其子公司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10.4272225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7"/>
        <w:keepNext w:val="0"/>
        <w:keepLines w:val="0"/>
        <w:widowControl w:val="0"/>
        <w:shd w:val="clear" w:color="auto" w:fill="auto"/>
        <w:bidi w:val="0"/>
        <w:spacing w:before="0" w:after="120" w:line="240" w:lineRule="auto"/>
        <w:ind w:left="0" w:right="0" w:firstLine="0"/>
        <w:jc w:val="left"/>
        <w:sectPr>
          <w:headerReference w:type="default" r:id="rId11"/>
          <w:footerReference w:type="default" r:id="rId12"/>
          <w:footnotePr>
            <w:pos w:val="pageBottom"/>
            <w:numFmt w:val="decimal"/>
            <w:numRestart w:val="continuous"/>
          </w:footnotePr>
          <w:pgSz w:w="16840" w:h="11900" w:orient="landscape"/>
          <w:pgMar w:top="1102" w:right="1402" w:bottom="1207" w:left="14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524" w:val="left"/>
        </w:tabs>
        <w:bidi w:val="0"/>
        <w:spacing w:before="0" w:after="3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八</w:t>
      </w:r>
      <w:bookmarkEnd w:id="229"/>
      <w:r>
        <w:rPr>
          <w:color w:val="000000"/>
          <w:spacing w:val="0"/>
          <w:w w:val="100"/>
          <w:position w:val="0"/>
        </w:rPr>
        <w:t>、</w:t>
        <w:tab/>
        <w:t>公司控制的结构化主体情况</w:t>
      </w:r>
      <w:bookmarkEnd w:id="227"/>
      <w:bookmarkEnd w:id="228"/>
      <w:bookmarkEnd w:id="230"/>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80" w:line="314" w:lineRule="exact"/>
        <w:ind w:left="0" w:right="0"/>
        <w:jc w:val="left"/>
      </w:pPr>
      <w:r>
        <w:rPr>
          <w:color w:val="000000"/>
          <w:spacing w:val="0"/>
          <w:w w:val="100"/>
          <w:position w:val="0"/>
        </w:rPr>
        <w:t>针对广州证券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神州数码应收账款资产支持证券专项计划，神码中国持有全部次级资产支持证券，在专项计划费用、优 先级资产支持证券的预期收益及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或本金未能得到足额偿付时履行差额支付义务。神码中国对广州证券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神州数码应收账款资 产支持证券专项计划具有实际控制权，将其纳入合并财务报表范围。</w:t>
      </w:r>
    </w:p>
    <w:p>
      <w:pPr>
        <w:pStyle w:val="Style32"/>
        <w:keepNext/>
        <w:keepLines/>
        <w:widowControl w:val="0"/>
        <w:shd w:val="clear" w:color="auto" w:fill="auto"/>
        <w:tabs>
          <w:tab w:pos="524" w:val="left"/>
        </w:tabs>
        <w:bidi w:val="0"/>
        <w:spacing w:before="0" w:after="28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九</w:t>
      </w:r>
      <w:bookmarkEnd w:id="233"/>
      <w:r>
        <w:rPr>
          <w:color w:val="000000"/>
          <w:spacing w:val="0"/>
          <w:w w:val="100"/>
          <w:position w:val="0"/>
        </w:rPr>
        <w:t>、</w:t>
        <w:tab/>
        <w:t>公司未来发展的展望</w:t>
      </w:r>
      <w:bookmarkEnd w:id="231"/>
      <w:bookmarkEnd w:id="232"/>
      <w:bookmarkEnd w:id="234"/>
    </w:p>
    <w:p>
      <w:pPr>
        <w:pStyle w:val="Style37"/>
        <w:keepNext w:val="0"/>
        <w:keepLines w:val="0"/>
        <w:widowControl w:val="0"/>
        <w:shd w:val="clear" w:color="auto" w:fill="auto"/>
        <w:bidi w:val="0"/>
        <w:spacing w:before="0" w:after="100" w:line="318" w:lineRule="exact"/>
        <w:ind w:left="0" w:right="0" w:firstLine="440"/>
        <w:jc w:val="both"/>
      </w:pPr>
      <w:r>
        <w:rPr>
          <w:color w:val="000000"/>
          <w:spacing w:val="0"/>
          <w:w w:val="100"/>
          <w:position w:val="0"/>
        </w:rPr>
        <w:t>回顾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年，公司荣登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年《财富》中国</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强第</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位，自登陆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股以来连续四年跻身该榜单；公司以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.77 </w:t>
      </w:r>
      <w:r>
        <w:rPr>
          <w:color w:val="000000"/>
          <w:spacing w:val="0"/>
          <w:w w:val="100"/>
          <w:position w:val="0"/>
        </w:rPr>
        <w:t>亿人民币的云管理服务收入和</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的份额占比位列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《中国第三方云管理服务市场份额报告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》榜单第一位，同时入选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电子政务提供商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强。展望未来，在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分销及增值服务继续保持稳定发展的态势下，公司将继续聚焦云和数字化转型、 信创业务的发展。</w:t>
      </w:r>
    </w:p>
    <w:p>
      <w:pPr>
        <w:pStyle w:val="Style37"/>
        <w:keepNext w:val="0"/>
        <w:keepLines w:val="0"/>
        <w:widowControl w:val="0"/>
        <w:numPr>
          <w:ilvl w:val="0"/>
          <w:numId w:val="3"/>
        </w:numPr>
        <w:shd w:val="clear" w:color="auto" w:fill="auto"/>
        <w:tabs>
          <w:tab w:pos="626" w:val="left"/>
        </w:tabs>
        <w:bidi w:val="0"/>
        <w:spacing w:before="0" w:after="100" w:line="315" w:lineRule="exact"/>
        <w:ind w:left="0" w:right="0"/>
        <w:jc w:val="left"/>
      </w:pPr>
      <w:bookmarkStart w:id="235" w:name="bookmark235"/>
      <w:bookmarkEnd w:id="235"/>
      <w:r>
        <w:rPr>
          <w:color w:val="000000"/>
          <w:spacing w:val="0"/>
          <w:w w:val="100"/>
          <w:position w:val="0"/>
        </w:rPr>
        <w:t>云计算业务</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rPr>
        <w:t>公司将全面深化云业务战略布局，着力扩大云服务业务市场份额，打造全栈式云及数字化转型服务领域核心引领能力， 携手全球顶尖云厂商和云服务商，构建云生态，推动公司云业务实现跨越式发展。</w:t>
      </w:r>
    </w:p>
    <w:p>
      <w:pPr>
        <w:pStyle w:val="Style37"/>
        <w:keepNext w:val="0"/>
        <w:keepLines w:val="0"/>
        <w:widowControl w:val="0"/>
        <w:shd w:val="clear" w:color="auto" w:fill="auto"/>
        <w:tabs>
          <w:tab w:pos="841" w:val="left"/>
        </w:tabs>
        <w:bidi w:val="0"/>
        <w:spacing w:before="0" w:after="0" w:line="314" w:lineRule="exact"/>
        <w:ind w:left="0" w:right="0"/>
        <w:jc w:val="left"/>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公司将继续加强跨云管理平台、专业服务、托管服务等云管理服务，进一步提高数字化运营效率；为客户提供更 加专业的云托管安全服务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MSSP</w:t>
      </w:r>
      <w:r>
        <w:rPr>
          <w:color w:val="000000"/>
          <w:spacing w:val="0"/>
          <w:w w:val="100"/>
          <w:position w:val="0"/>
        </w:rPr>
        <w:t>）</w:t>
      </w:r>
      <w:r>
        <w:rPr>
          <w:color w:val="000000"/>
          <w:spacing w:val="0"/>
          <w:w w:val="100"/>
          <w:position w:val="0"/>
        </w:rPr>
        <w:t>，满足其日益增长的安全需求，进一步拓展</w:t>
      </w:r>
      <w:r>
        <w:rPr>
          <w:rFonts w:ascii="Times New Roman" w:eastAsia="Times New Roman" w:hAnsi="Times New Roman" w:cs="Times New Roman"/>
          <w:color w:val="000000"/>
          <w:spacing w:val="0"/>
          <w:w w:val="100"/>
          <w:position w:val="0"/>
          <w:sz w:val="18"/>
          <w:szCs w:val="18"/>
        </w:rPr>
        <w:t>MSP</w:t>
      </w:r>
      <w:r>
        <w:rPr>
          <w:color w:val="000000"/>
          <w:spacing w:val="0"/>
          <w:w w:val="100"/>
          <w:position w:val="0"/>
        </w:rPr>
        <w:t>内涵；以云和大数据为抓手，深耕政府、 金融、零售、快消、汽车等多个行业领域，持续推出面向行业的优质的解决方案；在云资源如计算、存储、网络、</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等各个层面继续拓宽中国最大的云资源池，以最优的公有云及其他基础资源配置选择方案，为客户提供更加高效、快捷、 安全的云上服务。</w:t>
      </w:r>
    </w:p>
    <w:p>
      <w:pPr>
        <w:pStyle w:val="Style37"/>
        <w:keepNext w:val="0"/>
        <w:keepLines w:val="0"/>
        <w:widowControl w:val="0"/>
        <w:shd w:val="clear" w:color="auto" w:fill="auto"/>
        <w:tabs>
          <w:tab w:pos="841" w:val="left"/>
        </w:tabs>
        <w:bidi w:val="0"/>
        <w:spacing w:before="0" w:after="460" w:line="315" w:lineRule="exact"/>
        <w:ind w:left="0" w:right="0"/>
        <w:jc w:val="left"/>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公司将不断加大在云服务和数字化转型领域的研发投入力度，形成具有自主知识产权、国内领先的云服务技术平 台和数字化解决方案；未来三年公司计划在国内建立</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个研发基地和交付中心，扩展研发和交付能力布局，以便更好地贴 近客户、服务客户。同时，加大在</w:t>
      </w:r>
      <w:r>
        <w:rPr>
          <w:rFonts w:ascii="Times New Roman" w:eastAsia="Times New Roman" w:hAnsi="Times New Roman" w:cs="Times New Roman"/>
          <w:color w:val="000000"/>
          <w:spacing w:val="0"/>
          <w:w w:val="100"/>
          <w:position w:val="0"/>
          <w:sz w:val="18"/>
          <w:szCs w:val="18"/>
        </w:rPr>
        <w:t>MSP</w:t>
      </w:r>
      <w:r>
        <w:rPr>
          <w:color w:val="000000"/>
          <w:spacing w:val="0"/>
          <w:w w:val="100"/>
          <w:position w:val="0"/>
        </w:rPr>
        <w:t>和大数据等领域的研发投入力度，加速知识、技术的沉淀和积累，提升技术复用率， 加强项目管理能力，提高交付质量和效率。另外，公司也将进一步提升技术实力和创新能力，进一步推进工程师文化的发展， 成为以创新和技术为核心驱动的公司。在公司技术方向的框架下，积累技术能力，研发相关产品，不断为客户提供更好的体 验，为客户提供核心价值。</w:t>
      </w:r>
    </w:p>
    <w:p>
      <w:pPr>
        <w:pStyle w:val="Style37"/>
        <w:keepNext w:val="0"/>
        <w:keepLines w:val="0"/>
        <w:widowControl w:val="0"/>
        <w:numPr>
          <w:ilvl w:val="0"/>
          <w:numId w:val="3"/>
        </w:numPr>
        <w:shd w:val="clear" w:color="auto" w:fill="auto"/>
        <w:tabs>
          <w:tab w:pos="635" w:val="left"/>
        </w:tabs>
        <w:bidi w:val="0"/>
        <w:spacing w:before="0" w:after="100" w:line="315" w:lineRule="exact"/>
        <w:ind w:left="0" w:right="0"/>
        <w:jc w:val="left"/>
      </w:pPr>
      <w:bookmarkStart w:id="238" w:name="bookmark238"/>
      <w:bookmarkEnd w:id="238"/>
      <w:r>
        <w:rPr>
          <w:color w:val="000000"/>
          <w:spacing w:val="0"/>
          <w:w w:val="100"/>
          <w:position w:val="0"/>
        </w:rPr>
        <w:t>信创业务</w:t>
      </w:r>
    </w:p>
    <w:p>
      <w:pPr>
        <w:pStyle w:val="Style37"/>
        <w:keepNext w:val="0"/>
        <w:keepLines w:val="0"/>
        <w:widowControl w:val="0"/>
        <w:shd w:val="clear" w:color="auto" w:fill="auto"/>
        <w:bidi w:val="0"/>
        <w:spacing w:before="0" w:after="0" w:line="317" w:lineRule="exact"/>
        <w:ind w:left="0" w:right="0"/>
        <w:jc w:val="left"/>
      </w:pPr>
      <w:r>
        <w:rPr>
          <w:color w:val="000000"/>
          <w:spacing w:val="0"/>
          <w:w w:val="100"/>
          <w:position w:val="0"/>
        </w:rPr>
        <w:t>信创产业是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和数字经济发展的关键支撑和重要基石，在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战略规划指引下，信创产业将面临前所未有的 巨大机遇。公司将紧抓信创发展的重要窗口期，坚定不移地推进信创业务实现跨越式发展。</w:t>
      </w:r>
    </w:p>
    <w:p>
      <w:pPr>
        <w:pStyle w:val="Style37"/>
        <w:keepNext w:val="0"/>
        <w:keepLines w:val="0"/>
        <w:widowControl w:val="0"/>
        <w:shd w:val="clear" w:color="auto" w:fill="auto"/>
        <w:bidi w:val="0"/>
        <w:spacing w:before="0" w:after="100" w:line="316" w:lineRule="exact"/>
        <w:ind w:left="0" w:right="0"/>
        <w:jc w:val="left"/>
      </w:pPr>
      <w:r>
        <w:rPr>
          <w:color w:val="000000"/>
          <w:spacing w:val="0"/>
          <w:w w:val="100"/>
          <w:position w:val="0"/>
        </w:rPr>
        <w:t>公司信创业务已构建起覆盖</w:t>
      </w:r>
      <w:r>
        <w:rPr>
          <w:rFonts w:ascii="Times New Roman" w:eastAsia="Times New Roman" w:hAnsi="Times New Roman" w:cs="Times New Roman"/>
          <w:color w:val="000000"/>
          <w:spacing w:val="0"/>
          <w:w w:val="100"/>
          <w:position w:val="0"/>
          <w:sz w:val="18"/>
          <w:szCs w:val="18"/>
        </w:rPr>
        <w:t>ARM</w:t>
      </w:r>
      <w:r>
        <w:rPr>
          <w:color w:val="000000"/>
          <w:spacing w:val="0"/>
          <w:w w:val="100"/>
          <w:position w:val="0"/>
        </w:rPr>
        <w:t>服务器、网络、存储、一体机的产品体系，完成了重点行业的订单落地，基于鲲鹏架 构完成了从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的突破。未来，公司将进一步加强营销能力建设，在重点行业和重点客户完成营销击穿，实现营销引领研发、 产品、行业解决方案等多方面发展；同时，打造神州数码特色的产业生态，与众多生态伙伴一道，继续深化互为生态的合作， 持续拓宽合作领域，打造更优秀的基于高性能算力的产品、方案，合力推动国产计算产业生态和数字经济持续健康发展，为 信创产业链注入新动能。</w:t>
      </w:r>
      <w:r>
        <w:br w:type="page"/>
      </w:r>
    </w:p>
    <w:p>
      <w:pPr>
        <w:pStyle w:val="Style32"/>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r>
        <w:rPr>
          <w:color w:val="000000"/>
          <w:spacing w:val="0"/>
          <w:w w:val="100"/>
          <w:position w:val="0"/>
        </w:rPr>
        <w:t>十、接待调研、沟通、采访等活动情况</w:t>
      </w:r>
      <w:bookmarkEnd w:id="239"/>
      <w:bookmarkEnd w:id="240"/>
      <w:bookmarkEnd w:id="241"/>
    </w:p>
    <w:p>
      <w:pPr>
        <w:pStyle w:val="Style40"/>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、报告期内接待调研、沟通、采访等活动登记表</w:t>
      </w:r>
      <w:bookmarkEnd w:id="242"/>
      <w:bookmarkEnd w:id="243"/>
      <w:bookmarkEnd w:id="245"/>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994"/>
        <w:gridCol w:w="989"/>
        <w:gridCol w:w="173"/>
        <w:gridCol w:w="682"/>
        <w:gridCol w:w="850"/>
        <w:gridCol w:w="2520"/>
        <w:gridCol w:w="1814"/>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巨潮资讯网神州数码集团股份 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日投 资者关系活动记录表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巨潮资讯网神州数码集团股份 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日投资 者关系活动记录表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电话沟通</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了解公司业务发展情况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8"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720"/>
        <w:gridCol w:w="586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ectPr>
          <w:headerReference w:type="default" r:id="rId13"/>
          <w:footerReference w:type="default" r:id="rId14"/>
          <w:footnotePr>
            <w:pos w:val="pageBottom"/>
            <w:numFmt w:val="decimal"/>
            <w:numRestart w:val="continuous"/>
          </w:footnotePr>
          <w:pgSz w:w="11900" w:h="16840"/>
          <w:pgMar w:top="1441" w:right="1064" w:bottom="1796" w:left="1048" w:header="0" w:footer="3" w:gutter="0"/>
          <w:cols w:space="720"/>
          <w:noEndnote/>
          <w:rtlGutter w:val="0"/>
          <w:docGrid w:linePitch="360"/>
        </w:sectPr>
      </w:pPr>
    </w:p>
    <w:p>
      <w:pPr>
        <w:pStyle w:val="Style20"/>
        <w:keepNext/>
        <w:keepLines/>
        <w:widowControl w:val="0"/>
        <w:shd w:val="clear" w:color="auto" w:fill="auto"/>
        <w:bidi w:val="0"/>
        <w:spacing w:before="480" w:after="540" w:line="240" w:lineRule="auto"/>
        <w:ind w:left="0" w:right="0" w:firstLine="0"/>
        <w:jc w:val="center"/>
      </w:pPr>
      <w:bookmarkStart w:id="246" w:name="bookmark246"/>
      <w:bookmarkStart w:id="247" w:name="bookmark247"/>
      <w:bookmarkStart w:id="248" w:name="bookmark248"/>
      <w:r>
        <w:rPr>
          <w:color w:val="000000"/>
          <w:spacing w:val="0"/>
          <w:w w:val="100"/>
          <w:position w:val="0"/>
        </w:rPr>
        <w:t>第五节重要事项</w:t>
      </w:r>
      <w:bookmarkEnd w:id="246"/>
      <w:bookmarkEnd w:id="247"/>
      <w:bookmarkEnd w:id="248"/>
    </w:p>
    <w:p>
      <w:pPr>
        <w:pStyle w:val="Style32"/>
        <w:keepNext/>
        <w:keepLines/>
        <w:widowControl w:val="0"/>
        <w:shd w:val="clear" w:color="auto" w:fill="auto"/>
        <w:bidi w:val="0"/>
        <w:spacing w:before="0" w:after="260" w:line="240" w:lineRule="auto"/>
        <w:ind w:left="0" w:right="0" w:firstLine="0"/>
        <w:jc w:val="both"/>
      </w:pPr>
      <w:bookmarkStart w:id="249" w:name="bookmark249"/>
      <w:bookmarkStart w:id="250" w:name="bookmark250"/>
      <w:bookmarkStart w:id="251" w:name="bookmark251"/>
      <w:bookmarkStart w:id="252" w:name="bookmark252"/>
      <w:bookmarkStart w:id="253" w:name="bookmark253"/>
      <w:r>
        <w:rPr>
          <w:color w:val="000000"/>
          <w:spacing w:val="0"/>
          <w:w w:val="100"/>
          <w:position w:val="0"/>
        </w:rPr>
        <w:t>一</w:t>
      </w:r>
      <w:bookmarkEnd w:id="252"/>
      <w:r>
        <w:rPr>
          <w:color w:val="000000"/>
          <w:spacing w:val="0"/>
          <w:w w:val="100"/>
          <w:position w:val="0"/>
        </w:rPr>
        <w:t>、公司普通股利润分配及资本公积金转增股本情况</w:t>
      </w:r>
      <w:bookmarkEnd w:id="250"/>
      <w:bookmarkEnd w:id="251"/>
      <w:bookmarkEnd w:id="253"/>
      <w:bookmarkEnd w:id="249"/>
    </w:p>
    <w:p>
      <w:pPr>
        <w:pStyle w:val="Style37"/>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3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日召开的第八届董事会第二十六次会议和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 了《关于</w:t>
      </w:r>
      <w:r>
        <w:rPr>
          <w:color w:val="000000"/>
          <w:spacing w:val="0"/>
          <w:w w:val="100"/>
          <w:position w:val="0"/>
          <w:sz w:val="18"/>
          <w:szCs w:val="18"/>
        </w:rPr>
        <w:t>〈</w:t>
      </w:r>
      <w:r>
        <w:rPr>
          <w:color w:val="000000"/>
          <w:spacing w:val="0"/>
          <w:w w:val="100"/>
          <w:position w:val="0"/>
        </w:rPr>
        <w:t>未来三年（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年）股东回报规划</w:t>
      </w:r>
      <w:r>
        <w:rPr>
          <w:color w:val="000000"/>
          <w:spacing w:val="0"/>
          <w:w w:val="100"/>
          <w:position w:val="0"/>
          <w:sz w:val="18"/>
          <w:szCs w:val="18"/>
        </w:rPr>
        <w:t>〉</w:t>
      </w:r>
      <w:r>
        <w:rPr>
          <w:color w:val="000000"/>
          <w:spacing w:val="0"/>
          <w:w w:val="100"/>
          <w:position w:val="0"/>
        </w:rPr>
        <w:t>的议案》，在制定过程中独立董事发表了意见。</w:t>
      </w:r>
    </w:p>
    <w:p>
      <w:pPr>
        <w:pStyle w:val="Style3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利润分配政策明确了分红标准和分红比例，符合各项规范性文件和《公司章程》的相关规定，能够充分保护中小投资者的合 法权益。公司将严格按照《公司章程》和《股东回报规划》的相关要求进行利润分配。</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7"/>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年利润分配方案：以披露日前最新总股本</w:t>
      </w:r>
      <w:r>
        <w:rPr>
          <w:rFonts w:ascii="Times New Roman" w:eastAsia="Times New Roman" w:hAnsi="Times New Roman" w:cs="Times New Roman"/>
          <w:color w:val="000000"/>
          <w:spacing w:val="0"/>
          <w:w w:val="100"/>
          <w:position w:val="0"/>
          <w:sz w:val="18"/>
          <w:szCs w:val="18"/>
        </w:rPr>
        <w:t>659,598,277</w:t>
      </w:r>
      <w:r>
        <w:rPr>
          <w:color w:val="000000"/>
          <w:spacing w:val="0"/>
          <w:w w:val="100"/>
          <w:position w:val="0"/>
        </w:rPr>
        <w:t>股扣除回购专用账户</w:t>
      </w:r>
      <w:r>
        <w:rPr>
          <w:rFonts w:ascii="Times New Roman" w:eastAsia="Times New Roman" w:hAnsi="Times New Roman" w:cs="Times New Roman"/>
          <w:color w:val="000000"/>
          <w:spacing w:val="0"/>
          <w:w w:val="100"/>
          <w:position w:val="0"/>
          <w:sz w:val="18"/>
          <w:szCs w:val="18"/>
        </w:rPr>
        <w:t>12,632,272</w:t>
      </w:r>
      <w:r>
        <w:rPr>
          <w:color w:val="000000"/>
          <w:spacing w:val="0"/>
          <w:w w:val="100"/>
          <w:position w:val="0"/>
        </w:rPr>
        <w:t>股后的</w:t>
      </w:r>
      <w:r>
        <w:rPr>
          <w:rFonts w:ascii="Times New Roman" w:eastAsia="Times New Roman" w:hAnsi="Times New Roman" w:cs="Times New Roman"/>
          <w:color w:val="000000"/>
          <w:spacing w:val="0"/>
          <w:w w:val="100"/>
          <w:position w:val="0"/>
          <w:sz w:val="18"/>
          <w:szCs w:val="18"/>
        </w:rPr>
        <w:t>646,966,005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sz w:val="18"/>
          <w:szCs w:val="18"/>
        </w:rPr>
        <w:t>122,378,601.69</w:t>
      </w:r>
      <w:r>
        <w:rPr>
          <w:color w:val="000000"/>
          <w:spacing w:val="0"/>
          <w:w w:val="100"/>
          <w:position w:val="0"/>
        </w:rPr>
        <w:t>元。</w:t>
      </w:r>
    </w:p>
    <w:p>
      <w:pPr>
        <w:pStyle w:val="Style37"/>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654,070,434</w:t>
      </w:r>
      <w:r>
        <w:rPr>
          <w:color w:val="000000"/>
          <w:spacing w:val="0"/>
          <w:w w:val="100"/>
          <w:position w:val="0"/>
        </w:rPr>
        <w:t>股扣除回购专用账户</w:t>
      </w:r>
      <w:r>
        <w:rPr>
          <w:rFonts w:ascii="Times New Roman" w:eastAsia="Times New Roman" w:hAnsi="Times New Roman" w:cs="Times New Roman"/>
          <w:color w:val="000000"/>
          <w:spacing w:val="0"/>
          <w:w w:val="100"/>
          <w:position w:val="0"/>
          <w:sz w:val="18"/>
          <w:szCs w:val="18"/>
        </w:rPr>
        <w:t>543,085</w:t>
      </w:r>
      <w:r>
        <w:rPr>
          <w:color w:val="000000"/>
          <w:spacing w:val="0"/>
          <w:w w:val="100"/>
          <w:position w:val="0"/>
        </w:rPr>
        <w:t>股后的</w:t>
      </w:r>
      <w:r>
        <w:rPr>
          <w:rFonts w:ascii="Times New Roman" w:eastAsia="Times New Roman" w:hAnsi="Times New Roman" w:cs="Times New Roman"/>
          <w:color w:val="000000"/>
          <w:spacing w:val="0"/>
          <w:w w:val="100"/>
          <w:position w:val="0"/>
          <w:sz w:val="18"/>
          <w:szCs w:val="18"/>
        </w:rPr>
        <w:t>653,527,349</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sz w:val="18"/>
          <w:szCs w:val="18"/>
        </w:rPr>
        <w:t>137,240,743.29</w:t>
      </w:r>
      <w:r>
        <w:rPr>
          <w:color w:val="000000"/>
          <w:spacing w:val="0"/>
          <w:w w:val="100"/>
          <w:position w:val="0"/>
        </w:rPr>
        <w:t>元。</w:t>
      </w:r>
    </w:p>
    <w:p>
      <w:pPr>
        <w:pStyle w:val="Style37"/>
        <w:keepNext w:val="0"/>
        <w:keepLines w:val="0"/>
        <w:widowControl w:val="0"/>
        <w:shd w:val="clear" w:color="auto" w:fill="auto"/>
        <w:bidi w:val="0"/>
        <w:spacing w:before="0" w:after="360" w:line="317"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年利润分配方案：以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654,070,434</w:t>
      </w:r>
      <w:r>
        <w:rPr>
          <w:color w:val="000000"/>
          <w:spacing w:val="0"/>
          <w:w w:val="100"/>
          <w:position w:val="0"/>
        </w:rPr>
        <w:t>股扣除回购专用账户</w:t>
      </w:r>
      <w:r>
        <w:rPr>
          <w:rFonts w:ascii="Times New Roman" w:eastAsia="Times New Roman" w:hAnsi="Times New Roman" w:cs="Times New Roman"/>
          <w:color w:val="000000"/>
          <w:spacing w:val="0"/>
          <w:w w:val="100"/>
          <w:position w:val="0"/>
          <w:sz w:val="18"/>
          <w:szCs w:val="18"/>
        </w:rPr>
        <w:t>4,518,085</w:t>
      </w:r>
      <w:r>
        <w:rPr>
          <w:color w:val="000000"/>
          <w:spacing w:val="0"/>
          <w:w w:val="100"/>
          <w:position w:val="0"/>
        </w:rPr>
        <w:t>股后的</w:t>
      </w:r>
      <w:r>
        <w:rPr>
          <w:rFonts w:ascii="Times New Roman" w:eastAsia="Times New Roman" w:hAnsi="Times New Roman" w:cs="Times New Roman"/>
          <w:color w:val="000000"/>
          <w:spacing w:val="0"/>
          <w:w w:val="100"/>
          <w:position w:val="0"/>
          <w:sz w:val="18"/>
          <w:szCs w:val="18"/>
        </w:rPr>
        <w:t>649,552,349</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元（含税），共派发现金红利</w:t>
      </w:r>
      <w:r>
        <w:rPr>
          <w:rFonts w:ascii="Times New Roman" w:eastAsia="Times New Roman" w:hAnsi="Times New Roman" w:cs="Times New Roman"/>
          <w:color w:val="000000"/>
          <w:spacing w:val="0"/>
          <w:w w:val="100"/>
          <w:position w:val="0"/>
          <w:sz w:val="18"/>
          <w:szCs w:val="18"/>
        </w:rPr>
        <w:t>164,336,744.30</w:t>
      </w:r>
      <w:r>
        <w:rPr>
          <w:color w:val="000000"/>
          <w:spacing w:val="0"/>
          <w:w w:val="100"/>
          <w:position w:val="0"/>
        </w:rPr>
        <w:t>元。</w:t>
      </w:r>
    </w:p>
    <w:p>
      <w:pPr>
        <w:pStyle w:val="Style3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公司近三年（包括本报告期）普通股现金分红情况表</w:t>
      </w:r>
    </w:p>
    <w:p>
      <w:pPr>
        <w:pStyle w:val="Style3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122,378,601.69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624,091,822.04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185,449,601.73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307,828,203.42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49.32%</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以其他方式</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137,240,743.29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701,410,697.57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50,004,040.16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187,244,783.45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164,336,744.30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512,408,008.06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164,336,744.30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w:t>
            </w:r>
          </w:p>
        </w:tc>
      </w:tr>
    </w:tbl>
    <w:p>
      <w:pPr>
        <w:pStyle w:val="Style37"/>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24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二</w:t>
      </w:r>
      <w:bookmarkEnd w:id="256"/>
      <w:r>
        <w:rPr>
          <w:color w:val="000000"/>
          <w:spacing w:val="0"/>
          <w:w w:val="100"/>
          <w:position w:val="0"/>
        </w:rPr>
        <w:t>、本报告期利润分配及资本公积金转增股本情况</w:t>
      </w:r>
      <w:bookmarkEnd w:id="254"/>
      <w:bookmarkEnd w:id="255"/>
      <w:bookmarkEnd w:id="257"/>
    </w:p>
    <w:p>
      <w:pPr>
        <w:pStyle w:val="Style37"/>
        <w:keepNext w:val="0"/>
        <w:keepLines w:val="0"/>
        <w:widowControl w:val="0"/>
        <w:shd w:val="clear" w:color="auto" w:fill="auto"/>
        <w:bidi w:val="0"/>
        <w:spacing w:before="0" w:after="80" w:line="350"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114"/>
        <w:gridCol w:w="546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646,966,005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122,378,601.69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185,449,601.73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307,828,203.42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1,735,124,744.74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日公司第九届董事会第三十三次会议审议通过公司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年利润分配方案：以披露日前最新总股本 </w:t>
            </w:r>
            <w:r>
              <w:rPr>
                <w:rFonts w:ascii="Times New Roman" w:eastAsia="Times New Roman" w:hAnsi="Times New Roman" w:cs="Times New Roman"/>
                <w:color w:val="000000"/>
                <w:spacing w:val="0"/>
                <w:w w:val="100"/>
                <w:position w:val="0"/>
                <w:sz w:val="18"/>
                <w:szCs w:val="18"/>
              </w:rPr>
              <w:t>659,598,277</w:t>
            </w:r>
            <w:r>
              <w:rPr>
                <w:color w:val="000000"/>
                <w:spacing w:val="0"/>
                <w:w w:val="100"/>
                <w:position w:val="0"/>
              </w:rPr>
              <w:t>股扣除回购专用账户</w:t>
            </w:r>
            <w:r>
              <w:rPr>
                <w:rFonts w:ascii="Times New Roman" w:eastAsia="Times New Roman" w:hAnsi="Times New Roman" w:cs="Times New Roman"/>
                <w:color w:val="000000"/>
                <w:spacing w:val="0"/>
                <w:w w:val="100"/>
                <w:position w:val="0"/>
                <w:sz w:val="18"/>
                <w:szCs w:val="18"/>
              </w:rPr>
              <w:t>12,632,272</w:t>
            </w:r>
            <w:r>
              <w:rPr>
                <w:color w:val="000000"/>
                <w:spacing w:val="0"/>
                <w:w w:val="100"/>
                <w:position w:val="0"/>
              </w:rPr>
              <w:t>股后的</w:t>
            </w:r>
            <w:r>
              <w:rPr>
                <w:rFonts w:ascii="Times New Roman" w:eastAsia="Times New Roman" w:hAnsi="Times New Roman" w:cs="Times New Roman"/>
                <w:color w:val="000000"/>
                <w:spacing w:val="0"/>
                <w:w w:val="100"/>
                <w:position w:val="0"/>
                <w:sz w:val="18"/>
                <w:szCs w:val="18"/>
              </w:rPr>
              <w:t>646,966,005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1.89</w:t>
            </w:r>
            <w:r>
              <w:rPr>
                <w:color w:val="000000"/>
                <w:spacing w:val="0"/>
                <w:w w:val="100"/>
                <w:position w:val="0"/>
              </w:rPr>
              <w:t>元（含 税），共派发现金红利</w:t>
            </w:r>
            <w:r>
              <w:rPr>
                <w:rFonts w:ascii="Times New Roman" w:eastAsia="Times New Roman" w:hAnsi="Times New Roman" w:cs="Times New Roman"/>
                <w:color w:val="000000"/>
                <w:spacing w:val="0"/>
                <w:w w:val="100"/>
                <w:position w:val="0"/>
                <w:sz w:val="18"/>
                <w:szCs w:val="18"/>
              </w:rPr>
              <w:t>122,378,601.69</w:t>
            </w:r>
            <w:r>
              <w:rPr>
                <w:color w:val="000000"/>
                <w:spacing w:val="0"/>
                <w:w w:val="100"/>
                <w:position w:val="0"/>
              </w:rPr>
              <w:t>元。本次分配不送红股，不以公积金转增股本。</w:t>
            </w:r>
          </w:p>
        </w:tc>
      </w:tr>
    </w:tbl>
    <w:p>
      <w:pPr>
        <w:sectPr>
          <w:footnotePr>
            <w:pos w:val="pageBottom"/>
            <w:numFmt w:val="decimal"/>
            <w:numRestart w:val="continuous"/>
          </w:footnotePr>
          <w:pgSz w:w="11900" w:h="16840"/>
          <w:pgMar w:top="1441" w:right="1056" w:bottom="1561" w:left="1066"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三</w:t>
      </w:r>
      <w:bookmarkEnd w:id="260"/>
      <w:r>
        <w:rPr>
          <w:color w:val="000000"/>
          <w:spacing w:val="0"/>
          <w:w w:val="100"/>
          <w:position w:val="0"/>
        </w:rPr>
        <w:t>、承诺事项履行情况</w:t>
      </w:r>
      <w:bookmarkEnd w:id="258"/>
      <w:bookmarkEnd w:id="259"/>
      <w:bookmarkEnd w:id="261"/>
    </w:p>
    <w:p>
      <w:pPr>
        <w:pStyle w:val="Style40"/>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、公司实际控制人、股东、关联方、收购人以及公司等承诺相关方在报告期内履行完毕及截至报告期末尚未履行完毕的承诺事项</w:t>
      </w:r>
      <w:bookmarkEnd w:id="262"/>
      <w:bookmarkEnd w:id="263"/>
      <w:bookmarkEnd w:id="265"/>
    </w:p>
    <w:p>
      <w:pPr>
        <w:pStyle w:val="Style35"/>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77"/>
        <w:gridCol w:w="1560"/>
        <w:gridCol w:w="1843"/>
        <w:gridCol w:w="5102"/>
        <w:gridCol w:w="1133"/>
        <w:gridCol w:w="878"/>
        <w:gridCol w:w="163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郭为、中信建投基 金、标的资产核心 管理团队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关于保持上市公司独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立性的承诺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本次交易完成后，保证上市公司在人员、资产、财务、机构及业 务方面与本人控制的其他企业完全分开，保持上市公司在业务、 资产、人员、财务和机构方面的独立。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445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郭为、中信建投基 金、标的资产核心 管理团队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关于同业竞争的承诺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本次交易前，除标的公司及其下属子公司外，本人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公司在本次交 易前未直接或间接从事其他与标的公司相同、相似或有竞争关系 的业务（包括但不限于以投资、合作、承包、租赁、委托经营等 方式参与上述业务），亦未在相关单位工作或任职。同时本人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公司和本人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公司控制的其他企业不会直接或间接 从事任何与上市公司及其下属公司主要经营业务构成同业竞争或 潜在同业竞争关系的生产与经营，亦不会投资任何与上市公司及 其下属公司主要经营业务构成同业竞争或潜在同业竞争关系的其 他企业；在本人在上市公司任职期间，本人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公司或本人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 制的其他企业获得的商业机会与上市公司及其下属公司主营业务 发生同业竞争或可能发生同业竞争的，本人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公司将立即通知上市 公司，并尽力将该商业机会给予上市公司，以避免与上市公司及 下属公司形成同业竞争或潜在同业竞争，以确保上市公司及上市 公司其他股东利益不受损害。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郭为、中信建投基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关于减少和规范关联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、在本次交易前，本人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公司和本人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公司控制的企业与上市公司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截至本报告日，本承</w:t>
            </w:r>
          </w:p>
        </w:tc>
      </w:tr>
    </w:tbl>
    <w:p>
      <w:pPr>
        <w:spacing w:lineRule="exact" w:line="1"/>
        <w:rPr>
          <w:sz w:val="2"/>
          <w:szCs w:val="2"/>
        </w:rPr>
      </w:pPr>
      <w:r>
        <w:br w:type="page"/>
      </w:r>
    </w:p>
    <w:tbl>
      <w:tblPr>
        <w:tblOverlap w:val="never"/>
        <w:jc w:val="center"/>
        <w:tblLayout w:type="fixed"/>
      </w:tblPr>
      <w:tblGrid>
        <w:gridCol w:w="1877"/>
        <w:gridCol w:w="1560"/>
        <w:gridCol w:w="1843"/>
        <w:gridCol w:w="5102"/>
        <w:gridCol w:w="1133"/>
        <w:gridCol w:w="878"/>
        <w:gridCol w:w="1637"/>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4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金、标的资产核心 管理团队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交易的承诺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之间不存在显失公平的关联交易。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司和本人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公司控制的其他企业将尽量避免或减少与上市公司及 其下属子公司之间的关联交易，对于无法避免或有合理理由存在 的关联交易，将与上市公司依法签订规范的关联交易协议，并按 照有关法律、法规、规章、上市规则和其他规范性文件以及上市 公司章程的规定履行批准程序；关联交易价格依照与无关联关系 的独立第三方进行相同或相似交易时的价格确定，保证关联交易 价格具有公允性；保证按照有关法律、法规、上市公司章程的规 定履行关联交易的信息披露义务。本公司保证不利用关联交易非 法转移上市公司的资金、利润，不利用关联交易损害非关联股东 的利益。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诺仍在履行过程中， 承诺人无违反本承 诺的情况。</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关于未来不谋求上市 公司控制权的承诺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在重大资产购买完成后,本人直接或间接持有上市公司股份期间， 本人将仅依据公司、证券法等中国法律法规独立行使本人作为上 市公司股东的权利，不会通过任何方式（包括但不限于在二级市 场上增持上市公司股份、协议受让上市公司股份、认购上市公司 新增股份、与上市公司其他任何直接或间接股东形成一致行动关 系等方式）谋求对上市公司的控制地位或对上市公司控制权的影 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截至本报告日，本承 诺仍在履行过程中， 承诺人无违反本承 诺的情况。</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郭为、中信建投基 金、标的资产核心 管理团队、王廷月、 王晓岩、钱学宁、 张明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公司已向上市公司及为本次非公开发行提供审计、评估、法 律及财务顾问专业服务的中介机构提供了与本人有关的相关信息 和文件（包括但不限于原始书面材料、副本材料或口头证言等），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公司保证：所提供的文件资料的副本或复印件与正本或原件 一致，且该等文件资料的签字与印章都是真实的；保证所提供信 息和文件真实、准确和完整，不存在虚假记载、误导性陈述或者 重大遗漏，并对所提供信息的真实性、准确性和完整性承担个别 及连带的法律责任。在参与本次非公开发行期间，本人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公司将依 照相关法律、法规、规章、中国证券监督管理委员会和深圳证券 交易所的有关规定，及时向上市公司披露有关本次交易的信息，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截至本报告日，本承 诺仍在履行过程中， 承诺人无违反本承 诺的情况。</w:t>
            </w:r>
          </w:p>
        </w:tc>
      </w:tr>
    </w:tbl>
    <w:p>
      <w:pPr>
        <w:spacing w:lineRule="exact" w:line="1"/>
        <w:rPr>
          <w:sz w:val="2"/>
          <w:szCs w:val="2"/>
        </w:rPr>
      </w:pPr>
      <w:r>
        <w:br w:type="page"/>
      </w:r>
    </w:p>
    <w:tbl>
      <w:tblPr>
        <w:tblOverlap w:val="never"/>
        <w:jc w:val="center"/>
        <w:tblLayout w:type="fixed"/>
      </w:tblPr>
      <w:tblGrid>
        <w:gridCol w:w="1877"/>
        <w:gridCol w:w="1560"/>
        <w:gridCol w:w="1843"/>
        <w:gridCol w:w="5102"/>
        <w:gridCol w:w="1133"/>
        <w:gridCol w:w="878"/>
        <w:gridCol w:w="1637"/>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7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并保证该等信息的真实性、准确性和完整性，保证该等信息不存 在虚假记载、误导性陈述或者重大遗漏。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中信建投基金、标 的资产核心管理团 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资管计划的认购人均为自主认购资管计划份额，为资管计划份额 的真实持有人和最终受益人，任何第三方就该等认购人所持资管 计划份额均不享有任何权利。资管计划的委托人之间不存在分级 收益等结构化安排。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关于防止关联资金占 用的承诺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本次交易完成之后，本人保证依法行使股东权利，不因滥用股东 权利而损害上市公司或者其他股东的利益。本人及与本人关系密 切的家庭成员</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关系密切的家庭成员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指配偶、父母及配偶的父 母、兄弟姐妹及其配偶、年满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周岁的子女及其配偶、配偶的兄 弟姐妹和子女配偶的父母）等关联方目前不存在且将来也不会以 任何方式违法违规占用上市公司及其纳入合并财务报表范围内的 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上市公司及其子公司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资金或要求上市公司 及其子公司违法违规提供担保。若本人或与本人关系密切的家庭 成员等关联方存在违法违规占用上市公司及其子公司资金、要求 上市公司及其子公司违法违规提供担保的情况，则本人保证并促 使与本人关系密切的家庭成员等关联方将占用资金及相应利息</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（以同期银行存款基准利率计算）全部归还；对于违规提供的担 保及时进行解除，并同意在违规担保全部解除前不转让所持有、 控制的上市公司股份，并授权上市公司董事会办理股份锁定手续； 若本人或与本人关系密切的家庭成员等关联方因违法违规占用上 市公司及其子公司资金或要求上市公司及其子公司违法违规提供 担保而对上市公司及其子公司造成任何经济损失，本人承诺对该 等经济损失承担全部赔偿责任。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中国希格玛有限公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、本公司系在中国法律合法成立并有效存续的有限公司，拥有与 深信泰丰签署协议及履行协议项下权利义务的合法主体资格。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本公司及主要管理人员最近五年内未受过行政处罚、刑事处罚或 者涉及与经济纠纷有关的重大民事诉讼或仲裁，不存在被立案调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截至本报告日，本承 诺仍在履行过程中， 承诺人无违反本承 诺的情况。</w:t>
            </w:r>
          </w:p>
        </w:tc>
      </w:tr>
    </w:tbl>
    <w:p>
      <w:pPr>
        <w:spacing w:lineRule="exact" w:line="1"/>
        <w:rPr>
          <w:sz w:val="2"/>
          <w:szCs w:val="2"/>
        </w:rPr>
      </w:pPr>
      <w:r>
        <w:br w:type="page"/>
      </w:r>
    </w:p>
    <w:tbl>
      <w:tblPr>
        <w:tblOverlap w:val="never"/>
        <w:jc w:val="center"/>
        <w:tblLayout w:type="fixed"/>
      </w:tblPr>
      <w:tblGrid>
        <w:gridCol w:w="1877"/>
        <w:gridCol w:w="1560"/>
        <w:gridCol w:w="1843"/>
        <w:gridCol w:w="5102"/>
        <w:gridCol w:w="1133"/>
        <w:gridCol w:w="878"/>
        <w:gridCol w:w="1637"/>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92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pPr>
            <w:r>
              <w:rPr>
                <w:color w:val="000000"/>
                <w:spacing w:val="0"/>
                <w:w w:val="100"/>
                <w:position w:val="0"/>
              </w:rPr>
              <w:t>查的情况，亦未受到与证券市场有关的行政处罚。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、本公司及主 要管理人员在最近五年内不存在违反诚信的情况，包括但不限于 未按期偿还大额债务、未履行承诺、被中国证券监督管理委员会 采取行政监管措施或受到证券交易所纪律处分的情况等。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 司实际控制人王晓岩为深信泰丰董事，除王晓岩外，本公司未向 深信泰丰推荐董事、监事和高级管理人员。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中国希格玛有限公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本次交易完成后，本公司和本公司控制的企业将尽量避免或减少 与上市公司及其下属子公司之间的关联交易，对于无法避免或有 合理理由存在的关联交易，将与上市公司依法签订规范的关联交 易协议，并按照有关法律、法规、规章、上市规则和其他规范性 文件以及上市公司章程的规定履行批准程序；关联交易价格依照 与无关联关系的独立第三方进行相同或相似交易时的价格确定， 保证关联交易价格具有公允性；保证按照有关法律、法规、上市 公司章程的规定履行关联交易的信息披露义务。本公司保证不利 用关联交易非法转移上市公司的资金、利润，不利用关联交易损 害非关联股东的利益。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中国希格玛有限公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、本公司已向上市公司及为本次交易服务的中介机构提供了本公 司有关本次交易的相关信息和文件（包括但不限于原始书面材料、 副本材料或口头证言等）。本公司保证：所提供的文件资料的副本 或复印件与正本或原件一致，且该等文件资料的签字与印章都是 真实的；保证所提供信息和文件真实、准确和完整，不存在虚假 记载、误导性陈述或者重大遗漏，并对所提供信息的真实性、准 确性和完整性承担个别及连带的法律责任。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、在参与本次交易期 间，本公司将依照相关法律、法规、规章、中国证券监督管理委 员会和深圳证券交易所的有关规定，及时向上市公司披露有关本 次交易的信息，并保证该等信息的真实性、准确性和完整性，保 证该等信息不存在虚假记载、误导性陈述或者重大遗漏。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 司保证填报的内幕信息知情人信息的真实、准确、完整。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截至本报告日，本承 诺仍在履行过程中， 承诺人无违反本承 诺的情况。</w:t>
            </w:r>
          </w:p>
        </w:tc>
      </w:tr>
    </w:tbl>
    <w:p>
      <w:pPr>
        <w:spacing w:lineRule="exact" w:line="1"/>
        <w:rPr>
          <w:sz w:val="2"/>
          <w:szCs w:val="2"/>
        </w:rPr>
      </w:pPr>
      <w:r>
        <w:br w:type="page"/>
      </w:r>
    </w:p>
    <w:tbl>
      <w:tblPr>
        <w:tblOverlap w:val="never"/>
        <w:jc w:val="center"/>
        <w:tblLayout w:type="fixed"/>
      </w:tblPr>
      <w:tblGrid>
        <w:gridCol w:w="1877"/>
        <w:gridCol w:w="1560"/>
        <w:gridCol w:w="1843"/>
        <w:gridCol w:w="5102"/>
        <w:gridCol w:w="1133"/>
        <w:gridCol w:w="878"/>
        <w:gridCol w:w="1637"/>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60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司承诺最近五年内未受过与证券市场相关的行政处罚、刑事处罚， 不存在被立案调查的情况，也不存在与经济纠纷有关的重大民事 诉讼或仲裁事项。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、本公司承诺最近五年内不存在未按期偿还大 额债务、未履行承诺、被中国证监会采取行政监管措施或受到证 券交易所纪律处分的情况。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中国希格玛有限公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重大资产出售交易完成之后，五家标的公司所涉及的全部尚未了 结的诉讼所产生的或有负债及或有损失均由标的公司自行承担， 上市公司无需承担任何或有负债及或有损失，且本公司承诺不因 标的公司任何相关尚未了结的诉讼所产生的或有负债及或有损失 而要求上市公司承担任何补偿责任。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截至本报告日，本承 诺仍在履行过程中， 承诺人无违反本承 诺的情况。</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关于规范关联交易的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本次交易完成后，本人和本人控制的企业将尽量避免或减少与上 市公司及其下属子公司之间的关联交易，对于无法避免或有合理 理由存在的关联交易，将与上市公司依法签订规范的关联交易协 议，并按照有关法律、法规、规章、上市规则和其他规范性文件 以及上市公司章程的规定履行批准程序；关联交易价格依照与无 关联关系的独立第三方进行相同或相似交易时的价格确定，保证 关联交易价格具有公允性；保证按照有关法律、法规、上市公司 章程的规定履行关联交易的信息披露义务。本公司保证不利用关 联交易非法转移上市公司的资金、利润，不利用关联交易损害非 关联股东的利益。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诺仍在履行过程中， 承诺人无违反本承 诺的情况。</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郝峻晟、朱丽英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郝峻晟、朱丽英承诺，上海云角信息技术有限公司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年度的经审计的扣除非经常性损益后的净利润分别不低于 </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万元。承诺期内实现 净利润应不低于累计承诺净利润，否则郝峻晟和朱丽英应按照协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截至本报告日，本承 诺已履行完毕，承诺 人无违反本承诺的 情况。</w:t>
            </w:r>
          </w:p>
        </w:tc>
      </w:tr>
    </w:tbl>
    <w:p>
      <w:pPr>
        <w:spacing w:lineRule="exact" w:line="1"/>
        <w:rPr>
          <w:sz w:val="2"/>
          <w:szCs w:val="2"/>
        </w:rPr>
      </w:pPr>
      <w:r>
        <w:br w:type="page"/>
      </w:r>
    </w:p>
    <w:tbl>
      <w:tblPr>
        <w:tblOverlap w:val="never"/>
        <w:jc w:val="center"/>
        <w:tblLayout w:type="fixed"/>
      </w:tblPr>
      <w:tblGrid>
        <w:gridCol w:w="1877"/>
        <w:gridCol w:w="1560"/>
        <w:gridCol w:w="1843"/>
        <w:gridCol w:w="5102"/>
        <w:gridCol w:w="1133"/>
        <w:gridCol w:w="878"/>
        <w:gridCol w:w="1637"/>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议约定对上市公司予以补偿。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15"/>
          <w:footerReference w:type="default" r:id="rId16"/>
          <w:footnotePr>
            <w:pos w:val="pageBottom"/>
            <w:numFmt w:val="decimal"/>
            <w:numRestart w:val="continuous"/>
          </w:footnotePr>
          <w:pgSz w:w="16840" w:h="11900" w:orient="landscape"/>
          <w:pgMar w:top="1138" w:right="1402" w:bottom="1259" w:left="1407" w:header="0" w:footer="3" w:gutter="0"/>
          <w:cols w:space="720"/>
          <w:noEndnote/>
          <w:rtlGutter w:val="0"/>
          <w:docGrid w:linePitch="360"/>
        </w:sectPr>
      </w:pPr>
    </w:p>
    <w:p>
      <w:pPr>
        <w:pStyle w:val="Style40"/>
        <w:keepNext/>
        <w:keepLines/>
        <w:widowControl w:val="0"/>
        <w:shd w:val="clear" w:color="auto" w:fill="auto"/>
        <w:bidi w:val="0"/>
        <w:spacing w:before="0" w:line="317" w:lineRule="exact"/>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、公司资产或项目存在盈利预测，且报告期仍处在盈利预测期间，公司就资产或项目达到原盈利预测及 其原因做出说明</w:t>
      </w:r>
      <w:bookmarkEnd w:id="266"/>
      <w:bookmarkEnd w:id="267"/>
      <w:bookmarkEnd w:id="269"/>
    </w:p>
    <w:p>
      <w:pPr>
        <w:pStyle w:val="Style35"/>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0"/>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盈利预测资产或 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原预测披露索</w:t>
            </w:r>
          </w:p>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引</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1,868.88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2,834.46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3,474.06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当年受疫情影 响，未达成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9,539.91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累计达成预测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郝峻晟、朱丽英承诺，上海云角</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年实现的经审计的扣除非经常性损益的税后净利润分别 不低于人民币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3,645</w:t>
      </w:r>
      <w:r>
        <w:rPr>
          <w:color w:val="000000"/>
          <w:spacing w:val="0"/>
          <w:w w:val="100"/>
          <w:position w:val="0"/>
        </w:rPr>
        <w:t>万元。否则，郝峻晟、朱丽英应按照协议约定向 本公司按交易标的累计实现净利润与累计承诺净利润之间的差额进行补偿。累计承诺净利润总额为</w:t>
      </w:r>
      <w:r>
        <w:rPr>
          <w:rFonts w:ascii="Times New Roman" w:eastAsia="Times New Roman" w:hAnsi="Times New Roman" w:cs="Times New Roman"/>
          <w:color w:val="000000"/>
          <w:spacing w:val="0"/>
          <w:w w:val="100"/>
          <w:position w:val="0"/>
          <w:sz w:val="18"/>
          <w:szCs w:val="18"/>
        </w:rPr>
        <w:t>9,345</w:t>
      </w:r>
      <w:r>
        <w:rPr>
          <w:color w:val="000000"/>
          <w:spacing w:val="0"/>
          <w:w w:val="100"/>
          <w:position w:val="0"/>
        </w:rPr>
        <w:t>万元，上海云角</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年累计实现净利润总额为</w:t>
      </w:r>
      <w:r>
        <w:rPr>
          <w:rFonts w:ascii="Times New Roman" w:eastAsia="Times New Roman" w:hAnsi="Times New Roman" w:cs="Times New Roman"/>
          <w:color w:val="000000"/>
          <w:spacing w:val="0"/>
          <w:w w:val="100"/>
          <w:position w:val="0"/>
          <w:sz w:val="18"/>
          <w:szCs w:val="18"/>
        </w:rPr>
        <w:t>9,539.9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万元，超过承诺净利润总额</w:t>
      </w:r>
      <w:r>
        <w:rPr>
          <w:rFonts w:ascii="Times New Roman" w:eastAsia="Times New Roman" w:hAnsi="Times New Roman" w:cs="Times New Roman"/>
          <w:color w:val="000000"/>
          <w:spacing w:val="0"/>
          <w:w w:val="100"/>
          <w:position w:val="0"/>
          <w:sz w:val="18"/>
          <w:szCs w:val="18"/>
        </w:rPr>
        <w:t>194.9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业绩承诺的完成情况及其对商誉减值测试的影响</w:t>
      </w:r>
    </w:p>
    <w:p>
      <w:pPr>
        <w:pStyle w:val="Style37"/>
        <w:keepNext w:val="0"/>
        <w:keepLines w:val="0"/>
        <w:widowControl w:val="0"/>
        <w:shd w:val="clear" w:color="auto" w:fill="auto"/>
        <w:bidi w:val="0"/>
        <w:spacing w:before="0" w:after="380" w:line="310" w:lineRule="exact"/>
        <w:ind w:left="0" w:right="0" w:firstLine="420"/>
        <w:jc w:val="both"/>
      </w:pPr>
      <w:r>
        <w:rPr>
          <w:color w:val="000000"/>
          <w:spacing w:val="0"/>
          <w:w w:val="100"/>
          <w:position w:val="0"/>
        </w:rPr>
        <w:t>上述业绩承诺累计已完成，并由信永中和会计师事务所（特殊普通合伙）出具了《关于上海云角信息技术有限公司</w:t>
      </w:r>
      <w:r>
        <w:rPr>
          <w:color w:val="000000"/>
          <w:spacing w:val="0"/>
          <w:w w:val="100"/>
          <w:position w:val="0"/>
          <w:sz w:val="18"/>
          <w:szCs w:val="18"/>
        </w:rPr>
        <w:t xml:space="preserve">2020 </w:t>
      </w:r>
      <w:r>
        <w:rPr>
          <w:color w:val="000000"/>
          <w:spacing w:val="0"/>
          <w:w w:val="100"/>
          <w:position w:val="0"/>
        </w:rPr>
        <w:t>年度盈利承诺实现情况的专项审核报告</w:t>
      </w:r>
      <w:r>
        <w:rPr>
          <w:color w:val="000000"/>
          <w:spacing w:val="0"/>
          <w:w w:val="100"/>
          <w:position w:val="0"/>
        </w:rPr>
        <w:t>》（</w:t>
      </w:r>
      <w:r>
        <w:rPr>
          <w:color w:val="000000"/>
          <w:spacing w:val="0"/>
          <w:w w:val="100"/>
          <w:position w:val="0"/>
          <w:sz w:val="18"/>
          <w:szCs w:val="18"/>
        </w:rPr>
        <w:t>XYZH/2021BJAA10642）；</w:t>
      </w:r>
      <w:r>
        <w:rPr>
          <w:color w:val="000000"/>
          <w:spacing w:val="0"/>
          <w:w w:val="100"/>
          <w:position w:val="0"/>
        </w:rPr>
        <w:t>本报告期未发生商誉减值，并由北京中同华资产评估有 限公司出具了《神州数码集团股份有限公司并购上海云角信息技术有限公司所形成的商誉及相关资产组可收回金额评估项目 资产评估报告》（中同华评报字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010235</w:t>
      </w:r>
      <w:r>
        <w:rPr>
          <w:color w:val="000000"/>
          <w:spacing w:val="0"/>
          <w:w w:val="100"/>
          <w:position w:val="0"/>
        </w:rPr>
        <w:t>号）。</w:t>
      </w:r>
    </w:p>
    <w:p>
      <w:pPr>
        <w:pStyle w:val="Style32"/>
        <w:keepNext/>
        <w:keepLines/>
        <w:widowControl w:val="0"/>
        <w:shd w:val="clear" w:color="auto" w:fill="auto"/>
        <w:tabs>
          <w:tab w:pos="498" w:val="left"/>
        </w:tabs>
        <w:bidi w:val="0"/>
        <w:spacing w:before="0" w:after="3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四</w:t>
      </w:r>
      <w:bookmarkEnd w:id="272"/>
      <w:r>
        <w:rPr>
          <w:color w:val="000000"/>
          <w:spacing w:val="0"/>
          <w:w w:val="100"/>
          <w:position w:val="0"/>
        </w:rPr>
        <w:t>、</w:t>
        <w:tab/>
        <w:t>控股股东及其关联方对上市公司的非经营性占用资金情况</w:t>
      </w:r>
      <w:bookmarkEnd w:id="270"/>
      <w:bookmarkEnd w:id="271"/>
      <w:bookmarkEnd w:id="273"/>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公司报告期不存在控股股东及其关联方对上市公司的非经营性占用资金。</w:t>
      </w:r>
    </w:p>
    <w:p>
      <w:pPr>
        <w:pStyle w:val="Style32"/>
        <w:keepNext/>
        <w:keepLines/>
        <w:widowControl w:val="0"/>
        <w:shd w:val="clear" w:color="auto" w:fill="auto"/>
        <w:tabs>
          <w:tab w:pos="517" w:val="left"/>
        </w:tabs>
        <w:bidi w:val="0"/>
        <w:spacing w:before="0" w:after="3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五</w:t>
      </w:r>
      <w:bookmarkEnd w:id="27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74"/>
      <w:bookmarkEnd w:id="275"/>
      <w:bookmarkEnd w:id="277"/>
    </w:p>
    <w:p>
      <w:pPr>
        <w:pStyle w:val="Style3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after="3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六</w:t>
      </w:r>
      <w:bookmarkEnd w:id="280"/>
      <w:r>
        <w:rPr>
          <w:color w:val="000000"/>
          <w:spacing w:val="0"/>
          <w:w w:val="100"/>
          <w:position w:val="0"/>
        </w:rPr>
        <w:t>、</w:t>
        <w:tab/>
        <w:t>与上年度财务报告相比，会计政策、会计估计和核算方法发生变化的情况说明</w:t>
      </w:r>
      <w:bookmarkEnd w:id="278"/>
      <w:bookmarkEnd w:id="279"/>
      <w:bookmarkEnd w:id="281"/>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2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年起本集团执行新收入准则，会计政策、会计估计和核算方法发生变化的情况详见本报告第十二节财务报告、五、重要 会计政策及会计估计、</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、重要会计政策和会计估计变更。</w:t>
      </w:r>
    </w:p>
    <w:p>
      <w:pPr>
        <w:pStyle w:val="Style32"/>
        <w:keepNext/>
        <w:keepLines/>
        <w:widowControl w:val="0"/>
        <w:shd w:val="clear" w:color="auto" w:fill="auto"/>
        <w:tabs>
          <w:tab w:pos="522" w:val="left"/>
        </w:tabs>
        <w:bidi w:val="0"/>
        <w:spacing w:before="0" w:after="3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七</w:t>
      </w:r>
      <w:bookmarkEnd w:id="284"/>
      <w:r>
        <w:rPr>
          <w:color w:val="000000"/>
          <w:spacing w:val="0"/>
          <w:w w:val="100"/>
          <w:position w:val="0"/>
        </w:rPr>
        <w:t>、</w:t>
        <w:tab/>
        <w:t>报告期内发生重大会计差错更正需追溯重述的情况说明</w:t>
      </w:r>
      <w:bookmarkEnd w:id="282"/>
      <w:bookmarkEnd w:id="283"/>
      <w:bookmarkEnd w:id="285"/>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公司报告期无重大会计差错更正需追溯重述的情况。</w:t>
      </w:r>
    </w:p>
    <w:p>
      <w:pPr>
        <w:pStyle w:val="Style32"/>
        <w:keepNext/>
        <w:keepLines/>
        <w:widowControl w:val="0"/>
        <w:shd w:val="clear" w:color="auto" w:fill="auto"/>
        <w:tabs>
          <w:tab w:pos="522" w:val="left"/>
        </w:tabs>
        <w:bidi w:val="0"/>
        <w:spacing w:before="0" w:after="3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八</w:t>
      </w:r>
      <w:bookmarkEnd w:id="288"/>
      <w:r>
        <w:rPr>
          <w:color w:val="000000"/>
          <w:spacing w:val="0"/>
          <w:w w:val="100"/>
          <w:position w:val="0"/>
        </w:rPr>
        <w:t>、</w:t>
        <w:tab/>
        <w:t>与上年度财务报告相比，合并报表范围发生变化的情况说明</w:t>
      </w:r>
      <w:bookmarkEnd w:id="286"/>
      <w:bookmarkEnd w:id="287"/>
      <w:bookmarkEnd w:id="289"/>
    </w:p>
    <w:p>
      <w:pPr>
        <w:pStyle w:val="Style3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本年因设立新增神州鲲泰（厦门）信息技术有限公司、神州信创（北京）集团有限公司、神州信创（厦门）研究院有限 公司、武汉神州数码云创新科技有限公司、重庆神州智享信息技术有限公司、厦门神州数码云计算有限公司、</w:t>
      </w:r>
      <w:r>
        <w:rPr>
          <w:rFonts w:ascii="Times New Roman" w:eastAsia="Times New Roman" w:hAnsi="Times New Roman" w:cs="Times New Roman"/>
          <w:color w:val="000000"/>
          <w:spacing w:val="0"/>
          <w:w w:val="100"/>
          <w:position w:val="0"/>
          <w:sz w:val="18"/>
          <w:szCs w:val="18"/>
        </w:rPr>
        <w:t>Digital China Cloud Singapore Pte.Ltd</w:t>
      </w:r>
      <w:r>
        <w:rPr>
          <w:color w:val="000000"/>
          <w:spacing w:val="0"/>
          <w:w w:val="100"/>
          <w:position w:val="0"/>
        </w:rPr>
        <w:t>。</w:t>
      </w:r>
    </w:p>
    <w:p>
      <w:pPr>
        <w:pStyle w:val="Style32"/>
        <w:keepNext/>
        <w:keepLines/>
        <w:widowControl w:val="0"/>
        <w:shd w:val="clear" w:color="auto" w:fill="auto"/>
        <w:tabs>
          <w:tab w:pos="522" w:val="left"/>
        </w:tabs>
        <w:bidi w:val="0"/>
        <w:spacing w:before="0" w:after="38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九</w:t>
      </w:r>
      <w:bookmarkEnd w:id="292"/>
      <w:r>
        <w:rPr>
          <w:color w:val="000000"/>
          <w:spacing w:val="0"/>
          <w:w w:val="100"/>
          <w:position w:val="0"/>
        </w:rPr>
        <w:t>、</w:t>
        <w:tab/>
        <w:t>聘任、解聘会计师事务所情况</w:t>
      </w:r>
      <w:bookmarkEnd w:id="290"/>
      <w:bookmarkEnd w:id="291"/>
      <w:bookmarkEnd w:id="293"/>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pStyle w:val="Style3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当期是否改聘会计师事务所</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报告期内公司聘请信永中和会计师事务所（特殊普通合伙）为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年度内部控制审计机构，审计费用为人民币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万元（此费 用不包括在上述</w:t>
      </w:r>
      <w:r>
        <w:rPr>
          <w:rFonts w:ascii="Times New Roman" w:eastAsia="Times New Roman" w:hAnsi="Times New Roman" w:cs="Times New Roman"/>
          <w:color w:val="000000"/>
          <w:spacing w:val="0"/>
          <w:w w:val="100"/>
          <w:position w:val="0"/>
          <w:sz w:val="18"/>
          <w:szCs w:val="18"/>
        </w:rPr>
        <w:t>243</w:t>
      </w:r>
      <w:r>
        <w:rPr>
          <w:color w:val="000000"/>
          <w:spacing w:val="0"/>
          <w:w w:val="100"/>
          <w:position w:val="0"/>
        </w:rPr>
        <w:t>万元中），截止报告日尚未支付。</w:t>
      </w:r>
    </w:p>
    <w:p>
      <w:pPr>
        <w:pStyle w:val="Style32"/>
        <w:keepNext/>
        <w:keepLines/>
        <w:widowControl w:val="0"/>
        <w:shd w:val="clear" w:color="auto" w:fill="auto"/>
        <w:bidi w:val="0"/>
        <w:spacing w:before="0" w:after="380" w:line="240" w:lineRule="auto"/>
        <w:ind w:left="0" w:right="0" w:firstLine="0"/>
        <w:jc w:val="left"/>
      </w:pPr>
      <w:bookmarkStart w:id="294" w:name="bookmark294"/>
      <w:bookmarkStart w:id="295" w:name="bookmark295"/>
      <w:bookmarkStart w:id="296" w:name="bookmark296"/>
      <w:r>
        <w:rPr>
          <w:color w:val="000000"/>
          <w:spacing w:val="0"/>
          <w:w w:val="100"/>
          <w:position w:val="0"/>
        </w:rPr>
        <w:t>十、年度报告披露后面临退市情况</w:t>
      </w:r>
      <w:bookmarkEnd w:id="294"/>
      <w:bookmarkEnd w:id="295"/>
      <w:bookmarkEnd w:id="296"/>
    </w:p>
    <w:p>
      <w:pPr>
        <w:pStyle w:val="Style37"/>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297" w:name="bookmark297"/>
      <w:bookmarkStart w:id="298" w:name="bookmark298"/>
      <w:bookmarkStart w:id="299" w:name="bookmark299"/>
      <w:r>
        <w:rPr>
          <w:color w:val="000000"/>
          <w:spacing w:val="0"/>
          <w:w w:val="100"/>
          <w:position w:val="0"/>
        </w:rPr>
        <w:t>十一、破产重整相关事项</w:t>
      </w:r>
      <w:bookmarkEnd w:id="297"/>
      <w:bookmarkEnd w:id="298"/>
      <w:bookmarkEnd w:id="299"/>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公司报告期未发生破产重整相关事项。</w:t>
      </w:r>
    </w:p>
    <w:p>
      <w:pPr>
        <w:pStyle w:val="Style32"/>
        <w:keepNext/>
        <w:keepLines/>
        <w:widowControl w:val="0"/>
        <w:shd w:val="clear" w:color="auto" w:fill="auto"/>
        <w:bidi w:val="0"/>
        <w:spacing w:before="0" w:after="380" w:line="240" w:lineRule="auto"/>
        <w:ind w:left="0" w:right="0" w:firstLine="0"/>
        <w:jc w:val="left"/>
      </w:pPr>
      <w:bookmarkStart w:id="300" w:name="bookmark300"/>
      <w:bookmarkStart w:id="301" w:name="bookmark301"/>
      <w:bookmarkStart w:id="302" w:name="bookmark302"/>
      <w:r>
        <w:rPr>
          <w:color w:val="000000"/>
          <w:spacing w:val="0"/>
          <w:w w:val="100"/>
          <w:position w:val="0"/>
        </w:rPr>
        <w:t>十二、重大诉讼、仲裁事项</w:t>
      </w:r>
      <w:bookmarkEnd w:id="300"/>
      <w:bookmarkEnd w:id="301"/>
      <w:bookmarkEnd w:id="302"/>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854"/>
        <w:gridCol w:w="706"/>
        <w:gridCol w:w="1138"/>
        <w:gridCol w:w="3259"/>
        <w:gridCol w:w="850"/>
        <w:gridCol w:w="850"/>
        <w:gridCol w:w="965"/>
      </w:tblGrid>
      <w:tr>
        <w:trPr>
          <w:trHeight w:val="104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本情况</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 成预计 负债</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展</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 行情况</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138"/>
        <w:gridCol w:w="854"/>
        <w:gridCol w:w="706"/>
        <w:gridCol w:w="1138"/>
        <w:gridCol w:w="3259"/>
        <w:gridCol w:w="850"/>
        <w:gridCol w:w="850"/>
        <w:gridCol w:w="965"/>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本情况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涉案金额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14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19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山西省物产 集团进出口 有限公司就 神码中国合 同纠纷提起 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神码中国胜</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月，北京市第一中级人民法院作 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民再</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号《民事判决书》, 判决：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、驳回上诉，维持原判；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、案件 受理费由山西省物产集团进出口有限公 司负担；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、本判决为终审判决。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网，公告编</w:t>
            </w:r>
          </w:p>
          <w:p>
            <w:pPr>
              <w:pStyle w:val="Style2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2020-106</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天津祥润昌 商贸有限公 司就神码北 京合同纠纷 提起诉讼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按天津祥润 昌商贸有限 公司撤诉处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月，北京市海淀区人民法院作 出《民事裁定书》，裁定：本案按原告天 津祥润昌商贸有限公司撤诉处理。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 网，公告编</w:t>
            </w:r>
          </w:p>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2020-156</w:t>
            </w:r>
          </w:p>
        </w:tc>
      </w:tr>
      <w:tr>
        <w:trPr>
          <w:trHeight w:val="258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寰球实业（安 徽）有限公司 就神码北京、 北京卓优世 纪科技有限 公司、神码中 国合同纠纷 提起诉讼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寰球实业（安 徽）有限公司 向安徽省人 民检察院提 出的检查监 督申请未被 支持。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月，安徽省人民检察院皖检民 </w:t>
            </w:r>
            <w:r>
              <w:rPr>
                <w:rFonts w:ascii="Times New Roman" w:eastAsia="Times New Roman" w:hAnsi="Times New Roman" w:cs="Times New Roman"/>
                <w:color w:val="000000"/>
                <w:spacing w:val="0"/>
                <w:w w:val="100"/>
                <w:position w:val="0"/>
                <w:sz w:val="18"/>
                <w:szCs w:val="18"/>
              </w:rPr>
              <w:t>[2020]34000000059</w:t>
            </w:r>
            <w:r>
              <w:rPr>
                <w:color w:val="000000"/>
                <w:spacing w:val="0"/>
                <w:w w:val="100"/>
                <w:position w:val="0"/>
              </w:rPr>
              <w:t>号《不支持监督申请 决定书》，决定如下：安徽省高级人民法 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）皖民终</w:t>
            </w:r>
            <w:r>
              <w:rPr>
                <w:rFonts w:ascii="Times New Roman" w:eastAsia="Times New Roman" w:hAnsi="Times New Roman" w:cs="Times New Roman"/>
                <w:color w:val="000000"/>
                <w:spacing w:val="0"/>
                <w:w w:val="100"/>
                <w:position w:val="0"/>
                <w:sz w:val="18"/>
                <w:szCs w:val="18"/>
              </w:rPr>
              <w:t>723</w:t>
            </w:r>
            <w:r>
              <w:rPr>
                <w:color w:val="000000"/>
                <w:spacing w:val="0"/>
                <w:w w:val="100"/>
                <w:position w:val="0"/>
              </w:rPr>
              <w:t>号民事裁定书认定 事实清楚，适用法律正确，根据《人民检 察院民事诉讼监督规则（试行）》第九十 条的规定，本院决定不支持寰球实业（安 徽）有限公司的监督申请。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 网，公告编</w:t>
            </w:r>
          </w:p>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2020-126</w:t>
            </w:r>
          </w:p>
        </w:tc>
      </w:tr>
      <w:tr>
        <w:trPr>
          <w:trHeight w:val="661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江西银行股 份有限公司 南昌洪城支 行就南昌凯 良科技有限 公司、神码上 海、陈斐、肖 珣、吉安市天 际房地产开 发有限公司 借款合同纠 纷提起诉讼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神码上海提 起上诉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月，江西省高级人民法院作出</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）赣民初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号《民事判决书》判 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、南昌凯良科技有限公司在本判决 生效之日起十日内向江西银行偿还银行 承兑汇票垫款本金</w:t>
            </w:r>
            <w:r>
              <w:rPr>
                <w:rFonts w:ascii="Times New Roman" w:eastAsia="Times New Roman" w:hAnsi="Times New Roman" w:cs="Times New Roman"/>
                <w:color w:val="000000"/>
                <w:spacing w:val="0"/>
                <w:w w:val="100"/>
                <w:position w:val="0"/>
                <w:sz w:val="18"/>
                <w:szCs w:val="18"/>
              </w:rPr>
              <w:t>84,402,787.42</w:t>
            </w:r>
            <w:r>
              <w:rPr>
                <w:color w:val="000000"/>
                <w:spacing w:val="0"/>
                <w:w w:val="100"/>
                <w:position w:val="0"/>
              </w:rPr>
              <w:t>元和逾 期付款利息</w:t>
            </w:r>
            <w:r>
              <w:rPr>
                <w:rFonts w:ascii="Times New Roman" w:eastAsia="Times New Roman" w:hAnsi="Times New Roman" w:cs="Times New Roman"/>
                <w:color w:val="000000"/>
                <w:spacing w:val="0"/>
                <w:w w:val="100"/>
                <w:position w:val="0"/>
                <w:sz w:val="18"/>
                <w:szCs w:val="18"/>
              </w:rPr>
              <w:t>9,791,589.98</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日），并自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 付清全部款项之日止按每日万分之五的 标准支付后续利息；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、神码上海对上述 第一项南昌凯良科技有限公司应付银行 承兑汇票垫款</w:t>
            </w:r>
            <w:r>
              <w:rPr>
                <w:rFonts w:ascii="Times New Roman" w:eastAsia="Times New Roman" w:hAnsi="Times New Roman" w:cs="Times New Roman"/>
                <w:color w:val="000000"/>
                <w:spacing w:val="0"/>
                <w:w w:val="100"/>
                <w:position w:val="0"/>
                <w:sz w:val="18"/>
                <w:szCs w:val="18"/>
              </w:rPr>
              <w:t>84,402,787.42</w:t>
            </w:r>
            <w:r>
              <w:rPr>
                <w:color w:val="000000"/>
                <w:spacing w:val="0"/>
                <w:w w:val="100"/>
                <w:position w:val="0"/>
              </w:rPr>
              <w:t>元向江西银 行承担差额退款责任，并向江西银行支付 违约金</w:t>
            </w:r>
            <w:r>
              <w:rPr>
                <w:rFonts w:ascii="Times New Roman" w:eastAsia="Times New Roman" w:hAnsi="Times New Roman" w:cs="Times New Roman"/>
                <w:color w:val="000000"/>
                <w:spacing w:val="0"/>
                <w:w w:val="100"/>
                <w:position w:val="0"/>
                <w:sz w:val="18"/>
                <w:szCs w:val="18"/>
              </w:rPr>
              <w:t>3,916,635.99</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日起至债务 清偿之日止按每日万分之二点一计算违 约金；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、陈斐、肖珣、吉安市天际房地 产开发有限公司对前述第一项南昌凯良 科技有限公司应付银行承兑垫款本息承 担连带清偿责任，在承担保证责任后有权 向南昌凯良科技有限公司追偿；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、南昌 凯良科技有限公司在判决生效之日起十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 网，公告编</w:t>
            </w:r>
          </w:p>
          <w:p>
            <w:pPr>
              <w:pStyle w:val="Style2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2020-095</w:t>
            </w:r>
          </w:p>
        </w:tc>
      </w:tr>
    </w:tbl>
    <w:tbl>
      <w:tblPr>
        <w:tblOverlap w:val="never"/>
        <w:jc w:val="center"/>
        <w:tblLayout w:type="fixed"/>
      </w:tblPr>
      <w:tblGrid>
        <w:gridCol w:w="1138"/>
        <w:gridCol w:w="854"/>
        <w:gridCol w:w="706"/>
        <w:gridCol w:w="1138"/>
        <w:gridCol w:w="3259"/>
        <w:gridCol w:w="850"/>
        <w:gridCol w:w="850"/>
        <w:gridCol w:w="965"/>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 本情况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2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日内向江西银行支付律师代理费</w:t>
            </w:r>
            <w:r>
              <w:rPr>
                <w:rFonts w:ascii="Times New Roman" w:eastAsia="Times New Roman" w:hAnsi="Times New Roman" w:cs="Times New Roman"/>
                <w:color w:val="000000"/>
                <w:spacing w:val="0"/>
                <w:w w:val="100"/>
                <w:position w:val="0"/>
                <w:sz w:val="18"/>
                <w:szCs w:val="18"/>
              </w:rPr>
              <w:t xml:space="preserve">350,000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、案件受理费</w:t>
            </w:r>
            <w:r>
              <w:rPr>
                <w:rFonts w:ascii="Times New Roman" w:eastAsia="Times New Roman" w:hAnsi="Times New Roman" w:cs="Times New Roman"/>
                <w:color w:val="000000"/>
                <w:spacing w:val="0"/>
                <w:w w:val="100"/>
                <w:position w:val="0"/>
                <w:sz w:val="18"/>
                <w:szCs w:val="18"/>
              </w:rPr>
              <w:t>532,355.07</w:t>
            </w:r>
            <w:r>
              <w:rPr>
                <w:color w:val="000000"/>
                <w:spacing w:val="0"/>
                <w:w w:val="100"/>
                <w:position w:val="0"/>
              </w:rPr>
              <w:t>元，保全 费</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元，鉴定费</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 xml:space="preserve">元，合计 </w:t>
            </w:r>
            <w:r>
              <w:rPr>
                <w:rFonts w:ascii="Times New Roman" w:eastAsia="Times New Roman" w:hAnsi="Times New Roman" w:cs="Times New Roman"/>
                <w:color w:val="000000"/>
                <w:spacing w:val="0"/>
                <w:w w:val="100"/>
                <w:position w:val="0"/>
                <w:sz w:val="18"/>
                <w:szCs w:val="18"/>
              </w:rPr>
              <w:t>577,355.07</w:t>
            </w:r>
            <w:r>
              <w:rPr>
                <w:color w:val="000000"/>
                <w:spacing w:val="0"/>
                <w:w w:val="100"/>
                <w:position w:val="0"/>
              </w:rPr>
              <w:t>元，由江西银行负担</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元， 神码上海、南昌凯良科技有限公司、陈斐、 肖珣、吉安市天际房地产开发有限公司共 同负担</w:t>
            </w:r>
            <w:r>
              <w:rPr>
                <w:rFonts w:ascii="Times New Roman" w:eastAsia="Times New Roman" w:hAnsi="Times New Roman" w:cs="Times New Roman"/>
                <w:color w:val="000000"/>
                <w:spacing w:val="0"/>
                <w:w w:val="100"/>
                <w:position w:val="0"/>
                <w:sz w:val="18"/>
                <w:szCs w:val="18"/>
              </w:rPr>
              <w:t>571,355.07</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报告期内累 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个月的 </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件诉讼纠 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36,583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主诉案件</w:t>
            </w:r>
            <w:r>
              <w:rPr>
                <w:rFonts w:ascii="Times New Roman" w:eastAsia="Times New Roman" w:hAnsi="Times New Roman" w:cs="Times New Roman"/>
                <w:color w:val="000000"/>
                <w:spacing w:val="0"/>
                <w:w w:val="100"/>
                <w:position w:val="0"/>
                <w:sz w:val="18"/>
                <w:szCs w:val="18"/>
              </w:rPr>
              <w:t xml:space="preserve">47 </w:t>
            </w:r>
            <w:r>
              <w:rPr>
                <w:color w:val="000000"/>
                <w:spacing w:val="0"/>
                <w:w w:val="100"/>
                <w:position w:val="0"/>
              </w:rPr>
              <w:t>件，诉讼总额</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34,822 </w:t>
            </w:r>
            <w:r>
              <w:rPr>
                <w:color w:val="000000"/>
                <w:spacing w:val="0"/>
                <w:w w:val="100"/>
                <w:position w:val="0"/>
              </w:rPr>
              <w:t>万元，</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截止报告期</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末已回款</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17,124 </w:t>
            </w:r>
            <w:r>
              <w:rPr>
                <w:color w:val="000000"/>
                <w:spacing w:val="0"/>
                <w:w w:val="100"/>
                <w:position w:val="0"/>
              </w:rPr>
              <w:t>万元；</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被诉案件</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件，诉讼总额</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1,761</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303" w:name="bookmark303"/>
      <w:bookmarkStart w:id="304" w:name="bookmark304"/>
      <w:bookmarkStart w:id="305" w:name="bookmark305"/>
      <w:r>
        <w:rPr>
          <w:color w:val="000000"/>
          <w:spacing w:val="0"/>
          <w:w w:val="100"/>
          <w:position w:val="0"/>
        </w:rPr>
        <w:t>十三、处罚及整改情况</w:t>
      </w:r>
      <w:bookmarkEnd w:id="303"/>
      <w:bookmarkEnd w:id="304"/>
      <w:bookmarkEnd w:id="305"/>
    </w:p>
    <w:p>
      <w:pPr>
        <w:pStyle w:val="Style3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32"/>
        <w:keepNext/>
        <w:keepLines/>
        <w:widowControl w:val="0"/>
        <w:shd w:val="clear" w:color="auto" w:fill="auto"/>
        <w:bidi w:val="0"/>
        <w:spacing w:before="0" w:after="280" w:line="240" w:lineRule="auto"/>
        <w:ind w:left="0" w:right="0" w:firstLine="0"/>
        <w:jc w:val="left"/>
      </w:pPr>
      <w:bookmarkStart w:id="306" w:name="bookmark306"/>
      <w:bookmarkStart w:id="307" w:name="bookmark307"/>
      <w:bookmarkStart w:id="308" w:name="bookmark308"/>
      <w:r>
        <w:rPr>
          <w:color w:val="000000"/>
          <w:spacing w:val="0"/>
          <w:w w:val="100"/>
          <w:position w:val="0"/>
        </w:rPr>
        <w:t>十四、公司及其控股股东、实际控制人的诚信状况</w:t>
      </w:r>
      <w:bookmarkEnd w:id="306"/>
      <w:bookmarkEnd w:id="307"/>
      <w:bookmarkEnd w:id="308"/>
    </w:p>
    <w:p>
      <w:pPr>
        <w:pStyle w:val="Style3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60" w:line="317" w:lineRule="exact"/>
        <w:ind w:left="0" w:right="0"/>
        <w:jc w:val="both"/>
      </w:pPr>
      <w:r>
        <w:rPr>
          <w:color w:val="000000"/>
          <w:spacing w:val="0"/>
          <w:w w:val="100"/>
          <w:position w:val="0"/>
        </w:rPr>
        <w:t>报告期内，公司及其控股股东、实际控制人的诚信状况良好，不存在未履行法院生效判决、所负数额较大的债务到期未 清偿等情况。</w:t>
      </w:r>
    </w:p>
    <w:p>
      <w:pPr>
        <w:pStyle w:val="Style32"/>
        <w:keepNext/>
        <w:keepLines/>
        <w:widowControl w:val="0"/>
        <w:shd w:val="clear" w:color="auto" w:fill="auto"/>
        <w:bidi w:val="0"/>
        <w:spacing w:before="0" w:after="280" w:line="240" w:lineRule="auto"/>
        <w:ind w:left="0" w:right="0" w:firstLine="0"/>
        <w:jc w:val="left"/>
      </w:pPr>
      <w:bookmarkStart w:id="309" w:name="bookmark309"/>
      <w:bookmarkStart w:id="310" w:name="bookmark310"/>
      <w:bookmarkStart w:id="311" w:name="bookmark311"/>
      <w:r>
        <w:rPr>
          <w:color w:val="000000"/>
          <w:spacing w:val="0"/>
          <w:w w:val="100"/>
          <w:position w:val="0"/>
        </w:rPr>
        <w:t>十五、公司股权激励计划、员工持股计划或其他员工激励措施的实施情况</w:t>
      </w:r>
      <w:bookmarkEnd w:id="309"/>
      <w:bookmarkEnd w:id="310"/>
      <w:bookmarkEnd w:id="311"/>
    </w:p>
    <w:p>
      <w:pPr>
        <w:pStyle w:val="Style3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日公司第九届董事会第十二次会议和公司第九届监事会第十一次会议，及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 临时股东大会审议通过了《关于公司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w:t>
      </w:r>
      <w:r>
        <w:rPr>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的议案》、《关于提请股东大会授权董事会办理股权激励相关事宜的 议案》。详见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日巨潮资讯网上的相关公告。</w:t>
      </w:r>
    </w:p>
    <w:p>
      <w:pPr>
        <w:pStyle w:val="Style37"/>
        <w:keepNext w:val="0"/>
        <w:keepLines w:val="0"/>
        <w:widowControl w:val="0"/>
        <w:shd w:val="clear" w:color="auto" w:fill="auto"/>
        <w:bidi w:val="0"/>
        <w:spacing w:before="0" w:after="28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日，公司第九届董事会第二十六次会议和第九届监事会第十九次会议审议通过了《关于调整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 与限制性股票激励计划回购价格及行权价格的议案》、《关于回购注销部分限制性股票的议案》、《关于注销部分股票期权 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解除限售条件成就的议案》。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年第一次临时股东大会审议通过了《关于回购注销部分限制性股票的议案》。详见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日巨潮资讯网上的相关公告。</w:t>
      </w:r>
      <w:r>
        <w:br w:type="page"/>
      </w:r>
    </w:p>
    <w:p>
      <w:pPr>
        <w:pStyle w:val="Style37"/>
        <w:keepNext w:val="0"/>
        <w:keepLines w:val="0"/>
        <w:widowControl w:val="0"/>
        <w:shd w:val="clear" w:color="auto" w:fill="auto"/>
        <w:bidi w:val="0"/>
        <w:spacing w:before="0" w:line="312" w:lineRule="exact"/>
        <w:ind w:left="0" w:right="0" w:firstLine="5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日公司第九届董事会第二十七次会议和公司第九届监事会第二十次会议，及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二次临时股东大会审议通过了《关于调整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年股票期权与限制性股票激励计划部分业绩考核指标的议案》。详见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日巨潮资讯网上的相关公告。</w:t>
      </w:r>
    </w:p>
    <w:p>
      <w:pPr>
        <w:pStyle w:val="Style37"/>
        <w:keepNext w:val="0"/>
        <w:keepLines w:val="0"/>
        <w:widowControl w:val="0"/>
        <w:shd w:val="clear" w:color="auto" w:fill="auto"/>
        <w:bidi w:val="0"/>
        <w:spacing w:before="0" w:after="360" w:line="317" w:lineRule="exact"/>
        <w:ind w:left="0" w:right="0" w:firstLine="3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1,359,437</w:t>
      </w:r>
      <w:r>
        <w:rPr>
          <w:color w:val="000000"/>
          <w:spacing w:val="0"/>
          <w:w w:val="100"/>
          <w:position w:val="0"/>
        </w:rPr>
        <w:t>份股票期权注销事宜办理完毕；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股限制性股票回购注销事宜办理完 成。详见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日巨潮资讯网上的相关公告。</w:t>
      </w:r>
    </w:p>
    <w:p>
      <w:pPr>
        <w:pStyle w:val="Style32"/>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r>
        <w:rPr>
          <w:color w:val="000000"/>
          <w:spacing w:val="0"/>
          <w:w w:val="100"/>
          <w:position w:val="0"/>
        </w:rPr>
        <w:t>十六、重大关联交易</w:t>
      </w:r>
      <w:bookmarkEnd w:id="312"/>
      <w:bookmarkEnd w:id="313"/>
      <w:bookmarkEnd w:id="314"/>
    </w:p>
    <w:p>
      <w:pPr>
        <w:pStyle w:val="Style40"/>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、与日常经营相关的关联交易</w:t>
      </w:r>
      <w:bookmarkEnd w:id="315"/>
      <w:bookmarkEnd w:id="316"/>
      <w:bookmarkEnd w:id="318"/>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关联采</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关联采</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采购行 政办公 服务、货 物服务 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关联销</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关联销</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销售服 务及其 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信息服务 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关联采</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品销售 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神州数码 信息服务 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关联采</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采购技</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术服务</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信息服务 股份有限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关联销</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w:t>
            </w:r>
          </w:p>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引</w:t>
            </w: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神州数码 信息服务 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销售行 政办公 服务、货 运服务 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北京荣之 联科技股 份有限公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销售商</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北京荣之 联科技股 份有限公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销售服 务及其 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讯</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76,452</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136,600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51"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年度关联方交易：对神州控股关联采购预计</w:t>
            </w:r>
            <w:r>
              <w:rPr>
                <w:rFonts w:ascii="Times New Roman" w:eastAsia="Times New Roman" w:hAnsi="Times New Roman" w:cs="Times New Roman"/>
                <w:color w:val="000000"/>
                <w:spacing w:val="0"/>
                <w:w w:val="100"/>
                <w:position w:val="0"/>
                <w:sz w:val="18"/>
                <w:szCs w:val="18"/>
              </w:rPr>
              <w:t>52,800.00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 xml:space="preserve">49,286.00 </w:t>
            </w:r>
            <w:r>
              <w:rPr>
                <w:color w:val="000000"/>
                <w:spacing w:val="0"/>
                <w:w w:val="100"/>
                <w:position w:val="0"/>
              </w:rPr>
              <w:t>万元；对神州控股关联销售预计</w:t>
            </w:r>
            <w:r>
              <w:rPr>
                <w:rFonts w:ascii="Times New Roman" w:eastAsia="Times New Roman" w:hAnsi="Times New Roman" w:cs="Times New Roman"/>
                <w:color w:val="000000"/>
                <w:spacing w:val="0"/>
                <w:w w:val="100"/>
                <w:position w:val="0"/>
                <w:sz w:val="18"/>
                <w:szCs w:val="18"/>
              </w:rPr>
              <w:t>27,600.00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10,438</w:t>
            </w:r>
            <w:r>
              <w:rPr>
                <w:color w:val="000000"/>
                <w:spacing w:val="0"/>
                <w:w w:val="100"/>
                <w:position w:val="0"/>
              </w:rPr>
              <w:t>万元；对神州信息 关联采购预计</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181</w:t>
            </w:r>
            <w:r>
              <w:rPr>
                <w:color w:val="000000"/>
                <w:spacing w:val="0"/>
                <w:w w:val="100"/>
                <w:position w:val="0"/>
              </w:rPr>
              <w:t>万元；对神州信息关联销售预计</w:t>
            </w:r>
            <w:r>
              <w:rPr>
                <w:rFonts w:ascii="Times New Roman" w:eastAsia="Times New Roman" w:hAnsi="Times New Roman" w:cs="Times New Roman"/>
                <w:color w:val="000000"/>
                <w:spacing w:val="0"/>
                <w:w w:val="100"/>
                <w:position w:val="0"/>
                <w:sz w:val="18"/>
                <w:szCs w:val="18"/>
              </w:rPr>
              <w:t xml:space="preserve">38,800.00 </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9,593</w:t>
            </w:r>
            <w:r>
              <w:rPr>
                <w:color w:val="000000"/>
                <w:spacing w:val="0"/>
                <w:w w:val="100"/>
                <w:position w:val="0"/>
              </w:rPr>
              <w:t>万元，对荣之联关联销售预计</w:t>
            </w:r>
            <w:r>
              <w:rPr>
                <w:rFonts w:ascii="Times New Roman" w:eastAsia="Times New Roman" w:hAnsi="Times New Roman" w:cs="Times New Roman"/>
                <w:color w:val="000000"/>
                <w:spacing w:val="0"/>
                <w:w w:val="100"/>
                <w:position w:val="0"/>
                <w:sz w:val="18"/>
                <w:szCs w:val="18"/>
              </w:rPr>
              <w:t>8,400.00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 xml:space="preserve">7,004.00 </w:t>
            </w:r>
            <w:r>
              <w:rPr>
                <w:color w:val="000000"/>
                <w:spacing w:val="0"/>
                <w:w w:val="100"/>
                <w:position w:val="0"/>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、资产或股权收购、出售发生的关联交易</w:t>
      </w:r>
      <w:bookmarkEnd w:id="319"/>
      <w:bookmarkEnd w:id="320"/>
      <w:bookmarkEnd w:id="322"/>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共同对外投资的关联交易</w:t>
      </w:r>
      <w:bookmarkEnd w:id="323"/>
      <w:bookmarkEnd w:id="324"/>
      <w:bookmarkEnd w:id="326"/>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40"/>
        <w:keepNext/>
        <w:keepLines/>
        <w:widowControl w:val="0"/>
        <w:shd w:val="clear" w:color="auto" w:fill="auto"/>
        <w:tabs>
          <w:tab w:pos="37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bookmarkEnd w:id="329"/>
      <w:r>
        <w:rPr>
          <w:color w:val="000000"/>
          <w:spacing w:val="0"/>
          <w:w w:val="100"/>
          <w:position w:val="0"/>
        </w:rPr>
        <w:t>、</w:t>
        <w:tab/>
        <w:t>关联债权债务往来</w:t>
      </w:r>
      <w:bookmarkEnd w:id="327"/>
      <w:bookmarkEnd w:id="328"/>
      <w:bookmarkEnd w:id="330"/>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1"/>
        <w:gridCol w:w="941"/>
        <w:gridCol w:w="960"/>
        <w:gridCol w:w="955"/>
        <w:gridCol w:w="960"/>
        <w:gridCol w:w="955"/>
        <w:gridCol w:w="955"/>
        <w:gridCol w:w="960"/>
        <w:gridCol w:w="955"/>
        <w:gridCol w:w="1003"/>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北京神州 数码置业 发展有限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11,733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15,844.86</w:t>
            </w:r>
          </w:p>
        </w:tc>
      </w:tr>
      <w:tr>
        <w:trPr>
          <w:trHeight w:val="725"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公司对北京神州数码置业发展有限公司提供的借款对公司经营成果及财务状况影响较小。</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5</w:t>
      </w:r>
      <w:bookmarkEnd w:id="333"/>
      <w:r>
        <w:rPr>
          <w:color w:val="000000"/>
          <w:spacing w:val="0"/>
          <w:w w:val="100"/>
          <w:position w:val="0"/>
        </w:rPr>
        <w:t>、其他重大关联交易</w:t>
      </w:r>
      <w:bookmarkEnd w:id="331"/>
      <w:bookmarkEnd w:id="332"/>
      <w:bookmarkEnd w:id="334"/>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32"/>
        <w:keepNext/>
        <w:keepLines/>
        <w:widowControl w:val="0"/>
        <w:shd w:val="clear" w:color="auto" w:fill="auto"/>
        <w:bidi w:val="0"/>
        <w:spacing w:before="0" w:line="240" w:lineRule="auto"/>
        <w:ind w:left="0" w:right="0" w:firstLine="0"/>
        <w:jc w:val="both"/>
      </w:pPr>
      <w:bookmarkStart w:id="335" w:name="bookmark335"/>
      <w:bookmarkStart w:id="336" w:name="bookmark336"/>
      <w:bookmarkStart w:id="337" w:name="bookmark337"/>
      <w:r>
        <w:rPr>
          <w:color w:val="000000"/>
          <w:spacing w:val="0"/>
          <w:w w:val="100"/>
          <w:position w:val="0"/>
        </w:rPr>
        <w:t>十七、重大合同及其履行情况</w:t>
      </w:r>
      <w:bookmarkEnd w:id="335"/>
      <w:bookmarkEnd w:id="336"/>
      <w:bookmarkEnd w:id="337"/>
    </w:p>
    <w:p>
      <w:pPr>
        <w:pStyle w:val="Style40"/>
        <w:keepNext/>
        <w:keepLines/>
        <w:widowControl w:val="0"/>
        <w:shd w:val="clear" w:color="auto" w:fill="auto"/>
        <w:tabs>
          <w:tab w:pos="368" w:val="left"/>
        </w:tabs>
        <w:bidi w:val="0"/>
        <w:spacing w:before="0" w:after="36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托管、承包、租赁事项情况</w:t>
      </w:r>
      <w:bookmarkEnd w:id="338"/>
      <w:bookmarkEnd w:id="339"/>
      <w:bookmarkEnd w:id="341"/>
    </w:p>
    <w:p>
      <w:pPr>
        <w:pStyle w:val="Style47"/>
        <w:keepNext/>
        <w:keepLines/>
        <w:widowControl w:val="0"/>
        <w:shd w:val="clear" w:color="auto" w:fill="auto"/>
        <w:tabs>
          <w:tab w:pos="493" w:val="left"/>
        </w:tabs>
        <w:bidi w:val="0"/>
        <w:spacing w:before="0" w:after="360" w:line="240" w:lineRule="auto"/>
        <w:ind w:left="0" w:right="0" w:firstLine="0"/>
        <w:jc w:val="both"/>
      </w:pPr>
      <w:bookmarkStart w:id="342" w:name="bookmark342"/>
      <w:bookmarkStart w:id="343" w:name="bookmark343"/>
      <w:bookmarkStart w:id="344" w:name="bookmark344"/>
      <w:bookmarkStart w:id="345" w:name="bookmark345"/>
      <w:r>
        <w:rPr>
          <w:color w:val="000000"/>
          <w:spacing w:val="0"/>
          <w:w w:val="100"/>
          <w:position w:val="0"/>
        </w:rPr>
        <w:t>（</w:t>
      </w:r>
      <w:bookmarkEnd w:id="34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2"/>
      <w:bookmarkEnd w:id="343"/>
      <w:bookmarkEnd w:id="345"/>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47"/>
        <w:keepNext/>
        <w:keepLines/>
        <w:widowControl w:val="0"/>
        <w:shd w:val="clear" w:color="auto" w:fill="auto"/>
        <w:tabs>
          <w:tab w:pos="493" w:val="left"/>
        </w:tabs>
        <w:bidi w:val="0"/>
        <w:spacing w:before="0" w:after="36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6"/>
      <w:bookmarkEnd w:id="347"/>
      <w:bookmarkEnd w:id="349"/>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47"/>
        <w:keepNext/>
        <w:keepLines/>
        <w:widowControl w:val="0"/>
        <w:shd w:val="clear" w:color="auto" w:fill="auto"/>
        <w:tabs>
          <w:tab w:pos="493" w:val="left"/>
        </w:tabs>
        <w:bidi w:val="0"/>
        <w:spacing w:before="0" w:after="360" w:line="240" w:lineRule="auto"/>
        <w:ind w:left="0" w:right="0" w:firstLine="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0"/>
      <w:bookmarkEnd w:id="351"/>
      <w:bookmarkEnd w:id="353"/>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40"/>
        <w:keepNext/>
        <w:keepLines/>
        <w:widowControl w:val="0"/>
        <w:shd w:val="clear" w:color="auto" w:fill="auto"/>
        <w:tabs>
          <w:tab w:pos="378" w:val="left"/>
        </w:tabs>
        <w:bidi w:val="0"/>
        <w:spacing w:before="0" w:after="36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t>重大担保</w:t>
      </w:r>
      <w:bookmarkEnd w:id="354"/>
      <w:bookmarkEnd w:id="355"/>
      <w:bookmarkEnd w:id="357"/>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keepLines/>
        <w:widowControl w:val="0"/>
        <w:shd w:val="clear" w:color="auto" w:fill="auto"/>
        <w:bidi w:val="0"/>
        <w:spacing w:before="0" w:after="360" w:line="240" w:lineRule="auto"/>
        <w:ind w:left="0" w:right="0" w:firstLine="0"/>
        <w:jc w:val="both"/>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58"/>
      <w:bookmarkEnd w:id="359"/>
      <w:bookmarkEnd w:id="361"/>
    </w:p>
    <w:p>
      <w:pPr>
        <w:pStyle w:val="Style37"/>
        <w:keepNext w:val="0"/>
        <w:keepLines w:val="0"/>
        <w:widowControl w:val="0"/>
        <w:shd w:val="clear" w:color="auto" w:fill="auto"/>
        <w:bidi w:val="0"/>
        <w:spacing w:before="0" w:after="75" w:line="240" w:lineRule="auto"/>
        <w:ind w:left="0" w:right="0" w:firstLine="0"/>
        <w:jc w:val="right"/>
      </w:pPr>
      <w:r>
        <w:rPr>
          <w:color w:val="000000"/>
          <w:spacing w:val="0"/>
          <w:w w:val="100"/>
          <w:position w:val="0"/>
        </w:rPr>
        <w:t>单位：万元</w:t>
      </w:r>
    </w:p>
    <w:p>
      <w:pPr>
        <w:pStyle w:val="Style37"/>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318" w:line="240" w:lineRule="auto"/>
        <w:ind w:left="0" w:right="0" w:firstLine="0"/>
        <w:jc w:val="center"/>
      </w:pPr>
      <w:r>
        <w:rPr>
          <w:color w:val="000000"/>
          <w:spacing w:val="0"/>
          <w:w w:val="100"/>
          <w:position w:val="0"/>
        </w:rPr>
        <w:t>公司及其子公司对外担保情况（不包括对子公司的担保）</w:t>
      </w: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 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33,509.69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神码供应链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自不特定债权的确 定期间届满之日起 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自不特定债权的确 定期间届满之日起 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23,592.24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23,592.24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33,956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融资到期日另加三 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主合同项下债务人 债务履行期限届满 之日起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债务履行期限届满 之日后两年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主债权履行期限届 满之日起两年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神码供应链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债务履行期限届满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之日起两年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主合同项下债务履 行期届满之日起三 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债务履行期限届满 之日后两年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债务履行期限届满 之日后两年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之日后三年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债务履行期限届满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29,456.89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之日其三年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债务期限届满之日 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债务履行期届满日 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债务履行期限届满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债务履行期限届满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之日起两年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北京云科信息</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神州鲲泰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银行收到担保人书 面通知终止担保后 三个月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银行收到担保人书 面通知终止担保后 三个月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债务期限届满之次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神州鲲泰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神州鲲泰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融资到期日另加三 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融资到期日另加三 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融资到期日另加三 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神码供应链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融资到期日另加三 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债务到期后三年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银行收到保证人终 止保证书面通知后 六个月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银行收到保证人终 止保证书面通知后 六个月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债务履行期届满日 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债务履行期届满日 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主债权发生期间届 满之日起两年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主合同项下的借款</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期限届满之次日起</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持续有效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28,647.72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持续有效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债务履行期限届满 之日后三年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债务履行期限届满 之日后三年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3,097.49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8,280.16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45,710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神码数据服务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35,965.34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武汉云科网络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至最后一笔被担保 债务的最终到期日 后满（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年）之日终 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主债务履行期届满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主债务履行期届满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主债务履行期届满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13,878.49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神码中国杭州</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债务履行期限届满 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债务履行期限届满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债务履行期限届满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92"/>
        <w:gridCol w:w="79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债务履行期限届满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日后两年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自主债务发生期间 及履行期届满之日 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债务到期日起两年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债务履行期限届满 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债务到期日起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债务到期日起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债务期限届满之次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神码数据服务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神州云计算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武汉云科网络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pPr>
            <w:r>
              <w:rPr>
                <w:color w:val="000000"/>
                <w:spacing w:val="0"/>
                <w:w w:val="100"/>
                <w:position w:val="0"/>
              </w:rPr>
              <w:t>主债务履行期届满 之日起二年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82"/>
        <w:gridCol w:w="80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2,417,287.6</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1,173,371.32</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4,061,950.2</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1,655,362.88</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 关公告披露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52,195.03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主债权发生期间届 满之日起两年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神码供应链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主合同项下的借款 期限届满之日起两 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北京云科信息</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神码深圳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82"/>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银行收到保证人终 止保证书面通知后 六个月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银行收到保证人终 止保证书面通知后 六个月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债务履行期届满日 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14,104.8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债务履行期届满日 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主债权发生期间届 满之日起两年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主合同项下的借款</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期限届满之次日起</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29,270.76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29,520.24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28,801.04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持续有效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33"/>
        <w:gridCol w:w="994"/>
        <w:gridCol w:w="1133"/>
        <w:gridCol w:w="994"/>
        <w:gridCol w:w="994"/>
        <w:gridCol w:w="1570"/>
        <w:gridCol w:w="782"/>
        <w:gridCol w:w="80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28,647.72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持续有效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之日后三年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神州鲲泰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之日后三年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3,097.49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12,275.08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债务履行期届满之</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8,280.16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债务履行期限届满 之日起两年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债务履行期限届满 之日起三年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神码科技发展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10,774.5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主债权存续期间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主债务履行期届满</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之日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神码马来西亚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82"/>
        <w:gridCol w:w="1128"/>
        <w:gridCol w:w="998"/>
        <w:gridCol w:w="1133"/>
        <w:gridCol w:w="994"/>
        <w:gridCol w:w="994"/>
        <w:gridCol w:w="1570"/>
        <w:gridCol w:w="782"/>
        <w:gridCol w:w="802"/>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主债务履行期届满 之日起二年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主债权届满之日起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神码澳门离岸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163,250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1,390,010.95</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388,872.55</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报告期末已审批的对子公司担 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1,674,603.55</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692,795.58</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3,807,298.55</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1,562,243.87</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5,736,553.75</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2,348,158.46</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499.60%</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 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1,891,520.56</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1,656,517.56</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1,891,520.56</w:t>
            </w:r>
          </w:p>
        </w:tc>
      </w:tr>
      <w:tr>
        <w:trPr>
          <w:trHeight w:val="710"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 清偿责任的情况说明（如有）</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截止报告期末，公司存在二十五笔共同担保的情形，其在公司与子公司担保、子公司与子公司担保中均有列出，分别是:</w:t>
      </w:r>
    </w:p>
    <w:p>
      <w:pPr>
        <w:pStyle w:val="Style37"/>
        <w:keepNext w:val="0"/>
        <w:keepLines w:val="0"/>
        <w:widowControl w:val="0"/>
        <w:shd w:val="clear" w:color="auto" w:fill="auto"/>
        <w:tabs>
          <w:tab w:pos="334" w:val="left"/>
        </w:tabs>
        <w:bidi w:val="0"/>
        <w:spacing w:before="0" w:after="100" w:line="240" w:lineRule="auto"/>
        <w:ind w:left="0" w:right="0" w:firstLine="0"/>
        <w:jc w:val="left"/>
      </w:pPr>
      <w:bookmarkStart w:id="362" w:name="bookmark362"/>
      <w:r>
        <w:rPr>
          <w:rFonts w:ascii="Times New Roman" w:eastAsia="Times New Roman" w:hAnsi="Times New Roman" w:cs="Times New Roman"/>
          <w:color w:val="000000"/>
          <w:spacing w:val="0"/>
          <w:w w:val="100"/>
          <w:position w:val="0"/>
          <w:sz w:val="18"/>
          <w:szCs w:val="18"/>
        </w:rPr>
        <w:t>1</w:t>
      </w:r>
      <w:bookmarkEnd w:id="362"/>
      <w:r>
        <w:rPr>
          <w:color w:val="000000"/>
          <w:spacing w:val="0"/>
          <w:w w:val="100"/>
          <w:position w:val="0"/>
        </w:rPr>
        <w:t>、</w:t>
        <w:tab/>
        <w:t>本公司及神码中国共同为神码深圳提供担保</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w:t>
      </w:r>
    </w:p>
    <w:p>
      <w:pPr>
        <w:pStyle w:val="Style37"/>
        <w:keepNext w:val="0"/>
        <w:keepLines w:val="0"/>
        <w:widowControl w:val="0"/>
        <w:shd w:val="clear" w:color="auto" w:fill="auto"/>
        <w:tabs>
          <w:tab w:pos="354" w:val="left"/>
        </w:tabs>
        <w:bidi w:val="0"/>
        <w:spacing w:before="0" w:after="100" w:line="240" w:lineRule="auto"/>
        <w:ind w:left="0" w:right="0" w:firstLine="0"/>
        <w:jc w:val="left"/>
      </w:pPr>
      <w:bookmarkStart w:id="363" w:name="bookmark363"/>
      <w:r>
        <w:rPr>
          <w:rFonts w:ascii="Times New Roman" w:eastAsia="Times New Roman" w:hAnsi="Times New Roman" w:cs="Times New Roman"/>
          <w:color w:val="000000"/>
          <w:spacing w:val="0"/>
          <w:w w:val="100"/>
          <w:position w:val="0"/>
          <w:sz w:val="18"/>
          <w:szCs w:val="18"/>
        </w:rPr>
        <w:t>2</w:t>
      </w:r>
      <w:bookmarkEnd w:id="363"/>
      <w:r>
        <w:rPr>
          <w:color w:val="000000"/>
          <w:spacing w:val="0"/>
          <w:w w:val="100"/>
          <w:position w:val="0"/>
        </w:rPr>
        <w:t>、</w:t>
        <w:tab/>
        <w:t>本公司及神码中国共同为神码科技发展提供担保</w:t>
      </w:r>
      <w:r>
        <w:rPr>
          <w:rFonts w:ascii="Times New Roman" w:eastAsia="Times New Roman" w:hAnsi="Times New Roman" w:cs="Times New Roman"/>
          <w:color w:val="000000"/>
          <w:spacing w:val="0"/>
          <w:w w:val="100"/>
          <w:position w:val="0"/>
          <w:sz w:val="18"/>
          <w:szCs w:val="18"/>
        </w:rPr>
        <w:t>42445</w:t>
      </w:r>
      <w:r>
        <w:rPr>
          <w:color w:val="000000"/>
          <w:spacing w:val="0"/>
          <w:w w:val="100"/>
          <w:position w:val="0"/>
        </w:rPr>
        <w:t>万元；</w:t>
      </w:r>
    </w:p>
    <w:p>
      <w:pPr>
        <w:pStyle w:val="Style37"/>
        <w:keepNext w:val="0"/>
        <w:keepLines w:val="0"/>
        <w:widowControl w:val="0"/>
        <w:shd w:val="clear" w:color="auto" w:fill="auto"/>
        <w:tabs>
          <w:tab w:pos="354" w:val="left"/>
        </w:tabs>
        <w:bidi w:val="0"/>
        <w:spacing w:before="0" w:after="100" w:line="240" w:lineRule="auto"/>
        <w:ind w:left="0" w:right="0" w:firstLine="0"/>
        <w:jc w:val="left"/>
      </w:pPr>
      <w:bookmarkStart w:id="364" w:name="bookmark364"/>
      <w:r>
        <w:rPr>
          <w:rFonts w:ascii="Times New Roman" w:eastAsia="Times New Roman" w:hAnsi="Times New Roman" w:cs="Times New Roman"/>
          <w:color w:val="000000"/>
          <w:spacing w:val="0"/>
          <w:w w:val="100"/>
          <w:position w:val="0"/>
          <w:sz w:val="18"/>
          <w:szCs w:val="18"/>
        </w:rPr>
        <w:t>3</w:t>
      </w:r>
      <w:bookmarkEnd w:id="364"/>
      <w:r>
        <w:rPr>
          <w:color w:val="000000"/>
          <w:spacing w:val="0"/>
          <w:w w:val="100"/>
          <w:position w:val="0"/>
        </w:rPr>
        <w:t>、</w:t>
        <w:tab/>
        <w:t>本公司及神码中国共同为神码澳门离岸提供担保</w:t>
      </w:r>
      <w:r>
        <w:rPr>
          <w:rFonts w:ascii="Times New Roman" w:eastAsia="Times New Roman" w:hAnsi="Times New Roman" w:cs="Times New Roman"/>
          <w:color w:val="000000"/>
          <w:spacing w:val="0"/>
          <w:w w:val="100"/>
          <w:position w:val="0"/>
          <w:sz w:val="18"/>
          <w:szCs w:val="18"/>
        </w:rPr>
        <w:t>42445</w:t>
      </w:r>
      <w:r>
        <w:rPr>
          <w:color w:val="000000"/>
          <w:spacing w:val="0"/>
          <w:w w:val="100"/>
          <w:position w:val="0"/>
        </w:rPr>
        <w:t>万元；</w:t>
      </w:r>
    </w:p>
    <w:p>
      <w:pPr>
        <w:pStyle w:val="Style37"/>
        <w:keepNext w:val="0"/>
        <w:keepLines w:val="0"/>
        <w:widowControl w:val="0"/>
        <w:shd w:val="clear" w:color="auto" w:fill="auto"/>
        <w:tabs>
          <w:tab w:pos="354" w:val="left"/>
        </w:tabs>
        <w:bidi w:val="0"/>
        <w:spacing w:before="0" w:after="100" w:line="240" w:lineRule="auto"/>
        <w:ind w:left="0" w:right="0" w:firstLine="0"/>
        <w:jc w:val="left"/>
      </w:pPr>
      <w:bookmarkStart w:id="365" w:name="bookmark365"/>
      <w:r>
        <w:rPr>
          <w:rFonts w:ascii="Times New Roman" w:eastAsia="Times New Roman" w:hAnsi="Times New Roman" w:cs="Times New Roman"/>
          <w:color w:val="000000"/>
          <w:spacing w:val="0"/>
          <w:w w:val="100"/>
          <w:position w:val="0"/>
          <w:sz w:val="18"/>
          <w:szCs w:val="18"/>
        </w:rPr>
        <w:t>4</w:t>
      </w:r>
      <w:bookmarkEnd w:id="365"/>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sz w:val="18"/>
          <w:szCs w:val="18"/>
        </w:rPr>
        <w:t>14104.8</w:t>
      </w:r>
      <w:r>
        <w:rPr>
          <w:color w:val="000000"/>
          <w:spacing w:val="0"/>
          <w:w w:val="100"/>
          <w:position w:val="0"/>
        </w:rPr>
        <w:t>万元；</w:t>
      </w:r>
    </w:p>
    <w:p>
      <w:pPr>
        <w:pStyle w:val="Style37"/>
        <w:keepNext w:val="0"/>
        <w:keepLines w:val="0"/>
        <w:widowControl w:val="0"/>
        <w:shd w:val="clear" w:color="auto" w:fill="auto"/>
        <w:tabs>
          <w:tab w:pos="354" w:val="left"/>
        </w:tabs>
        <w:bidi w:val="0"/>
        <w:spacing w:before="0" w:after="100" w:line="240" w:lineRule="auto"/>
        <w:ind w:left="0" w:right="0" w:firstLine="0"/>
        <w:jc w:val="left"/>
      </w:pPr>
      <w:bookmarkStart w:id="366" w:name="bookmark366"/>
      <w:r>
        <w:rPr>
          <w:rFonts w:ascii="Times New Roman" w:eastAsia="Times New Roman" w:hAnsi="Times New Roman" w:cs="Times New Roman"/>
          <w:color w:val="000000"/>
          <w:spacing w:val="0"/>
          <w:w w:val="100"/>
          <w:position w:val="0"/>
          <w:sz w:val="18"/>
          <w:szCs w:val="18"/>
        </w:rPr>
        <w:t>5</w:t>
      </w:r>
      <w:bookmarkEnd w:id="366"/>
      <w:r>
        <w:rPr>
          <w:color w:val="000000"/>
          <w:spacing w:val="0"/>
          <w:w w:val="100"/>
          <w:position w:val="0"/>
        </w:rPr>
        <w:t>、</w:t>
        <w:tab/>
        <w:t>本公司及神码中国共同为神码北京提供担保</w:t>
      </w:r>
      <w:r>
        <w:rPr>
          <w:rFonts w:ascii="Times New Roman" w:eastAsia="Times New Roman" w:hAnsi="Times New Roman" w:cs="Times New Roman"/>
          <w:color w:val="000000"/>
          <w:spacing w:val="0"/>
          <w:w w:val="100"/>
          <w:position w:val="0"/>
          <w:sz w:val="18"/>
          <w:szCs w:val="18"/>
        </w:rPr>
        <w:t>14104.8</w:t>
      </w:r>
      <w:r>
        <w:rPr>
          <w:color w:val="000000"/>
          <w:spacing w:val="0"/>
          <w:w w:val="100"/>
          <w:position w:val="0"/>
        </w:rPr>
        <w:t>万元；</w:t>
      </w:r>
    </w:p>
    <w:p>
      <w:pPr>
        <w:pStyle w:val="Style37"/>
        <w:keepNext w:val="0"/>
        <w:keepLines w:val="0"/>
        <w:widowControl w:val="0"/>
        <w:shd w:val="clear" w:color="auto" w:fill="auto"/>
        <w:tabs>
          <w:tab w:pos="354" w:val="left"/>
        </w:tabs>
        <w:bidi w:val="0"/>
        <w:spacing w:before="0" w:after="100" w:line="240" w:lineRule="auto"/>
        <w:ind w:left="0" w:right="0" w:firstLine="0"/>
        <w:jc w:val="left"/>
      </w:pPr>
      <w:bookmarkStart w:id="367" w:name="bookmark367"/>
      <w:r>
        <w:rPr>
          <w:rFonts w:ascii="Times New Roman" w:eastAsia="Times New Roman" w:hAnsi="Times New Roman" w:cs="Times New Roman"/>
          <w:color w:val="000000"/>
          <w:spacing w:val="0"/>
          <w:w w:val="100"/>
          <w:position w:val="0"/>
          <w:sz w:val="18"/>
          <w:szCs w:val="18"/>
        </w:rPr>
        <w:t>6</w:t>
      </w:r>
      <w:bookmarkEnd w:id="367"/>
      <w:r>
        <w:rPr>
          <w:color w:val="000000"/>
          <w:spacing w:val="0"/>
          <w:w w:val="100"/>
          <w:position w:val="0"/>
        </w:rPr>
        <w:t>、</w:t>
        <w:tab/>
        <w:t>本公司及神码中国共同为神码深圳提供担保</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37"/>
        <w:keepNext w:val="0"/>
        <w:keepLines w:val="0"/>
        <w:widowControl w:val="0"/>
        <w:shd w:val="clear" w:color="auto" w:fill="auto"/>
        <w:tabs>
          <w:tab w:pos="349" w:val="left"/>
        </w:tabs>
        <w:bidi w:val="0"/>
        <w:spacing w:before="0" w:after="0" w:line="322" w:lineRule="exact"/>
        <w:ind w:left="0" w:right="0" w:firstLine="0"/>
        <w:jc w:val="left"/>
      </w:pPr>
      <w:bookmarkStart w:id="368" w:name="bookmark368"/>
      <w:r>
        <w:rPr>
          <w:rFonts w:ascii="Times New Roman" w:eastAsia="Times New Roman" w:hAnsi="Times New Roman" w:cs="Times New Roman"/>
          <w:color w:val="000000"/>
          <w:spacing w:val="0"/>
          <w:w w:val="100"/>
          <w:position w:val="0"/>
          <w:sz w:val="18"/>
          <w:szCs w:val="18"/>
        </w:rPr>
        <w:t>7</w:t>
      </w:r>
      <w:bookmarkEnd w:id="368"/>
      <w:r>
        <w:rPr>
          <w:color w:val="000000"/>
          <w:spacing w:val="0"/>
          <w:w w:val="100"/>
          <w:position w:val="0"/>
        </w:rPr>
        <w:t>、</w:t>
        <w:tab/>
        <w:t>本公司及神码深圳共同为神码广州提供担保</w:t>
      </w: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p>
      <w:pPr>
        <w:pStyle w:val="Style37"/>
        <w:keepNext w:val="0"/>
        <w:keepLines w:val="0"/>
        <w:widowControl w:val="0"/>
        <w:shd w:val="clear" w:color="auto" w:fill="auto"/>
        <w:tabs>
          <w:tab w:pos="349" w:val="left"/>
        </w:tabs>
        <w:bidi w:val="0"/>
        <w:spacing w:before="0" w:after="0" w:line="322" w:lineRule="exact"/>
        <w:ind w:left="0" w:right="0" w:firstLine="0"/>
        <w:jc w:val="left"/>
      </w:pPr>
      <w:bookmarkStart w:id="369" w:name="bookmark369"/>
      <w:r>
        <w:rPr>
          <w:rFonts w:ascii="Times New Roman" w:eastAsia="Times New Roman" w:hAnsi="Times New Roman" w:cs="Times New Roman"/>
          <w:color w:val="000000"/>
          <w:spacing w:val="0"/>
          <w:w w:val="100"/>
          <w:position w:val="0"/>
          <w:sz w:val="18"/>
          <w:szCs w:val="18"/>
        </w:rPr>
        <w:t>8</w:t>
      </w:r>
      <w:bookmarkEnd w:id="369"/>
      <w:r>
        <w:rPr>
          <w:color w:val="000000"/>
          <w:spacing w:val="0"/>
          <w:w w:val="100"/>
          <w:position w:val="0"/>
        </w:rPr>
        <w:t>、</w:t>
        <w:tab/>
        <w:t>本公司及神码中国共同为神码北京提供担保</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37"/>
        <w:keepNext w:val="0"/>
        <w:keepLines w:val="0"/>
        <w:widowControl w:val="0"/>
        <w:shd w:val="clear" w:color="auto" w:fill="auto"/>
        <w:tabs>
          <w:tab w:pos="349" w:val="left"/>
        </w:tabs>
        <w:bidi w:val="0"/>
        <w:spacing w:before="0" w:after="0" w:line="322" w:lineRule="exact"/>
        <w:ind w:left="0" w:right="0" w:firstLine="0"/>
        <w:jc w:val="left"/>
      </w:pPr>
      <w:bookmarkStart w:id="370" w:name="bookmark370"/>
      <w:r>
        <w:rPr>
          <w:rFonts w:ascii="Times New Roman" w:eastAsia="Times New Roman" w:hAnsi="Times New Roman" w:cs="Times New Roman"/>
          <w:color w:val="000000"/>
          <w:spacing w:val="0"/>
          <w:w w:val="100"/>
          <w:position w:val="0"/>
          <w:sz w:val="18"/>
          <w:szCs w:val="18"/>
        </w:rPr>
        <w:t>9</w:t>
      </w:r>
      <w:bookmarkEnd w:id="370"/>
      <w:r>
        <w:rPr>
          <w:color w:val="000000"/>
          <w:spacing w:val="0"/>
          <w:w w:val="100"/>
          <w:position w:val="0"/>
        </w:rPr>
        <w:t>、</w:t>
        <w:tab/>
        <w:t>本公司及神码中国共同为神码广州提供担保</w:t>
      </w:r>
      <w:r>
        <w:rPr>
          <w:rFonts w:ascii="Times New Roman" w:eastAsia="Times New Roman" w:hAnsi="Times New Roman" w:cs="Times New Roman"/>
          <w:color w:val="000000"/>
          <w:spacing w:val="0"/>
          <w:w w:val="100"/>
          <w:position w:val="0"/>
          <w:sz w:val="18"/>
          <w:szCs w:val="18"/>
        </w:rPr>
        <w:t>21400</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1" w:name="bookmark371"/>
      <w:r>
        <w:rPr>
          <w:rFonts w:ascii="Times New Roman" w:eastAsia="Times New Roman" w:hAnsi="Times New Roman" w:cs="Times New Roman"/>
          <w:color w:val="000000"/>
          <w:spacing w:val="0"/>
          <w:w w:val="100"/>
          <w:position w:val="0"/>
          <w:sz w:val="18"/>
          <w:szCs w:val="18"/>
        </w:rPr>
        <w:t>1</w:t>
      </w:r>
      <w:bookmarkEnd w:id="371"/>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本公司及神码中国共同为神码深圳提供担保</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2" w:name="bookmark372"/>
      <w:r>
        <w:rPr>
          <w:rFonts w:ascii="Times New Roman" w:eastAsia="Times New Roman" w:hAnsi="Times New Roman" w:cs="Times New Roman"/>
          <w:color w:val="000000"/>
          <w:spacing w:val="0"/>
          <w:w w:val="100"/>
          <w:position w:val="0"/>
          <w:sz w:val="18"/>
          <w:szCs w:val="18"/>
        </w:rPr>
        <w:t>1</w:t>
      </w:r>
      <w:bookmarkEnd w:id="3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本公司及神码中国共同为神码澳门离岸提供担保</w:t>
      </w:r>
      <w:r>
        <w:rPr>
          <w:rFonts w:ascii="Times New Roman" w:eastAsia="Times New Roman" w:hAnsi="Times New Roman" w:cs="Times New Roman"/>
          <w:color w:val="000000"/>
          <w:spacing w:val="0"/>
          <w:w w:val="100"/>
          <w:position w:val="0"/>
          <w:sz w:val="18"/>
          <w:szCs w:val="18"/>
        </w:rPr>
        <w:t>42129</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3" w:name="bookmark373"/>
      <w:r>
        <w:rPr>
          <w:rFonts w:ascii="Times New Roman" w:eastAsia="Times New Roman" w:hAnsi="Times New Roman" w:cs="Times New Roman"/>
          <w:color w:val="000000"/>
          <w:spacing w:val="0"/>
          <w:w w:val="100"/>
          <w:position w:val="0"/>
          <w:sz w:val="18"/>
          <w:szCs w:val="18"/>
        </w:rPr>
        <w:t>1</w:t>
      </w:r>
      <w:bookmarkEnd w:id="3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本公司及神码中国共同为神码科技发展提供担保</w:t>
      </w:r>
      <w:r>
        <w:rPr>
          <w:rFonts w:ascii="Times New Roman" w:eastAsia="Times New Roman" w:hAnsi="Times New Roman" w:cs="Times New Roman"/>
          <w:color w:val="000000"/>
          <w:spacing w:val="0"/>
          <w:w w:val="100"/>
          <w:position w:val="0"/>
          <w:sz w:val="18"/>
          <w:szCs w:val="18"/>
        </w:rPr>
        <w:t>28647.72</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4" w:name="bookmark374"/>
      <w:r>
        <w:rPr>
          <w:rFonts w:ascii="Times New Roman" w:eastAsia="Times New Roman" w:hAnsi="Times New Roman" w:cs="Times New Roman"/>
          <w:color w:val="000000"/>
          <w:spacing w:val="0"/>
          <w:w w:val="100"/>
          <w:position w:val="0"/>
          <w:sz w:val="18"/>
          <w:szCs w:val="18"/>
        </w:rPr>
        <w:t>1</w:t>
      </w:r>
      <w:bookmarkEnd w:id="3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本公司及神码中国共同为神码北京提供担保</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5" w:name="bookmark375"/>
      <w:r>
        <w:rPr>
          <w:rFonts w:ascii="Times New Roman" w:eastAsia="Times New Roman" w:hAnsi="Times New Roman" w:cs="Times New Roman"/>
          <w:color w:val="000000"/>
          <w:spacing w:val="0"/>
          <w:w w:val="100"/>
          <w:position w:val="0"/>
          <w:sz w:val="18"/>
          <w:szCs w:val="18"/>
        </w:rPr>
        <w:t>1</w:t>
      </w:r>
      <w:bookmarkEnd w:id="3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本公司及神码中国共同为神州鲲泰提供担保</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6" w:name="bookmark376"/>
      <w:r>
        <w:rPr>
          <w:rFonts w:ascii="Times New Roman" w:eastAsia="Times New Roman" w:hAnsi="Times New Roman" w:cs="Times New Roman"/>
          <w:color w:val="000000"/>
          <w:spacing w:val="0"/>
          <w:w w:val="100"/>
          <w:position w:val="0"/>
          <w:sz w:val="18"/>
          <w:szCs w:val="18"/>
        </w:rPr>
        <w:t>1</w:t>
      </w:r>
      <w:bookmarkEnd w:id="3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本公司及神码中国共同为神码广州提供担保</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7" w:name="bookmark377"/>
      <w:r>
        <w:rPr>
          <w:rFonts w:ascii="Times New Roman" w:eastAsia="Times New Roman" w:hAnsi="Times New Roman" w:cs="Times New Roman"/>
          <w:color w:val="000000"/>
          <w:spacing w:val="0"/>
          <w:w w:val="100"/>
          <w:position w:val="0"/>
          <w:sz w:val="18"/>
          <w:szCs w:val="18"/>
        </w:rPr>
        <w:t>1</w:t>
      </w:r>
      <w:bookmarkEnd w:id="37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sz w:val="18"/>
          <w:szCs w:val="18"/>
        </w:rPr>
        <w:t>3097.49</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8" w:name="bookmark378"/>
      <w:r>
        <w:rPr>
          <w:rFonts w:ascii="Times New Roman" w:eastAsia="Times New Roman" w:hAnsi="Times New Roman" w:cs="Times New Roman"/>
          <w:color w:val="000000"/>
          <w:spacing w:val="0"/>
          <w:w w:val="100"/>
          <w:position w:val="0"/>
          <w:sz w:val="18"/>
          <w:szCs w:val="18"/>
        </w:rPr>
        <w:t>1</w:t>
      </w:r>
      <w:bookmarkEnd w:id="37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sz w:val="18"/>
          <w:szCs w:val="18"/>
        </w:rPr>
        <w:t>12275.08</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79" w:name="bookmark379"/>
      <w:r>
        <w:rPr>
          <w:rFonts w:ascii="Times New Roman" w:eastAsia="Times New Roman" w:hAnsi="Times New Roman" w:cs="Times New Roman"/>
          <w:color w:val="000000"/>
          <w:spacing w:val="0"/>
          <w:w w:val="100"/>
          <w:position w:val="0"/>
          <w:sz w:val="18"/>
          <w:szCs w:val="18"/>
        </w:rPr>
        <w:t>1</w:t>
      </w:r>
      <w:bookmarkEnd w:id="37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本公司及神码中国共同为神码科技发展提供担保</w:t>
      </w:r>
      <w:r>
        <w:rPr>
          <w:rFonts w:ascii="Times New Roman" w:eastAsia="Times New Roman" w:hAnsi="Times New Roman" w:cs="Times New Roman"/>
          <w:color w:val="000000"/>
          <w:spacing w:val="0"/>
          <w:w w:val="100"/>
          <w:position w:val="0"/>
          <w:sz w:val="18"/>
          <w:szCs w:val="18"/>
        </w:rPr>
        <w:t>7836</w:t>
      </w:r>
      <w:r>
        <w:rPr>
          <w:color w:val="000000"/>
          <w:spacing w:val="0"/>
          <w:w w:val="100"/>
          <w:position w:val="0"/>
        </w:rPr>
        <w:t>万元；</w:t>
      </w:r>
    </w:p>
    <w:p>
      <w:pPr>
        <w:pStyle w:val="Style37"/>
        <w:keepNext w:val="0"/>
        <w:keepLines w:val="0"/>
        <w:widowControl w:val="0"/>
        <w:shd w:val="clear" w:color="auto" w:fill="auto"/>
        <w:tabs>
          <w:tab w:pos="426" w:val="left"/>
        </w:tabs>
        <w:bidi w:val="0"/>
        <w:spacing w:before="0" w:after="0" w:line="322" w:lineRule="exact"/>
        <w:ind w:left="0" w:right="0" w:firstLine="0"/>
        <w:jc w:val="left"/>
      </w:pPr>
      <w:bookmarkStart w:id="380" w:name="bookmark380"/>
      <w:r>
        <w:rPr>
          <w:rFonts w:ascii="Times New Roman" w:eastAsia="Times New Roman" w:hAnsi="Times New Roman" w:cs="Times New Roman"/>
          <w:color w:val="000000"/>
          <w:spacing w:val="0"/>
          <w:w w:val="100"/>
          <w:position w:val="0"/>
          <w:sz w:val="18"/>
          <w:szCs w:val="18"/>
        </w:rPr>
        <w:t>1</w:t>
      </w:r>
      <w:bookmarkEnd w:id="38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sz w:val="18"/>
          <w:szCs w:val="18"/>
        </w:rPr>
        <w:t>32400</w:t>
      </w:r>
      <w:r>
        <w:rPr>
          <w:color w:val="000000"/>
          <w:spacing w:val="0"/>
          <w:w w:val="100"/>
          <w:position w:val="0"/>
        </w:rPr>
        <w:t>万元；</w:t>
      </w:r>
    </w:p>
    <w:p>
      <w:pPr>
        <w:pStyle w:val="Style37"/>
        <w:keepNext w:val="0"/>
        <w:keepLines w:val="0"/>
        <w:widowControl w:val="0"/>
        <w:shd w:val="clear" w:color="auto" w:fill="auto"/>
        <w:tabs>
          <w:tab w:pos="445" w:val="left"/>
        </w:tabs>
        <w:bidi w:val="0"/>
        <w:spacing w:before="0" w:after="0" w:line="322" w:lineRule="exact"/>
        <w:ind w:left="0" w:right="0" w:firstLine="0"/>
        <w:jc w:val="left"/>
      </w:pPr>
      <w:bookmarkStart w:id="381" w:name="bookmark381"/>
      <w:r>
        <w:rPr>
          <w:rFonts w:ascii="Times New Roman" w:eastAsia="Times New Roman" w:hAnsi="Times New Roman" w:cs="Times New Roman"/>
          <w:color w:val="000000"/>
          <w:spacing w:val="0"/>
          <w:w w:val="100"/>
          <w:position w:val="0"/>
          <w:sz w:val="18"/>
          <w:szCs w:val="18"/>
        </w:rPr>
        <w:t>2</w:t>
      </w:r>
      <w:bookmarkEnd w:id="381"/>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sz w:val="18"/>
          <w:szCs w:val="18"/>
        </w:rPr>
        <w:t>8280.16</w:t>
      </w:r>
      <w:r>
        <w:rPr>
          <w:color w:val="000000"/>
          <w:spacing w:val="0"/>
          <w:w w:val="100"/>
          <w:position w:val="0"/>
        </w:rPr>
        <w:t>万元；</w:t>
      </w:r>
    </w:p>
    <w:p>
      <w:pPr>
        <w:pStyle w:val="Style37"/>
        <w:keepNext w:val="0"/>
        <w:keepLines w:val="0"/>
        <w:widowControl w:val="0"/>
        <w:shd w:val="clear" w:color="auto" w:fill="auto"/>
        <w:tabs>
          <w:tab w:pos="445" w:val="left"/>
        </w:tabs>
        <w:bidi w:val="0"/>
        <w:spacing w:before="0" w:after="0" w:line="322" w:lineRule="exact"/>
        <w:ind w:left="0" w:right="0" w:firstLine="0"/>
        <w:jc w:val="left"/>
      </w:pPr>
      <w:bookmarkStart w:id="382" w:name="bookmark382"/>
      <w:r>
        <w:rPr>
          <w:rFonts w:ascii="Times New Roman" w:eastAsia="Times New Roman" w:hAnsi="Times New Roman" w:cs="Times New Roman"/>
          <w:color w:val="000000"/>
          <w:spacing w:val="0"/>
          <w:w w:val="100"/>
          <w:position w:val="0"/>
          <w:sz w:val="18"/>
          <w:szCs w:val="18"/>
        </w:rPr>
        <w:t>2</w:t>
      </w:r>
      <w:bookmarkEnd w:id="3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本公司及神码北京共同为神码中国提供担保</w:t>
      </w:r>
      <w:r>
        <w:rPr>
          <w:rFonts w:ascii="Times New Roman" w:eastAsia="Times New Roman" w:hAnsi="Times New Roman" w:cs="Times New Roman"/>
          <w:color w:val="000000"/>
          <w:spacing w:val="0"/>
          <w:w w:val="100"/>
          <w:position w:val="0"/>
          <w:sz w:val="18"/>
          <w:szCs w:val="18"/>
        </w:rPr>
        <w:t>38600</w:t>
      </w:r>
      <w:r>
        <w:rPr>
          <w:color w:val="000000"/>
          <w:spacing w:val="0"/>
          <w:w w:val="100"/>
          <w:position w:val="0"/>
        </w:rPr>
        <w:t>万元；</w:t>
      </w:r>
    </w:p>
    <w:p>
      <w:pPr>
        <w:pStyle w:val="Style37"/>
        <w:keepNext w:val="0"/>
        <w:keepLines w:val="0"/>
        <w:widowControl w:val="0"/>
        <w:shd w:val="clear" w:color="auto" w:fill="auto"/>
        <w:tabs>
          <w:tab w:pos="445" w:val="left"/>
        </w:tabs>
        <w:bidi w:val="0"/>
        <w:spacing w:before="0" w:after="0" w:line="322" w:lineRule="exact"/>
        <w:ind w:left="0" w:right="0" w:firstLine="0"/>
        <w:jc w:val="left"/>
      </w:pPr>
      <w:bookmarkStart w:id="383" w:name="bookmark383"/>
      <w:r>
        <w:rPr>
          <w:rFonts w:ascii="Times New Roman" w:eastAsia="Times New Roman" w:hAnsi="Times New Roman" w:cs="Times New Roman"/>
          <w:color w:val="000000"/>
          <w:spacing w:val="0"/>
          <w:w w:val="100"/>
          <w:position w:val="0"/>
          <w:sz w:val="18"/>
          <w:szCs w:val="18"/>
        </w:rPr>
        <w:t>2</w:t>
      </w:r>
      <w:bookmarkEnd w:id="3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本公司及神码北京、神码供应链、神码上海、神码广州共同为神码中国提供担保</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万元；</w:t>
      </w:r>
    </w:p>
    <w:p>
      <w:pPr>
        <w:pStyle w:val="Style37"/>
        <w:keepNext w:val="0"/>
        <w:keepLines w:val="0"/>
        <w:widowControl w:val="0"/>
        <w:shd w:val="clear" w:color="auto" w:fill="auto"/>
        <w:tabs>
          <w:tab w:pos="445" w:val="left"/>
        </w:tabs>
        <w:bidi w:val="0"/>
        <w:spacing w:before="0" w:after="0" w:line="322" w:lineRule="exact"/>
        <w:ind w:left="0" w:right="0" w:firstLine="0"/>
        <w:jc w:val="left"/>
      </w:pPr>
      <w:bookmarkStart w:id="384" w:name="bookmark384"/>
      <w:r>
        <w:rPr>
          <w:rFonts w:ascii="Times New Roman" w:eastAsia="Times New Roman" w:hAnsi="Times New Roman" w:cs="Times New Roman"/>
          <w:color w:val="000000"/>
          <w:spacing w:val="0"/>
          <w:w w:val="100"/>
          <w:position w:val="0"/>
          <w:sz w:val="18"/>
          <w:szCs w:val="18"/>
        </w:rPr>
        <w:t>2</w:t>
      </w:r>
      <w:bookmarkEnd w:id="3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本公司及神码中国共同为神码澳门离岸提供担保</w:t>
      </w:r>
      <w:r>
        <w:rPr>
          <w:rFonts w:ascii="Times New Roman" w:eastAsia="Times New Roman" w:hAnsi="Times New Roman" w:cs="Times New Roman"/>
          <w:color w:val="000000"/>
          <w:spacing w:val="0"/>
          <w:w w:val="100"/>
          <w:position w:val="0"/>
          <w:sz w:val="18"/>
          <w:szCs w:val="18"/>
        </w:rPr>
        <w:t>13060</w:t>
      </w:r>
      <w:r>
        <w:rPr>
          <w:color w:val="000000"/>
          <w:spacing w:val="0"/>
          <w:w w:val="100"/>
          <w:position w:val="0"/>
        </w:rPr>
        <w:t>万元；</w:t>
      </w:r>
    </w:p>
    <w:p>
      <w:pPr>
        <w:pStyle w:val="Style37"/>
        <w:keepNext w:val="0"/>
        <w:keepLines w:val="0"/>
        <w:widowControl w:val="0"/>
        <w:shd w:val="clear" w:color="auto" w:fill="auto"/>
        <w:tabs>
          <w:tab w:pos="445" w:val="left"/>
        </w:tabs>
        <w:bidi w:val="0"/>
        <w:spacing w:before="0" w:after="0" w:line="322" w:lineRule="exact"/>
        <w:ind w:left="0" w:right="0" w:firstLine="0"/>
        <w:jc w:val="left"/>
      </w:pPr>
      <w:bookmarkStart w:id="385" w:name="bookmark385"/>
      <w:r>
        <w:rPr>
          <w:rFonts w:ascii="Times New Roman" w:eastAsia="Times New Roman" w:hAnsi="Times New Roman" w:cs="Times New Roman"/>
          <w:color w:val="000000"/>
          <w:spacing w:val="0"/>
          <w:w w:val="100"/>
          <w:position w:val="0"/>
          <w:sz w:val="18"/>
          <w:szCs w:val="18"/>
        </w:rPr>
        <w:t>2</w:t>
      </w:r>
      <w:bookmarkEnd w:id="3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本公司及神码深圳、神码广州共同为神码北京提供担保</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p>
      <w:pPr>
        <w:pStyle w:val="Style37"/>
        <w:keepNext w:val="0"/>
        <w:keepLines w:val="0"/>
        <w:widowControl w:val="0"/>
        <w:shd w:val="clear" w:color="auto" w:fill="auto"/>
        <w:tabs>
          <w:tab w:pos="445" w:val="left"/>
        </w:tabs>
        <w:bidi w:val="0"/>
        <w:spacing w:before="0" w:after="0" w:line="322" w:lineRule="exact"/>
        <w:ind w:left="0" w:right="0" w:firstLine="0"/>
        <w:jc w:val="left"/>
      </w:pPr>
      <w:bookmarkStart w:id="386" w:name="bookmark386"/>
      <w:r>
        <w:rPr>
          <w:rFonts w:ascii="Times New Roman" w:eastAsia="Times New Roman" w:hAnsi="Times New Roman" w:cs="Times New Roman"/>
          <w:color w:val="000000"/>
          <w:spacing w:val="0"/>
          <w:w w:val="100"/>
          <w:position w:val="0"/>
          <w:sz w:val="18"/>
          <w:szCs w:val="18"/>
        </w:rPr>
        <w:t>2</w:t>
      </w:r>
      <w:bookmarkEnd w:id="38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本公司及神码中国共同为神码澳门离岸提供担保</w:t>
      </w:r>
      <w:r>
        <w:rPr>
          <w:rFonts w:ascii="Times New Roman" w:eastAsia="Times New Roman" w:hAnsi="Times New Roman" w:cs="Times New Roman"/>
          <w:color w:val="000000"/>
          <w:spacing w:val="0"/>
          <w:w w:val="100"/>
          <w:position w:val="0"/>
          <w:sz w:val="18"/>
          <w:szCs w:val="18"/>
        </w:rPr>
        <w:t>163250</w:t>
      </w:r>
      <w:r>
        <w:rPr>
          <w:color w:val="000000"/>
          <w:spacing w:val="0"/>
          <w:w w:val="100"/>
          <w:position w:val="0"/>
        </w:rPr>
        <w:t>万元；</w:t>
      </w:r>
    </w:p>
    <w:p>
      <w:pPr>
        <w:pStyle w:val="Style3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由此实际情况计算得出的公司报告期末已审批担保额度合计为</w:t>
      </w:r>
      <w:r>
        <w:rPr>
          <w:rFonts w:ascii="Times New Roman" w:eastAsia="Times New Roman" w:hAnsi="Times New Roman" w:cs="Times New Roman"/>
          <w:color w:val="000000"/>
          <w:spacing w:val="0"/>
          <w:w w:val="100"/>
          <w:position w:val="0"/>
          <w:sz w:val="18"/>
          <w:szCs w:val="18"/>
        </w:rPr>
        <w:t>4,917,478.70</w:t>
      </w:r>
      <w:r>
        <w:rPr>
          <w:color w:val="000000"/>
          <w:spacing w:val="0"/>
          <w:w w:val="100"/>
          <w:position w:val="0"/>
        </w:rPr>
        <w:t>万元，报告期末实际担保余额合计为</w:t>
      </w:r>
      <w:r>
        <w:rPr>
          <w:rFonts w:ascii="Times New Roman" w:eastAsia="Times New Roman" w:hAnsi="Times New Roman" w:cs="Times New Roman"/>
          <w:color w:val="000000"/>
          <w:spacing w:val="0"/>
          <w:w w:val="100"/>
          <w:position w:val="0"/>
          <w:sz w:val="18"/>
          <w:szCs w:val="18"/>
        </w:rPr>
        <w:t xml:space="preserve">1,945,467.75 </w:t>
      </w:r>
      <w:r>
        <w:rPr>
          <w:color w:val="000000"/>
          <w:spacing w:val="0"/>
          <w:w w:val="100"/>
          <w:position w:val="0"/>
        </w:rPr>
        <w:t>万元，由于没有超出公司预计额度使用范畴，公司认可按照年报编制规则进行披露。</w:t>
      </w:r>
    </w:p>
    <w:p>
      <w:pPr>
        <w:pStyle w:val="Style47"/>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7"/>
      <w:bookmarkEnd w:id="388"/>
      <w:bookmarkEnd w:id="390"/>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公司报告期无违规对外担保情况。</w:t>
      </w:r>
    </w:p>
    <w:p>
      <w:pPr>
        <w:pStyle w:val="Style40"/>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、委托他人进行现金资产管理情况</w:t>
      </w:r>
      <w:bookmarkEnd w:id="391"/>
      <w:bookmarkEnd w:id="392"/>
      <w:bookmarkEnd w:id="394"/>
    </w:p>
    <w:p>
      <w:pPr>
        <w:pStyle w:val="Style47"/>
        <w:keepNext/>
        <w:keepLines/>
        <w:widowControl w:val="0"/>
        <w:shd w:val="clear" w:color="auto" w:fill="auto"/>
        <w:bidi w:val="0"/>
        <w:spacing w:before="0" w:after="2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5"/>
      <w:bookmarkEnd w:id="396"/>
      <w:bookmarkEnd w:id="398"/>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报告期内委托理财概况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58"/>
        <w:gridCol w:w="1982"/>
        <w:gridCol w:w="1910"/>
        <w:gridCol w:w="185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委托理财出现预期无法收回本金或存在其他可能导致减值的情形</w:t>
      </w:r>
    </w:p>
    <w:p>
      <w:pPr>
        <w:pStyle w:val="Style37"/>
        <w:keepNext w:val="0"/>
        <w:keepLines w:val="0"/>
        <w:widowControl w:val="0"/>
        <w:shd w:val="clear" w:color="auto" w:fill="auto"/>
        <w:bidi w:val="0"/>
        <w:spacing w:before="0" w:after="26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2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9"/>
      <w:bookmarkEnd w:id="400"/>
      <w:bookmarkEnd w:id="402"/>
    </w:p>
    <w:p>
      <w:pPr>
        <w:pStyle w:val="Style3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公司报告期不存在委托贷款。</w:t>
      </w:r>
    </w:p>
    <w:p>
      <w:pPr>
        <w:pStyle w:val="Style40"/>
        <w:keepNext/>
        <w:keepLines/>
        <w:widowControl w:val="0"/>
        <w:shd w:val="clear" w:color="auto" w:fill="auto"/>
        <w:tabs>
          <w:tab w:pos="364" w:val="left"/>
        </w:tabs>
        <w:bidi w:val="0"/>
        <w:spacing w:before="0" w:after="2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4</w:t>
      </w:r>
      <w:bookmarkEnd w:id="405"/>
      <w:r>
        <w:rPr>
          <w:color w:val="000000"/>
          <w:spacing w:val="0"/>
          <w:w w:val="100"/>
          <w:position w:val="0"/>
        </w:rPr>
        <w:t>、</w:t>
        <w:tab/>
        <w:t>日常经营重大合同</w:t>
      </w:r>
      <w:bookmarkEnd w:id="403"/>
      <w:bookmarkEnd w:id="404"/>
      <w:bookmarkEnd w:id="406"/>
    </w:p>
    <w:p>
      <w:pPr>
        <w:pStyle w:val="Style37"/>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64" w:val="left"/>
        </w:tabs>
        <w:bidi w:val="0"/>
        <w:spacing w:before="0" w:after="2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5</w:t>
      </w:r>
      <w:bookmarkEnd w:id="409"/>
      <w:r>
        <w:rPr>
          <w:color w:val="000000"/>
          <w:spacing w:val="0"/>
          <w:w w:val="100"/>
          <w:position w:val="0"/>
        </w:rPr>
        <w:t>、</w:t>
        <w:tab/>
        <w:t>其他重大合同</w:t>
      </w:r>
      <w:bookmarkEnd w:id="407"/>
      <w:bookmarkEnd w:id="408"/>
      <w:bookmarkEnd w:id="410"/>
    </w:p>
    <w:p>
      <w:pPr>
        <w:pStyle w:val="Style3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32"/>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r>
        <w:rPr>
          <w:color w:val="000000"/>
          <w:spacing w:val="0"/>
          <w:w w:val="100"/>
          <w:position w:val="0"/>
        </w:rPr>
        <w:t>十八、社会责任情况</w:t>
      </w:r>
      <w:bookmarkEnd w:id="411"/>
      <w:bookmarkEnd w:id="412"/>
      <w:bookmarkEnd w:id="413"/>
    </w:p>
    <w:p>
      <w:pPr>
        <w:pStyle w:val="Style40"/>
        <w:keepNext/>
        <w:keepLines/>
        <w:widowControl w:val="0"/>
        <w:shd w:val="clear" w:color="auto" w:fill="auto"/>
        <w:bidi w:val="0"/>
        <w:spacing w:before="0" w:after="2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、履行社会责任情况</w:t>
      </w:r>
      <w:bookmarkEnd w:id="414"/>
      <w:bookmarkEnd w:id="415"/>
      <w:bookmarkEnd w:id="417"/>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报告期内，公司高度重视企业社会责任工作，在业务经营发展过程中，努力做到经济效益与社会效益、短期利益与长远 收益兼顾，实现公司与社会的健康和谐发展。</w:t>
      </w:r>
    </w:p>
    <w:p>
      <w:pPr>
        <w:pStyle w:val="Style37"/>
        <w:keepNext w:val="0"/>
        <w:keepLines w:val="0"/>
        <w:widowControl w:val="0"/>
        <w:shd w:val="clear" w:color="auto" w:fill="auto"/>
        <w:tabs>
          <w:tab w:pos="811" w:val="left"/>
        </w:tabs>
        <w:bidi w:val="0"/>
        <w:spacing w:before="0" w:after="0" w:line="313" w:lineRule="exact"/>
        <w:ind w:left="0" w:right="0"/>
        <w:jc w:val="both"/>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维护股东权益，提升股东价值</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股东是公司的所有者，享有法律、行政法规和公司章程规定的合法权利。作为一家上市公司，保障股东特别是中小股东 的利益，维护债权人的合法权益，是公司最基本的社会责任。公司根据《公司法》、《证券法》、《上市公司治理准则》等 法律法规，不断提高规范运作水平，完善公司治理，形成了以股东大会、董事会、监事会及管理层为主体结构的决策与经营 体系，切实保障全体股东的权益。报告期内公司共召开一次年度股东大会和三次临时股东大会，积极主动采用网络投票等方 式扩大股东参会比例，并对中小投资者进行单独计票，确保股东对公司重大事项的知情权、参与权和表决权。同时，公司依 照国家有关法律法规和公司《信息披露制度》的相关规定，充分履行信息披露义务，严格遵循公平、公正、公开的信息披露 原则，及时在指定报刊和网站上披露公告和有关文件，保证所有股东都有平等的机会获得信息，及时准确了解、掌握公司经 营动态、财务状况及所有重大事项的进展情况，提高了公司的透明度和诚信度。公司注重加强投资者关系管理工作，接受投 资者咨询，并重视对投资者的投资回报，采取积极的利润分配方案，积极回报股东。</w:t>
      </w:r>
    </w:p>
    <w:p>
      <w:pPr>
        <w:pStyle w:val="Style37"/>
        <w:keepNext w:val="0"/>
        <w:keepLines w:val="0"/>
        <w:widowControl w:val="0"/>
        <w:shd w:val="clear" w:color="auto" w:fill="auto"/>
        <w:tabs>
          <w:tab w:pos="811" w:val="left"/>
        </w:tabs>
        <w:bidi w:val="0"/>
        <w:spacing w:before="0" w:after="0" w:line="313" w:lineRule="exact"/>
        <w:ind w:left="0" w:right="0"/>
        <w:jc w:val="both"/>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坚持诚信经营，维护供应商、客户权益</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公司始终坚持诚信经营、利益共享、互惠互利原则，积极构建和发展与供应商、客户的战略合作伙伴关系，共同构筑信 任与合作的平台。公司努力确保公司财务稳健与公司资产、资金安全，兼顾债权人的利益；在决策经营过程中，高度重视债 权人合法权益的保护，严格按照与债权人签订的合同履行债务。切实履行公司对供应商、客户的社会责任，充分尊重并保护 供应商和客户的合法权益。</w:t>
      </w:r>
    </w:p>
    <w:p>
      <w:pPr>
        <w:pStyle w:val="Style37"/>
        <w:keepNext w:val="0"/>
        <w:keepLines w:val="0"/>
        <w:widowControl w:val="0"/>
        <w:shd w:val="clear" w:color="auto" w:fill="auto"/>
        <w:tabs>
          <w:tab w:pos="811" w:val="left"/>
        </w:tabs>
        <w:bidi w:val="0"/>
        <w:spacing w:before="0" w:after="0" w:line="313" w:lineRule="exact"/>
        <w:ind w:left="0" w:right="0"/>
        <w:jc w:val="both"/>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注重员工权益保护，提升员工个人价值和社会价值</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公司严格遵守《劳动法》、《劳动合同法》相关法律法规，在社会保障等方面严格执行国家规定和标准，实现全员参加 社会保险，解除员工的后顾之忧；关注员工健康，切实尊重和维护员工的个人权益。公司成立的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员工互助基金会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，在员工 的大力支持与参与下，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年员工互助基金入会人数</w:t>
      </w:r>
      <w:r>
        <w:rPr>
          <w:rFonts w:ascii="Times New Roman" w:eastAsia="Times New Roman" w:hAnsi="Times New Roman" w:cs="Times New Roman"/>
          <w:color w:val="000000"/>
          <w:spacing w:val="0"/>
          <w:w w:val="100"/>
          <w:position w:val="0"/>
          <w:sz w:val="18"/>
          <w:szCs w:val="18"/>
        </w:rPr>
        <w:t>3865</w:t>
      </w:r>
      <w:r>
        <w:rPr>
          <w:color w:val="000000"/>
          <w:spacing w:val="0"/>
          <w:w w:val="100"/>
          <w:position w:val="0"/>
        </w:rPr>
        <w:t>人。公司重视员工的职业生涯发展规划以及个人素质的提升，为公 司和社会积累更多的人才财富，实现员工与企业的共同成长。同时结合健康向上的企业文化，注重员工人文关怀，积极发挥 工会的作用，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年因受疫情影响，在条件允许的情况下，组织员工进行参与游泳及羽毛球健身俱乐部活动，并开展了京区 员工羽毛球单项赛活动，提升员工的归属感，最大程度保障员工的权利。</w:t>
      </w:r>
    </w:p>
    <w:p>
      <w:pPr>
        <w:pStyle w:val="Style37"/>
        <w:keepNext w:val="0"/>
        <w:keepLines w:val="0"/>
        <w:widowControl w:val="0"/>
        <w:shd w:val="clear" w:color="auto" w:fill="auto"/>
        <w:tabs>
          <w:tab w:pos="811" w:val="left"/>
        </w:tabs>
        <w:bidi w:val="0"/>
        <w:spacing w:before="0" w:after="0" w:line="313" w:lineRule="exact"/>
        <w:ind w:left="0" w:right="0"/>
        <w:jc w:val="both"/>
      </w:pPr>
      <w:bookmarkStart w:id="421" w:name="bookmark421"/>
      <w:r>
        <w:rPr>
          <w:color w:val="000000"/>
          <w:spacing w:val="0"/>
          <w:w w:val="100"/>
          <w:position w:val="0"/>
        </w:rPr>
        <w:t>（</w:t>
      </w:r>
      <w:bookmarkEnd w:id="4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积极参与社会各项事务，提升企业及员工的社会责任感</w:t>
      </w:r>
    </w:p>
    <w:p>
      <w:pPr>
        <w:pStyle w:val="Style37"/>
        <w:keepNext w:val="0"/>
        <w:keepLines w:val="0"/>
        <w:widowControl w:val="0"/>
        <w:shd w:val="clear" w:color="auto" w:fill="auto"/>
        <w:bidi w:val="0"/>
        <w:spacing w:before="0" w:after="380" w:line="313" w:lineRule="exact"/>
        <w:ind w:left="0" w:right="0"/>
        <w:jc w:val="both"/>
      </w:pPr>
      <w:r>
        <w:rPr>
          <w:color w:val="000000"/>
          <w:spacing w:val="0"/>
          <w:w w:val="100"/>
          <w:position w:val="0"/>
        </w:rPr>
        <w:t>公司稳步推行公益捐赠，推动社会的进步。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年的新冠肺炎疫情，公司向火神山医院捐赠数台打印机。为支持湖北疫 </w:t>
      </w:r>
      <w:r>
        <w:rPr>
          <w:color w:val="000000"/>
          <w:spacing w:val="0"/>
          <w:w w:val="100"/>
          <w:position w:val="0"/>
        </w:rPr>
        <w:t>后重振脱贫攻坚，公司向湖北省扶贫基金会捐赠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万元。为支持学生教育发展，公司为秦皇岛市的中学优秀学生捐赠奖学 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40"/>
        <w:keepNext/>
        <w:keepLines/>
        <w:widowControl w:val="0"/>
        <w:shd w:val="clear" w:color="auto" w:fill="auto"/>
        <w:tabs>
          <w:tab w:pos="378" w:val="left"/>
        </w:tabs>
        <w:bidi w:val="0"/>
        <w:spacing w:before="0" w:after="2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w:t>
        <w:tab/>
        <w:t>履行精准扶贫社会责任情况</w:t>
      </w:r>
      <w:bookmarkEnd w:id="422"/>
      <w:bookmarkEnd w:id="423"/>
      <w:bookmarkEnd w:id="425"/>
    </w:p>
    <w:p>
      <w:pPr>
        <w:pStyle w:val="Style3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公司报告年度暂未开展精准扶贫工作，也暂无后续精准扶贫计划。</w:t>
      </w:r>
    </w:p>
    <w:p>
      <w:pPr>
        <w:pStyle w:val="Style40"/>
        <w:keepNext/>
        <w:keepLines/>
        <w:widowControl w:val="0"/>
        <w:shd w:val="clear" w:color="auto" w:fill="auto"/>
        <w:tabs>
          <w:tab w:pos="378" w:val="left"/>
        </w:tabs>
        <w:bidi w:val="0"/>
        <w:spacing w:before="0" w:after="28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环境保护相关的情况</w:t>
      </w:r>
      <w:bookmarkEnd w:id="426"/>
      <w:bookmarkEnd w:id="427"/>
      <w:bookmarkEnd w:id="429"/>
    </w:p>
    <w:p>
      <w:pPr>
        <w:pStyle w:val="Style37"/>
        <w:keepNext w:val="0"/>
        <w:keepLines w:val="0"/>
        <w:widowControl w:val="0"/>
        <w:shd w:val="clear" w:color="auto" w:fill="auto"/>
        <w:bidi w:val="0"/>
        <w:spacing w:before="0" w:after="140" w:line="302" w:lineRule="exact"/>
        <w:ind w:left="0" w:right="0" w:firstLine="0"/>
        <w:jc w:val="left"/>
      </w:pPr>
      <w:r>
        <w:rPr>
          <w:color w:val="000000"/>
          <w:spacing w:val="0"/>
          <w:w w:val="100"/>
          <w:position w:val="0"/>
        </w:rPr>
        <w:t>上市公司及其子公司是否属于环境保护部门公布的重点排污单位</w:t>
      </w:r>
    </w:p>
    <w:p>
      <w:pPr>
        <w:pStyle w:val="Style37"/>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line="302" w:lineRule="exact"/>
        <w:ind w:left="0" w:right="0" w:firstLine="0"/>
        <w:jc w:val="left"/>
      </w:pPr>
      <w:r>
        <w:rPr>
          <w:color w:val="000000"/>
          <w:spacing w:val="0"/>
          <w:w w:val="100"/>
          <w:position w:val="0"/>
        </w:rPr>
        <w:t>不适用</w:t>
      </w:r>
    </w:p>
    <w:p>
      <w:pPr>
        <w:pStyle w:val="Style3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公司及子公司不属于排污单位。</w:t>
      </w:r>
    </w:p>
    <w:p>
      <w:pPr>
        <w:pStyle w:val="Style32"/>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rPr>
        <w:t>十九、其他重大事项的说明</w:t>
      </w:r>
      <w:bookmarkEnd w:id="430"/>
      <w:bookmarkEnd w:id="431"/>
      <w:bookmarkEnd w:id="432"/>
    </w:p>
    <w:p>
      <w:pPr>
        <w:pStyle w:val="Style35"/>
        <w:keepNext w:val="0"/>
        <w:keepLines w:val="0"/>
        <w:widowControl w:val="0"/>
        <w:shd w:val="clear" w:color="auto" w:fill="auto"/>
        <w:bidi w:val="0"/>
        <w:spacing w:before="0" w:after="14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其他重要事项的说明请参考公司公告:</w:t>
      </w:r>
    </w:p>
    <w:tbl>
      <w:tblPr>
        <w:tblOverlap w:val="never"/>
        <w:jc w:val="center"/>
        <w:tblLayout w:type="fixed"/>
      </w:tblPr>
      <w:tblGrid>
        <w:gridCol w:w="1051"/>
        <w:gridCol w:w="4632"/>
        <w:gridCol w:w="2990"/>
        <w:gridCol w:w="1195"/>
      </w:tblGrid>
      <w:tr>
        <w:trPr>
          <w:trHeight w:val="4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刊载日期</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重大诉讼进展公告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关于公司董事辞任的公告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2020/1/10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2020/1/15</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2020/1/17</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关于获得政府补助的公告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关于股东减持计划时间过半的进展公告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2020/2/7</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关于公司股东部分股票解除质押的公告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B40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2020/2/18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第九届董事会第二十一次会议决议公告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B43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2020/2/19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关于预计</w:t>
            </w:r>
            <w:r>
              <w:rPr>
                <w:color w:val="000000"/>
                <w:spacing w:val="0"/>
                <w:w w:val="100"/>
                <w:position w:val="0"/>
                <w:sz w:val="18"/>
                <w:szCs w:val="18"/>
              </w:rPr>
              <w:t>2020</w:t>
            </w:r>
            <w:r>
              <w:rPr>
                <w:color w:val="000000"/>
                <w:spacing w:val="0"/>
                <w:w w:val="100"/>
                <w:position w:val="0"/>
              </w:rPr>
              <w:t>年度日常关联交易的公告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B43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2020/2/19</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第九届监事会第十六次会议决议公告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B43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2020/2/19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2020/2/20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B46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2020/2/25</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关于股东减持计划时间过半的进展公告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A30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2020/3/10</w:t>
            </w:r>
          </w:p>
        </w:tc>
      </w:tr>
      <w:tr>
        <w:trPr>
          <w:trHeight w:val="4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2020/3/11</w:t>
            </w:r>
          </w:p>
        </w:tc>
      </w:tr>
    </w:tbl>
    <w:p>
      <w:pPr>
        <w:spacing w:lineRule="exact" w:line="1"/>
        <w:rPr>
          <w:sz w:val="2"/>
          <w:szCs w:val="2"/>
        </w:rPr>
      </w:pPr>
      <w:r>
        <w:br w:type="page"/>
      </w:r>
    </w:p>
    <w:tbl>
      <w:tblPr>
        <w:tblOverlap w:val="never"/>
        <w:jc w:val="center"/>
        <w:tblLayout w:type="fixed"/>
      </w:tblPr>
      <w:tblGrid>
        <w:gridCol w:w="1051"/>
        <w:gridCol w:w="4632"/>
        <w:gridCol w:w="2990"/>
        <w:gridCol w:w="1195"/>
      </w:tblGrid>
      <w:tr>
        <w:trPr>
          <w:trHeight w:val="4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刊载日期</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第九届董事会第二十二次会议决议公告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2020/3/18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2020/3/18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股票交易异常波动公告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2020/3/19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2020/3/25</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2020/3/27</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关于变更会计政策的公告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2020/3/27</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年年度报告摘要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第九届董事会第二十三次会议决议公告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第九届监事会第十七次会议决议公告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8"/>
                <w:szCs w:val="18"/>
              </w:rPr>
              <w:t>2019</w:t>
            </w:r>
            <w:r>
              <w:rPr>
                <w:color w:val="000000"/>
                <w:spacing w:val="0"/>
                <w:w w:val="100"/>
                <w:position w:val="0"/>
              </w:rPr>
              <w:t>年年度股东大会的通知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关于续聘公司</w:t>
            </w:r>
            <w:r>
              <w:rPr>
                <w:color w:val="000000"/>
                <w:spacing w:val="0"/>
                <w:w w:val="100"/>
                <w:position w:val="0"/>
                <w:sz w:val="18"/>
                <w:szCs w:val="18"/>
              </w:rPr>
              <w:t>2020</w:t>
            </w:r>
            <w:r>
              <w:rPr>
                <w:color w:val="000000"/>
                <w:spacing w:val="0"/>
                <w:w w:val="100"/>
                <w:position w:val="0"/>
              </w:rPr>
              <w:t>年度会计师事务所的公告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关于预计衍生品投资额度的公告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关于预计证券投资额度的公告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关于预计担保额度的公告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2020/4/1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2020/4/9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A80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2020/4/16</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关于公司控股股东部分股票解除质押的公告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2020/4/17</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8"/>
                <w:szCs w:val="18"/>
              </w:rPr>
              <w:t>2019</w:t>
            </w:r>
            <w:r>
              <w:rPr>
                <w:color w:val="000000"/>
                <w:spacing w:val="0"/>
                <w:w w:val="100"/>
                <w:position w:val="0"/>
              </w:rPr>
              <w:t>年年度股东大会的提示性公告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2020/4/18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关于股东减持股票的预披露公告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B140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2020/4/24</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B703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关于计提资产减值准备的公告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B301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2020/4/30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B301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2020/4/30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关于股东减持计划期限届满暨实施情况的公告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2020/5/7</w:t>
            </w:r>
          </w:p>
        </w:tc>
      </w:tr>
      <w:tr>
        <w:trPr>
          <w:trHeight w:val="4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2020/5/7</w:t>
            </w:r>
          </w:p>
        </w:tc>
      </w:tr>
    </w:tbl>
    <w:p>
      <w:pPr>
        <w:spacing w:lineRule="exact" w:line="1"/>
        <w:rPr>
          <w:sz w:val="2"/>
          <w:szCs w:val="2"/>
        </w:rPr>
      </w:pPr>
      <w:r>
        <w:br w:type="page"/>
      </w:r>
    </w:p>
    <w:tbl>
      <w:tblPr>
        <w:tblOverlap w:val="never"/>
        <w:jc w:val="center"/>
        <w:tblLayout w:type="fixed"/>
      </w:tblPr>
      <w:tblGrid>
        <w:gridCol w:w="1051"/>
        <w:gridCol w:w="4632"/>
        <w:gridCol w:w="2990"/>
        <w:gridCol w:w="1195"/>
      </w:tblGrid>
      <w:tr>
        <w:trPr>
          <w:trHeight w:val="4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刊载日期</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2020/5/14</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关于与厦门市政府战略合作进展的自愿性信息披露公告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B49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2020/5/16</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2020/5/23</w:t>
            </w: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关于持股</w:t>
            </w:r>
            <w:r>
              <w:rPr>
                <w:color w:val="000000"/>
                <w:spacing w:val="0"/>
                <w:w w:val="100"/>
                <w:position w:val="0"/>
                <w:sz w:val="18"/>
                <w:szCs w:val="18"/>
              </w:rPr>
              <w:t>5%</w:t>
            </w:r>
            <w:r>
              <w:rPr>
                <w:color w:val="000000"/>
                <w:spacing w:val="0"/>
                <w:w w:val="100"/>
                <w:position w:val="0"/>
              </w:rPr>
              <w:t>以上股东非公开发行可交换公司债券获得深 圳证券交易所无异议函的公告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B123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2020/5/23</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第九届董事会第二十五次会议决议公告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2020/5/30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关于以集中竞价交易方式回购公司股份方案的公告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2020/5/30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关于对外捐赠支持湖北疫后重振脱贫攻坚的公告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2020/5/30</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关于回购股份事项前十名股东和前十名无限售条件股东 持股信息的公告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关于公司控股股东部分股票解除质押及再质押的公告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2020/6/4</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关于股东减持计划数量过半的进展公告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B125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2020/6/6</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关于股东减持计划期限届满暨减持比例超过</w:t>
            </w:r>
            <w:r>
              <w:rPr>
                <w:color w:val="000000"/>
                <w:spacing w:val="0"/>
                <w:w w:val="100"/>
                <w:position w:val="0"/>
                <w:sz w:val="18"/>
                <w:szCs w:val="18"/>
              </w:rPr>
              <w:t>1%</w:t>
            </w:r>
            <w:r>
              <w:rPr>
                <w:color w:val="000000"/>
                <w:spacing w:val="0"/>
                <w:w w:val="100"/>
                <w:position w:val="0"/>
              </w:rPr>
              <w:t>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2020/6/9</w:t>
            </w:r>
          </w:p>
        </w:tc>
      </w:tr>
      <w:tr>
        <w:trPr>
          <w:trHeight w:val="59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关于持股</w:t>
            </w:r>
            <w:r>
              <w:rPr>
                <w:color w:val="000000"/>
                <w:spacing w:val="0"/>
                <w:w w:val="100"/>
                <w:position w:val="0"/>
                <w:sz w:val="18"/>
                <w:szCs w:val="18"/>
              </w:rPr>
              <w:t>5%</w:t>
            </w:r>
            <w:r>
              <w:rPr>
                <w:color w:val="000000"/>
                <w:spacing w:val="0"/>
                <w:w w:val="100"/>
                <w:position w:val="0"/>
              </w:rPr>
              <w:t>以上股东及一致行动人减持比例超过</w:t>
            </w:r>
            <w:r>
              <w:rPr>
                <w:color w:val="000000"/>
                <w:spacing w:val="0"/>
                <w:w w:val="100"/>
                <w:position w:val="0"/>
                <w:sz w:val="18"/>
                <w:szCs w:val="18"/>
              </w:rPr>
              <w:t>1%</w:t>
            </w:r>
            <w:r>
              <w:rPr>
                <w:color w:val="000000"/>
                <w:spacing w:val="0"/>
                <w:w w:val="100"/>
                <w:position w:val="0"/>
              </w:rPr>
              <w:t>的公 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关于首次回购公司股份的公告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2020/6/11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2020/6/13</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2020/6/20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关于股东减持计划实施完成的公告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2020/6/29</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2020/6/29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2020/6/30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A43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关于公司控股股东部分股票解除质押的公告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A43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2020/7/2</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2020/7/3</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第九届董事会第二十六次会议决议公告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第九届监事会第十九次会议决议公告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2020/7/8</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关于调整</w:t>
            </w:r>
            <w:r>
              <w:rPr>
                <w:color w:val="000000"/>
                <w:spacing w:val="0"/>
                <w:w w:val="100"/>
                <w:position w:val="0"/>
                <w:sz w:val="18"/>
                <w:szCs w:val="18"/>
              </w:rPr>
              <w:t>2019</w:t>
            </w:r>
            <w:r>
              <w:rPr>
                <w:color w:val="000000"/>
                <w:spacing w:val="0"/>
                <w:w w:val="100"/>
                <w:position w:val="0"/>
              </w:rPr>
              <w:t>年股票期权与限制性股票激励计划回购价 格及行权价格的公告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2020/7/8</w:t>
            </w:r>
          </w:p>
        </w:tc>
      </w:tr>
      <w:tr>
        <w:trPr>
          <w:trHeight w:val="4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关于注销部分股票期权的公告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2020/7/8</w:t>
            </w:r>
          </w:p>
        </w:tc>
      </w:tr>
    </w:tbl>
    <w:p>
      <w:pPr>
        <w:spacing w:lineRule="exact" w:line="1"/>
        <w:rPr>
          <w:sz w:val="2"/>
          <w:szCs w:val="2"/>
        </w:rPr>
      </w:pPr>
      <w:r>
        <w:br w:type="page"/>
      </w:r>
    </w:p>
    <w:tbl>
      <w:tblPr>
        <w:tblOverlap w:val="never"/>
        <w:jc w:val="center"/>
        <w:tblLayout w:type="fixed"/>
      </w:tblPr>
      <w:tblGrid>
        <w:gridCol w:w="1051"/>
        <w:gridCol w:w="4632"/>
        <w:gridCol w:w="2990"/>
        <w:gridCol w:w="1195"/>
      </w:tblGrid>
      <w:tr>
        <w:trPr>
          <w:trHeight w:val="4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刊载日期</w:t>
            </w:r>
          </w:p>
        </w:tc>
      </w:tr>
      <w:tr>
        <w:trPr>
          <w:trHeight w:val="64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w:t>
            </w:r>
            <w:r>
              <w:rPr>
                <w:color w:val="000000"/>
                <w:spacing w:val="0"/>
                <w:w w:val="100"/>
                <w:position w:val="0"/>
                <w:sz w:val="18"/>
                <w:szCs w:val="18"/>
              </w:rPr>
              <w:t>2019</w:t>
            </w:r>
            <w:r>
              <w:rPr>
                <w:color w:val="000000"/>
                <w:spacing w:val="0"/>
                <w:w w:val="100"/>
                <w:position w:val="0"/>
              </w:rPr>
              <w:t>年股票期权与限制性股票激励计划第一个行权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/解除限售期行权/解除限售条件成就的公告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关于增加</w:t>
            </w:r>
            <w:r>
              <w:rPr>
                <w:color w:val="000000"/>
                <w:spacing w:val="0"/>
                <w:w w:val="100"/>
                <w:position w:val="0"/>
                <w:sz w:val="18"/>
                <w:szCs w:val="18"/>
              </w:rPr>
              <w:t>2020</w:t>
            </w:r>
            <w:r>
              <w:rPr>
                <w:color w:val="000000"/>
                <w:spacing w:val="0"/>
                <w:w w:val="100"/>
                <w:position w:val="0"/>
              </w:rPr>
              <w:t>年度日常关联交易额度的公告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年第一次临时股东大会的通知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2020/7/16</w:t>
            </w:r>
          </w:p>
        </w:tc>
      </w:tr>
      <w:tr>
        <w:trPr>
          <w:trHeight w:val="7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color w:val="000000"/>
                <w:spacing w:val="0"/>
                <w:w w:val="100"/>
                <w:position w:val="0"/>
                <w:sz w:val="18"/>
                <w:szCs w:val="18"/>
              </w:rPr>
              <w:t>2019</w:t>
            </w:r>
            <w:r>
              <w:rPr>
                <w:color w:val="000000"/>
                <w:spacing w:val="0"/>
                <w:w w:val="100"/>
                <w:position w:val="0"/>
              </w:rPr>
              <w:t>年股票期权与限制性股票激励计划第一个解除 限售期解除限售股份上市流通的提示性公告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A12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2020/7/17</w:t>
            </w:r>
          </w:p>
        </w:tc>
      </w:tr>
      <w:tr>
        <w:trPr>
          <w:trHeight w:val="70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w:t>
            </w:r>
            <w:r>
              <w:rPr>
                <w:color w:val="000000"/>
                <w:spacing w:val="0"/>
                <w:w w:val="100"/>
                <w:position w:val="0"/>
                <w:sz w:val="18"/>
                <w:szCs w:val="18"/>
              </w:rPr>
              <w:t>2019</w:t>
            </w:r>
            <w:r>
              <w:rPr>
                <w:color w:val="000000"/>
                <w:spacing w:val="0"/>
                <w:w w:val="100"/>
                <w:position w:val="0"/>
              </w:rPr>
              <w:t>年股票期权与限制性股票激励计划第一个行权 期采用自主行权模式的提示性的公告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2020/7/17</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关于股东减持股票的预披露公告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2020/7/17</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2020/7/17</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年第一次临时股东大会的提示性公告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年第一次临时股东大会决议公告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2020/7/24</w:t>
            </w:r>
          </w:p>
        </w:tc>
      </w:tr>
      <w:tr>
        <w:trPr>
          <w:trHeight w:val="59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关于回购注销部分限制性股票减资暨通知债权人的公告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2020/7/24</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2020/7/30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2020/8/4</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关于公司副总裁辞任的公告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关于公司控股股东部分股票质押及解除质押的公告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2020/8/5</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B101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2020/8/13</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关于累计诉讼的公告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B139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关于重大诉讼的公告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B139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2020/8/18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B120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2020/8/20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B175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2020/8/25</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第九届董事会第二十七次会议决议公告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2020/8/31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2020/8/31</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关于调整</w:t>
            </w:r>
            <w:r>
              <w:rPr>
                <w:color w:val="000000"/>
                <w:spacing w:val="0"/>
                <w:w w:val="100"/>
                <w:position w:val="0"/>
                <w:sz w:val="18"/>
                <w:szCs w:val="18"/>
              </w:rPr>
              <w:t>2019</w:t>
            </w:r>
            <w:r>
              <w:rPr>
                <w:color w:val="000000"/>
                <w:spacing w:val="0"/>
                <w:w w:val="100"/>
                <w:position w:val="0"/>
              </w:rPr>
              <w:t>年股票期权与限制性股票激励计划部分业 绩考核指标的公告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2020/8/31</w:t>
            </w:r>
          </w:p>
        </w:tc>
      </w:tr>
    </w:tbl>
    <w:p>
      <w:pPr>
        <w:spacing w:lineRule="exact" w:line="1"/>
        <w:rPr>
          <w:sz w:val="2"/>
          <w:szCs w:val="2"/>
        </w:rPr>
      </w:pPr>
      <w:r>
        <w:br w:type="page"/>
      </w:r>
    </w:p>
    <w:tbl>
      <w:tblPr>
        <w:tblOverlap w:val="never"/>
        <w:jc w:val="center"/>
        <w:tblLayout w:type="fixed"/>
      </w:tblPr>
      <w:tblGrid>
        <w:gridCol w:w="1051"/>
        <w:gridCol w:w="4632"/>
        <w:gridCol w:w="2990"/>
        <w:gridCol w:w="1195"/>
      </w:tblGrid>
      <w:tr>
        <w:trPr>
          <w:trHeight w:val="4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刊载日期</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关于对外捐赠的公告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2020/8/31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第九届监事会第二十次会议决议公告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2020/8/31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年第二次临时股东大会的通知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2020/8/31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关于回购股份比例达到</w:t>
            </w:r>
            <w:r>
              <w:rPr>
                <w:color w:val="000000"/>
                <w:spacing w:val="0"/>
                <w:w w:val="100"/>
                <w:position w:val="0"/>
                <w:sz w:val="18"/>
                <w:szCs w:val="18"/>
              </w:rPr>
              <w:t>1%</w:t>
            </w:r>
            <w:r>
              <w:rPr>
                <w:color w:val="000000"/>
                <w:spacing w:val="0"/>
                <w:w w:val="100"/>
                <w:position w:val="0"/>
              </w:rPr>
              <w:t>暨回购的进展公告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重大诉讼进展公告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2020/9/3</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关于公司董事、高级管理人员减持股票的预披露公告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2020/9/3</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2020/9/3</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2020/9/9</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关于中标候选人公示的提示性公告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2020/9/12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2020/9/12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2020/9/16</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2020/9/19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2020/9/23</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年第二次临时股东大会的提示性公告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年第二次临时股东大会决议公告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B45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2020/9/26</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重大诉讼进展的公告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2020/9/28</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关于公司股东部分股票解除质押的公告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2020/9/29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2020/9/30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2020/10/14</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2020/10/21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B115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2020/10/24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关于公司股东部分股票解除质押的公告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B18</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2020/10/28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2020/10/29</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重大诉讼进展的公告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B275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2020/10/30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B275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2020/10/30</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年第三季度报告正文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B235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2020/10/31</w:t>
            </w:r>
          </w:p>
        </w:tc>
      </w:tr>
      <w:tr>
        <w:trPr>
          <w:trHeight w:val="4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关于回购股份事项的进展公告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2020/11/3</w:t>
            </w:r>
          </w:p>
        </w:tc>
      </w:tr>
    </w:tbl>
    <w:p>
      <w:pPr>
        <w:spacing w:lineRule="exact" w:line="1"/>
        <w:rPr>
          <w:sz w:val="2"/>
          <w:szCs w:val="2"/>
        </w:rPr>
      </w:pPr>
      <w:r>
        <w:br w:type="page"/>
      </w:r>
    </w:p>
    <w:tbl>
      <w:tblPr>
        <w:tblOverlap w:val="never"/>
        <w:jc w:val="center"/>
        <w:tblLayout w:type="fixed"/>
      </w:tblPr>
      <w:tblGrid>
        <w:gridCol w:w="1051"/>
        <w:gridCol w:w="4632"/>
        <w:gridCol w:w="2990"/>
        <w:gridCol w:w="1195"/>
      </w:tblGrid>
      <w:tr>
        <w:trPr>
          <w:trHeight w:val="4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公告编号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刊载日期</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B3</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2020/11/5</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关于公司董事、高级管理人员减持计划实施完成的公告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自愿性信息披露公告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B21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2020/11/13</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2020/11/13</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B79</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2020/11/14</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股票交易异常波动公告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2020/11/18</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B92</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2020/11/25</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第九届董事会第二十九次会议决议公告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2020/11/27</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关于在子公司间调整担保额度的公告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2020/11/27</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关于为北京神州数码置业发展有限公司提供财务资助暨 关联交易的公告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2020/11/27</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关于公司申请银行授信的公告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2020/11/27</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年第三次临时股东大会的通知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2020/11/27</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第九届监事会第二十二次会议决议公告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B64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2020/11/27</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关于部分限制性股票回购注销完成的公告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关于部分股票期权注销完成的公告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关于股东减持计划时间过半的进展公告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关于回购股份事项的进展公告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B76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B86</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2020/12/5</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A67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2020/12/10</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年第三次临时股东大会的提示性公告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B91</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2020/12/12</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年第三次临时股东大会决议公告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B50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2020/12/16</w:t>
            </w:r>
          </w:p>
        </w:tc>
      </w:tr>
      <w:tr>
        <w:trPr>
          <w:trHeight w:val="4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B94</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2020/12/18</w:t>
            </w:r>
          </w:p>
        </w:tc>
      </w:tr>
      <w:tr>
        <w:trPr>
          <w:trHeight w:val="70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关于股东非公开发行可交换公司债券办理部分股份担保 及信托登记的公告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2020/12/24</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B85</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2020/12/24</w:t>
            </w: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关于股东</w:t>
            </w:r>
            <w:r>
              <w:rPr>
                <w:color w:val="000000"/>
                <w:spacing w:val="0"/>
                <w:w w:val="100"/>
                <w:position w:val="0"/>
                <w:sz w:val="18"/>
                <w:szCs w:val="18"/>
              </w:rPr>
              <w:t>2020</w:t>
            </w:r>
            <w:r>
              <w:rPr>
                <w:color w:val="000000"/>
                <w:spacing w:val="0"/>
                <w:w w:val="100"/>
                <w:position w:val="0"/>
              </w:rPr>
              <w:t>年非公开发行可交换公司债券（第一期） 发行结果的公告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B130</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2020/12/29</w:t>
            </w:r>
          </w:p>
        </w:tc>
      </w:tr>
      <w:tr>
        <w:trPr>
          <w:trHeight w:val="4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2020-156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重大诉讼进展的公告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B157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bl>
    <w:tbl>
      <w:tblPr>
        <w:tblOverlap w:val="never"/>
        <w:jc w:val="center"/>
        <w:tblLayout w:type="fixed"/>
      </w:tblPr>
      <w:tblGrid>
        <w:gridCol w:w="1051"/>
        <w:gridCol w:w="4632"/>
        <w:gridCol w:w="2990"/>
        <w:gridCol w:w="1195"/>
      </w:tblGrid>
      <w:tr>
        <w:trPr>
          <w:trHeight w:val="46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公告编号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刊登的报刊名称及版面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刊载日期</w:t>
            </w:r>
          </w:p>
        </w:tc>
      </w:tr>
      <w:tr>
        <w:trPr>
          <w:trHeight w:val="4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关于为子公司担保的进展公告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证券时报</w:t>
            </w:r>
            <w:r>
              <w:rPr>
                <w:color w:val="000000"/>
                <w:spacing w:val="0"/>
                <w:w w:val="100"/>
                <w:position w:val="0"/>
                <w:sz w:val="18"/>
                <w:szCs w:val="18"/>
              </w:rPr>
              <w:t>B157</w:t>
            </w:r>
            <w:r>
              <w:rPr>
                <w:color w:val="000000"/>
                <w:spacing w:val="0"/>
                <w:w w:val="100"/>
                <w:position w:val="0"/>
                <w:sz w:val="17"/>
                <w:szCs w:val="17"/>
              </w:rPr>
              <w:t>、</w:t>
            </w:r>
            <w:r>
              <w:rPr>
                <w:color w:val="000000"/>
                <w:spacing w:val="0"/>
                <w:w w:val="100"/>
                <w:position w:val="0"/>
                <w:sz w:val="17"/>
                <w:szCs w:val="17"/>
              </w:rPr>
              <w:t>上海证券报</w:t>
            </w:r>
            <w:r>
              <w:rPr>
                <w:color w:val="000000"/>
                <w:spacing w:val="0"/>
                <w:w w:val="100"/>
                <w:position w:val="0"/>
                <w:sz w:val="18"/>
                <w:szCs w:val="18"/>
              </w:rPr>
              <w:t>110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bl>
    <w:p>
      <w:pPr>
        <w:widowControl w:val="0"/>
        <w:spacing w:after="619" w:line="1" w:lineRule="exact"/>
      </w:pPr>
    </w:p>
    <w:p>
      <w:pPr>
        <w:pStyle w:val="Style32"/>
        <w:keepNext/>
        <w:keepLines/>
        <w:widowControl w:val="0"/>
        <w:shd w:val="clear" w:color="auto" w:fill="auto"/>
        <w:bidi w:val="0"/>
        <w:spacing w:before="0" w:after="280" w:line="240" w:lineRule="auto"/>
        <w:ind w:left="0" w:right="0" w:firstLine="0"/>
        <w:jc w:val="left"/>
      </w:pPr>
      <w:bookmarkStart w:id="433" w:name="bookmark433"/>
      <w:bookmarkStart w:id="434" w:name="bookmark434"/>
      <w:bookmarkStart w:id="435" w:name="bookmark435"/>
      <w:r>
        <w:rPr>
          <w:color w:val="000000"/>
          <w:spacing w:val="0"/>
          <w:w w:val="100"/>
          <w:position w:val="0"/>
        </w:rPr>
        <w:t>二十、公司子公司重大事项</w:t>
      </w:r>
      <w:bookmarkEnd w:id="433"/>
      <w:bookmarkEnd w:id="434"/>
      <w:bookmarkEnd w:id="435"/>
    </w:p>
    <w:p>
      <w:pPr>
        <w:pStyle w:val="Style3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日，公司披露了《关于重大诉讼的公告》，详见巨潮资讯网（公告编号：</w:t>
      </w:r>
      <w:r>
        <w:rPr>
          <w:rFonts w:ascii="Times New Roman" w:eastAsia="Times New Roman" w:hAnsi="Times New Roman" w:cs="Times New Roman"/>
          <w:color w:val="000000"/>
          <w:spacing w:val="0"/>
          <w:w w:val="100"/>
          <w:position w:val="0"/>
          <w:sz w:val="18"/>
          <w:szCs w:val="18"/>
        </w:rPr>
        <w:t xml:space="preserve">2020-095 </w:t>
      </w:r>
      <w:r>
        <w:rPr>
          <w:color w:val="000000"/>
          <w:spacing w:val="0"/>
          <w:w w:val="100"/>
          <w:position w:val="0"/>
        </w:rPr>
        <w:t>）。</w:t>
      </w:r>
    </w:p>
    <w:p>
      <w:pPr>
        <w:pStyle w:val="Style37"/>
        <w:keepNext w:val="0"/>
        <w:keepLines w:val="0"/>
        <w:widowControl w:val="0"/>
        <w:shd w:val="clear" w:color="auto" w:fill="auto"/>
        <w:bidi w:val="0"/>
        <w:spacing w:before="0" w:after="140" w:line="322" w:lineRule="exact"/>
        <w:ind w:left="0" w:right="0" w:firstLine="460"/>
        <w:jc w:val="left"/>
        <w:sectPr>
          <w:headerReference w:type="default" r:id="rId17"/>
          <w:footerReference w:type="default" r:id="rId18"/>
          <w:footnotePr>
            <w:pos w:val="pageBottom"/>
            <w:numFmt w:val="decimal"/>
            <w:numRestart w:val="continuous"/>
          </w:footnotePr>
          <w:pgSz w:w="11900" w:h="16840"/>
          <w:pgMar w:top="1378" w:right="1004" w:bottom="1455" w:left="102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日，公司董事会审议通过了《关于签署信创总部基地项目投资合作协议的议案》，详见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日巨潮 资讯网上的相关公告。</w:t>
      </w:r>
    </w:p>
    <w:p>
      <w:pPr>
        <w:pStyle w:val="Style20"/>
        <w:keepNext/>
        <w:keepLines/>
        <w:widowControl w:val="0"/>
        <w:shd w:val="clear" w:color="auto" w:fill="auto"/>
        <w:bidi w:val="0"/>
        <w:spacing w:before="640" w:after="520" w:line="240" w:lineRule="auto"/>
        <w:ind w:left="0" w:right="0" w:firstLine="0"/>
        <w:jc w:val="center"/>
      </w:pPr>
      <w:bookmarkStart w:id="439" w:name="bookmark439"/>
      <w:bookmarkStart w:id="440" w:name="bookmark440"/>
      <w:bookmarkStart w:id="441" w:name="bookmark441"/>
      <w:r>
        <w:rPr>
          <w:color w:val="000000"/>
          <w:spacing w:val="0"/>
          <w:w w:val="100"/>
          <w:position w:val="0"/>
        </w:rPr>
        <w:t>第六节股份变动及股东情况</w:t>
      </w:r>
      <w:bookmarkEnd w:id="439"/>
      <w:bookmarkEnd w:id="440"/>
      <w:bookmarkEnd w:id="441"/>
    </w:p>
    <w:p>
      <w:pPr>
        <w:pStyle w:val="Style32"/>
        <w:keepNext/>
        <w:keepLines/>
        <w:widowControl w:val="0"/>
        <w:shd w:val="clear" w:color="auto" w:fill="auto"/>
        <w:bidi w:val="0"/>
        <w:spacing w:before="0" w:after="380" w:line="240" w:lineRule="auto"/>
        <w:ind w:left="0" w:right="0" w:firstLine="0"/>
        <w:jc w:val="left"/>
      </w:pPr>
      <w:bookmarkStart w:id="442" w:name="bookmark442"/>
      <w:bookmarkStart w:id="443" w:name="bookmark443"/>
      <w:bookmarkStart w:id="444" w:name="bookmark444"/>
      <w:bookmarkStart w:id="445" w:name="bookmark445"/>
      <w:bookmarkStart w:id="446" w:name="bookmark446"/>
      <w:r>
        <w:rPr>
          <w:color w:val="000000"/>
          <w:spacing w:val="0"/>
          <w:w w:val="100"/>
          <w:position w:val="0"/>
        </w:rPr>
        <w:t>一</w:t>
      </w:r>
      <w:bookmarkEnd w:id="445"/>
      <w:r>
        <w:rPr>
          <w:color w:val="000000"/>
          <w:spacing w:val="0"/>
          <w:w w:val="100"/>
          <w:position w:val="0"/>
        </w:rPr>
        <w:t>、股份变动情况</w:t>
      </w:r>
      <w:bookmarkEnd w:id="443"/>
      <w:bookmarkEnd w:id="444"/>
      <w:bookmarkEnd w:id="446"/>
      <w:bookmarkEnd w:id="442"/>
    </w:p>
    <w:p>
      <w:pPr>
        <w:pStyle w:val="Style40"/>
        <w:keepNext/>
        <w:keepLines/>
        <w:widowControl w:val="0"/>
        <w:shd w:val="clear" w:color="auto" w:fill="auto"/>
        <w:bidi w:val="0"/>
        <w:spacing w:before="0" w:line="240" w:lineRule="auto"/>
        <w:ind w:left="0" w:right="0" w:firstLine="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1</w:t>
      </w:r>
      <w:bookmarkEnd w:id="449"/>
      <w:r>
        <w:rPr>
          <w:color w:val="000000"/>
          <w:spacing w:val="0"/>
          <w:w w:val="100"/>
          <w:position w:val="0"/>
        </w:rPr>
        <w:t>、股份变动情况</w:t>
      </w:r>
      <w:bookmarkEnd w:id="447"/>
      <w:bookmarkEnd w:id="448"/>
      <w:bookmarkEnd w:id="45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131"/>
        <w:gridCol w:w="994"/>
        <w:gridCol w:w="710"/>
        <w:gridCol w:w="864"/>
        <w:gridCol w:w="408"/>
        <w:gridCol w:w="710"/>
        <w:gridCol w:w="994"/>
        <w:gridCol w:w="989"/>
        <w:gridCol w:w="994"/>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送</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172,951,243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162,138,253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172,951,243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162,138,253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172,951,243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162,138,253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481,119,191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16,303,283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497,422,474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481,119,191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10,802,490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16,303,283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497,422,474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654,070,434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5,500,793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5,490,293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659,560,727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报告期内，因公司实施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月回购注销限制性股票减少股本</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月股票期权激励对象自主行权增加股本</w:t>
      </w:r>
      <w:r>
        <w:rPr>
          <w:rFonts w:ascii="Times New Roman" w:eastAsia="Times New Roman" w:hAnsi="Times New Roman" w:cs="Times New Roman"/>
          <w:color w:val="000000"/>
          <w:spacing w:val="0"/>
          <w:w w:val="100"/>
          <w:position w:val="0"/>
          <w:sz w:val="18"/>
          <w:szCs w:val="18"/>
        </w:rPr>
        <w:t>5,500,793</w:t>
      </w:r>
      <w:r>
        <w:rPr>
          <w:color w:val="000000"/>
          <w:spacing w:val="0"/>
          <w:w w:val="100"/>
          <w:position w:val="0"/>
        </w:rPr>
        <w:t>股。</w:t>
      </w:r>
    </w:p>
    <w:p>
      <w:pPr>
        <w:pStyle w:val="Style37"/>
        <w:keepNext w:val="0"/>
        <w:keepLines w:val="0"/>
        <w:widowControl w:val="0"/>
        <w:shd w:val="clear" w:color="auto" w:fill="auto"/>
        <w:bidi w:val="0"/>
        <w:spacing w:before="0" w:after="0" w:line="331" w:lineRule="exact"/>
        <w:ind w:left="0" w:right="0"/>
        <w:jc w:val="both"/>
      </w:pPr>
      <w:r>
        <w:rPr>
          <w:color w:val="000000"/>
          <w:spacing w:val="0"/>
          <w:w w:val="100"/>
          <w:position w:val="0"/>
        </w:rPr>
        <w:t>报告期内，公司高管锁定股解锁</w:t>
      </w:r>
      <w:r>
        <w:rPr>
          <w:rFonts w:ascii="Times New Roman" w:eastAsia="Times New Roman" w:hAnsi="Times New Roman" w:cs="Times New Roman"/>
          <w:color w:val="000000"/>
          <w:spacing w:val="0"/>
          <w:w w:val="100"/>
          <w:position w:val="0"/>
          <w:sz w:val="18"/>
          <w:szCs w:val="18"/>
        </w:rPr>
        <w:t>9,622,740</w:t>
      </w:r>
      <w:r>
        <w:rPr>
          <w:color w:val="000000"/>
          <w:spacing w:val="0"/>
          <w:w w:val="100"/>
          <w:position w:val="0"/>
        </w:rPr>
        <w:t>股。公司高级管理人员张家智先生通过香港中央结算有限公司自主锁定</w:t>
      </w:r>
      <w:r>
        <w:rPr>
          <w:rFonts w:ascii="Times New Roman" w:eastAsia="Times New Roman" w:hAnsi="Times New Roman" w:cs="Times New Roman"/>
          <w:color w:val="000000"/>
          <w:spacing w:val="0"/>
          <w:w w:val="100"/>
          <w:position w:val="0"/>
          <w:sz w:val="18"/>
          <w:szCs w:val="18"/>
        </w:rPr>
        <w:t xml:space="preserve">2,250 </w:t>
      </w:r>
      <w:r>
        <w:rPr>
          <w:color w:val="000000"/>
          <w:spacing w:val="0"/>
          <w:w w:val="100"/>
          <w:position w:val="0"/>
        </w:rPr>
        <w:t>股。</w:t>
      </w:r>
    </w:p>
    <w:p>
      <w:pPr>
        <w:pStyle w:val="Style3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股份变动的批准情况</w:t>
      </w:r>
    </w:p>
    <w:p>
      <w:pPr>
        <w:pStyle w:val="Style3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日，公司第九届董事会第二十六次会议和第九届监事会第十九次会议审议通过了《关于调整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 制性股票激励计划回购价格及行权价格的议案》、《关于回购注销部分限制性股票的议案》、《关于注销部分股票期权的议 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解除限售条件成就的议案》。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年第一次临时股东大会审议通过了《关于回购注销部分限制性股票的议案》。股票期权第一个行权期可行权 的股票期权数量为</w:t>
      </w:r>
      <w:r>
        <w:rPr>
          <w:rFonts w:ascii="Times New Roman" w:eastAsia="Times New Roman" w:hAnsi="Times New Roman" w:cs="Times New Roman"/>
          <w:color w:val="000000"/>
          <w:spacing w:val="0"/>
          <w:w w:val="100"/>
          <w:position w:val="0"/>
          <w:sz w:val="18"/>
          <w:szCs w:val="18"/>
        </w:rPr>
        <w:t>5,819,363</w:t>
      </w:r>
      <w:r>
        <w:rPr>
          <w:color w:val="000000"/>
          <w:spacing w:val="0"/>
          <w:w w:val="100"/>
          <w:position w:val="0"/>
        </w:rPr>
        <w:t>份</w:t>
      </w:r>
      <w:r>
        <w:rPr>
          <w:color w:val="000000"/>
          <w:spacing w:val="0"/>
          <w:w w:val="100"/>
          <w:position w:val="0"/>
          <w:sz w:val="18"/>
          <w:szCs w:val="18"/>
        </w:rPr>
        <w:t>，</w:t>
      </w:r>
      <w:r>
        <w:rPr>
          <w:color w:val="000000"/>
          <w:spacing w:val="0"/>
          <w:w w:val="100"/>
          <w:position w:val="0"/>
        </w:rPr>
        <w:t>限制性股票第一个解除限售期可解除限售股份数量为</w:t>
      </w:r>
      <w:r>
        <w:rPr>
          <w:rFonts w:ascii="Times New Roman" w:eastAsia="Times New Roman" w:hAnsi="Times New Roman" w:cs="Times New Roman"/>
          <w:color w:val="000000"/>
          <w:spacing w:val="0"/>
          <w:w w:val="100"/>
          <w:position w:val="0"/>
          <w:sz w:val="18"/>
          <w:szCs w:val="18"/>
        </w:rPr>
        <w:t>1,182,000</w:t>
      </w:r>
      <w:r>
        <w:rPr>
          <w:color w:val="000000"/>
          <w:spacing w:val="0"/>
          <w:w w:val="100"/>
          <w:position w:val="0"/>
        </w:rPr>
        <w:t>股。公司将回购注销</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股限 制性股票，注销</w:t>
      </w:r>
      <w:r>
        <w:rPr>
          <w:rFonts w:ascii="Times New Roman" w:eastAsia="Times New Roman" w:hAnsi="Times New Roman" w:cs="Times New Roman"/>
          <w:color w:val="000000"/>
          <w:spacing w:val="0"/>
          <w:w w:val="100"/>
          <w:position w:val="0"/>
          <w:sz w:val="18"/>
          <w:szCs w:val="18"/>
        </w:rPr>
        <w:t>1,359,437</w:t>
      </w:r>
      <w:r>
        <w:rPr>
          <w:color w:val="000000"/>
          <w:spacing w:val="0"/>
          <w:w w:val="100"/>
          <w:position w:val="0"/>
        </w:rPr>
        <w:t>份股票期权。</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股份变动的过户情况</w:t>
      </w:r>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年股票期权与限制性股票激励计划，报告期内，公司回购注销</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股限制性股票，激励对象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月累计自主行权</w:t>
      </w:r>
      <w:r>
        <w:rPr>
          <w:rFonts w:ascii="Times New Roman" w:eastAsia="Times New Roman" w:hAnsi="Times New Roman" w:cs="Times New Roman"/>
          <w:color w:val="000000"/>
          <w:spacing w:val="0"/>
          <w:w w:val="100"/>
          <w:position w:val="0"/>
          <w:sz w:val="18"/>
          <w:szCs w:val="18"/>
        </w:rPr>
        <w:t>5,500,793</w:t>
      </w:r>
      <w:r>
        <w:rPr>
          <w:color w:val="000000"/>
          <w:spacing w:val="0"/>
          <w:w w:val="100"/>
          <w:position w:val="0"/>
        </w:rPr>
        <w:t>股。</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股份回购的实施进展情况</w:t>
      </w:r>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日公司第九届董事会第二十五次会议审议通过了《神州数码集团股份有限公司以集中竞价交易方式回购公 司股份的方案》，公司拟使用自有资金以集中竞价交易方式回购公司股份，拟使用的资金总额为不低于人民币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亿元（含） 且不超过人民币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亿元（含），回购股份的价格不超过人民币</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股（含）。</w:t>
      </w:r>
    </w:p>
    <w:p>
      <w:pPr>
        <w:pStyle w:val="Style3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日，公司通过回购专用证券账户以集中竞价交易方式累计回购股份数</w:t>
      </w:r>
      <w:r>
        <w:rPr>
          <w:rFonts w:ascii="Times New Roman" w:eastAsia="Times New Roman" w:hAnsi="Times New Roman" w:cs="Times New Roman"/>
          <w:color w:val="000000"/>
          <w:spacing w:val="0"/>
          <w:w w:val="100"/>
          <w:position w:val="0"/>
          <w:sz w:val="18"/>
          <w:szCs w:val="18"/>
        </w:rPr>
        <w:t>8,067,633</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，购买股份的最高成交价为</w:t>
      </w:r>
      <w:r>
        <w:rPr>
          <w:rFonts w:ascii="Times New Roman" w:eastAsia="Times New Roman" w:hAnsi="Times New Roman" w:cs="Times New Roman"/>
          <w:color w:val="000000"/>
          <w:spacing w:val="0"/>
          <w:w w:val="100"/>
          <w:position w:val="0"/>
          <w:sz w:val="18"/>
          <w:szCs w:val="18"/>
        </w:rPr>
        <w:t>25.23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21.20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股，支付的总金额为</w:t>
      </w:r>
      <w:r>
        <w:rPr>
          <w:rFonts w:ascii="Times New Roman" w:eastAsia="Times New Roman" w:hAnsi="Times New Roman" w:cs="Times New Roman"/>
          <w:color w:val="000000"/>
          <w:spacing w:val="0"/>
          <w:w w:val="100"/>
          <w:position w:val="0"/>
          <w:sz w:val="18"/>
          <w:szCs w:val="18"/>
        </w:rPr>
        <w:t>185,449,601.73</w:t>
      </w:r>
      <w:r>
        <w:rPr>
          <w:color w:val="000000"/>
          <w:spacing w:val="0"/>
          <w:w w:val="100"/>
          <w:position w:val="0"/>
        </w:rPr>
        <w:t>元（不含交易费用）。 详见巨潮资讯网《关于回购股份事项的进展公告》（公告编号：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采用集中竞价方式减持回购股份的实施进展情况</w:t>
      </w:r>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报告期内，因实施股权激励计划导致的股份变动使公司最近一年及一期的每股收益和稀释每股收益、归属于公司普通股股东 的每股净资产等财务指标相应摊薄。</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公司认为必要或证券监管机构要求披露的其他内容</w:t>
      </w:r>
    </w:p>
    <w:p>
      <w:pPr>
        <w:pStyle w:val="Style3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2</w:t>
      </w:r>
      <w:bookmarkEnd w:id="453"/>
      <w:r>
        <w:rPr>
          <w:color w:val="000000"/>
          <w:spacing w:val="0"/>
          <w:w w:val="100"/>
          <w:position w:val="0"/>
        </w:rPr>
        <w:t>、限售股份变动情况</w:t>
      </w:r>
      <w:bookmarkEnd w:id="451"/>
      <w:bookmarkEnd w:id="452"/>
      <w:bookmarkEnd w:id="454"/>
    </w:p>
    <w:p>
      <w:pPr>
        <w:pStyle w:val="Style37"/>
        <w:keepNext w:val="0"/>
        <w:keepLines w:val="0"/>
        <w:widowControl w:val="0"/>
        <w:shd w:val="clear" w:color="auto" w:fill="auto"/>
        <w:bidi w:val="0"/>
        <w:spacing w:before="0" w:after="1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277"/>
        <w:gridCol w:w="989"/>
        <w:gridCol w:w="994"/>
        <w:gridCol w:w="1277"/>
        <w:gridCol w:w="1699"/>
        <w:gridCol w:w="2069"/>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116,083,352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116,083,352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按相关规定解除限售</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48,452,250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9,774,390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38,677,860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日解除部分 高管锁定股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380,293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高管锁定股和股权激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高管锁定股和股权激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股</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w:t>
            </w:r>
          </w:p>
        </w:tc>
      </w:tr>
    </w:tbl>
    <w:p>
      <w:pPr>
        <w:widowControl w:val="0"/>
        <w:spacing w:line="1" w:lineRule="exact"/>
      </w:pPr>
      <w:r>
        <w:br w:type="page"/>
      </w:r>
    </w:p>
    <w:tbl>
      <w:tblPr>
        <w:tblOverlap w:val="never"/>
        <w:jc w:val="center"/>
        <w:tblLayout w:type="fixed"/>
      </w:tblPr>
      <w:tblGrid>
        <w:gridCol w:w="1282"/>
        <w:gridCol w:w="1277"/>
        <w:gridCol w:w="989"/>
        <w:gridCol w:w="994"/>
        <w:gridCol w:w="1277"/>
        <w:gridCol w:w="1699"/>
        <w:gridCol w:w="2069"/>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售 </w:t>
            </w:r>
            <w:r>
              <w:rPr>
                <w:rFonts w:ascii="Times New Roman" w:eastAsia="Times New Roman" w:hAnsi="Times New Roman" w:cs="Times New Roman"/>
                <w:color w:val="000000"/>
                <w:spacing w:val="0"/>
                <w:w w:val="100"/>
                <w:position w:val="0"/>
                <w:sz w:val="18"/>
                <w:szCs w:val="18"/>
              </w:rPr>
              <w:t xml:space="preserve">165,000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37,500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按相关规定解除限售</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王继业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任期届满前离任高管 锁定股和股权激励股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张赐安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任期届满前离任高管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按相关规定解除限售</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其他限制性股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票激励对象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按相关规定解除限售</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首发前个人类限售股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持有人申请解除时方可解 除</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172,951,243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10,966,890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162,138,253</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二</w:t>
      </w:r>
      <w:bookmarkEnd w:id="457"/>
      <w:r>
        <w:rPr>
          <w:color w:val="000000"/>
          <w:spacing w:val="0"/>
          <w:w w:val="100"/>
          <w:position w:val="0"/>
        </w:rPr>
        <w:t>、证券发行与上市情况</w:t>
      </w:r>
      <w:bookmarkEnd w:id="455"/>
      <w:bookmarkEnd w:id="456"/>
      <w:bookmarkEnd w:id="458"/>
    </w:p>
    <w:p>
      <w:pPr>
        <w:pStyle w:val="Style40"/>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、报告期内证券发行（不含优先股）情况</w:t>
      </w:r>
      <w:bookmarkEnd w:id="459"/>
      <w:bookmarkEnd w:id="460"/>
      <w:bookmarkEnd w:id="462"/>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股票期权自</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主行权新增</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5,500,793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报告期内证券发行（不含优先股）情况的说明 详见本报告第六节中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0"/>
        <w:keepNext/>
        <w:keepLines/>
        <w:widowControl w:val="0"/>
        <w:shd w:val="clear" w:color="auto" w:fill="auto"/>
        <w:tabs>
          <w:tab w:pos="37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公司股份总数及股东结构的变动、公司资产和负债结构的变动情况说明</w:t>
      </w:r>
      <w:bookmarkEnd w:id="463"/>
      <w:bookmarkEnd w:id="464"/>
      <w:bookmarkEnd w:id="466"/>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日召开的第九届董事会第二十六次会议和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年第一次临时股东大会决议的规 定，公司回购注销因个人实际业绩完成率未达标的激励对象持有的限制性股票</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7.6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元/股（扣除已分配 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元/股）。上述回购注销限制性股票导致减少股本人民币</w:t>
      </w:r>
      <w:r>
        <w:rPr>
          <w:rFonts w:ascii="Times New Roman" w:eastAsia="Times New Roman" w:hAnsi="Times New Roman" w:cs="Times New Roman"/>
          <w:color w:val="000000"/>
          <w:spacing w:val="0"/>
          <w:w w:val="100"/>
          <w:position w:val="0"/>
          <w:sz w:val="18"/>
          <w:szCs w:val="18"/>
        </w:rPr>
        <w:t>10,500.00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sz w:val="18"/>
          <w:szCs w:val="18"/>
        </w:rPr>
        <w:t>71,610.00</w:t>
      </w:r>
      <w:r>
        <w:rPr>
          <w:color w:val="000000"/>
          <w:spacing w:val="0"/>
          <w:w w:val="100"/>
          <w:position w:val="0"/>
        </w:rPr>
        <w:t>元。本次股本 变动已经北京兴华会计师事务所（特殊普通合伙）审验，并于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64000002</w:t>
      </w:r>
      <w:r>
        <w:rPr>
          <w:color w:val="000000"/>
          <w:spacing w:val="0"/>
          <w:w w:val="100"/>
          <w:position w:val="0"/>
        </w:rPr>
        <w:t>号验资报 告。</w:t>
      </w:r>
    </w:p>
    <w:p>
      <w:pPr>
        <w:pStyle w:val="Style37"/>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 xml:space="preserve">根据公司股权激励计划的相关规定，公司股票期权第一个行权期激励对象中部分员工行权，合计行权股票期权数量为 </w:t>
      </w:r>
      <w:r>
        <w:rPr>
          <w:rFonts w:ascii="Times New Roman" w:eastAsia="Times New Roman" w:hAnsi="Times New Roman" w:cs="Times New Roman"/>
          <w:color w:val="000000"/>
          <w:spacing w:val="0"/>
          <w:w w:val="100"/>
          <w:position w:val="0"/>
          <w:sz w:val="18"/>
          <w:szCs w:val="18"/>
        </w:rPr>
        <w:t>5,500,793</w:t>
      </w:r>
      <w:r>
        <w:rPr>
          <w:color w:val="000000"/>
          <w:spacing w:val="0"/>
          <w:w w:val="100"/>
          <w:position w:val="0"/>
        </w:rPr>
        <w:t>份，股票期权行权款为</w:t>
      </w:r>
      <w:r>
        <w:rPr>
          <w:rFonts w:ascii="Times New Roman" w:eastAsia="Times New Roman" w:hAnsi="Times New Roman" w:cs="Times New Roman"/>
          <w:color w:val="000000"/>
          <w:spacing w:val="0"/>
          <w:w w:val="100"/>
          <w:position w:val="0"/>
          <w:sz w:val="18"/>
          <w:szCs w:val="18"/>
        </w:rPr>
        <w:t>84,382,164.65</w:t>
      </w:r>
      <w:r>
        <w:rPr>
          <w:color w:val="000000"/>
          <w:spacing w:val="0"/>
          <w:w w:val="100"/>
          <w:position w:val="0"/>
        </w:rPr>
        <w:t>元。上述股票期权行权导致增加股本人民币</w:t>
      </w:r>
      <w:r>
        <w:rPr>
          <w:rFonts w:ascii="Times New Roman" w:eastAsia="Times New Roman" w:hAnsi="Times New Roman" w:cs="Times New Roman"/>
          <w:color w:val="000000"/>
          <w:spacing w:val="0"/>
          <w:w w:val="100"/>
          <w:position w:val="0"/>
          <w:sz w:val="18"/>
          <w:szCs w:val="18"/>
        </w:rPr>
        <w:t>5,500,793.00</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 他资本公积</w:t>
      </w:r>
      <w:r>
        <w:rPr>
          <w:rFonts w:ascii="Times New Roman" w:eastAsia="Times New Roman" w:hAnsi="Times New Roman" w:cs="Times New Roman"/>
          <w:color w:val="000000"/>
          <w:spacing w:val="0"/>
          <w:w w:val="100"/>
          <w:position w:val="0"/>
          <w:sz w:val="18"/>
          <w:szCs w:val="18"/>
        </w:rPr>
        <w:t>3,151,920.45</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82,033,292.10</w:t>
      </w:r>
      <w:r>
        <w:rPr>
          <w:color w:val="000000"/>
          <w:spacing w:val="0"/>
          <w:w w:val="100"/>
          <w:position w:val="0"/>
        </w:rPr>
        <w:t>元。</w:t>
      </w:r>
    </w:p>
    <w:p>
      <w:pPr>
        <w:pStyle w:val="Style40"/>
        <w:keepNext/>
        <w:keepLines/>
        <w:widowControl w:val="0"/>
        <w:shd w:val="clear" w:color="auto" w:fill="auto"/>
        <w:tabs>
          <w:tab w:pos="378"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3</w:t>
      </w:r>
      <w:bookmarkEnd w:id="469"/>
      <w:r>
        <w:rPr>
          <w:color w:val="000000"/>
          <w:spacing w:val="0"/>
          <w:w w:val="100"/>
          <w:position w:val="0"/>
        </w:rPr>
        <w:t>、</w:t>
        <w:tab/>
        <w:t>现存的内部职工股情况</w:t>
      </w:r>
      <w:bookmarkEnd w:id="467"/>
      <w:bookmarkEnd w:id="468"/>
      <w:bookmarkEnd w:id="470"/>
    </w:p>
    <w:p>
      <w:pPr>
        <w:pStyle w:val="Style3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三</w:t>
      </w:r>
      <w:bookmarkEnd w:id="473"/>
      <w:r>
        <w:rPr>
          <w:color w:val="000000"/>
          <w:spacing w:val="0"/>
          <w:w w:val="100"/>
          <w:position w:val="0"/>
        </w:rPr>
        <w:t>、股东和实际控制人情况</w:t>
      </w:r>
      <w:bookmarkEnd w:id="471"/>
      <w:bookmarkEnd w:id="472"/>
      <w:bookmarkEnd w:id="474"/>
    </w:p>
    <w:p>
      <w:pPr>
        <w:pStyle w:val="Style40"/>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1</w:t>
      </w:r>
      <w:bookmarkEnd w:id="477"/>
      <w:r>
        <w:rPr>
          <w:color w:val="000000"/>
          <w:spacing w:val="0"/>
          <w:w w:val="100"/>
          <w:position w:val="0"/>
        </w:rPr>
        <w:t>、公司股东数量及持股情况</w:t>
      </w:r>
      <w:bookmarkEnd w:id="475"/>
      <w:bookmarkEnd w:id="476"/>
      <w:bookmarkEnd w:id="47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16"/>
        <w:gridCol w:w="854"/>
        <w:gridCol w:w="706"/>
        <w:gridCol w:w="749"/>
        <w:gridCol w:w="245"/>
        <w:gridCol w:w="821"/>
        <w:gridCol w:w="173"/>
        <w:gridCol w:w="1066"/>
        <w:gridCol w:w="221"/>
        <w:gridCol w:w="840"/>
        <w:gridCol w:w="226"/>
        <w:gridCol w:w="1051"/>
        <w:gridCol w:w="274"/>
        <w:gridCol w:w="936"/>
      </w:tblGrid>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71,541</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66,784</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8"/>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8"/>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154,777,803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116,083,352</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38,694,451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74,710,000</w:t>
            </w:r>
          </w:p>
        </w:tc>
      </w:tr>
      <w:tr>
        <w:trPr>
          <w:trHeight w:val="710"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中国希格玛有限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59,535,746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59,535,746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48,130,000</w:t>
            </w:r>
          </w:p>
        </w:tc>
      </w:tr>
      <w:tr>
        <w:trPr>
          <w:trHeight w:val="715"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38,678,205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-12,892,275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38,677,860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613,392</w:t>
            </w:r>
          </w:p>
        </w:tc>
      </w:tr>
      <w:tr>
        <w:trPr>
          <w:trHeight w:val="1037"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深圳市宝安建设 投资集团有限公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26,261,759</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26,261,759</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21"/>
        <w:gridCol w:w="854"/>
        <w:gridCol w:w="706"/>
        <w:gridCol w:w="994"/>
        <w:gridCol w:w="994"/>
        <w:gridCol w:w="1066"/>
        <w:gridCol w:w="1061"/>
        <w:gridCol w:w="1277"/>
        <w:gridCol w:w="1210"/>
      </w:tblGrid>
      <w:tr>
        <w:trPr>
          <w:trHeight w:val="13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3" w:lineRule="exact"/>
              <w:ind w:left="0" w:right="0" w:firstLine="0"/>
              <w:jc w:val="left"/>
            </w:pPr>
            <w:r>
              <w:rPr>
                <w:color w:val="000000"/>
                <w:spacing w:val="0"/>
                <w:w w:val="100"/>
                <w:position w:val="0"/>
              </w:rPr>
              <w:t>中国希格玛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国都 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中希</w:t>
            </w:r>
            <w:r>
              <w:rPr>
                <w:rFonts w:ascii="Times New Roman" w:eastAsia="Times New Roman" w:hAnsi="Times New Roman" w:cs="Times New Roman"/>
                <w:color w:val="000000"/>
                <w:spacing w:val="0"/>
                <w:w w:val="100"/>
                <w:position w:val="0"/>
                <w:sz w:val="18"/>
                <w:szCs w:val="18"/>
              </w:rPr>
              <w:t>EB</w:t>
            </w:r>
            <w:r>
              <w:rPr>
                <w:color w:val="000000"/>
                <w:spacing w:val="0"/>
                <w:w w:val="100"/>
                <w:position w:val="0"/>
              </w:rPr>
              <w:t>担 保及信托财产账 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中国建设银行股 份有限公司一信 达澳银新能源产 业股票型证券投 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5,641,834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3,478,471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香港中央结算有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5,081,657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-1,849,198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中国工商银行股 份有限公司一嘉 实主题新动力混 合型证券投资基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4,447,432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2,638,046</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中信建投基金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中信建投 基金定增</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号资 产管理计划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4,174,803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-11,427,920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0"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 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王晓岩先生与中国希格玛有限公司之间根据《企业会计准则第</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w:t>
            </w:r>
            <w:r>
              <w:rPr>
                <w:color w:val="000000"/>
                <w:spacing w:val="0"/>
                <w:w w:val="100"/>
                <w:position w:val="0"/>
                <w:sz w:val="18"/>
                <w:szCs w:val="18"/>
              </w:rPr>
              <w:t>一</w:t>
            </w:r>
            <w:r>
              <w:rPr>
                <w:color w:val="000000"/>
                <w:spacing w:val="0"/>
                <w:w w:val="100"/>
                <w:position w:val="0"/>
              </w:rPr>
              <w:t>关联方披露》的规定存 在关联关系。中信建投基金</w:t>
            </w:r>
            <w:r>
              <w:rPr>
                <w:color w:val="000000"/>
                <w:spacing w:val="0"/>
                <w:w w:val="100"/>
                <w:position w:val="0"/>
                <w:sz w:val="18"/>
                <w:szCs w:val="18"/>
              </w:rPr>
              <w:t>一</w:t>
            </w:r>
            <w:r>
              <w:rPr>
                <w:color w:val="000000"/>
                <w:spacing w:val="0"/>
                <w:w w:val="100"/>
                <w:position w:val="0"/>
              </w:rPr>
              <w:t>中信证券</w:t>
            </w:r>
            <w:r>
              <w:rPr>
                <w:color w:val="000000"/>
                <w:spacing w:val="0"/>
                <w:w w:val="100"/>
                <w:position w:val="0"/>
                <w:sz w:val="18"/>
                <w:szCs w:val="18"/>
              </w:rPr>
              <w:t>一</w:t>
            </w:r>
            <w:r>
              <w:rPr>
                <w:color w:val="000000"/>
                <w:spacing w:val="0"/>
                <w:w w:val="100"/>
                <w:position w:val="0"/>
              </w:rPr>
              <w:t>中信建投基金定增</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号资产管理计划与郭为先生为 一致行动人。未知其余股东之间是否存在关联关系或存在《上市公司收购管理办法》规定的 一致行动人的情形。</w:t>
            </w:r>
          </w:p>
        </w:tc>
      </w:tr>
      <w:tr>
        <w:trPr>
          <w:trHeight w:val="1963"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上述股东中，郭为先生在公司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年第三次临时股东大会中均授权代表代为行使表决权；中国希格 玛有限公司在公司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年第三次临时股东大会中均授权代表代为行使表决权；王晓岩先生在公司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年第三次临时股东大会中均授权 代表代为行使表决权。</w:t>
            </w:r>
          </w:p>
        </w:tc>
      </w:tr>
      <w:tr>
        <w:trPr>
          <w:trHeight w:val="398"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中国希格玛有限公司</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77,035,746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77,035,746</w:t>
            </w:r>
          </w:p>
        </w:tc>
      </w:tr>
      <w:tr>
        <w:trPr>
          <w:trHeight w:val="413"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郭为</w:t>
            </w:r>
          </w:p>
        </w:tc>
        <w:tc>
          <w:tcPr>
            <w:gridSpan w:val="5"/>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38,694,451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38,694,451</w:t>
            </w:r>
          </w:p>
        </w:tc>
      </w:tr>
    </w:tbl>
    <w:p>
      <w:pPr>
        <w:widowControl w:val="0"/>
        <w:spacing w:line="1" w:lineRule="exact"/>
      </w:pPr>
      <w:r>
        <w:br w:type="page"/>
      </w:r>
    </w:p>
    <w:tbl>
      <w:tblPr>
        <w:tblOverlap w:val="never"/>
        <w:jc w:val="center"/>
        <w:tblLayout w:type="fixed"/>
      </w:tblPr>
      <w:tblGrid>
        <w:gridCol w:w="2275"/>
        <w:gridCol w:w="4819"/>
        <w:gridCol w:w="1277"/>
        <w:gridCol w:w="1210"/>
      </w:tblGrid>
      <w:tr>
        <w:trPr>
          <w:trHeight w:val="7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深圳市宝安建设投资集团有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26,261,759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26,261,759</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中国希格玛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国都证券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中希</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EB</w:t>
            </w:r>
            <w:r>
              <w:rPr>
                <w:color w:val="000000"/>
                <w:spacing w:val="0"/>
                <w:w w:val="100"/>
                <w:position w:val="0"/>
              </w:rPr>
              <w:t>担保及信托财产账户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中国建设银行股份有限公司 一信达澳银新能源产业股票 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5,641,834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5,641,834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5,079,407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5,079,407</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中国工商银行股份有限公司 一嘉实主题新动力混合型证 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4,447,432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4,447,432</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中信建投基金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信建投基金定增</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4,174,803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4,174,803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谢鸿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4,126,744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4,126,744</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中国银行股份有限公司一 嘉实逆向策略股票型证券投 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2,980,979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2,980,979</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王晓岩先生与中国希格玛有限公司之间根据《企业会计准则第</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w:t>
            </w:r>
            <w:r>
              <w:rPr>
                <w:color w:val="000000"/>
                <w:spacing w:val="0"/>
                <w:w w:val="100"/>
                <w:position w:val="0"/>
                <w:sz w:val="18"/>
                <w:szCs w:val="18"/>
              </w:rPr>
              <w:t>一</w:t>
            </w:r>
            <w:r>
              <w:rPr>
                <w:color w:val="000000"/>
                <w:spacing w:val="0"/>
                <w:w w:val="100"/>
                <w:position w:val="0"/>
              </w:rPr>
              <w:t>关联方披露》的规定存 在关联关系。中信建投基金</w:t>
            </w:r>
            <w:r>
              <w:rPr>
                <w:color w:val="000000"/>
                <w:spacing w:val="0"/>
                <w:w w:val="100"/>
                <w:position w:val="0"/>
                <w:sz w:val="18"/>
                <w:szCs w:val="18"/>
              </w:rPr>
              <w:t>一</w:t>
            </w:r>
            <w:r>
              <w:rPr>
                <w:color w:val="000000"/>
                <w:spacing w:val="0"/>
                <w:w w:val="100"/>
                <w:position w:val="0"/>
              </w:rPr>
              <w:t>中信证券</w:t>
            </w:r>
            <w:r>
              <w:rPr>
                <w:color w:val="000000"/>
                <w:spacing w:val="0"/>
                <w:w w:val="100"/>
                <w:position w:val="0"/>
                <w:sz w:val="18"/>
                <w:szCs w:val="18"/>
              </w:rPr>
              <w:t>一</w:t>
            </w:r>
            <w:r>
              <w:rPr>
                <w:color w:val="000000"/>
                <w:spacing w:val="0"/>
                <w:w w:val="100"/>
                <w:position w:val="0"/>
              </w:rPr>
              <w:t>中信建投基金定增</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号资产管理计划与郭为先生为 一致行动人。未知其余股东之间是否存在关联关系或存在《上市公司收购管理办法》规定的 一致行动人的情形。</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 融券业务情况说明（如有）</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rPr>
              <w:t>公司股东中国希格玛有限公司除通过普通证券账户持有</w:t>
            </w:r>
            <w:r>
              <w:rPr>
                <w:rFonts w:ascii="Times New Roman" w:eastAsia="Times New Roman" w:hAnsi="Times New Roman" w:cs="Times New Roman"/>
                <w:color w:val="000000"/>
                <w:spacing w:val="0"/>
                <w:w w:val="100"/>
                <w:position w:val="0"/>
                <w:sz w:val="18"/>
                <w:szCs w:val="18"/>
              </w:rPr>
              <w:t>68,283,732</w:t>
            </w:r>
            <w:r>
              <w:rPr>
                <w:color w:val="000000"/>
                <w:spacing w:val="0"/>
                <w:w w:val="100"/>
                <w:position w:val="0"/>
              </w:rPr>
              <w:t>股外，还通过证券公司客 户信用交易担保证券账户持有</w:t>
            </w:r>
            <w:r>
              <w:rPr>
                <w:rFonts w:ascii="Times New Roman" w:eastAsia="Times New Roman" w:hAnsi="Times New Roman" w:cs="Times New Roman"/>
                <w:color w:val="000000"/>
                <w:spacing w:val="0"/>
                <w:w w:val="100"/>
                <w:position w:val="0"/>
                <w:sz w:val="18"/>
                <w:szCs w:val="18"/>
              </w:rPr>
              <w:t>8,752,014</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77,035,746</w:t>
            </w:r>
            <w:r>
              <w:rPr>
                <w:color w:val="000000"/>
                <w:spacing w:val="0"/>
                <w:w w:val="100"/>
                <w:position w:val="0"/>
              </w:rPr>
              <w:t>股。</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0"/>
        <w:keepNext/>
        <w:keepLines/>
        <w:widowControl w:val="0"/>
        <w:shd w:val="clear" w:color="auto" w:fill="auto"/>
        <w:bidi w:val="0"/>
        <w:spacing w:before="0" w:line="240"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bookmarkEnd w:id="479"/>
      <w:bookmarkEnd w:id="480"/>
      <w:bookmarkEnd w:id="482"/>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控股股东性质：自然人控股</w:t>
      </w:r>
    </w:p>
    <w:p>
      <w:pPr>
        <w:pStyle w:val="Style3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2"/>
        <w:gridCol w:w="2170"/>
        <w:gridCol w:w="3989"/>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神州数码集团股份有限公司董事长、总裁</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郭为先生持有神州控股</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的股份</w:t>
            </w: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0"/>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、公司实际控制人及其一致行动人</w:t>
      </w:r>
      <w:bookmarkEnd w:id="483"/>
      <w:bookmarkEnd w:id="484"/>
      <w:bookmarkEnd w:id="486"/>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中信建投基金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中信建投 基金定增</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号资产管理计划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神州数码集团股份有限公司董事长、总裁</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267200" cy="144462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4267200" cy="1444625"/>
                    </a:xfrm>
                    <a:prstGeom prst="rect"/>
                  </pic:spPr>
                </pic:pic>
              </a:graphicData>
            </a:graphic>
          </wp:inline>
        </w:drawing>
      </w:r>
    </w:p>
    <w:p>
      <w:pPr>
        <w:widowControl w:val="0"/>
        <w:spacing w:after="37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4</w:t>
      </w:r>
      <w:bookmarkEnd w:id="48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7"/>
      <w:bookmarkEnd w:id="488"/>
      <w:bookmarkEnd w:id="490"/>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378" w:val="left"/>
        </w:tabs>
        <w:bidi w:val="0"/>
        <w:spacing w:before="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5</w:t>
      </w:r>
      <w:bookmarkEnd w:id="493"/>
      <w:r>
        <w:rPr>
          <w:color w:val="000000"/>
          <w:spacing w:val="0"/>
          <w:w w:val="100"/>
          <w:position w:val="0"/>
        </w:rPr>
        <w:t>、</w:t>
        <w:tab/>
        <w:t>控股股东、实际控制人、重组方及其他承诺主体股份限制减持情况</w:t>
      </w:r>
      <w:bookmarkEnd w:id="491"/>
      <w:bookmarkEnd w:id="492"/>
      <w:bookmarkEnd w:id="494"/>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2710180</wp:posOffset>
                </wp:positionH>
                <wp:positionV relativeFrom="paragraph">
                  <wp:posOffset>0</wp:posOffset>
                </wp:positionV>
                <wp:extent cx="2170430" cy="247015"/>
                <wp:wrapTopAndBottom/>
                <wp:docPr id="34" name="Shape 34"/>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20"/>
                              <w:keepNext/>
                              <w:keepLines/>
                              <w:widowControl w:val="0"/>
                              <w:shd w:val="clear" w:color="auto" w:fill="auto"/>
                              <w:bidi w:val="0"/>
                              <w:spacing w:before="0" w:after="0" w:line="240" w:lineRule="auto"/>
                              <w:ind w:left="0" w:right="0" w:firstLine="0"/>
                              <w:jc w:val="center"/>
                            </w:pPr>
                            <w:bookmarkStart w:id="436" w:name="bookmark436"/>
                            <w:bookmarkStart w:id="437" w:name="bookmark437"/>
                            <w:bookmarkStart w:id="438" w:name="bookmark438"/>
                            <w:r>
                              <w:rPr>
                                <w:color w:val="000000"/>
                                <w:spacing w:val="0"/>
                                <w:w w:val="100"/>
                                <w:position w:val="0"/>
                              </w:rPr>
                              <w:t>第七节优先股相关情况</w:t>
                            </w:r>
                            <w:bookmarkEnd w:id="436"/>
                            <w:bookmarkEnd w:id="437"/>
                            <w:bookmarkEnd w:id="438"/>
                          </w:p>
                        </w:txbxContent>
                      </wps:txbx>
                      <wps:bodyPr wrap="none" lIns="0" tIns="0" rIns="0" bIns="0">
                        <a:noAutoFit/>
                      </wps:bodyPr>
                    </wps:wsp>
                  </a:graphicData>
                </a:graphic>
              </wp:anchor>
            </w:drawing>
          </mc:Choice>
          <mc:Fallback>
            <w:pict>
              <v:shape id="_x0000_s1060" type="#_x0000_t202" style="position:absolute;margin-left:213.40000000000001pt;margin-top:0;width:170.90000000000001pt;height:19.449999999999999pt;z-index:-125829375;mso-wrap-distance-left:0;mso-wrap-distance-right:0;mso-wrap-distance-bottom:21.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center"/>
                      </w:pPr>
                      <w:bookmarkStart w:id="436" w:name="bookmark436"/>
                      <w:bookmarkStart w:id="437" w:name="bookmark437"/>
                      <w:bookmarkStart w:id="438" w:name="bookmark438"/>
                      <w:r>
                        <w:rPr>
                          <w:color w:val="000000"/>
                          <w:spacing w:val="0"/>
                          <w:w w:val="100"/>
                          <w:position w:val="0"/>
                        </w:rPr>
                        <w:t>第七节优先股相关情况</w:t>
                      </w:r>
                      <w:bookmarkEnd w:id="436"/>
                      <w:bookmarkEnd w:id="437"/>
                      <w:bookmarkEnd w:id="438"/>
                    </w:p>
                  </w:txbxContent>
                </v:textbox>
                <w10:wrap type="topAndBottom" anchorx="page"/>
              </v:shape>
            </w:pict>
          </mc:Fallback>
        </mc:AlternateContent>
      </w:r>
    </w:p>
    <w:p>
      <w:pPr>
        <w:pStyle w:val="Style37"/>
        <w:keepNext w:val="0"/>
        <w:keepLines w:val="0"/>
        <w:widowControl w:val="0"/>
        <w:shd w:val="clear" w:color="auto" w:fill="auto"/>
        <w:bidi w:val="0"/>
        <w:spacing w:before="0" w:after="140" w:line="240" w:lineRule="auto"/>
        <w:ind w:left="0" w:right="0" w:firstLine="0"/>
        <w:jc w:val="left"/>
      </w:pPr>
      <w:bookmarkStart w:id="495" w:name="bookmark49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5"/>
    </w:p>
    <w:p>
      <w:pPr>
        <w:pStyle w:val="Style3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45" w:right="1076" w:bottom="1532" w:left="1042" w:header="0" w:footer="3" w:gutter="0"/>
          <w:cols w:space="720"/>
          <w:noEndnote/>
          <w:rtlGutter w:val="0"/>
          <w:docGrid w:linePitch="360"/>
        </w:sectPr>
      </w:pPr>
      <w:r>
        <w:rPr>
          <w:color w:val="000000"/>
          <w:spacing w:val="0"/>
          <w:w w:val="100"/>
          <w:position w:val="0"/>
        </w:rPr>
        <w:t>报告期公司不存在优先股。</w:t>
      </w:r>
    </w:p>
    <w:p>
      <w:pPr>
        <w:pStyle w:val="Style20"/>
        <w:keepNext/>
        <w:keepLines/>
        <w:widowControl w:val="0"/>
        <w:shd w:val="clear" w:color="auto" w:fill="auto"/>
        <w:bidi w:val="0"/>
        <w:spacing w:before="560" w:after="560" w:line="240" w:lineRule="auto"/>
        <w:ind w:left="0" w:right="0" w:firstLine="0"/>
        <w:jc w:val="center"/>
      </w:pPr>
      <w:bookmarkStart w:id="496" w:name="bookmark496"/>
      <w:bookmarkStart w:id="497" w:name="bookmark497"/>
      <w:bookmarkStart w:id="498" w:name="bookmark498"/>
      <w:r>
        <w:rPr>
          <w:color w:val="000000"/>
          <w:spacing w:val="0"/>
          <w:w w:val="100"/>
          <w:position w:val="0"/>
        </w:rPr>
        <w:t>第八节可转换公司债券相关情况</w:t>
      </w:r>
      <w:bookmarkEnd w:id="496"/>
      <w:bookmarkEnd w:id="497"/>
      <w:bookmarkEnd w:id="498"/>
    </w:p>
    <w:p>
      <w:pPr>
        <w:pStyle w:val="Style37"/>
        <w:keepNext w:val="0"/>
        <w:keepLines w:val="0"/>
        <w:widowControl w:val="0"/>
        <w:shd w:val="clear" w:color="auto" w:fill="auto"/>
        <w:bidi w:val="0"/>
        <w:spacing w:before="0" w:after="120" w:line="240" w:lineRule="auto"/>
        <w:ind w:left="0" w:right="0" w:firstLine="0"/>
        <w:jc w:val="left"/>
      </w:pPr>
      <w:bookmarkStart w:id="499" w:name="bookmark49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9"/>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20"/>
        <w:keepNext/>
        <w:keepLines/>
        <w:widowControl w:val="0"/>
        <w:shd w:val="clear" w:color="auto" w:fill="auto"/>
        <w:bidi w:val="0"/>
        <w:spacing w:before="0" w:after="520" w:line="240" w:lineRule="auto"/>
        <w:ind w:left="0" w:right="0" w:firstLine="0"/>
        <w:jc w:val="center"/>
      </w:pPr>
      <w:bookmarkStart w:id="500" w:name="bookmark500"/>
      <w:bookmarkStart w:id="501" w:name="bookmark501"/>
      <w:bookmarkStart w:id="502" w:name="bookmark502"/>
      <w:r>
        <w:rPr>
          <w:color w:val="000000"/>
          <w:spacing w:val="0"/>
          <w:w w:val="100"/>
          <w:position w:val="0"/>
        </w:rPr>
        <w:t>第九节 董事、监事、高级管理人员和员工情况</w:t>
      </w:r>
      <w:bookmarkEnd w:id="500"/>
      <w:bookmarkEnd w:id="501"/>
      <w:bookmarkEnd w:id="502"/>
    </w:p>
    <w:p>
      <w:pPr>
        <w:pStyle w:val="Style32"/>
        <w:keepNext/>
        <w:keepLines/>
        <w:widowControl w:val="0"/>
        <w:shd w:val="clear" w:color="auto" w:fill="auto"/>
        <w:bidi w:val="0"/>
        <w:spacing w:before="0" w:after="340" w:line="240" w:lineRule="auto"/>
        <w:ind w:left="0" w:right="0" w:firstLine="240"/>
        <w:jc w:val="left"/>
      </w:pPr>
      <w:bookmarkStart w:id="503" w:name="bookmark503"/>
      <w:bookmarkStart w:id="504" w:name="bookmark504"/>
      <w:bookmarkStart w:id="505" w:name="bookmark505"/>
      <w:bookmarkStart w:id="506" w:name="bookmark506"/>
      <w:r>
        <w:rPr>
          <w:color w:val="000000"/>
          <w:spacing w:val="0"/>
          <w:w w:val="100"/>
          <w:position w:val="0"/>
        </w:rPr>
        <w:t>、董事、监事和高级管理人员持股变动</w:t>
      </w:r>
      <w:bookmarkEnd w:id="504"/>
      <w:bookmarkEnd w:id="505"/>
      <w:bookmarkEnd w:id="506"/>
      <w:bookmarkEnd w:id="503"/>
    </w:p>
    <w:tbl>
      <w:tblPr>
        <w:tblOverlap w:val="never"/>
        <w:jc w:val="center"/>
        <w:tblLayout w:type="fixed"/>
      </w:tblPr>
      <w:tblGrid>
        <w:gridCol w:w="715"/>
        <w:gridCol w:w="706"/>
        <w:gridCol w:w="571"/>
        <w:gridCol w:w="566"/>
        <w:gridCol w:w="566"/>
        <w:gridCol w:w="850"/>
        <w:gridCol w:w="850"/>
        <w:gridCol w:w="994"/>
        <w:gridCol w:w="850"/>
        <w:gridCol w:w="994"/>
        <w:gridCol w:w="850"/>
        <w:gridCol w:w="1075"/>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28"/>
              <w:keepNext w:val="0"/>
              <w:keepLines w:val="0"/>
              <w:widowControl w:val="0"/>
              <w:shd w:val="clear" w:color="auto" w:fill="auto"/>
              <w:bidi w:val="0"/>
              <w:spacing w:before="0" w:after="0" w:line="302" w:lineRule="exact"/>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董事长</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154,777,803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154,777,803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51,570,480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38,678,205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332,058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715"/>
        <w:gridCol w:w="706"/>
        <w:gridCol w:w="571"/>
        <w:gridCol w:w="566"/>
        <w:gridCol w:w="566"/>
        <w:gridCol w:w="850"/>
        <w:gridCol w:w="850"/>
        <w:gridCol w:w="994"/>
        <w:gridCol w:w="850"/>
        <w:gridCol w:w="994"/>
        <w:gridCol w:w="850"/>
        <w:gridCol w:w="1075"/>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本期增持 股份数量</w:t>
            </w:r>
          </w:p>
          <w:p>
            <w:pPr>
              <w:pStyle w:val="Style28"/>
              <w:keepNext w:val="0"/>
              <w:keepLines w:val="0"/>
              <w:widowControl w:val="0"/>
              <w:shd w:val="clear" w:color="auto" w:fill="auto"/>
              <w:bidi w:val="0"/>
              <w:spacing w:before="0" w:after="0" w:line="302" w:lineRule="exact"/>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期末持股数</w:t>
            </w:r>
          </w:p>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187,500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潘春雷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人力资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源总监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技术总</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刘风彦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214,819,341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14,981,025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199,841,316</w:t>
            </w:r>
          </w:p>
        </w:tc>
      </w:tr>
      <w:tr>
        <w:trPr>
          <w:trHeight w:val="1037" w:hRule="exact"/>
        </w:trPr>
        <w:tc>
          <w:tcPr>
            <w:gridSpan w:val="12"/>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报告期末叶海强、周立达、李岩、潘春雷通过中信建投基金定增</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号资产管理计划持有本公司股份，其中，叶海强、周 立达分别持有中信建投基金定增</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号资产管理计划份额</w:t>
            </w:r>
            <w:r>
              <w:rPr>
                <w:rFonts w:ascii="Times New Roman" w:eastAsia="Times New Roman" w:hAnsi="Times New Roman" w:cs="Times New Roman"/>
                <w:color w:val="000000"/>
                <w:spacing w:val="0"/>
                <w:w w:val="100"/>
                <w:position w:val="0"/>
                <w:sz w:val="18"/>
                <w:szCs w:val="18"/>
              </w:rPr>
              <w:t>6,885,658.83</w:t>
            </w:r>
            <w:r>
              <w:rPr>
                <w:color w:val="000000"/>
                <w:spacing w:val="0"/>
                <w:w w:val="100"/>
                <w:position w:val="0"/>
              </w:rPr>
              <w:t>份，李岩持有</w:t>
            </w:r>
            <w:r>
              <w:rPr>
                <w:rFonts w:ascii="Times New Roman" w:eastAsia="Times New Roman" w:hAnsi="Times New Roman" w:cs="Times New Roman"/>
                <w:color w:val="000000"/>
                <w:spacing w:val="0"/>
                <w:w w:val="100"/>
                <w:position w:val="0"/>
                <w:sz w:val="18"/>
                <w:szCs w:val="18"/>
              </w:rPr>
              <w:t>3,445,524.10</w:t>
            </w:r>
            <w:r>
              <w:rPr>
                <w:color w:val="000000"/>
                <w:spacing w:val="0"/>
                <w:w w:val="100"/>
                <w:position w:val="0"/>
              </w:rPr>
              <w:t>份，潘春雷持有</w:t>
            </w:r>
            <w:r>
              <w:rPr>
                <w:rFonts w:ascii="Times New Roman" w:eastAsia="Times New Roman" w:hAnsi="Times New Roman" w:cs="Times New Roman"/>
                <w:color w:val="000000"/>
                <w:spacing w:val="0"/>
                <w:w w:val="100"/>
                <w:position w:val="0"/>
                <w:sz w:val="18"/>
                <w:szCs w:val="18"/>
              </w:rPr>
              <w:t xml:space="preserve">2,432,713.84 </w:t>
            </w:r>
            <w:r>
              <w:rPr>
                <w:color w:val="000000"/>
                <w:spacing w:val="0"/>
                <w:w w:val="100"/>
                <w:position w:val="0"/>
              </w:rPr>
              <w:t>份。</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二</w:t>
      </w:r>
      <w:bookmarkEnd w:id="509"/>
      <w:r>
        <w:rPr>
          <w:color w:val="000000"/>
          <w:spacing w:val="0"/>
          <w:w w:val="100"/>
          <w:position w:val="0"/>
        </w:rPr>
        <w:t>、公司董事、监事、高级管理人员变动情况</w:t>
      </w:r>
      <w:bookmarkEnd w:id="507"/>
      <w:bookmarkEnd w:id="508"/>
      <w:bookmarkEnd w:id="510"/>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546"/>
        <w:gridCol w:w="404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潘春雷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34"/>
        <w:gridCol w:w="1330"/>
        <w:gridCol w:w="1330"/>
        <w:gridCol w:w="1550"/>
        <w:gridCol w:w="403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刘风彦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三</w:t>
      </w:r>
      <w:bookmarkEnd w:id="513"/>
      <w:r>
        <w:rPr>
          <w:color w:val="000000"/>
          <w:spacing w:val="0"/>
          <w:w w:val="100"/>
          <w:position w:val="0"/>
        </w:rPr>
        <w:t>、任职情况</w:t>
      </w:r>
      <w:bookmarkEnd w:id="511"/>
      <w:bookmarkEnd w:id="512"/>
      <w:bookmarkEnd w:id="514"/>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7"/>
        <w:keepNext w:val="0"/>
        <w:keepLines w:val="0"/>
        <w:widowControl w:val="0"/>
        <w:shd w:val="clear" w:color="auto" w:fill="auto"/>
        <w:tabs>
          <w:tab w:pos="851" w:val="left"/>
        </w:tabs>
        <w:bidi w:val="0"/>
        <w:spacing w:before="0" w:after="0" w:line="314" w:lineRule="exact"/>
        <w:ind w:left="0" w:right="0"/>
        <w:jc w:val="both"/>
      </w:pPr>
      <w:bookmarkStart w:id="515" w:name="bookmark515"/>
      <w:r>
        <w:rPr>
          <w:color w:val="000000"/>
          <w:spacing w:val="0"/>
          <w:w w:val="100"/>
          <w:position w:val="0"/>
        </w:rPr>
        <w:t>（</w:t>
      </w:r>
      <w:bookmarkEnd w:id="515"/>
      <w:r>
        <w:rPr>
          <w:color w:val="000000"/>
          <w:spacing w:val="0"/>
          <w:w w:val="100"/>
          <w:position w:val="0"/>
        </w:rPr>
        <w:t>一）</w:t>
        <w:tab/>
        <w:t>董事会成员</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郭为，男，</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岁，毕业于中国科学技术大学，获工学硕士学位。曾任泰康人寿保险股份有限公司独立董事、鼎捷软件股 份有限公司董事、上海浦东发展银行股份有限公司独立董事、慧聪集团有限公司非执行董事（前称慧聪网有限公司）、中国 南方航空股份有限公司非执行独立董事等职务；现任北京首钢基金有限公司董事、神州数码控股有限公司董事会主席兼首席 执行官、神州数码信息服务股份有限公司董事长、神州数码集团股份有限公司董事长兼总裁，以及在上述公司的下属子公司 任董事长或董事等职务。</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辛昕，女，</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岁，毕业于东北大学会计学专业。曾任神州数码控股有限公司金融服务事业部副总经理、企业发展部副总 经理、副总裁、财务总监、高级副总裁，神州数码信息服务股份有限公司董事会秘书、财务总监、董事。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 任神州数码集团股份有限公司财务总监，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月至今，任神州数码集团股份有限公司董事。</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王晓岩，男，</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岁，毕业于中国人民银行总行金融研究所，获硕士学位。</w:t>
      </w:r>
      <w:r>
        <w:rPr>
          <w:color w:val="000000"/>
          <w:spacing w:val="0"/>
          <w:w w:val="100"/>
          <w:position w:val="0"/>
          <w:sz w:val="18"/>
          <w:szCs w:val="18"/>
        </w:rPr>
        <w:t>1993</w:t>
      </w:r>
      <w:r>
        <w:rPr>
          <w:color w:val="000000"/>
          <w:spacing w:val="0"/>
          <w:w w:val="100"/>
          <w:position w:val="0"/>
        </w:rPr>
        <w:t>年至今任中国希格玛有限公司董事长、总 裁，以及在上述公司的下属子公司任职；</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年任深圳市深信泰丰（集团）股份有限公司董事，</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 神州数码集团股份有限公司董事。</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朱锦梅，女，</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岁，毕业于清华大学-澳大利亚国立大学，获管理学硕士学位。现任立信会计师事务所北京分所合伙人、 国家开发银行审贷委独立委员、立信会计师事务所（特殊普通合伙）天津分所所长、华泰联合证券有限责任公司内核独立委 员、北京市地铁运营有限公司外部董事等；</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月至今，任神州数码集团股份有限公司独立董事。</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张宏江，男，</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岁，毕业于丹麦科技大学，获博士学位。曾任微软亚洲研究院副院长、微软亚洲工程院院长、微软亚洲 研发集团</w:t>
      </w:r>
      <w:r>
        <w:rPr>
          <w:color w:val="000000"/>
          <w:spacing w:val="0"/>
          <w:w w:val="100"/>
          <w:position w:val="0"/>
          <w:sz w:val="18"/>
          <w:szCs w:val="18"/>
        </w:rPr>
        <w:t>CTO</w:t>
      </w:r>
      <w:r>
        <w:rPr>
          <w:color w:val="000000"/>
          <w:spacing w:val="0"/>
          <w:w w:val="100"/>
          <w:position w:val="0"/>
        </w:rPr>
        <w:t>、</w:t>
      </w:r>
      <w:r>
        <w:rPr>
          <w:color w:val="000000"/>
          <w:spacing w:val="0"/>
          <w:w w:val="100"/>
          <w:position w:val="0"/>
        </w:rPr>
        <w:t>金山软件</w:t>
      </w:r>
      <w:r>
        <w:rPr>
          <w:color w:val="000000"/>
          <w:spacing w:val="0"/>
          <w:w w:val="100"/>
          <w:position w:val="0"/>
          <w:sz w:val="18"/>
          <w:szCs w:val="18"/>
        </w:rPr>
        <w:t>CEO</w:t>
      </w:r>
      <w:r>
        <w:rPr>
          <w:color w:val="000000"/>
          <w:spacing w:val="0"/>
          <w:w w:val="100"/>
          <w:position w:val="0"/>
        </w:rPr>
        <w:t>、</w:t>
      </w:r>
      <w:r>
        <w:rPr>
          <w:color w:val="000000"/>
          <w:spacing w:val="0"/>
          <w:w w:val="100"/>
          <w:position w:val="0"/>
        </w:rPr>
        <w:t>执行董事等；现任北京源码资本投资有限公司合伙人、北京人工智能研究院理事长、凯雷集团 高级顾问</w:t>
      </w:r>
      <w:r>
        <w:rPr>
          <w:color w:val="000000"/>
          <w:spacing w:val="0"/>
          <w:w w:val="100"/>
          <w:position w:val="0"/>
          <w:sz w:val="18"/>
          <w:szCs w:val="18"/>
        </w:rPr>
        <w:t xml:space="preserve">Zepp Health Corporation </w:t>
      </w:r>
      <w:r>
        <w:rPr>
          <w:color w:val="000000"/>
          <w:spacing w:val="0"/>
          <w:w w:val="100"/>
          <w:position w:val="0"/>
        </w:rPr>
        <w:t>（原名：华米科技）独立董事、宝宝树集团独立非执行董事、瑞声科技控股有限公司独 立非执行董事、董事会主席。</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月至今，任神州数码集团股份有限公司独立董事。</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张连起，男，</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岁，毕业于北京大学，获博士学位。首期主任会计师成员，高级注册会计师，全国会计领军人物。曾任 瑞华会计师事务所管理合伙人、江苏连云港港口股份有限公司独立董事、北京天坛生物制品股份有限公司独立董事等，现任 北京国富会计师事务所（特殊普通合伙）资深注册会计师、华融证券股份有限公司独立董事。</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月至今，任神州数码 集团股份有限公司独立董事。</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凌震文，男，</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岁，毕业于上海大学，获学士学位。曾任顺丰速运有限公司集团副总裁、中信资本控股有限公司运营合 伙人、大连万达集团股份有限公司人力资源总经理、山水文园投资集团有限责任公司高级副总裁、鸥游酒店管理（上海）有 限公司首席人力资源官；现任杭州小电科技股份有限公司首席人力资源官。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月至今，任神州数码集团股份有限公司 独立董事。</w:t>
      </w:r>
    </w:p>
    <w:p>
      <w:pPr>
        <w:pStyle w:val="Style37"/>
        <w:keepNext w:val="0"/>
        <w:keepLines w:val="0"/>
        <w:widowControl w:val="0"/>
        <w:shd w:val="clear" w:color="auto" w:fill="auto"/>
        <w:tabs>
          <w:tab w:pos="851" w:val="left"/>
        </w:tabs>
        <w:bidi w:val="0"/>
        <w:spacing w:before="0" w:after="0" w:line="314" w:lineRule="exact"/>
        <w:ind w:left="0" w:right="0"/>
        <w:jc w:val="both"/>
      </w:pPr>
      <w:bookmarkStart w:id="516" w:name="bookmark516"/>
      <w:r>
        <w:rPr>
          <w:color w:val="000000"/>
          <w:spacing w:val="0"/>
          <w:w w:val="100"/>
          <w:position w:val="0"/>
        </w:rPr>
        <w:t>（</w:t>
      </w:r>
      <w:bookmarkEnd w:id="516"/>
      <w:r>
        <w:rPr>
          <w:color w:val="000000"/>
          <w:spacing w:val="0"/>
          <w:w w:val="100"/>
          <w:position w:val="0"/>
        </w:rPr>
        <w:t>二）</w:t>
        <w:tab/>
        <w:t>监事会成员</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张梅，女，</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岁，获中央民族大学法学学士学位。曾任神州数码控股有限公司消费电子业务群副总裁、企划办主任，终 端及移动技术集团副总裁、企划办主任，神码北京互联网运营部总经理，神州数码集团股份有限公司人力资源部总经理、常 务副总经理。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月至今，任神州数码集团股份有限公司监事会主席。</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孙丹梅，女，</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岁，获首都经济贸易大学会计学硕士学位。曾任神州数码控股有限公司财务部高级经理、北京群柏创联 信息技术有限公司财务总监、神码中国证券部高级经理、副总经理；现任神码中国证券部高级总监。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月至今，任神 州数码集团股份有限公司监事及证券事务代表。</w:t>
      </w:r>
    </w:p>
    <w:p>
      <w:pPr>
        <w:pStyle w:val="Style37"/>
        <w:keepNext w:val="0"/>
        <w:keepLines w:val="0"/>
        <w:widowControl w:val="0"/>
        <w:shd w:val="clear" w:color="auto" w:fill="auto"/>
        <w:bidi w:val="0"/>
        <w:spacing w:before="0" w:after="260" w:line="314" w:lineRule="exact"/>
        <w:ind w:left="0" w:right="0"/>
        <w:jc w:val="both"/>
      </w:pPr>
      <w:r>
        <w:rPr>
          <w:color w:val="000000"/>
          <w:spacing w:val="0"/>
          <w:w w:val="100"/>
          <w:position w:val="0"/>
        </w:rPr>
        <w:t>刘烨，女，</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岁，获英国杜伦大学理学硕士学位。曾于神州数码信息服务股份有限公司负责投后管理工作；现任神州数 码集团股份有限公司投资部投资经理。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月至今，任神州数码集团股份有限公司职工监事。</w:t>
      </w:r>
    </w:p>
    <w:p>
      <w:pPr>
        <w:pStyle w:val="Style37"/>
        <w:keepNext w:val="0"/>
        <w:keepLines w:val="0"/>
        <w:widowControl w:val="0"/>
        <w:numPr>
          <w:ilvl w:val="0"/>
          <w:numId w:val="5"/>
        </w:numPr>
        <w:shd w:val="clear" w:color="auto" w:fill="auto"/>
        <w:bidi w:val="0"/>
        <w:spacing w:before="0" w:after="0" w:line="314" w:lineRule="exact"/>
        <w:ind w:left="0" w:right="0"/>
        <w:jc w:val="both"/>
      </w:pPr>
      <w:bookmarkStart w:id="517" w:name="bookmark517"/>
      <w:bookmarkEnd w:id="517"/>
      <w:r>
        <w:rPr>
          <w:color w:val="000000"/>
          <w:spacing w:val="0"/>
          <w:w w:val="100"/>
          <w:position w:val="0"/>
        </w:rPr>
        <w:t>高级管理人员</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叶海强，男，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岁，获北京石油化工学院管理学学士学位，北京大学工商管理硕士学位。联想集团分拆后，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年后， 叶海强先生先后担任神码中国基础网络部副总经理、总经理、神码上海副总经理等职务。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月至今，任神州数码集团 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周立达，男，</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岁，毕业于广州市人民警察学校。</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年进入神码中国工作，历任通用软件事业部总经理、</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事业部 总经理、神码广州副总经理等职务，现任公司云业务集团副总裁。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韩智敏，男，</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岁，毕业于北京电子科技学院，北京大学市场营销专业研究生，美国北弗吉尼亚大学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管理硕士。 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年以来，历任公司华为事业部总经理、华为本部总经理、助理总裁、企业业务集团总裁等职务，现任公司信创业务集 团总裁。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吕敬，男，</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岁，获重庆建筑大学工学学士学位，中欧国际工商学院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年以来，历任公司外设部销售经理， 大区总监，</w:t>
      </w:r>
      <w:r>
        <w:rPr>
          <w:rFonts w:ascii="Times New Roman" w:eastAsia="Times New Roman" w:hAnsi="Times New Roman" w:cs="Times New Roman"/>
          <w:color w:val="000000"/>
          <w:spacing w:val="0"/>
          <w:w w:val="100"/>
          <w:position w:val="0"/>
          <w:sz w:val="18"/>
          <w:szCs w:val="18"/>
        </w:rPr>
        <w:t>dell</w:t>
      </w:r>
      <w:r>
        <w:rPr>
          <w:color w:val="000000"/>
          <w:spacing w:val="0"/>
          <w:w w:val="100"/>
          <w:position w:val="0"/>
        </w:rPr>
        <w:t>事业部副总经理，总经理等职务，现任公司智能终端战略本部总经理。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月至今，任神州数码集团股份 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吴昊，男，</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岁，获北方交通大学学士学位。</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年加入公司，历任神码中国存储事业部总经理，数据存储本部副总经 理，助理总裁，数据存储本部总经理、企业业务集团副总裁等职务。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陈振坤，男，</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岁，获中国传媒大学管理学学士学位、清华大学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香港中文大学</w:t>
      </w:r>
      <w:r>
        <w:rPr>
          <w:rFonts w:ascii="Times New Roman" w:eastAsia="Times New Roman" w:hAnsi="Times New Roman" w:cs="Times New Roman"/>
          <w:color w:val="000000"/>
          <w:spacing w:val="0"/>
          <w:w w:val="100"/>
          <w:position w:val="0"/>
          <w:sz w:val="18"/>
          <w:szCs w:val="18"/>
        </w:rPr>
        <w:t>FMBA</w:t>
      </w:r>
      <w:r>
        <w:rPr>
          <w:color w:val="000000"/>
          <w:spacing w:val="0"/>
          <w:w w:val="100"/>
          <w:position w:val="0"/>
        </w:rPr>
        <w:t>工商管理硕士学位。</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年加入 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年以来历任公司财务部副总经理、运控中心副总经理、助理总裁、集团财务部总经理、集团运营总监等职务， 现任公司企业业务集团副总裁。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李京，女，</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岁，获北京航空航天大学学士学位。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年加入公司，历任神码中国网络业务本部产品经理、产品总监、 事业部总经理、本部副总经理等，神州云计算生态中心总经理，上海云角销售高级副总裁、北京分公司总经理等职务，现任 公司云业务集团副总裁。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陆明，男，</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岁，获西安交通大学工学学士学位。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年加入公司，历任配件事业部深圳平台销售经理、南区销售总监， </w:t>
      </w:r>
      <w:r>
        <w:rPr>
          <w:rFonts w:ascii="Times New Roman" w:eastAsia="Times New Roman" w:hAnsi="Times New Roman" w:cs="Times New Roman"/>
          <w:color w:val="000000"/>
          <w:spacing w:val="0"/>
          <w:w w:val="100"/>
          <w:position w:val="0"/>
          <w:sz w:val="18"/>
          <w:szCs w:val="18"/>
        </w:rPr>
        <w:t>intel</w:t>
      </w:r>
      <w:r>
        <w:rPr>
          <w:color w:val="000000"/>
          <w:spacing w:val="0"/>
          <w:w w:val="100"/>
          <w:position w:val="0"/>
        </w:rPr>
        <w:t xml:space="preserve">事业部产品总监、副总经理、总经理，配件事业一部总经理，配件本部总经理，现任公司微电子系统战略本部总经理。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潘春雷，男，</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岁，获内蒙古大学学士学位、清华大学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香港中文大学工商管理硕士学位。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年加入公司，历任神码 中国企划办副主任、业务发展部总经理、助理总裁、公司云业务集团副总裁等职务。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月至今，任神州数码集团股份 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沈旸，男，</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岁，获国防科学技术大学工学学士学位、上海交通大学工学硕士学位。曾任</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中国全球支持中心咨询顾 问、</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美国数字转型服务部门技术架构师、企业规划与商业智能团队负责人、神州数码控股有限公司首席信息官，现任公 司云业务集团副总裁。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张家智，男，</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岁，获美国纽约州立大学工业工程学士、工程管理硕士。曾任美国艾睿电子集团纽约总部</w:t>
      </w:r>
      <w:r>
        <w:rPr>
          <w:rFonts w:ascii="Times New Roman" w:eastAsia="Times New Roman" w:hAnsi="Times New Roman" w:cs="Times New Roman"/>
          <w:color w:val="000000"/>
          <w:spacing w:val="0"/>
          <w:w w:val="100"/>
          <w:position w:val="0"/>
          <w:sz w:val="18"/>
          <w:szCs w:val="18"/>
        </w:rPr>
        <w:t>(Arrow Electronics Inc.)</w:t>
      </w:r>
      <w:r>
        <w:rPr>
          <w:color w:val="000000"/>
          <w:spacing w:val="0"/>
          <w:w w:val="100"/>
          <w:position w:val="0"/>
        </w:rPr>
        <w:t>工程部主管，亚萨合莱</w:t>
      </w:r>
      <w:r>
        <w:rPr>
          <w:rFonts w:ascii="Times New Roman" w:eastAsia="Times New Roman" w:hAnsi="Times New Roman" w:cs="Times New Roman"/>
          <w:color w:val="000000"/>
          <w:spacing w:val="0"/>
          <w:w w:val="100"/>
          <w:position w:val="0"/>
          <w:sz w:val="18"/>
          <w:szCs w:val="18"/>
        </w:rPr>
        <w:t>(ASSA ABLOY China)</w:t>
      </w:r>
      <w:r>
        <w:rPr>
          <w:color w:val="000000"/>
          <w:spacing w:val="0"/>
          <w:w w:val="100"/>
          <w:position w:val="0"/>
        </w:rPr>
        <w:t>采购和营运总监，艾睿电子亚太有限公司</w:t>
      </w:r>
      <w:r>
        <w:rPr>
          <w:rFonts w:ascii="Times New Roman" w:eastAsia="Times New Roman" w:hAnsi="Times New Roman" w:cs="Times New Roman"/>
          <w:color w:val="000000"/>
          <w:spacing w:val="0"/>
          <w:w w:val="100"/>
          <w:position w:val="0"/>
          <w:sz w:val="18"/>
          <w:szCs w:val="18"/>
        </w:rPr>
        <w:t xml:space="preserve">(Arrow Asia Pac Ltd.) </w:t>
      </w:r>
      <w:r>
        <w:rPr>
          <w:color w:val="000000"/>
          <w:spacing w:val="0"/>
          <w:w w:val="100"/>
          <w:position w:val="0"/>
        </w:rPr>
        <w:t>销售副总裁。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月至今，任神州数码集团股份有限公司副总裁。</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李岩，女，</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岁，获中国社会科学院经济学硕士学位。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年，联想集团分拆后，李岩女士历任神码中国集团办常务副 总经理、品牌市场部和经营管理部总经理、神码中国副总经理、神码广州副总经理、神码上海董事兼副总经理、神州数码集 团股份有限公司副总裁等职务。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月至今，任神州数码集团股份有限公司人力资源总监。</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汤凯，男，</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岁，获清华大学理学学士学位。自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年以来，历任神码中国信息化管理部技术总监、副总经理、总经理、 神州数码集团信息化管理部总经理、神州云计算交付中心总经理、神州云计算数字化转型业务部总经理、神州数码集团股份 有限公司技术总监、云业务集团副总裁等职务，现任公司政企大客户部总经理。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月至今，任神州数码集团股份有限 公司开发总监。</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郝峻晟，男，</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岁，获上海交通大学硕士学位。曾任上海云角董事兼总经理、神州数码集团股份有限公司云业务集团执 行副总裁，现任公司云业务集团总裁。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月至今，任神州数码集团股份有限公司技术总监。</w:t>
      </w:r>
    </w:p>
    <w:p>
      <w:pPr>
        <w:pStyle w:val="Style37"/>
        <w:keepNext w:val="0"/>
        <w:keepLines w:val="0"/>
        <w:widowControl w:val="0"/>
        <w:shd w:val="clear" w:color="auto" w:fill="auto"/>
        <w:bidi w:val="0"/>
        <w:spacing w:before="0" w:after="0" w:line="317" w:lineRule="exact"/>
        <w:ind w:left="0" w:right="0"/>
        <w:jc w:val="left"/>
      </w:pPr>
      <w:r>
        <w:rPr>
          <w:color w:val="000000"/>
          <w:spacing w:val="0"/>
          <w:w w:val="100"/>
          <w:position w:val="0"/>
        </w:rPr>
        <w:t>刘昕，男，</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岁，获外交学院硕士学位。曾任中国人寿保险股份有限公司董事会秘书局主管、高级主管，万达商业地 产股份有限公司证券部投资者关系总监，神州数码集团股份有限公司投资者关系总监、投资者关系高级总监。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 至今，任神州数码集团股份有限公司董事会秘书。</w:t>
      </w:r>
      <w:r>
        <w:br w:type="page"/>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1901"/>
        <w:gridCol w:w="1982"/>
        <w:gridCol w:w="1632"/>
        <w:gridCol w:w="1349"/>
        <w:gridCol w:w="1493"/>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中国希格玛有限公司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 职情况的说明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019"/>
        <w:gridCol w:w="1349"/>
        <w:gridCol w:w="1344"/>
        <w:gridCol w:w="1243"/>
        <w:gridCol w:w="1387"/>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首席执行官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北京首钢基金有限公司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北京奇享科技有限公司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北京希之源投资有限公司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北京天地缘投资管理有限公司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北京深海鸿投资顾问有限公司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吉林省万隆置业有限公司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北京金英合投资咨询有限公司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北京世纪联合高尔夫俱乐部管理有限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北京迪信通商贸股份有限公司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019"/>
        <w:gridCol w:w="1349"/>
        <w:gridCol w:w="1344"/>
        <w:gridCol w:w="1243"/>
        <w:gridCol w:w="1387"/>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400" w:right="0" w:hanging="400"/>
              <w:jc w:val="both"/>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立信会计师事务所北京分所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立信会计师事务所天津分所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内核独立委员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北京市地铁运营有限公司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国家开发银行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审贷委独立委员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瑞声科技控股有限公司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瑞声科技控股有限公司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北京人工智能研究院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宝宝树集团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凯雷集团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高级顾问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 xml:space="preserve">Zepp Health Corporation </w:t>
            </w:r>
            <w:r>
              <w:rPr>
                <w:color w:val="000000"/>
                <w:spacing w:val="0"/>
                <w:w w:val="100"/>
                <w:position w:val="0"/>
              </w:rPr>
              <w:t>（原名：华 米科技）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北京源码资本投资有限公司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今日头条有限公司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顾问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北京国富会计师事务所（特殊普通合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资深注册会计师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北京星昊医药股份有限公司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北京浩瀚深度信息技术股份有限公司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北京天坛生物制品股份有限公司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张连起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华融证券股份有限公司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019"/>
        <w:gridCol w:w="1349"/>
        <w:gridCol w:w="1344"/>
        <w:gridCol w:w="1243"/>
        <w:gridCol w:w="1387"/>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国药集团药业股份有限公司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江苏连云港港口股份有限公司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杭州小电科技股份有限公司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首席人力资源官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鸥游企业服务（上海）有限公司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鸥游（上海）投资有限公司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鸥游酒店管理（上海）有限公司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首席人力资源官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神州云盾信息安全有限公司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广州城投智慧城市科技发展有限公司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北京迪信通商贸股份有限公司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北京汉安科技中心（有限合伙）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热罐商务咨询（上海）有限公司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咸宁云知云服务合伙企业（有限合伙）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上述其他单位指公司下属控股子公司以外的其他公司主要任职情况，但如有该等公司所转投资的下属子公 司或参股公司的任职情况则不再逐一列示。</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四</w:t>
      </w:r>
      <w:bookmarkEnd w:id="520"/>
      <w:r>
        <w:rPr>
          <w:color w:val="000000"/>
          <w:spacing w:val="0"/>
          <w:w w:val="100"/>
          <w:position w:val="0"/>
        </w:rPr>
        <w:t>、董事、监事、高级管理人员报酬情况</w:t>
      </w:r>
      <w:bookmarkEnd w:id="518"/>
      <w:bookmarkEnd w:id="519"/>
      <w:bookmarkEnd w:id="52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37"/>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在公司担任具体管理职务的董事、监事、高级管理人员依据公司战略、任职岗位的岗位职责及任务、岗位贡献及同行 业标准领取相应薪酬。公司股东大会负责审议确定董事、监事薪酬管理制度。公司董事会负责审议确定高管人员薪酬管理 制度。不在公司担任具体管理职务的董事，不在本公司领取薪酬和津贴。独立董事依据公司股东大会决议中的相关规定领 取独立董事津贴。</w:t>
      </w:r>
    </w:p>
    <w:p>
      <w:pPr>
        <w:pStyle w:val="Style37"/>
        <w:keepNext w:val="0"/>
        <w:keepLines w:val="0"/>
        <w:widowControl w:val="0"/>
        <w:shd w:val="clear" w:color="auto" w:fill="auto"/>
        <w:bidi w:val="0"/>
        <w:spacing w:before="0" w:after="120" w:line="528" w:lineRule="exact"/>
        <w:ind w:left="0" w:right="0" w:firstLine="420"/>
        <w:jc w:val="left"/>
      </w:pPr>
      <w:r>
        <w:rPr>
          <w:color w:val="000000"/>
          <w:spacing w:val="0"/>
          <w:w w:val="100"/>
          <w:position w:val="0"/>
        </w:rPr>
        <w:t>董事会薪酬与考核委员会按年度对高级管理人员业绩及履行职责进行考评，核定年度奖金，并报董事会审议确定。 公司严格按照董事、监事、高级管理人员津贴（薪酬）的决策程序与确定依据支付津贴（薪酬），实际支付情况详见下： 公司报告期内董事、监事和高级管理人员报酬情况</w:t>
      </w:r>
    </w:p>
    <w:p>
      <w:pPr>
        <w:pStyle w:val="Style35"/>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684.66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199.39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268.86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136.63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189.33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123.02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潘春雷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刘风彦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3,015.05</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8"/>
              <w:keepNext w:val="0"/>
              <w:keepLines w:val="0"/>
              <w:widowControl w:val="0"/>
              <w:shd w:val="clear" w:color="auto" w:fill="auto"/>
              <w:bidi w:val="0"/>
              <w:spacing w:before="0" w:after="0" w:line="310" w:lineRule="exact"/>
              <w:ind w:left="0" w:right="32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0" w:line="305" w:lineRule="exact"/>
              <w:ind w:left="0" w:right="2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期末持有 限制性股 票数量</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175,000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叶海强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385,000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87,500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韩智敏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175,000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人力资源 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陈振坤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郝峻晟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1,788,500</w:t>
            </w:r>
          </w:p>
        </w:tc>
      </w:tr>
      <w:tr>
        <w:trPr>
          <w:trHeight w:val="1037"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董事和高级管理人员被授予的限制性股票，第一个解除限售期的股份已于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 售。剩余股份将自首次授予登记完成之日起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个月后的首个交易日，按照公司层面业 绩考核和个人层面业绩考核达标情况，可分别解锁全部授予的限制性股票的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股份。</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五</w:t>
      </w:r>
      <w:bookmarkEnd w:id="524"/>
      <w:r>
        <w:rPr>
          <w:color w:val="000000"/>
          <w:spacing w:val="0"/>
          <w:w w:val="100"/>
          <w:position w:val="0"/>
        </w:rPr>
        <w:t>、公司员工情况</w:t>
      </w:r>
      <w:bookmarkEnd w:id="522"/>
      <w:bookmarkEnd w:id="523"/>
      <w:bookmarkEnd w:id="525"/>
    </w:p>
    <w:p>
      <w:pPr>
        <w:pStyle w:val="Style40"/>
        <w:keepNext/>
        <w:keepLines/>
        <w:widowControl w:val="0"/>
        <w:shd w:val="clear" w:color="auto" w:fill="auto"/>
        <w:bidi w:val="0"/>
        <w:spacing w:before="0" w:after="30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、员工数量、专业构成及教育程度</w:t>
      </w:r>
      <w:bookmarkEnd w:id="526"/>
      <w:bookmarkEnd w:id="527"/>
      <w:bookmarkEnd w:id="52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4,569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4,569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2,586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4,569</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3,549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698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4,569</w:t>
            </w:r>
          </w:p>
        </w:tc>
      </w:tr>
    </w:tbl>
    <w:p>
      <w:pPr>
        <w:widowControl w:val="0"/>
        <w:spacing w:after="319" w:line="1" w:lineRule="exact"/>
      </w:pPr>
    </w:p>
    <w:p>
      <w:pPr>
        <w:pStyle w:val="Style40"/>
        <w:keepNext/>
        <w:keepLines/>
        <w:widowControl w:val="0"/>
        <w:shd w:val="clear" w:color="auto" w:fill="auto"/>
        <w:tabs>
          <w:tab w:pos="378" w:val="left"/>
        </w:tabs>
        <w:bidi w:val="0"/>
        <w:spacing w:before="0" w:after="26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薪酬政策</w:t>
      </w:r>
      <w:bookmarkEnd w:id="530"/>
      <w:bookmarkEnd w:id="531"/>
      <w:bookmarkEnd w:id="533"/>
    </w:p>
    <w:p>
      <w:pPr>
        <w:pStyle w:val="Style37"/>
        <w:keepNext w:val="0"/>
        <w:keepLines w:val="0"/>
        <w:widowControl w:val="0"/>
        <w:shd w:val="clear" w:color="auto" w:fill="auto"/>
        <w:bidi w:val="0"/>
        <w:spacing w:before="0" w:after="0" w:line="322" w:lineRule="exact"/>
        <w:ind w:left="0" w:right="0"/>
        <w:jc w:val="left"/>
      </w:pPr>
      <w:r>
        <w:rPr>
          <w:color w:val="000000"/>
          <w:spacing w:val="0"/>
          <w:w w:val="100"/>
          <w:position w:val="0"/>
        </w:rPr>
        <w:t>根据公司的战略、岗位职责、价值贡献以及市场薪酬水平制定薪酬政策，为各类人才提供具有外部竞争力及内部公平性 的薪酬待遇。</w:t>
      </w:r>
    </w:p>
    <w:p>
      <w:pPr>
        <w:pStyle w:val="Style37"/>
        <w:keepNext w:val="0"/>
        <w:keepLines w:val="0"/>
        <w:widowControl w:val="0"/>
        <w:shd w:val="clear" w:color="auto" w:fill="auto"/>
        <w:bidi w:val="0"/>
        <w:spacing w:before="0" w:after="360" w:line="322" w:lineRule="exact"/>
        <w:ind w:left="0" w:right="0" w:firstLine="300"/>
        <w:jc w:val="left"/>
      </w:pPr>
      <w:r>
        <w:rPr>
          <w:color w:val="000000"/>
          <w:spacing w:val="0"/>
          <w:w w:val="100"/>
          <w:position w:val="0"/>
        </w:rPr>
        <w:t>为激发员工的积极性和创造性，围绕价值贡献，公司根据不同的业务特点，建立多元化的激励机制，鼓励多劳多得，共 同分享公司发展所带来的收益。</w:t>
      </w:r>
    </w:p>
    <w:p>
      <w:pPr>
        <w:pStyle w:val="Style40"/>
        <w:keepNext/>
        <w:keepLines/>
        <w:widowControl w:val="0"/>
        <w:shd w:val="clear" w:color="auto" w:fill="auto"/>
        <w:tabs>
          <w:tab w:pos="378" w:val="left"/>
        </w:tabs>
        <w:bidi w:val="0"/>
        <w:spacing w:before="0" w:after="26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培训计划</w:t>
      </w:r>
      <w:bookmarkEnd w:id="534"/>
      <w:bookmarkEnd w:id="535"/>
      <w:bookmarkEnd w:id="537"/>
    </w:p>
    <w:p>
      <w:pPr>
        <w:pStyle w:val="Style37"/>
        <w:keepNext w:val="0"/>
        <w:keepLines w:val="0"/>
        <w:widowControl w:val="0"/>
        <w:shd w:val="clear" w:color="auto" w:fill="auto"/>
        <w:bidi w:val="0"/>
        <w:spacing w:before="0" w:after="480" w:line="312" w:lineRule="exact"/>
        <w:ind w:left="0" w:right="0"/>
        <w:jc w:val="left"/>
      </w:pPr>
      <w:r>
        <w:rPr>
          <w:color w:val="000000"/>
          <w:spacing w:val="0"/>
          <w:w w:val="100"/>
          <w:position w:val="0"/>
        </w:rPr>
        <w:t>神州数码集团根据公司的战略发展和员工个人发展需要，针对员工的不同类型、不同级别，设计和提供对应的企业文化、 新人培训、专业能力培养和干部梯队培养，具体如下图所示：</w:t>
      </w:r>
    </w:p>
    <w:p>
      <w:pPr>
        <w:pStyle w:val="Style17"/>
        <w:keepNext w:val="0"/>
        <w:keepLines w:val="0"/>
        <w:widowControl w:val="0"/>
        <w:shd w:val="clear" w:color="auto" w:fill="auto"/>
        <w:bidi w:val="0"/>
        <w:spacing w:before="0" w:after="300" w:line="240" w:lineRule="auto"/>
        <w:ind w:left="0" w:right="0" w:firstLine="0"/>
        <w:jc w:val="left"/>
        <w:rPr>
          <w:sz w:val="22"/>
          <w:szCs w:val="22"/>
        </w:rPr>
      </w:pPr>
      <w:r>
        <w:rPr>
          <w:b/>
          <w:bCs/>
          <w:color w:val="000000"/>
          <w:spacing w:val="0"/>
          <w:w w:val="100"/>
          <w:position w:val="0"/>
          <w:sz w:val="22"/>
          <w:szCs w:val="22"/>
        </w:rPr>
        <w:t>神州数码的人才培养体系</w:t>
      </w:r>
      <w:r>
        <w:br w:type="page"/>
      </w:r>
    </w:p>
    <w:p>
      <w:pPr>
        <w:widowControl w:val="0"/>
        <w:jc w:val="center"/>
        <w:rPr>
          <w:sz w:val="2"/>
          <w:szCs w:val="2"/>
        </w:rPr>
      </w:pPr>
      <w:r>
        <w:drawing>
          <wp:inline>
            <wp:extent cx="4304030" cy="23101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a:stretch/>
                  </pic:blipFill>
                  <pic:spPr>
                    <a:xfrm>
                      <a:ext cx="4304030" cy="2310130"/>
                    </a:xfrm>
                    <a:prstGeom prst="rect"/>
                  </pic:spPr>
                </pic:pic>
              </a:graphicData>
            </a:graphic>
          </wp:inline>
        </w:drawing>
      </w:r>
    </w:p>
    <w:p>
      <w:pPr>
        <w:widowControl w:val="0"/>
        <w:spacing w:after="39" w:line="1" w:lineRule="exact"/>
      </w:pPr>
    </w:p>
    <w:p>
      <w:pPr>
        <w:pStyle w:val="Style37"/>
        <w:keepNext w:val="0"/>
        <w:keepLines w:val="0"/>
        <w:widowControl w:val="0"/>
        <w:shd w:val="clear" w:color="auto" w:fill="auto"/>
        <w:bidi w:val="0"/>
        <w:spacing w:before="0" w:after="380" w:line="307" w:lineRule="exact"/>
        <w:ind w:left="0" w:right="0" w:firstLine="440"/>
        <w:jc w:val="both"/>
      </w:pPr>
      <w:bookmarkStart w:id="538" w:name="bookmark538"/>
      <w:r>
        <w:rPr>
          <w:rFonts w:ascii="Times New Roman" w:eastAsia="Times New Roman" w:hAnsi="Times New Roman" w:cs="Times New Roman"/>
          <w:color w:val="000000"/>
          <w:spacing w:val="0"/>
          <w:w w:val="100"/>
          <w:position w:val="0"/>
          <w:sz w:val="18"/>
          <w:szCs w:val="18"/>
        </w:rPr>
        <w:t>1</w:t>
      </w:r>
      <w:bookmarkEnd w:id="538"/>
      <w:r>
        <w:rPr>
          <w:color w:val="000000"/>
          <w:spacing w:val="0"/>
          <w:w w:val="100"/>
          <w:position w:val="0"/>
        </w:rPr>
        <w:t>、干部梯队培养：根据集团对管理干部的要求以及岗位胜任需要的能力，设计任职资格培训覆盖总经理、总监、经理, 参训</w:t>
      </w:r>
      <w:r>
        <w:rPr>
          <w:rFonts w:ascii="Times New Roman" w:eastAsia="Times New Roman" w:hAnsi="Times New Roman" w:cs="Times New Roman"/>
          <w:color w:val="000000"/>
          <w:spacing w:val="0"/>
          <w:w w:val="100"/>
          <w:position w:val="0"/>
          <w:sz w:val="18"/>
          <w:szCs w:val="18"/>
        </w:rPr>
        <w:t>117 0</w:t>
      </w:r>
      <w:r>
        <w:rPr>
          <w:color w:val="000000"/>
          <w:spacing w:val="0"/>
          <w:w w:val="100"/>
          <w:position w:val="0"/>
        </w:rPr>
        <w:t>人次。本年度的重点在后备干部培养，分层级骨干培养项目共覆盖</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人。</w:t>
      </w:r>
    </w:p>
    <w:p>
      <w:pPr>
        <w:pStyle w:val="Style37"/>
        <w:keepNext w:val="0"/>
        <w:keepLines w:val="0"/>
        <w:widowControl w:val="0"/>
        <w:shd w:val="clear" w:color="auto" w:fill="auto"/>
        <w:bidi w:val="0"/>
        <w:spacing w:before="0" w:after="460" w:line="314" w:lineRule="exact"/>
        <w:ind w:left="0" w:right="0" w:firstLine="440"/>
        <w:jc w:val="both"/>
      </w:pPr>
      <w:bookmarkStart w:id="539" w:name="bookmark539"/>
      <w:r>
        <w:rPr>
          <w:rFonts w:ascii="Times New Roman" w:eastAsia="Times New Roman" w:hAnsi="Times New Roman" w:cs="Times New Roman"/>
          <w:color w:val="000000"/>
          <w:spacing w:val="0"/>
          <w:w w:val="100"/>
          <w:position w:val="0"/>
          <w:sz w:val="18"/>
          <w:szCs w:val="18"/>
        </w:rPr>
        <w:t>2</w:t>
      </w:r>
      <w:bookmarkEnd w:id="539"/>
      <w:r>
        <w:rPr>
          <w:color w:val="000000"/>
          <w:spacing w:val="0"/>
          <w:w w:val="100"/>
          <w:position w:val="0"/>
        </w:rPr>
        <w:t>、专业能力培养：给员工赋能，更好的胜任本岗位工作，尤其基于云转型的战略，集团内部也开展了面向全员的云知 识普及培训，鼓励员工考取云厂商技术认证，因疫情影响，年初在线上实施了云的产品和方案类培训，全年云的专业培训， 参训人次</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多人次；基于核心渠道的复合销售，参训</w:t>
      </w:r>
      <w:r>
        <w:rPr>
          <w:rFonts w:ascii="Times New Roman" w:eastAsia="Times New Roman" w:hAnsi="Times New Roman" w:cs="Times New Roman"/>
          <w:color w:val="000000"/>
          <w:spacing w:val="0"/>
          <w:w w:val="100"/>
          <w:position w:val="0"/>
          <w:sz w:val="18"/>
          <w:szCs w:val="18"/>
        </w:rPr>
        <w:t>839</w:t>
      </w:r>
      <w:r>
        <w:rPr>
          <w:color w:val="000000"/>
          <w:spacing w:val="0"/>
          <w:w w:val="100"/>
          <w:position w:val="0"/>
        </w:rPr>
        <w:t>人次。</w:t>
      </w:r>
    </w:p>
    <w:tbl>
      <w:tblPr>
        <w:tblOverlap w:val="never"/>
        <w:jc w:val="center"/>
        <w:tblLayout w:type="fixed"/>
      </w:tblPr>
      <w:tblGrid>
        <w:gridCol w:w="1982"/>
        <w:gridCol w:w="2698"/>
        <w:gridCol w:w="2755"/>
      </w:tblGrid>
      <w:tr>
        <w:trPr>
          <w:trHeight w:val="336" w:hRule="exact"/>
        </w:trPr>
        <w:tc>
          <w:tcPr>
            <w:tcBorders>
              <w:top w:val="single" w:sz="4"/>
              <w:left w:val="single" w:sz="4"/>
            </w:tcBorders>
            <w:shd w:val="clear" w:color="auto" w:fill="4473C5"/>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w:t>
            </w:r>
          </w:p>
        </w:tc>
        <w:tc>
          <w:tcPr>
            <w:tcBorders>
              <w:top w:val="single" w:sz="4"/>
              <w:left w:val="single" w:sz="4"/>
            </w:tcBorders>
            <w:shd w:val="clear" w:color="auto" w:fill="4473C5"/>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培训人次</w:t>
            </w:r>
          </w:p>
        </w:tc>
        <w:tc>
          <w:tcPr>
            <w:tcBorders>
              <w:top w:val="single" w:sz="4"/>
              <w:left w:val="single" w:sz="4"/>
              <w:right w:val="single" w:sz="4"/>
            </w:tcBorders>
            <w:shd w:val="clear" w:color="auto" w:fill="4473C5"/>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学时</w:t>
            </w:r>
          </w:p>
        </w:tc>
      </w:tr>
      <w:tr>
        <w:trPr>
          <w:trHeight w:val="346" w:hRule="exact"/>
        </w:trPr>
        <w:tc>
          <w:tcPr>
            <w:tcBorders>
              <w:top w:val="single" w:sz="4"/>
              <w:left w:val="single" w:sz="4"/>
            </w:tcBorders>
            <w:shd w:val="clear" w:color="auto" w:fill="B3C6E7"/>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领导管理</w:t>
            </w:r>
          </w:p>
        </w:tc>
        <w:tc>
          <w:tcPr>
            <w:tcBorders>
              <w:top w:val="single" w:sz="4"/>
              <w:left w:val="single" w:sz="4"/>
            </w:tcBorders>
            <w:shd w:val="clear" w:color="auto" w:fill="B3C6E7"/>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w:t>
            </w:r>
          </w:p>
        </w:tc>
        <w:tc>
          <w:tcPr>
            <w:tcBorders>
              <w:top w:val="single" w:sz="4"/>
              <w:left w:val="single" w:sz="4"/>
              <w:right w:val="single" w:sz="4"/>
            </w:tcBorders>
            <w:shd w:val="clear" w:color="auto" w:fill="B3C6E7"/>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13386.</w:t>
            </w:r>
          </w:p>
        </w:tc>
      </w:tr>
      <w:tr>
        <w:trPr>
          <w:trHeight w:val="350" w:hRule="exact"/>
        </w:trPr>
        <w:tc>
          <w:tcPr>
            <w:tcBorders>
              <w:top w:val="single" w:sz="4"/>
            </w:tcBorders>
            <w:shd w:val="clear" w:color="auto" w:fill="D9E2F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专业培训</w:t>
            </w:r>
          </w:p>
        </w:tc>
        <w:tc>
          <w:tcPr>
            <w:tcBorders>
              <w:top w:val="single" w:sz="4"/>
            </w:tcBorders>
            <w:shd w:val="clear" w:color="auto" w:fill="D9E2F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4740</w:t>
            </w:r>
          </w:p>
        </w:tc>
        <w:tc>
          <w:tcPr>
            <w:tcBorders>
              <w:top w:val="single" w:sz="4"/>
            </w:tcBorders>
            <w:shd w:val="clear" w:color="auto" w:fill="D9E2F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31669</w:t>
            </w:r>
          </w:p>
        </w:tc>
      </w:tr>
      <w:tr>
        <w:trPr>
          <w:trHeight w:val="346" w:hRule="exact"/>
        </w:trPr>
        <w:tc>
          <w:tcPr>
            <w:tcBorders>
              <w:top w:val="single" w:sz="4"/>
              <w:left w:val="single" w:sz="4"/>
            </w:tcBorders>
            <w:shd w:val="clear" w:color="auto" w:fill="B3C6E7"/>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企业文化</w:t>
            </w:r>
          </w:p>
        </w:tc>
        <w:tc>
          <w:tcPr>
            <w:tcBorders>
              <w:top w:val="single" w:sz="4"/>
              <w:left w:val="single" w:sz="4"/>
            </w:tcBorders>
            <w:shd w:val="clear" w:color="auto" w:fill="B3C6E7"/>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1042</w:t>
            </w:r>
          </w:p>
        </w:tc>
        <w:tc>
          <w:tcPr>
            <w:tcBorders>
              <w:top w:val="single" w:sz="4"/>
              <w:left w:val="single" w:sz="4"/>
              <w:right w:val="single" w:sz="4"/>
            </w:tcBorders>
            <w:shd w:val="clear" w:color="auto" w:fill="B3C6E7"/>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22332.</w:t>
            </w:r>
          </w:p>
        </w:tc>
      </w:tr>
      <w:tr>
        <w:trPr>
          <w:trHeight w:val="341" w:hRule="exact"/>
        </w:trPr>
        <w:tc>
          <w:tcPr>
            <w:tcBorders>
              <w:top w:val="single" w:sz="4"/>
              <w:left w:val="single" w:sz="4"/>
              <w:bottom w:val="single" w:sz="4"/>
            </w:tcBorders>
            <w:shd w:val="clear" w:color="auto" w:fill="4473C5"/>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4473C5"/>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7791.</w:t>
            </w:r>
          </w:p>
        </w:tc>
        <w:tc>
          <w:tcPr>
            <w:tcBorders>
              <w:top w:val="single" w:sz="4"/>
              <w:left w:val="single" w:sz="4"/>
              <w:bottom w:val="single" w:sz="4"/>
              <w:right w:val="single" w:sz="4"/>
            </w:tcBorders>
            <w:shd w:val="clear" w:color="auto" w:fill="4473C5"/>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67387.</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4</w:t>
      </w:r>
      <w:bookmarkEnd w:id="542"/>
      <w:r>
        <w:rPr>
          <w:color w:val="000000"/>
          <w:spacing w:val="0"/>
          <w:w w:val="100"/>
          <w:position w:val="0"/>
        </w:rPr>
        <w:t>、劳务外包情况</w:t>
      </w:r>
      <w:bookmarkEnd w:id="540"/>
      <w:bookmarkEnd w:id="541"/>
      <w:bookmarkEnd w:id="543"/>
    </w:p>
    <w:p>
      <w:pPr>
        <w:pStyle w:val="Style3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62" w:bottom="1455" w:left="105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540" w:after="560" w:line="240" w:lineRule="auto"/>
        <w:ind w:left="0" w:right="0" w:firstLine="0"/>
        <w:jc w:val="center"/>
      </w:pPr>
      <w:bookmarkStart w:id="544" w:name="bookmark544"/>
      <w:bookmarkStart w:id="545" w:name="bookmark545"/>
      <w:bookmarkStart w:id="546" w:name="bookmark546"/>
      <w:r>
        <w:rPr>
          <w:color w:val="000000"/>
          <w:spacing w:val="0"/>
          <w:w w:val="100"/>
          <w:position w:val="0"/>
        </w:rPr>
        <w:t>第十节公司治理</w:t>
      </w:r>
      <w:bookmarkEnd w:id="544"/>
      <w:bookmarkEnd w:id="545"/>
      <w:bookmarkEnd w:id="546"/>
    </w:p>
    <w:p>
      <w:pPr>
        <w:pStyle w:val="Style32"/>
        <w:keepNext/>
        <w:keepLines/>
        <w:widowControl w:val="0"/>
        <w:shd w:val="clear" w:color="auto" w:fill="auto"/>
        <w:bidi w:val="0"/>
        <w:spacing w:before="0" w:after="400" w:line="240" w:lineRule="auto"/>
        <w:ind w:left="0" w:right="0" w:firstLine="0"/>
        <w:jc w:val="left"/>
      </w:pPr>
      <w:bookmarkStart w:id="547" w:name="bookmark547"/>
      <w:bookmarkStart w:id="548" w:name="bookmark548"/>
      <w:bookmarkStart w:id="549" w:name="bookmark549"/>
      <w:bookmarkStart w:id="550" w:name="bookmark550"/>
      <w:bookmarkStart w:id="551" w:name="bookmark551"/>
      <w:r>
        <w:rPr>
          <w:color w:val="000000"/>
          <w:spacing w:val="0"/>
          <w:w w:val="100"/>
          <w:position w:val="0"/>
        </w:rPr>
        <w:t>一</w:t>
      </w:r>
      <w:bookmarkEnd w:id="550"/>
      <w:r>
        <w:rPr>
          <w:color w:val="000000"/>
          <w:spacing w:val="0"/>
          <w:w w:val="100"/>
          <w:position w:val="0"/>
        </w:rPr>
        <w:t>、公司治理的基本状况</w:t>
      </w:r>
      <w:bookmarkEnd w:id="548"/>
      <w:bookmarkEnd w:id="549"/>
      <w:bookmarkEnd w:id="551"/>
      <w:bookmarkEnd w:id="547"/>
    </w:p>
    <w:p>
      <w:pPr>
        <w:pStyle w:val="Style37"/>
        <w:keepNext w:val="0"/>
        <w:keepLines w:val="0"/>
        <w:widowControl w:val="0"/>
        <w:shd w:val="clear" w:color="auto" w:fill="auto"/>
        <w:tabs>
          <w:tab w:pos="659" w:val="left"/>
        </w:tabs>
        <w:bidi w:val="0"/>
        <w:spacing w:before="0" w:after="0" w:line="360" w:lineRule="auto"/>
        <w:ind w:left="0" w:right="0"/>
        <w:jc w:val="left"/>
      </w:pPr>
      <w:bookmarkStart w:id="552" w:name="bookmark552"/>
      <w:r>
        <w:rPr>
          <w:rFonts w:ascii="Times New Roman" w:eastAsia="Times New Roman" w:hAnsi="Times New Roman" w:cs="Times New Roman"/>
          <w:b/>
          <w:bCs/>
          <w:color w:val="000000"/>
          <w:spacing w:val="0"/>
          <w:w w:val="100"/>
          <w:position w:val="0"/>
          <w:sz w:val="18"/>
          <w:szCs w:val="18"/>
        </w:rPr>
        <w:t>1</w:t>
      </w:r>
      <w:bookmarkEnd w:id="552"/>
      <w:r>
        <w:rPr>
          <w:b/>
          <w:bCs/>
          <w:color w:val="000000"/>
          <w:spacing w:val="0"/>
          <w:w w:val="100"/>
          <w:position w:val="0"/>
        </w:rPr>
        <w:t>、</w:t>
        <w:tab/>
        <w:t>治理概况</w:t>
      </w:r>
    </w:p>
    <w:p>
      <w:pPr>
        <w:pStyle w:val="Style37"/>
        <w:keepNext w:val="0"/>
        <w:keepLines w:val="0"/>
        <w:widowControl w:val="0"/>
        <w:shd w:val="clear" w:color="auto" w:fill="auto"/>
        <w:bidi w:val="0"/>
        <w:spacing w:before="0" w:after="140" w:line="313" w:lineRule="exact"/>
        <w:ind w:left="0" w:right="0"/>
        <w:jc w:val="both"/>
      </w:pPr>
      <w:r>
        <w:rPr>
          <w:color w:val="000000"/>
          <w:spacing w:val="0"/>
          <w:w w:val="100"/>
          <w:position w:val="0"/>
        </w:rPr>
        <w:t>报告期内，公司按照《公司法》、《证券法》、《上市公司治理准则》及《深圳证券交易所上市公司规范运作指引》等 法律法规及规范性文件的要求，立足于全体股东的利益，不断完善法人治理结构，规范内部控制，提高治理水平，形成了股 东大会、董事会、监事会和经营管理层相互分离、相互支持、相互制衡的治理结构，各层级在权限范围内各司其职、各负其 责，构建了与公司发展战略相匹配的内部管控体系，有效确保公司规范运作及稳健经营，提高了公司规范运作水平。公司根 据中国证监会关于开展上市公司治理专项行动的要求，对公司组织机构的运行和决策，控股股东、实际控制人及关联方，内 部控制规范体系建设，信息披露及透明度，机构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境外投资者等方面开展了详细自查，并对自查发现的问题启动了相关整改 工作。公司将根据证监会相关要求，持续推进后续整改，不断提高上市公司治理水平。公司治理的实际状况与中国证监会发 布的有关上市公司治理的规范性文件不存在重大差异。</w:t>
      </w:r>
    </w:p>
    <w:p>
      <w:pPr>
        <w:pStyle w:val="Style37"/>
        <w:keepNext w:val="0"/>
        <w:keepLines w:val="0"/>
        <w:widowControl w:val="0"/>
        <w:shd w:val="clear" w:color="auto" w:fill="auto"/>
        <w:tabs>
          <w:tab w:pos="674" w:val="left"/>
        </w:tabs>
        <w:bidi w:val="0"/>
        <w:spacing w:before="0" w:after="0" w:line="360" w:lineRule="auto"/>
        <w:ind w:left="0" w:right="0"/>
        <w:jc w:val="both"/>
      </w:pPr>
      <w:bookmarkStart w:id="553" w:name="bookmark553"/>
      <w:r>
        <w:rPr>
          <w:rFonts w:ascii="Times New Roman" w:eastAsia="Times New Roman" w:hAnsi="Times New Roman" w:cs="Times New Roman"/>
          <w:b/>
          <w:bCs/>
          <w:color w:val="000000"/>
          <w:spacing w:val="0"/>
          <w:w w:val="100"/>
          <w:position w:val="0"/>
          <w:sz w:val="18"/>
          <w:szCs w:val="18"/>
        </w:rPr>
        <w:t>2</w:t>
      </w:r>
      <w:bookmarkEnd w:id="553"/>
      <w:r>
        <w:rPr>
          <w:b/>
          <w:bCs/>
          <w:color w:val="000000"/>
          <w:spacing w:val="0"/>
          <w:w w:val="100"/>
          <w:position w:val="0"/>
        </w:rPr>
        <w:t>、</w:t>
        <w:tab/>
        <w:t>治理结构</w:t>
      </w:r>
    </w:p>
    <w:p>
      <w:pPr>
        <w:pStyle w:val="Style37"/>
        <w:keepNext w:val="0"/>
        <w:keepLines w:val="0"/>
        <w:widowControl w:val="0"/>
        <w:shd w:val="clear" w:color="auto" w:fill="auto"/>
        <w:bidi w:val="0"/>
        <w:spacing w:before="0" w:after="0" w:line="313" w:lineRule="exact"/>
        <w:ind w:left="0" w:right="0"/>
        <w:jc w:val="both"/>
      </w:pPr>
      <w:r>
        <w:rPr>
          <w:b/>
          <w:bCs/>
          <w:color w:val="000000"/>
          <w:spacing w:val="0"/>
          <w:w w:val="100"/>
          <w:position w:val="0"/>
        </w:rPr>
        <w:t>股东与股东大会</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股东大会是公司最高权力机构，决定公司经营管理的重大事项，股东通过股东大会行使其权力。报告期内，公司按照《章 程》《股东大会议事规则》的有关要求，总计召开了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次股东大会，均由董事会召集。其中年度股东大会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次，临时股东大会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次，审议议案共</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项，均表决通过。历次股东大会的召集、召开、表决、决议及披露均符合法律法规及规范性文件的有关 规定，依法全面保障各股东依法行使权利，并充分尊重中小股东合法权益。公司股东及实际控制人按照法律、法规及公司《章 程》的规定行使其权利，不存在超越股东大会直接或间接干预公司决策和经营活动的情形，不存在占用公司资金或要求公司 为其担保或为他人担保的情况，并在人员、资产、财务、业务和机构方面与公司隔离。</w:t>
      </w:r>
    </w:p>
    <w:p>
      <w:pPr>
        <w:pStyle w:val="Style37"/>
        <w:keepNext w:val="0"/>
        <w:keepLines w:val="0"/>
        <w:widowControl w:val="0"/>
        <w:shd w:val="clear" w:color="auto" w:fill="auto"/>
        <w:bidi w:val="0"/>
        <w:spacing w:before="0" w:after="0" w:line="313" w:lineRule="exact"/>
        <w:ind w:left="0" w:right="0"/>
        <w:jc w:val="both"/>
      </w:pPr>
      <w:r>
        <w:rPr>
          <w:b/>
          <w:bCs/>
          <w:color w:val="000000"/>
          <w:spacing w:val="0"/>
          <w:w w:val="100"/>
          <w:position w:val="0"/>
        </w:rPr>
        <w:t>董事、董事会和专门委员会</w:t>
      </w:r>
    </w:p>
    <w:p>
      <w:pPr>
        <w:pStyle w:val="Style37"/>
        <w:keepNext w:val="0"/>
        <w:keepLines w:val="0"/>
        <w:widowControl w:val="0"/>
        <w:shd w:val="clear" w:color="auto" w:fill="auto"/>
        <w:bidi w:val="0"/>
        <w:spacing w:before="0" w:after="0" w:line="310" w:lineRule="exact"/>
        <w:ind w:left="0" w:right="0"/>
        <w:jc w:val="both"/>
      </w:pPr>
      <w:r>
        <w:rPr>
          <w:color w:val="000000"/>
          <w:spacing w:val="0"/>
          <w:w w:val="100"/>
          <w:position w:val="0"/>
        </w:rPr>
        <w:t>董事会是公司的决策机构，对股东大会负责，执行股东大会决议，指导管理层开展公司日常事务。公司董事均能严格遵 守法律、法规及公司制度，自觉维护公司和全体股东的利益，忠实、诚信、勤勉地履行职责；独立董事能够独立、客观、审 慎地维护中小股东权益。公司董事会会议的召集、召开及表决程序符合《公司法》、《公司章程》的规定。</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公司董事会下设战略委员会、审计委员会、提名委员会、薪酬与考核委员会，并制定各专门委员会工作规则，明确权责、 决策程序和议事规则，保障董事会决策的客观性和科学性。报告期内，公司共召开董事会会议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次，涵盖定期报告、年度利 润分配、签署投资合作协议等事项；各专门委员会构成及报告期内履职情况详见本节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六、董事会下专门委员会在报告期内 履行职责情况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。公司致力于不断提高董事会运作质效，提升公司治理效能。公司董事会运作合规、高效，推动公司的战略 转型，持续完善优化公司治理与风险管理，是公司稳健发展的重要管理基础。</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公司董事均能严格遵守法律、法规及公司制度，自觉维护公司和全体股东的利益，忠实、诚信、勤勉地履行职责；独立 董事能够独立、客观、审慎地维护中小股东权益。公司董事会会议的召集、召开及表决程序符合《公司法》、《公司章程》 的规定。</w:t>
      </w:r>
    </w:p>
    <w:p>
      <w:pPr>
        <w:pStyle w:val="Style37"/>
        <w:keepNext w:val="0"/>
        <w:keepLines w:val="0"/>
        <w:widowControl w:val="0"/>
        <w:shd w:val="clear" w:color="auto" w:fill="auto"/>
        <w:bidi w:val="0"/>
        <w:spacing w:before="0" w:after="0" w:line="317" w:lineRule="exact"/>
        <w:ind w:left="0" w:right="0"/>
        <w:jc w:val="left"/>
      </w:pPr>
      <w:r>
        <w:rPr>
          <w:b/>
          <w:bCs/>
          <w:color w:val="000000"/>
          <w:spacing w:val="0"/>
          <w:w w:val="100"/>
          <w:position w:val="0"/>
        </w:rPr>
        <w:t>监事和监事会</w:t>
      </w:r>
    </w:p>
    <w:p>
      <w:pPr>
        <w:pStyle w:val="Style37"/>
        <w:keepNext w:val="0"/>
        <w:keepLines w:val="0"/>
        <w:widowControl w:val="0"/>
        <w:shd w:val="clear" w:color="auto" w:fill="auto"/>
        <w:bidi w:val="0"/>
        <w:spacing w:before="0" w:after="140" w:line="313" w:lineRule="exact"/>
        <w:ind w:left="0" w:right="0"/>
        <w:jc w:val="both"/>
      </w:pPr>
      <w:r>
        <w:rPr>
          <w:color w:val="000000"/>
          <w:spacing w:val="0"/>
          <w:w w:val="100"/>
          <w:position w:val="0"/>
        </w:rPr>
        <w:t>监事会是公司的内部监督机构，公司严格按照《公司法》及公司《章程》等规定选举和变更监事，监事人数和人员构成 均符合法律法规的要求。报告期内，公司监事会严格按照《公司法》《证券法》及《公司章程》《监事会议事规则》等有关 规定和要求，本着对全体股东负责的态度，依法独立行使职权，从切实维护公司利益和广大股东权益出发，认真履行监督职 责。报告期内，公司共召开监事会会议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次，监事会成员依法列席董事会和股东大会会议，对公司经营活动、财务状况、重 大决策、股东大会召开程序以及董事、高级管理人员履行职责实施有效监督，有效的保障了公司股东权益、公司利益和员工 的合法权益，充分保障公司规范运作。</w:t>
      </w:r>
    </w:p>
    <w:p>
      <w:pPr>
        <w:pStyle w:val="Style37"/>
        <w:keepNext w:val="0"/>
        <w:keepLines w:val="0"/>
        <w:widowControl w:val="0"/>
        <w:shd w:val="clear" w:color="auto" w:fill="auto"/>
        <w:bidi w:val="0"/>
        <w:spacing w:before="0" w:after="0" w:line="240" w:lineRule="auto"/>
        <w:ind w:left="0" w:right="0"/>
        <w:jc w:val="both"/>
      </w:pPr>
      <w:r>
        <w:rPr>
          <w:b/>
          <w:bCs/>
          <w:color w:val="000000"/>
          <w:spacing w:val="0"/>
          <w:w w:val="100"/>
          <w:position w:val="0"/>
        </w:rPr>
        <w:t>高级管理人员和管理层</w:t>
      </w:r>
    </w:p>
    <w:p>
      <w:pPr>
        <w:pStyle w:val="Style37"/>
        <w:keepNext w:val="0"/>
        <w:keepLines w:val="0"/>
        <w:widowControl w:val="0"/>
        <w:shd w:val="clear" w:color="auto" w:fill="auto"/>
        <w:bidi w:val="0"/>
        <w:spacing w:before="0" w:after="140" w:line="314" w:lineRule="exact"/>
        <w:ind w:left="0" w:right="0"/>
        <w:jc w:val="both"/>
      </w:pPr>
      <w:r>
        <w:rPr>
          <w:color w:val="000000"/>
          <w:spacing w:val="0"/>
          <w:w w:val="100"/>
          <w:position w:val="0"/>
        </w:rPr>
        <w:t>经营管理层由全体高级管理人员构成，对董事会负责，主持公司生产经营和管理运作的日常事务。公司严格按照《公司 法》及公司《章程》等规定聘任和变更高级管理人员，公司经营管理层的产生程序符合《公司法》和公司《章程》的规定， 并在法律法规、监管规则及公司内控制度的框架内依法履行职责。报告期内，公司高级管理层能够持续依照法律、法规和董 事会的授权，依法合规经营，勤勉工作，实现股东利益和公司利益的最大化。</w:t>
      </w:r>
    </w:p>
    <w:p>
      <w:pPr>
        <w:pStyle w:val="Style37"/>
        <w:keepNext w:val="0"/>
        <w:keepLines w:val="0"/>
        <w:widowControl w:val="0"/>
        <w:shd w:val="clear" w:color="auto" w:fill="auto"/>
        <w:tabs>
          <w:tab w:pos="679" w:val="left"/>
        </w:tabs>
        <w:bidi w:val="0"/>
        <w:spacing w:before="0" w:after="0" w:line="360" w:lineRule="auto"/>
        <w:ind w:left="0" w:right="0"/>
        <w:jc w:val="both"/>
      </w:pPr>
      <w:bookmarkStart w:id="554" w:name="bookmark554"/>
      <w:r>
        <w:rPr>
          <w:rFonts w:ascii="Times New Roman" w:eastAsia="Times New Roman" w:hAnsi="Times New Roman" w:cs="Times New Roman"/>
          <w:b/>
          <w:bCs/>
          <w:color w:val="000000"/>
          <w:spacing w:val="0"/>
          <w:w w:val="100"/>
          <w:position w:val="0"/>
          <w:sz w:val="18"/>
          <w:szCs w:val="18"/>
        </w:rPr>
        <w:t>3</w:t>
      </w:r>
      <w:bookmarkEnd w:id="554"/>
      <w:r>
        <w:rPr>
          <w:b/>
          <w:bCs/>
          <w:color w:val="000000"/>
          <w:spacing w:val="0"/>
          <w:w w:val="100"/>
          <w:position w:val="0"/>
        </w:rPr>
        <w:t>、</w:t>
        <w:tab/>
        <w:t>治理制度</w:t>
      </w:r>
    </w:p>
    <w:p>
      <w:pPr>
        <w:pStyle w:val="Style37"/>
        <w:keepNext w:val="0"/>
        <w:keepLines w:val="0"/>
        <w:widowControl w:val="0"/>
        <w:shd w:val="clear" w:color="auto" w:fill="auto"/>
        <w:bidi w:val="0"/>
        <w:spacing w:before="0" w:after="140" w:line="313" w:lineRule="exact"/>
        <w:ind w:left="0" w:right="0"/>
        <w:jc w:val="both"/>
      </w:pPr>
      <w:r>
        <w:rPr>
          <w:color w:val="000000"/>
          <w:spacing w:val="0"/>
          <w:w w:val="100"/>
          <w:position w:val="0"/>
        </w:rPr>
        <w:t>公司严格按照有关法律法规及监管文件的要求，建立健全内部管理和控制制度，不断提高公司治理的制度基础。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年，根据最新出台的《证券法》《深圳证券交易所股票上市规则》《深圳证券交易所上市公司规范运作指引》等法律法规、 监管文件的要求，及推动公司经营高质量高效率发展的需要，公司于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月启动公司制度的最新修订工作，联同公司外 部法律顾问对公司制度进行全面、细致的梳理，查缺补漏，秉新弃旧，涉及修订的公司制度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项、新颁布制度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项、主要修 订条目</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条，以完善公司治理，完善权力机构、决策机构、监督机构与经理层之间权责分明、各司其职、有效制衡、科学 决策、协调运作的法人治理结构。公司不断完善的内部控制度体系，进一步提高了公司治理水平，促进公司规范运作。截至 报告期末，公司已建立了较为完善的法人治理结构，公司法人治理的实际状况与中国证监会发布的有关上市公司治理的规范 性文件的要求基本一致。</w:t>
      </w:r>
    </w:p>
    <w:p>
      <w:pPr>
        <w:pStyle w:val="Style37"/>
        <w:keepNext w:val="0"/>
        <w:keepLines w:val="0"/>
        <w:widowControl w:val="0"/>
        <w:shd w:val="clear" w:color="auto" w:fill="auto"/>
        <w:tabs>
          <w:tab w:pos="674" w:val="left"/>
        </w:tabs>
        <w:bidi w:val="0"/>
        <w:spacing w:before="0" w:after="0" w:line="360" w:lineRule="auto"/>
        <w:ind w:left="0" w:right="0"/>
        <w:jc w:val="both"/>
      </w:pPr>
      <w:bookmarkStart w:id="555" w:name="bookmark555"/>
      <w:r>
        <w:rPr>
          <w:rFonts w:ascii="Times New Roman" w:eastAsia="Times New Roman" w:hAnsi="Times New Roman" w:cs="Times New Roman"/>
          <w:b/>
          <w:bCs/>
          <w:color w:val="000000"/>
          <w:spacing w:val="0"/>
          <w:w w:val="100"/>
          <w:position w:val="0"/>
          <w:sz w:val="18"/>
          <w:szCs w:val="18"/>
        </w:rPr>
        <w:t>4</w:t>
      </w:r>
      <w:bookmarkEnd w:id="555"/>
      <w:r>
        <w:rPr>
          <w:b/>
          <w:bCs/>
          <w:color w:val="000000"/>
          <w:spacing w:val="0"/>
          <w:w w:val="100"/>
          <w:position w:val="0"/>
        </w:rPr>
        <w:t>、</w:t>
        <w:tab/>
        <w:t>其他主要方面</w:t>
      </w:r>
    </w:p>
    <w:p>
      <w:pPr>
        <w:pStyle w:val="Style37"/>
        <w:keepNext w:val="0"/>
        <w:keepLines w:val="0"/>
        <w:widowControl w:val="0"/>
        <w:shd w:val="clear" w:color="auto" w:fill="auto"/>
        <w:bidi w:val="0"/>
        <w:spacing w:before="0" w:after="0" w:line="314" w:lineRule="exact"/>
        <w:ind w:left="0" w:right="0"/>
        <w:jc w:val="both"/>
      </w:pPr>
      <w:r>
        <w:rPr>
          <w:b/>
          <w:bCs/>
          <w:color w:val="000000"/>
          <w:spacing w:val="0"/>
          <w:w w:val="100"/>
          <w:position w:val="0"/>
        </w:rPr>
        <w:t>实施内部独立审计</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公司董事会下设审计委员会，主要负责公司内、外部审计的沟通、监督和核查工作。公司设立审计部，履行监督检查职 责，对审计委员会负责，向审计委员会报告公司内部控制的建设与执行情况、内部审计工作情况。审计部结合本公司实际， 确定年度内部审计工作重点，编制年度内部审计项目计划，经批准后实施。</w:t>
      </w:r>
    </w:p>
    <w:p>
      <w:pPr>
        <w:pStyle w:val="Style37"/>
        <w:keepNext w:val="0"/>
        <w:keepLines w:val="0"/>
        <w:widowControl w:val="0"/>
        <w:shd w:val="clear" w:color="auto" w:fill="auto"/>
        <w:bidi w:val="0"/>
        <w:spacing w:before="0" w:after="0" w:line="314" w:lineRule="exact"/>
        <w:ind w:left="0" w:right="0"/>
        <w:jc w:val="both"/>
      </w:pPr>
      <w:r>
        <w:rPr>
          <w:b/>
          <w:bCs/>
          <w:color w:val="000000"/>
          <w:spacing w:val="0"/>
          <w:w w:val="100"/>
          <w:position w:val="0"/>
        </w:rPr>
        <w:t>规范信息披露</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公司严格按照《深圳证券交易所股票上市规则》《上市公司信息披露管理制度》等有关规定，依法履行信息披露义务， 保证信息披露的真实、准确、完整性，并持续完善对内幕信息的管理，维护信息披露的公平原则。公司董事会指定董事会秘 书负责公司的信息披露工作，公司证券部负责配合董事会秘书开展具体工作。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年公司共披露公告</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份，并随公告向深 交所报备各类文件百余份，高质高效完成定期报告、临时报告的披露工作。</w:t>
      </w:r>
    </w:p>
    <w:p>
      <w:pPr>
        <w:pStyle w:val="Style37"/>
        <w:keepNext w:val="0"/>
        <w:keepLines w:val="0"/>
        <w:widowControl w:val="0"/>
        <w:shd w:val="clear" w:color="auto" w:fill="auto"/>
        <w:bidi w:val="0"/>
        <w:spacing w:before="0" w:after="0" w:line="314" w:lineRule="exact"/>
        <w:ind w:left="0" w:right="0"/>
        <w:jc w:val="both"/>
      </w:pPr>
      <w:r>
        <w:rPr>
          <w:b/>
          <w:bCs/>
          <w:color w:val="000000"/>
          <w:spacing w:val="0"/>
          <w:w w:val="100"/>
          <w:position w:val="0"/>
        </w:rPr>
        <w:t>加强投资者关系管理</w:t>
      </w:r>
    </w:p>
    <w:p>
      <w:pPr>
        <w:pStyle w:val="Style37"/>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公司高度重视投资者关系管理工作，并不断以主动、真诚、高效的态度开展投资者关系管理活动。公司设立专人接待股 东来访和咨询，全力构建不断完善的沟通机制。除法律规定的信息披露途径外，公司还通过电子邮件、专线电话、互动易平 台、线下接待等方式接受投资者咨询并作出规范答复。公司通过规律、有效的投资者交流活动，与投资者交流分析公司战略 概况和业务发展情况，增强投资者对公司的了解及投资信心。</w:t>
      </w:r>
    </w:p>
    <w:p>
      <w:pPr>
        <w:pStyle w:val="Style37"/>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2"/>
        <w:keepNext/>
        <w:keepLines/>
        <w:widowControl w:val="0"/>
        <w:shd w:val="clear" w:color="auto" w:fill="auto"/>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二</w:t>
      </w:r>
      <w:bookmarkEnd w:id="558"/>
      <w:r>
        <w:rPr>
          <w:color w:val="000000"/>
          <w:spacing w:val="0"/>
          <w:w w:val="100"/>
          <w:position w:val="0"/>
        </w:rPr>
        <w:t>、公司相对于控股股东在业务、人员、资产、机构、财务等方面的独立情况</w:t>
      </w:r>
      <w:bookmarkEnd w:id="556"/>
      <w:bookmarkEnd w:id="557"/>
      <w:bookmarkEnd w:id="559"/>
    </w:p>
    <w:p>
      <w:pPr>
        <w:pStyle w:val="Style37"/>
        <w:keepNext w:val="0"/>
        <w:keepLines w:val="0"/>
        <w:widowControl w:val="0"/>
        <w:shd w:val="clear" w:color="auto" w:fill="auto"/>
        <w:bidi w:val="0"/>
        <w:spacing w:before="0" w:after="140" w:line="322" w:lineRule="exact"/>
        <w:ind w:left="0" w:right="0"/>
        <w:jc w:val="both"/>
      </w:pPr>
      <w:r>
        <w:rPr>
          <w:color w:val="000000"/>
          <w:spacing w:val="0"/>
          <w:w w:val="100"/>
          <w:position w:val="0"/>
        </w:rPr>
        <w:t>本公司法人治理结构比较健全，公司与控股股东在业务、人员、资产、机构和财务上完全独立，具有较为独立完整的业 务及自主经营能力。具体情况如下：</w:t>
      </w:r>
    </w:p>
    <w:p>
      <w:pPr>
        <w:pStyle w:val="Style37"/>
        <w:keepNext w:val="0"/>
        <w:keepLines w:val="0"/>
        <w:widowControl w:val="0"/>
        <w:shd w:val="clear" w:color="auto" w:fill="auto"/>
        <w:tabs>
          <w:tab w:pos="649" w:val="left"/>
        </w:tabs>
        <w:bidi w:val="0"/>
        <w:spacing w:before="0" w:after="140" w:line="317" w:lineRule="exact"/>
        <w:ind w:left="0" w:right="0"/>
        <w:jc w:val="both"/>
      </w:pPr>
      <w:bookmarkStart w:id="560" w:name="bookmark560"/>
      <w:r>
        <w:rPr>
          <w:rFonts w:ascii="Times New Roman" w:eastAsia="Times New Roman" w:hAnsi="Times New Roman" w:cs="Times New Roman"/>
          <w:color w:val="000000"/>
          <w:spacing w:val="0"/>
          <w:w w:val="100"/>
          <w:position w:val="0"/>
          <w:sz w:val="18"/>
          <w:szCs w:val="18"/>
        </w:rPr>
        <w:t>1</w:t>
      </w:r>
      <w:bookmarkEnd w:id="560"/>
      <w:r>
        <w:rPr>
          <w:color w:val="000000"/>
          <w:spacing w:val="0"/>
          <w:w w:val="100"/>
          <w:position w:val="0"/>
        </w:rPr>
        <w:t>、</w:t>
        <w:tab/>
        <w:t>业务方面：公司拥有自身独立的业务和自主经营权，公司业务独立于控股股东及其控制的其他企业，与控股股东及 其控制的其他企业不存在同业竞争或显失公允的关联交易；</w:t>
      </w:r>
    </w:p>
    <w:p>
      <w:pPr>
        <w:pStyle w:val="Style37"/>
        <w:keepNext w:val="0"/>
        <w:keepLines w:val="0"/>
        <w:widowControl w:val="0"/>
        <w:shd w:val="clear" w:color="auto" w:fill="auto"/>
        <w:tabs>
          <w:tab w:pos="649" w:val="left"/>
        </w:tabs>
        <w:bidi w:val="0"/>
        <w:spacing w:before="0" w:after="140" w:line="315" w:lineRule="exact"/>
        <w:ind w:left="0" w:right="0"/>
        <w:jc w:val="both"/>
      </w:pPr>
      <w:bookmarkStart w:id="561" w:name="bookmark561"/>
      <w:r>
        <w:rPr>
          <w:rFonts w:ascii="Times New Roman" w:eastAsia="Times New Roman" w:hAnsi="Times New Roman" w:cs="Times New Roman"/>
          <w:color w:val="000000"/>
          <w:spacing w:val="0"/>
          <w:w w:val="100"/>
          <w:position w:val="0"/>
          <w:sz w:val="18"/>
          <w:szCs w:val="18"/>
        </w:rPr>
        <w:t>2</w:t>
      </w:r>
      <w:bookmarkEnd w:id="561"/>
      <w:r>
        <w:rPr>
          <w:color w:val="000000"/>
          <w:spacing w:val="0"/>
          <w:w w:val="100"/>
          <w:position w:val="0"/>
        </w:rPr>
        <w:t>、</w:t>
        <w:tab/>
        <w:t>人员方面：公司人员独立于控股股东，具有独立的人力资源部门，制定独立的劳动、人事及薪酬管理制度。公司总 裁、副总裁、人力资源总监、技术总监、开发总监、财务负责人、董事会秘书等高级管理人员未在控股股东及其控制的其他 企业中担任除董事外的其他职务，没有在控股股东及其控制的其他企业中领取报酬。公司的董事、监事及高级管理人员均通 过合法程序选聘，不存在控股股东干预公司董事会和股东大会已做出的人事任免决定的情况；</w:t>
      </w:r>
    </w:p>
    <w:p>
      <w:pPr>
        <w:pStyle w:val="Style37"/>
        <w:keepNext w:val="0"/>
        <w:keepLines w:val="0"/>
        <w:widowControl w:val="0"/>
        <w:shd w:val="clear" w:color="auto" w:fill="auto"/>
        <w:tabs>
          <w:tab w:pos="704" w:val="left"/>
        </w:tabs>
        <w:bidi w:val="0"/>
        <w:spacing w:before="0" w:after="100" w:line="326" w:lineRule="exact"/>
        <w:ind w:left="0" w:right="0" w:firstLine="400"/>
        <w:jc w:val="left"/>
      </w:pPr>
      <w:bookmarkStart w:id="562" w:name="bookmark562"/>
      <w:r>
        <w:rPr>
          <w:rFonts w:ascii="Times New Roman" w:eastAsia="Times New Roman" w:hAnsi="Times New Roman" w:cs="Times New Roman"/>
          <w:color w:val="000000"/>
          <w:spacing w:val="0"/>
          <w:w w:val="100"/>
          <w:position w:val="0"/>
          <w:sz w:val="18"/>
          <w:szCs w:val="18"/>
        </w:rPr>
        <w:t>3</w:t>
      </w:r>
      <w:bookmarkEnd w:id="562"/>
      <w:r>
        <w:rPr>
          <w:color w:val="000000"/>
          <w:spacing w:val="0"/>
          <w:w w:val="100"/>
          <w:position w:val="0"/>
        </w:rPr>
        <w:t>、</w:t>
        <w:tab/>
        <w:t>资产方面：公司主要资产产权清晰，对与生产经营相关的厂房、土地、设备以及商标、非专利技术等资产均合法拥 有所有权。公司不存在控股股东占用公司资金的情形，也未向控股股东提供任何担保；</w:t>
      </w:r>
    </w:p>
    <w:p>
      <w:pPr>
        <w:pStyle w:val="Style37"/>
        <w:keepNext w:val="0"/>
        <w:keepLines w:val="0"/>
        <w:widowControl w:val="0"/>
        <w:shd w:val="clear" w:color="auto" w:fill="auto"/>
        <w:bidi w:val="0"/>
        <w:spacing w:before="0" w:after="0" w:line="317" w:lineRule="exact"/>
        <w:ind w:left="0" w:right="0" w:firstLine="400"/>
        <w:jc w:val="left"/>
      </w:pPr>
      <w:bookmarkStart w:id="563" w:name="bookmark563"/>
      <w:r>
        <w:rPr>
          <w:rFonts w:ascii="Times New Roman" w:eastAsia="Times New Roman" w:hAnsi="Times New Roman" w:cs="Times New Roman"/>
          <w:color w:val="000000"/>
          <w:spacing w:val="0"/>
          <w:w w:val="100"/>
          <w:position w:val="0"/>
          <w:sz w:val="18"/>
          <w:szCs w:val="18"/>
        </w:rPr>
        <w:t>4</w:t>
      </w:r>
      <w:bookmarkEnd w:id="563"/>
      <w:r>
        <w:rPr>
          <w:color w:val="000000"/>
          <w:spacing w:val="0"/>
          <w:w w:val="100"/>
          <w:position w:val="0"/>
        </w:rPr>
        <w:t>、 机构方面：公司设立了完全独立于控股股东的组织机构，公司董事会、监事会及其他内部机构独立运作，不存在与 控股股东及其控制的其他企业之间的从属关系。公司具有独立的办公机构，所有职能部门均独立行使职权，独立开展经营活 动，不存在混合经营、合署办公情形；</w:t>
      </w:r>
    </w:p>
    <w:p>
      <w:pPr>
        <w:pStyle w:val="Style37"/>
        <w:keepNext w:val="0"/>
        <w:keepLines w:val="0"/>
        <w:widowControl w:val="0"/>
        <w:shd w:val="clear" w:color="auto" w:fill="auto"/>
        <w:bidi w:val="0"/>
        <w:spacing w:before="0" w:after="360" w:line="317" w:lineRule="exact"/>
        <w:ind w:left="0" w:right="0" w:firstLine="320"/>
        <w:jc w:val="left"/>
      </w:pPr>
      <w:bookmarkStart w:id="564" w:name="bookmark564"/>
      <w:r>
        <w:rPr>
          <w:rFonts w:ascii="Times New Roman" w:eastAsia="Times New Roman" w:hAnsi="Times New Roman" w:cs="Times New Roman"/>
          <w:color w:val="000000"/>
          <w:spacing w:val="0"/>
          <w:w w:val="100"/>
          <w:position w:val="0"/>
          <w:sz w:val="18"/>
          <w:szCs w:val="18"/>
        </w:rPr>
        <w:t>5</w:t>
      </w:r>
      <w:bookmarkEnd w:id="564"/>
      <w:r>
        <w:rPr>
          <w:color w:val="000000"/>
          <w:spacing w:val="0"/>
          <w:w w:val="100"/>
          <w:position w:val="0"/>
        </w:rPr>
        <w:t>、财务方面：公司设有独立的财务管理部门和财务人员，建立了独立的会计核算体系和财务管理制度，独立进行财务 决策；独立在银行开户，没有与控股股东共用一个银行账户；独立进行税务登记，独立依法纳税。</w:t>
      </w:r>
    </w:p>
    <w:p>
      <w:pPr>
        <w:pStyle w:val="Style32"/>
        <w:keepNext/>
        <w:keepLines/>
        <w:widowControl w:val="0"/>
        <w:shd w:val="clear" w:color="auto" w:fill="auto"/>
        <w:tabs>
          <w:tab w:pos="534" w:val="left"/>
        </w:tabs>
        <w:bidi w:val="0"/>
        <w:spacing w:before="0" w:after="30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三</w:t>
      </w:r>
      <w:bookmarkEnd w:id="567"/>
      <w:r>
        <w:rPr>
          <w:color w:val="000000"/>
          <w:spacing w:val="0"/>
          <w:w w:val="100"/>
          <w:position w:val="0"/>
        </w:rPr>
        <w:t>、</w:t>
        <w:tab/>
        <w:t>同业竞争情况</w:t>
      </w:r>
      <w:bookmarkEnd w:id="565"/>
      <w:bookmarkEnd w:id="566"/>
      <w:bookmarkEnd w:id="568"/>
    </w:p>
    <w:p>
      <w:pPr>
        <w:pStyle w:val="Style37"/>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34" w:val="left"/>
        </w:tabs>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四</w:t>
      </w:r>
      <w:bookmarkEnd w:id="571"/>
      <w:r>
        <w:rPr>
          <w:color w:val="000000"/>
          <w:spacing w:val="0"/>
          <w:w w:val="100"/>
          <w:position w:val="0"/>
        </w:rPr>
        <w:t>、</w:t>
        <w:tab/>
        <w:t>报告期内召开的年度股东大会和临时股东大会的有关情况</w:t>
      </w:r>
      <w:bookmarkEnd w:id="569"/>
      <w:bookmarkEnd w:id="570"/>
      <w:bookmarkEnd w:id="572"/>
    </w:p>
    <w:p>
      <w:pPr>
        <w:pStyle w:val="Style40"/>
        <w:keepNext/>
        <w:keepLines/>
        <w:widowControl w:val="0"/>
        <w:shd w:val="clear" w:color="auto" w:fill="auto"/>
        <w:bidi w:val="0"/>
        <w:spacing w:before="0" w:after="30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、本报告期股东大会情况</w:t>
      </w:r>
      <w:bookmarkEnd w:id="573"/>
      <w:bookmarkEnd w:id="574"/>
      <w:bookmarkEnd w:id="576"/>
    </w:p>
    <w:tbl>
      <w:tblPr>
        <w:tblOverlap w:val="never"/>
        <w:jc w:val="center"/>
        <w:tblLayout w:type="fixed"/>
      </w:tblPr>
      <w:tblGrid>
        <w:gridCol w:w="2131"/>
        <w:gridCol w:w="1277"/>
        <w:gridCol w:w="1421"/>
        <w:gridCol w:w="1699"/>
        <w:gridCol w:w="1555"/>
        <w:gridCol w:w="149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 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 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 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、表决权恢复的优先股股东请求召开临时股东大会</w:t>
      </w:r>
      <w:bookmarkEnd w:id="577"/>
      <w:bookmarkEnd w:id="578"/>
      <w:bookmarkEnd w:id="580"/>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五</w:t>
      </w:r>
      <w:bookmarkEnd w:id="583"/>
      <w:r>
        <w:rPr>
          <w:color w:val="000000"/>
          <w:spacing w:val="0"/>
          <w:w w:val="100"/>
          <w:position w:val="0"/>
        </w:rPr>
        <w:t>、报告期内独立董事履行职责的情况</w:t>
      </w:r>
      <w:bookmarkEnd w:id="581"/>
      <w:bookmarkEnd w:id="582"/>
      <w:bookmarkEnd w:id="584"/>
    </w:p>
    <w:p>
      <w:pPr>
        <w:pStyle w:val="Style40"/>
        <w:keepNext/>
        <w:keepLines/>
        <w:widowControl w:val="0"/>
        <w:shd w:val="clear" w:color="auto" w:fill="auto"/>
        <w:bidi w:val="0"/>
        <w:spacing w:before="0" w:after="30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、独立董事出席董事会及股东大会的情况</w:t>
      </w:r>
      <w:bookmarkEnd w:id="585"/>
      <w:bookmarkEnd w:id="586"/>
      <w:bookmarkEnd w:id="588"/>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朱锦梅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张宏江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张连起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凌震文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315" w:lineRule="exact"/>
        <w:ind w:left="0" w:right="0" w:firstLine="0"/>
        <w:jc w:val="left"/>
      </w:pPr>
      <w:r>
        <w:rPr>
          <w:color w:val="000000"/>
          <w:spacing w:val="0"/>
          <w:w w:val="100"/>
          <w:position w:val="0"/>
        </w:rPr>
        <w:t>连续两次未亲自出席董事会的说明</w:t>
      </w:r>
    </w:p>
    <w:p>
      <w:pPr>
        <w:pStyle w:val="Style3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不适用</w:t>
      </w:r>
    </w:p>
    <w:p>
      <w:pPr>
        <w:pStyle w:val="Style40"/>
        <w:keepNext/>
        <w:keepLines/>
        <w:widowControl w:val="0"/>
        <w:shd w:val="clear" w:color="auto" w:fill="auto"/>
        <w:tabs>
          <w:tab w:pos="376" w:val="left"/>
        </w:tabs>
        <w:bidi w:val="0"/>
        <w:spacing w:before="0" w:after="26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独立董事对公司有关事项提出异议的情况</w:t>
      </w:r>
      <w:bookmarkEnd w:id="589"/>
      <w:bookmarkEnd w:id="590"/>
      <w:bookmarkEnd w:id="592"/>
    </w:p>
    <w:p>
      <w:pPr>
        <w:pStyle w:val="Style3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报告期内独立董事对公司有关事项未提出异议。</w:t>
      </w:r>
    </w:p>
    <w:p>
      <w:pPr>
        <w:pStyle w:val="Style40"/>
        <w:keepNext/>
        <w:keepLines/>
        <w:widowControl w:val="0"/>
        <w:shd w:val="clear" w:color="auto" w:fill="auto"/>
        <w:tabs>
          <w:tab w:pos="376" w:val="left"/>
        </w:tabs>
        <w:bidi w:val="0"/>
        <w:spacing w:before="0" w:after="26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独立董事履行职责的其他说明</w:t>
      </w:r>
      <w:bookmarkEnd w:id="593"/>
      <w:bookmarkEnd w:id="594"/>
      <w:bookmarkEnd w:id="596"/>
    </w:p>
    <w:p>
      <w:pPr>
        <w:pStyle w:val="Style37"/>
        <w:keepNext w:val="0"/>
        <w:keepLines w:val="0"/>
        <w:widowControl w:val="0"/>
        <w:shd w:val="clear" w:color="auto" w:fill="auto"/>
        <w:bidi w:val="0"/>
        <w:spacing w:before="0" w:after="140" w:line="315" w:lineRule="exact"/>
        <w:ind w:left="0" w:right="0" w:firstLine="0"/>
        <w:jc w:val="left"/>
      </w:pPr>
      <w:r>
        <w:rPr>
          <w:color w:val="000000"/>
          <w:spacing w:val="0"/>
          <w:w w:val="100"/>
          <w:position w:val="0"/>
        </w:rPr>
        <w:t>独立董事对公司有关建议是否被采纳</w:t>
      </w:r>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7"/>
        <w:keepNext w:val="0"/>
        <w:keepLines w:val="0"/>
        <w:widowControl w:val="0"/>
        <w:shd w:val="clear" w:color="auto" w:fill="auto"/>
        <w:bidi w:val="0"/>
        <w:spacing w:before="0" w:after="0" w:line="315" w:lineRule="exact"/>
        <w:ind w:left="0" w:right="0" w:firstLine="0"/>
        <w:jc w:val="left"/>
      </w:pPr>
      <w:r>
        <w:rPr>
          <w:color w:val="000000"/>
          <w:spacing w:val="0"/>
          <w:w w:val="100"/>
          <w:position w:val="0"/>
        </w:rPr>
        <w:t>独立董事对公司有关建议被采纳或未被采纳的说明</w:t>
      </w:r>
    </w:p>
    <w:p>
      <w:pPr>
        <w:pStyle w:val="Style37"/>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报告期内，公司独立董事本着独立、客观和公正的原则，严格按照《公司法》、《证券法》、《公司章程》、《独立董 事工作制度》等有关法律法规及规章制度的要求，尽职尽责地开展工作，及时了解、关注公司的经营发展与内部控制情况， 积极出席公司相关会议，认真审议公司各项议案，对公司关联交易、提供担保、回购股份、股权激励等相关事项发表独立意 见，有效保证公司规范运作，切实维护公司和全体股东尤其是中小股东的合法利益。公司结合自身实际情况，对独立董事的 意见与建议予以采纳。</w:t>
      </w:r>
    </w:p>
    <w:p>
      <w:pPr>
        <w:pStyle w:val="Style32"/>
        <w:keepNext/>
        <w:keepLines/>
        <w:widowControl w:val="0"/>
        <w:shd w:val="clear" w:color="auto" w:fill="auto"/>
        <w:bidi w:val="0"/>
        <w:spacing w:before="0" w:after="2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六</w:t>
      </w:r>
      <w:bookmarkEnd w:id="599"/>
      <w:r>
        <w:rPr>
          <w:color w:val="000000"/>
          <w:spacing w:val="0"/>
          <w:w w:val="100"/>
          <w:position w:val="0"/>
        </w:rPr>
        <w:t>、董事会下设专门委员会在报告期内履行职责情况</w:t>
      </w:r>
      <w:bookmarkEnd w:id="597"/>
      <w:bookmarkEnd w:id="598"/>
      <w:bookmarkEnd w:id="600"/>
    </w:p>
    <w:p>
      <w:pPr>
        <w:pStyle w:val="Style37"/>
        <w:keepNext w:val="0"/>
        <w:keepLines w:val="0"/>
        <w:widowControl w:val="0"/>
        <w:shd w:val="clear" w:color="auto" w:fill="auto"/>
        <w:bidi w:val="0"/>
        <w:spacing w:before="0" w:after="0" w:line="315" w:lineRule="exact"/>
        <w:ind w:left="0" w:right="0"/>
        <w:jc w:val="both"/>
      </w:pPr>
      <w:bookmarkStart w:id="601" w:name="bookmark601"/>
      <w:r>
        <w:rPr>
          <w:color w:val="000000"/>
          <w:spacing w:val="0"/>
          <w:w w:val="100"/>
          <w:position w:val="0"/>
        </w:rPr>
        <w:t>（</w:t>
      </w:r>
      <w:bookmarkEnd w:id="601"/>
      <w:r>
        <w:rPr>
          <w:color w:val="000000"/>
          <w:spacing w:val="0"/>
          <w:w w:val="100"/>
          <w:position w:val="0"/>
        </w:rPr>
        <w:t>一）审计委员会履职情况</w:t>
      </w:r>
    </w:p>
    <w:p>
      <w:pPr>
        <w:pStyle w:val="Style37"/>
        <w:keepNext w:val="0"/>
        <w:keepLines w:val="0"/>
        <w:widowControl w:val="0"/>
        <w:shd w:val="clear" w:color="auto" w:fill="auto"/>
        <w:tabs>
          <w:tab w:pos="713" w:val="left"/>
        </w:tabs>
        <w:bidi w:val="0"/>
        <w:spacing w:before="0" w:after="0" w:line="315" w:lineRule="exact"/>
        <w:ind w:left="0" w:right="0"/>
        <w:jc w:val="both"/>
      </w:pPr>
      <w:bookmarkStart w:id="602" w:name="bookmark602"/>
      <w:r>
        <w:rPr>
          <w:rFonts w:ascii="Times New Roman" w:eastAsia="Times New Roman" w:hAnsi="Times New Roman" w:cs="Times New Roman"/>
          <w:color w:val="000000"/>
          <w:spacing w:val="0"/>
          <w:w w:val="100"/>
          <w:position w:val="0"/>
          <w:sz w:val="18"/>
          <w:szCs w:val="18"/>
        </w:rPr>
        <w:t>1</w:t>
      </w:r>
      <w:bookmarkEnd w:id="602"/>
      <w:r>
        <w:rPr>
          <w:color w:val="000000"/>
          <w:spacing w:val="0"/>
          <w:w w:val="100"/>
          <w:position w:val="0"/>
        </w:rPr>
        <w:t>、</w:t>
        <w:tab/>
        <w:t>报告期内，董事会审计委员会共召开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次会议，主要工作情况如下：</w:t>
      </w:r>
    </w:p>
    <w:p>
      <w:pPr>
        <w:pStyle w:val="Style37"/>
        <w:keepNext w:val="0"/>
        <w:keepLines w:val="0"/>
        <w:widowControl w:val="0"/>
        <w:shd w:val="clear" w:color="auto" w:fill="auto"/>
        <w:tabs>
          <w:tab w:pos="890" w:val="left"/>
        </w:tabs>
        <w:bidi w:val="0"/>
        <w:spacing w:before="0" w:after="0" w:line="315" w:lineRule="exact"/>
        <w:ind w:left="0" w:right="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日，审计委员会召开第九届第十一次会议，会议听取了信永中和会计师事务所年审工作总结，听取了 审计部的内审工作报告。</w:t>
      </w:r>
    </w:p>
    <w:p>
      <w:pPr>
        <w:pStyle w:val="Style37"/>
        <w:keepNext w:val="0"/>
        <w:keepLines w:val="0"/>
        <w:widowControl w:val="0"/>
        <w:shd w:val="clear" w:color="auto" w:fill="auto"/>
        <w:bidi w:val="0"/>
        <w:spacing w:before="0" w:after="0" w:line="315" w:lineRule="exact"/>
        <w:ind w:left="0" w:right="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日，审计委员会召开第九届第十二次会议，会议听取了审计委员会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年的工作情况汇报，重点介绍 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年年报、内部审计工作指导和评估内部控制有效性的情况，并且审议通过了《关于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 度报告摘要</w:t>
      </w:r>
      <w:r>
        <w:rPr>
          <w:color w:val="000000"/>
          <w:spacing w:val="0"/>
          <w:w w:val="100"/>
          <w:position w:val="0"/>
          <w:sz w:val="18"/>
          <w:szCs w:val="18"/>
        </w:rPr>
        <w:t>〉</w:t>
      </w:r>
      <w:r>
        <w:rPr>
          <w:color w:val="000000"/>
          <w:spacing w:val="0"/>
          <w:w w:val="100"/>
          <w:position w:val="0"/>
        </w:rPr>
        <w:t>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审 计委员会履职情况报告</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 续聘公司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年度会计师事务所的议案》、《关于预计衍生品投资额度的议案》、《关于预计证券投资额度的议案》。</w:t>
      </w:r>
    </w:p>
    <w:p>
      <w:pPr>
        <w:pStyle w:val="Style37"/>
        <w:keepNext w:val="0"/>
        <w:keepLines w:val="0"/>
        <w:widowControl w:val="0"/>
        <w:shd w:val="clear" w:color="auto" w:fill="auto"/>
        <w:bidi w:val="0"/>
        <w:spacing w:before="0" w:after="0" w:line="315" w:lineRule="exact"/>
        <w:ind w:left="0" w:right="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日，审计委员会召开第九届第十三次会议，审议通过了《关于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 季度报告正文</w:t>
      </w:r>
      <w:r>
        <w:rPr>
          <w:color w:val="000000"/>
          <w:spacing w:val="0"/>
          <w:w w:val="100"/>
          <w:position w:val="0"/>
          <w:sz w:val="18"/>
          <w:szCs w:val="18"/>
        </w:rPr>
        <w:t>〉</w:t>
      </w:r>
      <w:r>
        <w:rPr>
          <w:color w:val="000000"/>
          <w:spacing w:val="0"/>
          <w:w w:val="100"/>
          <w:position w:val="0"/>
        </w:rPr>
        <w:t>的议案》，并听取了审计部的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年第一季度内审工作汇报。</w:t>
      </w:r>
    </w:p>
    <w:p>
      <w:pPr>
        <w:pStyle w:val="Style37"/>
        <w:keepNext w:val="0"/>
        <w:keepLines w:val="0"/>
        <w:widowControl w:val="0"/>
        <w:shd w:val="clear" w:color="auto" w:fill="auto"/>
        <w:bidi w:val="0"/>
        <w:spacing w:before="0" w:after="0" w:line="315" w:lineRule="exact"/>
        <w:ind w:left="0" w:right="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日，审计委员会召开第九届第十四次会议，审议通过了《关于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 报告摘要</w:t>
      </w:r>
      <w:r>
        <w:rPr>
          <w:color w:val="000000"/>
          <w:spacing w:val="0"/>
          <w:w w:val="100"/>
          <w:position w:val="0"/>
          <w:sz w:val="18"/>
          <w:szCs w:val="18"/>
        </w:rPr>
        <w:t>〉</w:t>
      </w:r>
      <w:r>
        <w:rPr>
          <w:color w:val="000000"/>
          <w:spacing w:val="0"/>
          <w:w w:val="100"/>
          <w:position w:val="0"/>
        </w:rPr>
        <w:t>的议案》，并听取了审计部的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年半年度内审工作汇报。</w:t>
      </w:r>
    </w:p>
    <w:p>
      <w:pPr>
        <w:pStyle w:val="Style37"/>
        <w:keepNext w:val="0"/>
        <w:keepLines w:val="0"/>
        <w:widowControl w:val="0"/>
        <w:shd w:val="clear" w:color="auto" w:fill="auto"/>
        <w:bidi w:val="0"/>
        <w:spacing w:before="0" w:after="0" w:line="315" w:lineRule="exact"/>
        <w:ind w:left="0" w:right="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日，审计委员会召开第九届第十五次会议，审议通过了《关于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三季度报告正文</w:t>
      </w:r>
      <w:r>
        <w:rPr>
          <w:color w:val="000000"/>
          <w:spacing w:val="0"/>
          <w:w w:val="100"/>
          <w:position w:val="0"/>
          <w:sz w:val="18"/>
          <w:szCs w:val="18"/>
        </w:rPr>
        <w:t>〉</w:t>
      </w:r>
      <w:r>
        <w:rPr>
          <w:color w:val="000000"/>
          <w:spacing w:val="0"/>
          <w:w w:val="100"/>
          <w:position w:val="0"/>
        </w:rPr>
        <w:t>的议案》，并听取了审计部的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年第三季度内审工作汇报。</w:t>
      </w:r>
    </w:p>
    <w:p>
      <w:pPr>
        <w:pStyle w:val="Style37"/>
        <w:keepNext w:val="0"/>
        <w:keepLines w:val="0"/>
        <w:widowControl w:val="0"/>
        <w:shd w:val="clear" w:color="auto" w:fill="auto"/>
        <w:tabs>
          <w:tab w:pos="732" w:val="left"/>
        </w:tabs>
        <w:bidi w:val="0"/>
        <w:spacing w:before="0" w:after="0" w:line="315" w:lineRule="exact"/>
        <w:ind w:left="0" w:right="0"/>
        <w:jc w:val="both"/>
      </w:pPr>
      <w:bookmarkStart w:id="608" w:name="bookmark608"/>
      <w:r>
        <w:rPr>
          <w:rFonts w:ascii="Times New Roman" w:eastAsia="Times New Roman" w:hAnsi="Times New Roman" w:cs="Times New Roman"/>
          <w:color w:val="000000"/>
          <w:spacing w:val="0"/>
          <w:w w:val="100"/>
          <w:position w:val="0"/>
          <w:sz w:val="18"/>
          <w:szCs w:val="18"/>
        </w:rPr>
        <w:t>2</w:t>
      </w:r>
      <w:bookmarkEnd w:id="608"/>
      <w:r>
        <w:rPr>
          <w:color w:val="000000"/>
          <w:spacing w:val="0"/>
          <w:w w:val="100"/>
          <w:position w:val="0"/>
        </w:rPr>
        <w:t>、</w:t>
        <w:tab/>
        <w:t>审计委员会在公司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年度，主要履行了以下工作职责：</w:t>
      </w:r>
    </w:p>
    <w:p>
      <w:pPr>
        <w:pStyle w:val="Style37"/>
        <w:keepNext w:val="0"/>
        <w:keepLines w:val="0"/>
        <w:widowControl w:val="0"/>
        <w:shd w:val="clear" w:color="auto" w:fill="auto"/>
        <w:bidi w:val="0"/>
        <w:spacing w:before="0" w:after="0" w:line="315" w:lineRule="exact"/>
        <w:ind w:left="0" w:right="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）监督和评估外部审计工作</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报告期内，公司董事会审计委员会持续监督公司定期报告的审计工作，并与公司聘请的外部审计机构信永中和会计师事 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信永中和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）在审计工作开始前就审计目标、审计计划、风险判断、风险及舞弊的测试和 评价方法、本年度关键审计事项进行沟通，过程中认真听取并审议阶段性工作汇报，充分沟通和交流审计过程中发现的问题。</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审计委员会认为，信永中和遵循独立、客观、公正的执业准则，勤勉、审慎、尽责地完成了公司委托的各项工作，审计 时间充分，审计人员配置合理、执业能力胜任，出具的审计报告从重大方面公允地反映了公司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日的财务状况以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年度的经营成果和现金流量，出具的审计结论符合公司的实际情况，并且同意续聘信永中和会计师事务所为公司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年度外部审计机构。</w:t>
      </w:r>
    </w:p>
    <w:p>
      <w:pPr>
        <w:pStyle w:val="Style37"/>
        <w:keepNext w:val="0"/>
        <w:keepLines w:val="0"/>
        <w:widowControl w:val="0"/>
        <w:shd w:val="clear" w:color="auto" w:fill="auto"/>
        <w:tabs>
          <w:tab w:pos="823" w:val="left"/>
        </w:tabs>
        <w:bidi w:val="0"/>
        <w:spacing w:before="0" w:after="0" w:line="316" w:lineRule="exact"/>
        <w:ind w:left="0" w:right="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指导内部审计工作</w:t>
      </w:r>
    </w:p>
    <w:p>
      <w:pPr>
        <w:pStyle w:val="Style37"/>
        <w:keepNext w:val="0"/>
        <w:keepLines w:val="0"/>
        <w:widowControl w:val="0"/>
        <w:shd w:val="clear" w:color="auto" w:fill="auto"/>
        <w:bidi w:val="0"/>
        <w:spacing w:before="0" w:after="0" w:line="316" w:lineRule="exact"/>
        <w:ind w:left="0" w:right="0"/>
        <w:jc w:val="left"/>
      </w:pPr>
      <w:r>
        <w:rPr>
          <w:color w:val="000000"/>
          <w:spacing w:val="0"/>
          <w:w w:val="100"/>
          <w:position w:val="0"/>
        </w:rPr>
        <w:t>公司审计委员会认真审阅了公司年度内部审计工作计划，认可计划可行性及适当性，定期听取内审工作汇报，审阅内部 审计工作报告，评估内部审计工作成果，未发现内部审计工作存在重大问题，认为内部审计工作能够有效运作。</w:t>
      </w:r>
    </w:p>
    <w:p>
      <w:pPr>
        <w:pStyle w:val="Style37"/>
        <w:keepNext w:val="0"/>
        <w:keepLines w:val="0"/>
        <w:widowControl w:val="0"/>
        <w:shd w:val="clear" w:color="auto" w:fill="auto"/>
        <w:tabs>
          <w:tab w:pos="823" w:val="left"/>
        </w:tabs>
        <w:bidi w:val="0"/>
        <w:spacing w:before="0" w:after="0" w:line="316" w:lineRule="exact"/>
        <w:ind w:left="0" w:right="0"/>
        <w:jc w:val="left"/>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审阅财务报告并对其发表意见</w:t>
      </w:r>
    </w:p>
    <w:p>
      <w:pPr>
        <w:pStyle w:val="Style37"/>
        <w:keepNext w:val="0"/>
        <w:keepLines w:val="0"/>
        <w:widowControl w:val="0"/>
        <w:shd w:val="clear" w:color="auto" w:fill="auto"/>
        <w:bidi w:val="0"/>
        <w:spacing w:before="0" w:after="0" w:line="316" w:lineRule="exact"/>
        <w:ind w:left="0" w:right="0"/>
        <w:jc w:val="left"/>
      </w:pPr>
      <w:r>
        <w:rPr>
          <w:color w:val="000000"/>
          <w:spacing w:val="0"/>
          <w:w w:val="100"/>
          <w:position w:val="0"/>
        </w:rPr>
        <w:t>报告期内，审计委员会认真审阅了公司季度、半年度、年度财务报告，我们认为公司财务报告是真实、完整和准确的， 不存在相关的欺诈、舞弊行为及重大错报的情况，不存在重大会计差错调整、重大会计政策及估计变更、涉及重要会计判断 的事项、导致非标准无保留意见审计报告的事项。财务报告的内容和格式符合中国证监会和上海证券交易所的各项规定，能 够公允的反映公司财务状况、经营成果和现金流量。</w:t>
      </w:r>
    </w:p>
    <w:p>
      <w:pPr>
        <w:pStyle w:val="Style37"/>
        <w:keepNext w:val="0"/>
        <w:keepLines w:val="0"/>
        <w:widowControl w:val="0"/>
        <w:shd w:val="clear" w:color="auto" w:fill="auto"/>
        <w:tabs>
          <w:tab w:pos="823" w:val="left"/>
        </w:tabs>
        <w:bidi w:val="0"/>
        <w:spacing w:before="0" w:after="0" w:line="316" w:lineRule="exact"/>
        <w:ind w:left="0" w:right="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评估内部控制的有效性</w:t>
      </w:r>
    </w:p>
    <w:p>
      <w:pPr>
        <w:pStyle w:val="Style37"/>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审计委员会认真审阅了公司《内部控制评价报告》和信永中和出具的《内部控制审计报告》，认为公司已按照《公司法》 《证券法》等法律法规和中国证监会、深圳证券交易所有关规定的要求，建立了比较完善的公司治理结构和内部控制体系。 报告期内，公司严格执行各项法律法规、公司章程以及内部管理制度，股东大会、董事会、监事会、经营管理层规范运作， 切实保障了公司和股东的合法权益。审计委员会认为公司的内部控制情况符合中国证监会关于上市公司治理规范的要求，不 存在重大、重要缺陷。</w:t>
      </w:r>
    </w:p>
    <w:p>
      <w:pPr>
        <w:pStyle w:val="Style37"/>
        <w:keepNext w:val="0"/>
        <w:keepLines w:val="0"/>
        <w:widowControl w:val="0"/>
        <w:shd w:val="clear" w:color="auto" w:fill="auto"/>
        <w:tabs>
          <w:tab w:pos="909" w:val="left"/>
        </w:tabs>
        <w:bidi w:val="0"/>
        <w:spacing w:before="0" w:after="0" w:line="316" w:lineRule="exact"/>
        <w:ind w:left="0" w:right="0"/>
        <w:jc w:val="both"/>
      </w:pPr>
      <w:bookmarkStart w:id="613" w:name="bookmark613"/>
      <w:r>
        <w:rPr>
          <w:color w:val="000000"/>
          <w:spacing w:val="0"/>
          <w:w w:val="100"/>
          <w:position w:val="0"/>
        </w:rPr>
        <w:t>（</w:t>
      </w:r>
      <w:bookmarkEnd w:id="613"/>
      <w:r>
        <w:rPr>
          <w:color w:val="000000"/>
          <w:spacing w:val="0"/>
          <w:w w:val="100"/>
          <w:position w:val="0"/>
        </w:rPr>
        <w:t>二）</w:t>
        <w:tab/>
        <w:t>薪酬与考核委员会履职情况</w:t>
      </w:r>
    </w:p>
    <w:p>
      <w:pPr>
        <w:pStyle w:val="Style37"/>
        <w:keepNext w:val="0"/>
        <w:keepLines w:val="0"/>
        <w:widowControl w:val="0"/>
        <w:shd w:val="clear" w:color="auto" w:fill="auto"/>
        <w:bidi w:val="0"/>
        <w:spacing w:before="0" w:after="0" w:line="322" w:lineRule="exact"/>
        <w:ind w:left="0" w:right="0"/>
        <w:jc w:val="both"/>
      </w:pPr>
      <w:r>
        <w:rPr>
          <w:color w:val="000000"/>
          <w:spacing w:val="0"/>
          <w:w w:val="100"/>
          <w:position w:val="0"/>
        </w:rPr>
        <w:t>报告期内，董事会薪酬与考核委员会共召开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次会议，主要工作情况如下：</w:t>
      </w:r>
    </w:p>
    <w:p>
      <w:pPr>
        <w:pStyle w:val="Style37"/>
        <w:keepNext w:val="0"/>
        <w:keepLines w:val="0"/>
        <w:widowControl w:val="0"/>
        <w:shd w:val="clear" w:color="auto" w:fill="auto"/>
        <w:tabs>
          <w:tab w:pos="702" w:val="left"/>
        </w:tabs>
        <w:bidi w:val="0"/>
        <w:spacing w:before="0" w:after="0" w:line="322" w:lineRule="exact"/>
        <w:ind w:left="0" w:right="0"/>
        <w:jc w:val="both"/>
      </w:pPr>
      <w:bookmarkStart w:id="614" w:name="bookmark614"/>
      <w:r>
        <w:rPr>
          <w:rFonts w:ascii="Times New Roman" w:eastAsia="Times New Roman" w:hAnsi="Times New Roman" w:cs="Times New Roman"/>
          <w:color w:val="000000"/>
          <w:spacing w:val="0"/>
          <w:w w:val="100"/>
          <w:position w:val="0"/>
          <w:sz w:val="18"/>
          <w:szCs w:val="18"/>
        </w:rPr>
        <w:t>1</w:t>
      </w:r>
      <w:bookmarkEnd w:id="6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日，薪酬与考核委员会召开第九届第六次会议，会议形成决议：同意公司管理团队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年考核及薪酬结 果；同意公司管理团队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年岗位职责、考核及薪酬方案；同意关于总裁市值奖励办法的申请。</w:t>
      </w:r>
    </w:p>
    <w:p>
      <w:pPr>
        <w:pStyle w:val="Style37"/>
        <w:keepNext w:val="0"/>
        <w:keepLines w:val="0"/>
        <w:widowControl w:val="0"/>
        <w:shd w:val="clear" w:color="auto" w:fill="auto"/>
        <w:tabs>
          <w:tab w:pos="728" w:val="left"/>
        </w:tabs>
        <w:bidi w:val="0"/>
        <w:spacing w:before="0" w:after="0" w:line="322" w:lineRule="exact"/>
        <w:ind w:left="0" w:right="0"/>
        <w:jc w:val="both"/>
      </w:pPr>
      <w:bookmarkStart w:id="615" w:name="bookmark615"/>
      <w:r>
        <w:rPr>
          <w:rFonts w:ascii="Times New Roman" w:eastAsia="Times New Roman" w:hAnsi="Times New Roman" w:cs="Times New Roman"/>
          <w:color w:val="000000"/>
          <w:spacing w:val="0"/>
          <w:w w:val="100"/>
          <w:position w:val="0"/>
          <w:sz w:val="18"/>
          <w:szCs w:val="18"/>
        </w:rPr>
        <w:t>2</w:t>
      </w:r>
      <w:bookmarkEnd w:id="6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日，薪酬与考核委员会召开第九届第七次会议，审议通过了《关于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 划第一个行权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解除限售条件成就的议案》。</w:t>
      </w:r>
    </w:p>
    <w:p>
      <w:pPr>
        <w:pStyle w:val="Style37"/>
        <w:keepNext w:val="0"/>
        <w:keepLines w:val="0"/>
        <w:widowControl w:val="0"/>
        <w:shd w:val="clear" w:color="auto" w:fill="auto"/>
        <w:bidi w:val="0"/>
        <w:spacing w:before="0" w:after="280" w:line="326" w:lineRule="exact"/>
        <w:ind w:left="0" w:right="0"/>
        <w:jc w:val="both"/>
      </w:pPr>
      <w:bookmarkStart w:id="616" w:name="bookmark616"/>
      <w:r>
        <w:rPr>
          <w:rFonts w:ascii="Times New Roman" w:eastAsia="Times New Roman" w:hAnsi="Times New Roman" w:cs="Times New Roman"/>
          <w:color w:val="000000"/>
          <w:spacing w:val="0"/>
          <w:w w:val="100"/>
          <w:position w:val="0"/>
          <w:sz w:val="18"/>
          <w:szCs w:val="18"/>
        </w:rPr>
        <w:t>3</w:t>
      </w:r>
      <w:bookmarkEnd w:id="61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日，薪酬与考核委员会召开第九届第八次会议，审议通过了《关于调整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 励计划部分业绩考核指标的议案》。</w:t>
      </w:r>
    </w:p>
    <w:p>
      <w:pPr>
        <w:pStyle w:val="Style37"/>
        <w:keepNext w:val="0"/>
        <w:keepLines w:val="0"/>
        <w:widowControl w:val="0"/>
        <w:shd w:val="clear" w:color="auto" w:fill="auto"/>
        <w:tabs>
          <w:tab w:pos="909" w:val="left"/>
        </w:tabs>
        <w:bidi w:val="0"/>
        <w:spacing w:before="0" w:after="0" w:line="316" w:lineRule="exact"/>
        <w:ind w:left="0" w:right="0"/>
        <w:jc w:val="both"/>
      </w:pPr>
      <w:bookmarkStart w:id="617" w:name="bookmark617"/>
      <w:r>
        <w:rPr>
          <w:color w:val="000000"/>
          <w:spacing w:val="0"/>
          <w:w w:val="100"/>
          <w:position w:val="0"/>
        </w:rPr>
        <w:t>（</w:t>
      </w:r>
      <w:bookmarkEnd w:id="617"/>
      <w:r>
        <w:rPr>
          <w:color w:val="000000"/>
          <w:spacing w:val="0"/>
          <w:w w:val="100"/>
          <w:position w:val="0"/>
        </w:rPr>
        <w:t>三）</w:t>
        <w:tab/>
        <w:t>提名委员会履职情况</w:t>
      </w:r>
    </w:p>
    <w:p>
      <w:pPr>
        <w:pStyle w:val="Style37"/>
        <w:keepNext w:val="0"/>
        <w:keepLines w:val="0"/>
        <w:widowControl w:val="0"/>
        <w:shd w:val="clear" w:color="auto" w:fill="auto"/>
        <w:bidi w:val="0"/>
        <w:spacing w:before="0" w:after="0" w:line="326" w:lineRule="exact"/>
        <w:ind w:left="0" w:right="0"/>
        <w:jc w:val="both"/>
      </w:pPr>
      <w:r>
        <w:rPr>
          <w:color w:val="000000"/>
          <w:spacing w:val="0"/>
          <w:w w:val="100"/>
          <w:position w:val="0"/>
        </w:rPr>
        <w:t>报告期内，董事会提名委员会共召开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次会议，主要工作情况如下：</w:t>
      </w:r>
    </w:p>
    <w:p>
      <w:pPr>
        <w:pStyle w:val="Style37"/>
        <w:keepNext w:val="0"/>
        <w:keepLines w:val="0"/>
        <w:widowControl w:val="0"/>
        <w:shd w:val="clear" w:color="auto" w:fill="auto"/>
        <w:bidi w:val="0"/>
        <w:spacing w:before="0" w:after="0" w:line="326" w:lineRule="exact"/>
        <w:ind w:left="0" w:right="0"/>
        <w:jc w:val="both"/>
      </w:pPr>
      <w:bookmarkStart w:id="618" w:name="bookmark618"/>
      <w:r>
        <w:rPr>
          <w:rFonts w:ascii="Times New Roman" w:eastAsia="Times New Roman" w:hAnsi="Times New Roman" w:cs="Times New Roman"/>
          <w:color w:val="000000"/>
          <w:spacing w:val="0"/>
          <w:w w:val="100"/>
          <w:position w:val="0"/>
          <w:sz w:val="18"/>
          <w:szCs w:val="18"/>
        </w:rPr>
        <w:t>1</w:t>
      </w:r>
      <w:bookmarkEnd w:id="61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日，提名委员会召开第九届第六次会议，会议形成决议：同意提名陈振坤先生、李京女士、陆明先生、 潘春雷先生、沈旸先生为公司副总裁。</w:t>
      </w:r>
    </w:p>
    <w:p>
      <w:pPr>
        <w:pStyle w:val="Style37"/>
        <w:keepNext w:val="0"/>
        <w:keepLines w:val="0"/>
        <w:widowControl w:val="0"/>
        <w:shd w:val="clear" w:color="auto" w:fill="auto"/>
        <w:bidi w:val="0"/>
        <w:spacing w:before="0" w:after="360" w:line="326" w:lineRule="exact"/>
        <w:ind w:left="0" w:right="0"/>
        <w:jc w:val="both"/>
      </w:pPr>
      <w:bookmarkStart w:id="619" w:name="bookmark619"/>
      <w:r>
        <w:rPr>
          <w:rFonts w:ascii="Times New Roman" w:eastAsia="Times New Roman" w:hAnsi="Times New Roman" w:cs="Times New Roman"/>
          <w:color w:val="000000"/>
          <w:spacing w:val="0"/>
          <w:w w:val="100"/>
          <w:position w:val="0"/>
          <w:sz w:val="18"/>
          <w:szCs w:val="18"/>
        </w:rPr>
        <w:t>2</w:t>
      </w:r>
      <w:bookmarkEnd w:id="61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日，提名委员会召开第九届第七次会议，会议形成决议：同意提名张家智先生为公司副总裁。</w:t>
      </w:r>
    </w:p>
    <w:p>
      <w:pPr>
        <w:pStyle w:val="Style32"/>
        <w:keepNext/>
        <w:keepLines/>
        <w:widowControl w:val="0"/>
        <w:shd w:val="clear" w:color="auto" w:fill="auto"/>
        <w:tabs>
          <w:tab w:pos="520" w:val="left"/>
        </w:tabs>
        <w:bidi w:val="0"/>
        <w:spacing w:before="0" w:after="2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七</w:t>
      </w:r>
      <w:bookmarkEnd w:id="622"/>
      <w:r>
        <w:rPr>
          <w:color w:val="000000"/>
          <w:spacing w:val="0"/>
          <w:w w:val="100"/>
          <w:position w:val="0"/>
        </w:rPr>
        <w:t>、</w:t>
        <w:tab/>
        <w:t>监事会工作情况</w:t>
      </w:r>
      <w:bookmarkEnd w:id="620"/>
      <w:bookmarkEnd w:id="621"/>
      <w:bookmarkEnd w:id="623"/>
    </w:p>
    <w:p>
      <w:pPr>
        <w:pStyle w:val="Style37"/>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监事会在报告期内的监督活动中发现公司是否存在风险</w:t>
      </w:r>
    </w:p>
    <w:p>
      <w:pPr>
        <w:pStyle w:val="Style3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316" w:lineRule="exact"/>
        <w:ind w:left="0" w:right="0" w:firstLine="0"/>
        <w:jc w:val="left"/>
      </w:pPr>
      <w:r>
        <w:rPr>
          <w:color w:val="000000"/>
          <w:spacing w:val="0"/>
          <w:w w:val="100"/>
          <w:position w:val="0"/>
        </w:rPr>
        <w:t>监事会对报告期内的监督事项无异议。</w:t>
      </w:r>
    </w:p>
    <w:p>
      <w:pPr>
        <w:pStyle w:val="Style32"/>
        <w:keepNext/>
        <w:keepLines/>
        <w:widowControl w:val="0"/>
        <w:shd w:val="clear" w:color="auto" w:fill="auto"/>
        <w:tabs>
          <w:tab w:pos="520" w:val="left"/>
        </w:tabs>
        <w:bidi w:val="0"/>
        <w:spacing w:before="0" w:after="28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八</w:t>
      </w:r>
      <w:bookmarkEnd w:id="626"/>
      <w:r>
        <w:rPr>
          <w:color w:val="000000"/>
          <w:spacing w:val="0"/>
          <w:w w:val="100"/>
          <w:position w:val="0"/>
        </w:rPr>
        <w:t>、</w:t>
        <w:tab/>
        <w:t>高级管理人员的考评及激励情况</w:t>
      </w:r>
      <w:bookmarkEnd w:id="624"/>
      <w:bookmarkEnd w:id="625"/>
      <w:bookmarkEnd w:id="627"/>
    </w:p>
    <w:p>
      <w:pPr>
        <w:pStyle w:val="Style37"/>
        <w:keepNext w:val="0"/>
        <w:keepLines w:val="0"/>
        <w:widowControl w:val="0"/>
        <w:shd w:val="clear" w:color="auto" w:fill="auto"/>
        <w:bidi w:val="0"/>
        <w:spacing w:before="0" w:after="280" w:line="315" w:lineRule="exact"/>
        <w:ind w:left="0" w:right="0"/>
        <w:jc w:val="both"/>
      </w:pPr>
      <w:r>
        <w:rPr>
          <w:color w:val="000000"/>
          <w:spacing w:val="0"/>
          <w:w w:val="100"/>
          <w:position w:val="0"/>
        </w:rPr>
        <w:t>报告期内，公司高级管理人员严格按照公司章程认真履职，积极落实公司董事会各项决议。根据公司的战略发展目标和 年度经营目标，公司薪酬与考核委员会，综合考虑高级管理人员的岗位贡献、增量贡献、相关行业的薪酬水平等因素，确定 高级管理人员的考核内容和薪酬；考核期内，按照高级管理人员岗位职责的履职情况、业绩达成情况、工作绩效的完成情况 进行考评和优胜劣汰。</w:t>
      </w:r>
      <w:r>
        <w:br w:type="page"/>
      </w:r>
    </w:p>
    <w:p>
      <w:pPr>
        <w:pStyle w:val="Style32"/>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九</w:t>
      </w:r>
      <w:bookmarkEnd w:id="630"/>
      <w:r>
        <w:rPr>
          <w:color w:val="000000"/>
          <w:spacing w:val="0"/>
          <w:w w:val="100"/>
          <w:position w:val="0"/>
        </w:rPr>
        <w:t>、内部控制情况</w:t>
      </w:r>
      <w:bookmarkEnd w:id="628"/>
      <w:bookmarkEnd w:id="629"/>
      <w:bookmarkEnd w:id="631"/>
    </w:p>
    <w:p>
      <w:pPr>
        <w:pStyle w:val="Style40"/>
        <w:keepNext/>
        <w:keepLines/>
        <w:widowControl w:val="0"/>
        <w:shd w:val="clear" w:color="auto" w:fill="auto"/>
        <w:tabs>
          <w:tab w:pos="368" w:val="left"/>
        </w:tabs>
        <w:bidi w:val="0"/>
        <w:spacing w:before="0" w:after="36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w:t>
        <w:tab/>
        <w:t>报告期内发现的内部控制重大缺陷的具体情况</w:t>
      </w:r>
      <w:bookmarkEnd w:id="632"/>
      <w:bookmarkEnd w:id="633"/>
      <w:bookmarkEnd w:id="635"/>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378" w:val="left"/>
        </w:tabs>
        <w:bidi w:val="0"/>
        <w:spacing w:before="0" w:after="36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内控自我评价报告</w:t>
      </w:r>
      <w:bookmarkEnd w:id="636"/>
      <w:bookmarkEnd w:id="637"/>
      <w:bookmarkEnd w:id="63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巨潮资讯网《内部控制自我评价报告》</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26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定性标准如下：存在下列情形之一时，认 定为财务报告的重大缺陷：（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）重述以前 年度的财务报告以纠正重大错报，该错报 因财务报告内部控制缺陷导致；（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 师在当期审计中发现了财务报告中的重大 错报，该错报并未被公司的内部控制所发 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）审计委员会对财务报告和相关内 部控制缺乏有效的监督；（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）基本无效的 内部审计和风险评估职能；（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）发现高级 管理人员的重大舞弊行为。存在下列情形 之一时，认定为财务报告的重要缺陷：（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在选择和实施与《企业会计准则》相一致 的会计政策方面存在内部控制缺陷；（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与财务报告相关的反舞弊程序和控制受到 干预；（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）对于期末财务报告过程的控制 存在一项或多项缺陷且不能合理保证编制 的财务报表达到真实、准确的目标；（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货币资金、存货、收入、成本、在建工程、 固定资产等重要会计科目的关键控制点在 设计或执行方面存在明显缺陷，且缺乏补 偿性控制程序替代。除重大缺陷、重要缺 陷之外的其他缺陷被认定为一般缺陷。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存在下列情形之一时，认定为非财务报 告的重大缺陷：（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）公司在税务管理、 生产经营、社会责任等方面发生重大违 法违规事件和责任事故，给公司造成重 要损失和不利影响，或者遭受重大行政 监管处罚，严重影响经营合规目标的实 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）公司因资产安全管理失当，发 生重大资产损失。存在下列情形之一 时，认定为非财务报告的重要缺陷：（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招标采购、业务分包等生产运营环节存 在明显违规，导致成本明显上升或存在 较大舞弊风险；（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）因管理不善存在较 为明显的资产安全隐患；（</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）投资论证 不到位或不充分，投资实际情况与投资 目标严重偏离，造成投资决策较为严重 的失误或投资减值。除重大缺陷、重要 缺陷之外的其他缺陷被认定为一般缺 陷。</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部分内控自我评价报告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缺陷认定 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定量标准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部分内控自我评价报告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缺陷</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认定标准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定量标准</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40"/>
        <w:keepNext/>
        <w:keepLines/>
        <w:widowControl w:val="0"/>
        <w:shd w:val="clear" w:color="auto" w:fill="auto"/>
        <w:bidi w:val="0"/>
        <w:spacing w:before="0" w:after="42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、内控自我评价报告</w:t>
      </w:r>
      <w:r>
        <w:rPr>
          <w:rFonts w:ascii="Times New Roman" w:eastAsia="Times New Roman" w:hAnsi="Times New Roman" w:cs="Times New Roman"/>
          <w:color w:val="000000"/>
          <w:spacing w:val="0"/>
          <w:w w:val="100"/>
          <w:position w:val="0"/>
        </w:rPr>
        <w:t>-</w:t>
      </w:r>
      <w:r>
        <w:rPr>
          <w:color w:val="000000"/>
          <w:spacing w:val="0"/>
          <w:w w:val="100"/>
          <w:position w:val="0"/>
        </w:rPr>
        <w:t>缺陷认定标准</w:t>
      </w:r>
      <w:r>
        <w:rPr>
          <w:rFonts w:ascii="Times New Roman" w:eastAsia="Times New Roman" w:hAnsi="Times New Roman" w:cs="Times New Roman"/>
          <w:color w:val="000000"/>
          <w:spacing w:val="0"/>
          <w:w w:val="100"/>
          <w:position w:val="0"/>
        </w:rPr>
        <w:t>-</w:t>
      </w:r>
      <w:r>
        <w:rPr>
          <w:color w:val="000000"/>
          <w:spacing w:val="0"/>
          <w:w w:val="100"/>
          <w:position w:val="0"/>
        </w:rPr>
        <w:t>定量标准</w:t>
      </w:r>
      <w:bookmarkEnd w:id="640"/>
      <w:bookmarkEnd w:id="641"/>
      <w:bookmarkEnd w:id="643"/>
    </w:p>
    <w:p>
      <w:pPr>
        <w:pStyle w:val="Style37"/>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财务报告内部控制缺陷认定标准</w:t>
      </w:r>
    </w:p>
    <w:tbl>
      <w:tblPr>
        <w:tblOverlap w:val="never"/>
        <w:jc w:val="center"/>
        <w:tblLayout w:type="fixed"/>
      </w:tblPr>
      <w:tblGrid>
        <w:gridCol w:w="1526"/>
        <w:gridCol w:w="2486"/>
        <w:gridCol w:w="2818"/>
        <w:gridCol w:w="2846"/>
      </w:tblGrid>
      <w:tr>
        <w:trPr>
          <w:trHeight w:val="4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指标名称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一般缺陷定量标准</w:t>
            </w:r>
          </w:p>
        </w:tc>
      </w:tr>
      <w:tr>
        <w:trPr>
          <w:trHeight w:val="10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营业收入错报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营业收入错报金额〉合并会计</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报表营业收入的</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合并会计报表营业收入的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营 业收入错报金额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合并会计报表营 业收入的</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营业收入错报金额〈合并会计报表 营业收入的</w:t>
            </w:r>
            <w:r>
              <w:rPr>
                <w:rFonts w:ascii="Times New Roman" w:eastAsia="Times New Roman" w:hAnsi="Times New Roman" w:cs="Times New Roman"/>
                <w:color w:val="000000"/>
                <w:spacing w:val="0"/>
                <w:w w:val="100"/>
                <w:position w:val="0"/>
                <w:sz w:val="18"/>
                <w:szCs w:val="18"/>
              </w:rPr>
              <w:t>0.5%</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利润总额错报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利润总额错报金额 ＞ 合并会计 报表利润总额的</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合并会计报表利润总额的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利润 总额错报金额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合并会计报表利润 总额的</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利润总额错报金额〈合并会计报表 利润总额的</w:t>
            </w:r>
            <w:r>
              <w:rPr>
                <w:rFonts w:ascii="Times New Roman" w:eastAsia="Times New Roman" w:hAnsi="Times New Roman" w:cs="Times New Roman"/>
                <w:color w:val="000000"/>
                <w:spacing w:val="0"/>
                <w:w w:val="100"/>
                <w:position w:val="0"/>
                <w:sz w:val="18"/>
                <w:szCs w:val="18"/>
              </w:rPr>
              <w:t>6%</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资产错报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资产总额错报金额〉合并会计 报表资产总额的</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合并会计报表资产总额的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资产 总额错报金额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合并会计报表资产 总额的</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7"/>
                <w:szCs w:val="17"/>
              </w:rPr>
              <w:t>资产总额错报金额〈合并会计报表 资产总额的</w:t>
            </w:r>
            <w:r>
              <w:rPr>
                <w:rFonts w:ascii="Times New Roman" w:eastAsia="Times New Roman" w:hAnsi="Times New Roman" w:cs="Times New Roman"/>
                <w:color w:val="000000"/>
                <w:spacing w:val="0"/>
                <w:w w:val="100"/>
                <w:position w:val="0"/>
                <w:sz w:val="18"/>
                <w:szCs w:val="18"/>
              </w:rPr>
              <w:t>2%</w:t>
            </w:r>
          </w:p>
        </w:tc>
      </w:tr>
      <w:tr>
        <w:trPr>
          <w:trHeight w:val="10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负债错报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7"/>
                <w:szCs w:val="17"/>
              </w:rPr>
              <w:t>负债总额错报金额〉合并会计 报表负债总额的</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合并会计报表负债总额的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负债 总额错报金额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合并会计报表负债 总额的</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7"/>
                <w:szCs w:val="17"/>
              </w:rPr>
              <w:t>负债总额错报金额〈合并会计报表 负债总额的</w:t>
            </w:r>
            <w:r>
              <w:rPr>
                <w:rFonts w:ascii="Times New Roman" w:eastAsia="Times New Roman" w:hAnsi="Times New Roman" w:cs="Times New Roman"/>
                <w:color w:val="000000"/>
                <w:spacing w:val="0"/>
                <w:w w:val="100"/>
                <w:position w:val="0"/>
                <w:sz w:val="18"/>
                <w:szCs w:val="18"/>
              </w:rPr>
              <w:t>2%</w:t>
            </w:r>
          </w:p>
        </w:tc>
      </w:tr>
      <w:tr>
        <w:trPr>
          <w:trHeight w:val="10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所有者权益错报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所有者权益总额错报金额〉合 并会计报表所有者权益总额的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 xml:space="preserve">合并会计报表所有者权益总额的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所有者权益总额错报金额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合并 会计报表所有者权益总额的</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所有者权益总额错报金额〈合并会</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计报表所有者权益总额的</w:t>
            </w:r>
            <w:r>
              <w:rPr>
                <w:rFonts w:ascii="Times New Roman" w:eastAsia="Times New Roman" w:hAnsi="Times New Roman" w:cs="Times New Roman"/>
                <w:color w:val="000000"/>
                <w:spacing w:val="0"/>
                <w:w w:val="100"/>
                <w:position w:val="0"/>
                <w:sz w:val="18"/>
                <w:szCs w:val="18"/>
              </w:rPr>
              <w:t>1%</w:t>
            </w:r>
          </w:p>
        </w:tc>
      </w:tr>
    </w:tbl>
    <w:p>
      <w:pPr>
        <w:widowControl w:val="0"/>
        <w:spacing w:after="419" w:line="1" w:lineRule="exact"/>
      </w:pPr>
    </w:p>
    <w:p>
      <w:pPr>
        <w:pStyle w:val="Style37"/>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非财务报告内部控制缺陷认定标准</w:t>
      </w:r>
    </w:p>
    <w:tbl>
      <w:tblPr>
        <w:tblOverlap w:val="never"/>
        <w:jc w:val="center"/>
        <w:tblLayout w:type="fixed"/>
      </w:tblPr>
      <w:tblGrid>
        <w:gridCol w:w="2794"/>
        <w:gridCol w:w="2102"/>
        <w:gridCol w:w="2904"/>
        <w:gridCol w:w="1877"/>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指标名称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重大缺陷定量标准</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重要缺陷定量标准</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一般缺陷定量标准</w:t>
            </w:r>
          </w:p>
        </w:tc>
      </w:tr>
      <w:tr>
        <w:trPr>
          <w:trHeight w:val="10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因存货损失、固定资产损失、坏账 损失或资产处置价值过低等造成的 资产损失金额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 xml:space="preserve">资产损失金额＞合并会计 报表所有者权益总额的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合并会计报表所有者权益总额的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资产损失金额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合并会计报表所有者 权益总额的</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资产损失金额〈合并会 计报表所有者权益总额 的</w:t>
            </w:r>
            <w:r>
              <w:rPr>
                <w:rFonts w:ascii="Times New Roman" w:eastAsia="Times New Roman" w:hAnsi="Times New Roman" w:cs="Times New Roman"/>
                <w:color w:val="000000"/>
                <w:spacing w:val="0"/>
                <w:w w:val="100"/>
                <w:position w:val="0"/>
                <w:sz w:val="18"/>
                <w:szCs w:val="18"/>
              </w:rPr>
              <w:t>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644" w:name="bookmark644"/>
      <w:bookmarkStart w:id="645" w:name="bookmark645"/>
      <w:bookmarkStart w:id="646" w:name="bookmark646"/>
      <w:r>
        <w:rPr>
          <w:color w:val="000000"/>
          <w:spacing w:val="0"/>
          <w:w w:val="100"/>
          <w:position w:val="0"/>
        </w:rPr>
        <w:t>十、内部控制审计报告</w:t>
      </w:r>
      <w:bookmarkEnd w:id="644"/>
      <w:bookmarkEnd w:id="645"/>
      <w:bookmarkEnd w:id="646"/>
    </w:p>
    <w:p>
      <w:pPr>
        <w:pStyle w:val="Style37"/>
        <w:keepNext w:val="0"/>
        <w:keepLines w:val="0"/>
        <w:widowControl w:val="0"/>
        <w:shd w:val="clear" w:color="auto" w:fill="auto"/>
        <w:bidi w:val="0"/>
        <w:spacing w:before="0" w:after="80" w:line="30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2" w:lineRule="exact"/>
        <w:ind w:left="0" w:right="0" w:firstLine="0"/>
        <w:jc w:val="center"/>
      </w:pPr>
      <w:r>
        <w:rPr>
          <w:color w:val="000000"/>
          <w:spacing w:val="0"/>
          <w:w w:val="100"/>
          <w:position w:val="0"/>
        </w:rPr>
        <w:t>内部控制审计报告中的审议意见段</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left"/>
      </w:pPr>
      <w:r>
        <w:rPr>
          <w:color w:val="000000"/>
          <w:spacing w:val="0"/>
          <w:w w:val="100"/>
          <w:position w:val="0"/>
        </w:rPr>
        <w:t>根据《企业内部控制审计指引》及中国注册会计师执业准则的相关要求，信永中和会计师事务所（特殊普通合伙）（以下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信永中和</w:t>
      </w:r>
      <w:r>
        <w:rPr>
          <w:color w:val="000000"/>
          <w:spacing w:val="0"/>
          <w:w w:val="100"/>
          <w:position w:val="0"/>
        </w:rPr>
        <w:t>''）</w:t>
      </w:r>
      <w:r>
        <w:rPr>
          <w:color w:val="000000"/>
          <w:spacing w:val="0"/>
          <w:w w:val="100"/>
          <w:position w:val="0"/>
        </w:rPr>
        <w:t>对公司截止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日的财务报告内部控制有效性进行了审计，出具了《内部控制审计报告》;</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302" w:lineRule="exact"/>
        <w:ind w:left="0" w:right="0" w:firstLine="0"/>
        <w:jc w:val="left"/>
      </w:pPr>
      <w:r>
        <w:rPr>
          <w:color w:val="000000"/>
          <w:spacing w:val="0"/>
          <w:w w:val="100"/>
          <w:position w:val="0"/>
        </w:rPr>
        <w:t>并发表如下意见：信永中和认为，神州数码集团股份有限公司于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w:t>
      </w:r>
      <w:r>
        <w:br w:type="page"/>
      </w:r>
    </w:p>
    <w:tbl>
      <w:tblPr>
        <w:tblOverlap w:val="never"/>
        <w:jc w:val="center"/>
        <w:tblLayout w:type="fixed"/>
      </w:tblPr>
      <w:tblGrid>
        <w:gridCol w:w="2669"/>
        <w:gridCol w:w="6912"/>
      </w:tblGrid>
      <w:tr>
        <w:trPr>
          <w:trHeight w:val="365"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关规定在所有重大方面保持了有效的财务报告内部控制。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巨潮资讯网披露的《内部控制审计报告》</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会计师事务所是否出具非标准意见的内部控制审计报告</w:t>
      </w:r>
    </w:p>
    <w:p>
      <w:pPr>
        <w:pStyle w:val="Style3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78" w:right="1047" w:bottom="1445" w:left="1075"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0"/>
        <w:keepNext/>
        <w:keepLines/>
        <w:widowControl w:val="0"/>
        <w:shd w:val="clear" w:color="auto" w:fill="auto"/>
        <w:bidi w:val="0"/>
        <w:spacing w:before="0" w:after="440" w:line="240" w:lineRule="auto"/>
        <w:ind w:left="0" w:right="0" w:firstLine="0"/>
        <w:jc w:val="center"/>
      </w:pPr>
      <w:bookmarkStart w:id="647" w:name="bookmark647"/>
      <w:bookmarkStart w:id="648" w:name="bookmark648"/>
      <w:bookmarkStart w:id="649" w:name="bookmark649"/>
      <w:r>
        <w:rPr>
          <w:color w:val="000000"/>
          <w:spacing w:val="0"/>
          <w:w w:val="100"/>
          <w:position w:val="0"/>
        </w:rPr>
        <w:t>第十一节公司债券相关情况</w:t>
      </w:r>
      <w:bookmarkEnd w:id="647"/>
      <w:bookmarkEnd w:id="648"/>
      <w:bookmarkEnd w:id="649"/>
    </w:p>
    <w:p>
      <w:pPr>
        <w:pStyle w:val="Style3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bookmarkStart w:id="650" w:name="bookmark650"/>
      <w:r>
        <w:rPr>
          <w:color w:val="000000"/>
          <w:spacing w:val="0"/>
          <w:w w:val="100"/>
          <w:position w:val="0"/>
        </w:rPr>
        <w:t>公司是否存在公开发行并在证券交易所上市，且在年度报告批准报出日未到期或到期未能全额兑付的公司债券 否</w:t>
      </w:r>
      <w:bookmarkEnd w:id="650"/>
    </w:p>
    <w:p>
      <w:pPr>
        <w:pStyle w:val="Style20"/>
        <w:keepNext/>
        <w:keepLines/>
        <w:widowControl w:val="0"/>
        <w:shd w:val="clear" w:color="auto" w:fill="auto"/>
        <w:bidi w:val="0"/>
        <w:spacing w:before="560" w:after="540" w:line="240" w:lineRule="auto"/>
        <w:ind w:left="0" w:right="0" w:firstLine="0"/>
        <w:jc w:val="center"/>
      </w:pPr>
      <w:bookmarkStart w:id="651" w:name="bookmark651"/>
      <w:bookmarkStart w:id="652" w:name="bookmark652"/>
      <w:bookmarkStart w:id="653" w:name="bookmark653"/>
      <w:r>
        <w:rPr>
          <w:color w:val="000000"/>
          <w:spacing w:val="0"/>
          <w:w w:val="100"/>
          <w:position w:val="0"/>
        </w:rPr>
        <w:t>第十二节财务报告</w:t>
      </w:r>
      <w:bookmarkEnd w:id="651"/>
      <w:bookmarkEnd w:id="652"/>
      <w:bookmarkEnd w:id="653"/>
    </w:p>
    <w:p>
      <w:pPr>
        <w:pStyle w:val="Style32"/>
        <w:keepNext/>
        <w:keepLines/>
        <w:widowControl w:val="0"/>
        <w:shd w:val="clear" w:color="auto" w:fill="auto"/>
        <w:bidi w:val="0"/>
        <w:spacing w:before="0" w:after="300" w:line="240" w:lineRule="auto"/>
        <w:ind w:left="0" w:right="0" w:firstLine="260"/>
        <w:jc w:val="left"/>
      </w:pPr>
      <w:bookmarkStart w:id="654" w:name="bookmark654"/>
      <w:bookmarkStart w:id="655" w:name="bookmark655"/>
      <w:bookmarkStart w:id="656" w:name="bookmark656"/>
      <w:bookmarkStart w:id="657" w:name="bookmark657"/>
      <w:r>
        <w:rPr>
          <w:color w:val="000000"/>
          <w:spacing w:val="0"/>
          <w:w w:val="100"/>
          <w:position w:val="0"/>
        </w:rPr>
        <w:t>、审计报告</w:t>
      </w:r>
      <w:bookmarkEnd w:id="655"/>
      <w:bookmarkEnd w:id="656"/>
      <w:bookmarkEnd w:id="657"/>
      <w:bookmarkEnd w:id="65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XYZH/2021BJAA10613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pStyle w:val="Style35"/>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7"/>
        <w:keepNext w:val="0"/>
        <w:keepLines w:val="0"/>
        <w:widowControl w:val="0"/>
        <w:shd w:val="clear" w:color="auto" w:fill="auto"/>
        <w:bidi w:val="0"/>
        <w:spacing w:before="0" w:after="240" w:line="312" w:lineRule="exact"/>
        <w:ind w:left="0" w:right="0" w:firstLine="0"/>
        <w:jc w:val="both"/>
      </w:pPr>
      <w:r>
        <w:rPr>
          <w:b/>
          <w:bCs/>
          <w:color w:val="000000"/>
          <w:spacing w:val="0"/>
          <w:w w:val="100"/>
          <w:position w:val="0"/>
        </w:rPr>
        <w:t>神州数码集团股份有限公司全体股东：</w:t>
      </w:r>
    </w:p>
    <w:p>
      <w:pPr>
        <w:pStyle w:val="Style37"/>
        <w:keepNext w:val="0"/>
        <w:keepLines w:val="0"/>
        <w:widowControl w:val="0"/>
        <w:shd w:val="clear" w:color="auto" w:fill="auto"/>
        <w:tabs>
          <w:tab w:pos="440" w:val="left"/>
        </w:tabs>
        <w:bidi w:val="0"/>
        <w:spacing w:before="0" w:after="240" w:line="312" w:lineRule="exact"/>
        <w:ind w:left="0" w:right="0" w:firstLine="0"/>
        <w:jc w:val="both"/>
      </w:pPr>
      <w:bookmarkStart w:id="658" w:name="bookmark658"/>
      <w:r>
        <w:rPr>
          <w:b/>
          <w:bCs/>
          <w:color w:val="000000"/>
          <w:spacing w:val="0"/>
          <w:w w:val="100"/>
          <w:position w:val="0"/>
        </w:rPr>
        <w:t>一</w:t>
      </w:r>
      <w:bookmarkEnd w:id="658"/>
      <w:r>
        <w:rPr>
          <w:b/>
          <w:bCs/>
          <w:color w:val="000000"/>
          <w:spacing w:val="0"/>
          <w:w w:val="100"/>
          <w:position w:val="0"/>
        </w:rPr>
        <w:t>、</w:t>
        <w:tab/>
        <w:t>审计意见</w:t>
      </w:r>
    </w:p>
    <w:p>
      <w:pPr>
        <w:pStyle w:val="Style37"/>
        <w:keepNext w:val="0"/>
        <w:keepLines w:val="0"/>
        <w:widowControl w:val="0"/>
        <w:shd w:val="clear" w:color="auto" w:fill="auto"/>
        <w:bidi w:val="0"/>
        <w:spacing w:before="0" w:after="240" w:line="312" w:lineRule="exact"/>
        <w:ind w:left="0" w:right="0"/>
        <w:jc w:val="both"/>
      </w:pPr>
      <w:r>
        <w:rPr>
          <w:color w:val="000000"/>
          <w:spacing w:val="0"/>
          <w:w w:val="100"/>
          <w:position w:val="0"/>
        </w:rPr>
        <w:t>我们审计了神州数码集团股份有限公司（以下简称神州数码）财务报表，包括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37"/>
        <w:keepNext w:val="0"/>
        <w:keepLines w:val="0"/>
        <w:widowControl w:val="0"/>
        <w:shd w:val="clear" w:color="auto" w:fill="auto"/>
        <w:bidi w:val="0"/>
        <w:spacing w:before="0" w:after="240" w:line="307" w:lineRule="exact"/>
        <w:ind w:left="0" w:right="0"/>
        <w:jc w:val="both"/>
      </w:pPr>
      <w:r>
        <w:rPr>
          <w:color w:val="000000"/>
          <w:spacing w:val="0"/>
          <w:w w:val="100"/>
          <w:position w:val="0"/>
        </w:rPr>
        <w:t>我们认为，后附的财务报表在所有重大方面按照企业会计准则的规定编制，公允反映了神州数码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7"/>
        <w:keepNext w:val="0"/>
        <w:keepLines w:val="0"/>
        <w:widowControl w:val="0"/>
        <w:shd w:val="clear" w:color="auto" w:fill="auto"/>
        <w:tabs>
          <w:tab w:pos="440" w:val="left"/>
        </w:tabs>
        <w:bidi w:val="0"/>
        <w:spacing w:before="0" w:after="240" w:line="312" w:lineRule="exact"/>
        <w:ind w:left="0" w:right="0" w:firstLine="0"/>
        <w:jc w:val="both"/>
      </w:pPr>
      <w:bookmarkStart w:id="659" w:name="bookmark659"/>
      <w:r>
        <w:rPr>
          <w:b/>
          <w:bCs/>
          <w:color w:val="000000"/>
          <w:spacing w:val="0"/>
          <w:w w:val="100"/>
          <w:position w:val="0"/>
        </w:rPr>
        <w:t>二</w:t>
      </w:r>
      <w:bookmarkEnd w:id="659"/>
      <w:r>
        <w:rPr>
          <w:b/>
          <w:bCs/>
          <w:color w:val="000000"/>
          <w:spacing w:val="0"/>
          <w:w w:val="100"/>
          <w:position w:val="0"/>
        </w:rPr>
        <w:t>、</w:t>
        <w:tab/>
        <w:t>形成审计意见的基础</w:t>
      </w:r>
    </w:p>
    <w:p>
      <w:pPr>
        <w:pStyle w:val="Style37"/>
        <w:keepNext w:val="0"/>
        <w:keepLines w:val="0"/>
        <w:widowControl w:val="0"/>
        <w:shd w:val="clear" w:color="auto" w:fill="auto"/>
        <w:bidi w:val="0"/>
        <w:spacing w:before="0" w:after="24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阐述了我们在这些准则下的责任。按照中国注册会计师职业道德守则，我们独立于神州数码，并履行了职业道德方面的其他 责任。我们相信，我们获取的审计证据是充分、适当的，为发表审计意见提供了基础。</w:t>
      </w:r>
    </w:p>
    <w:p>
      <w:pPr>
        <w:pStyle w:val="Style37"/>
        <w:keepNext w:val="0"/>
        <w:keepLines w:val="0"/>
        <w:widowControl w:val="0"/>
        <w:shd w:val="clear" w:color="auto" w:fill="auto"/>
        <w:tabs>
          <w:tab w:pos="445" w:val="left"/>
        </w:tabs>
        <w:bidi w:val="0"/>
        <w:spacing w:before="0" w:after="240" w:line="312" w:lineRule="exact"/>
        <w:ind w:left="0" w:right="0" w:firstLine="0"/>
        <w:jc w:val="both"/>
      </w:pPr>
      <w:bookmarkStart w:id="660" w:name="bookmark660"/>
      <w:r>
        <w:rPr>
          <w:b/>
          <w:bCs/>
          <w:color w:val="000000"/>
          <w:spacing w:val="0"/>
          <w:w w:val="100"/>
          <w:position w:val="0"/>
        </w:rPr>
        <w:t>三</w:t>
      </w:r>
      <w:bookmarkEnd w:id="660"/>
      <w:r>
        <w:rPr>
          <w:b/>
          <w:bCs/>
          <w:color w:val="000000"/>
          <w:spacing w:val="0"/>
          <w:w w:val="100"/>
          <w:position w:val="0"/>
        </w:rPr>
        <w:t>、</w:t>
        <w:tab/>
        <w:t>关键审计事项</w:t>
      </w:r>
    </w:p>
    <w:p>
      <w:pPr>
        <w:pStyle w:val="Style37"/>
        <w:keepNext w:val="0"/>
        <w:keepLines w:val="0"/>
        <w:widowControl w:val="0"/>
        <w:shd w:val="clear" w:color="auto" w:fill="auto"/>
        <w:bidi w:val="0"/>
        <w:spacing w:before="0" w:after="30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987"/>
        <w:gridCol w:w="4690"/>
      </w:tblGrid>
      <w:tr>
        <w:trPr>
          <w:trHeight w:val="355"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应收账款坏账准备事项</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285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如附注六、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所述，应收账款于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日的账面价值 为人民币</w:t>
            </w:r>
            <w:r>
              <w:rPr>
                <w:rFonts w:ascii="Times New Roman" w:eastAsia="Times New Roman" w:hAnsi="Times New Roman" w:cs="Times New Roman"/>
                <w:color w:val="000000"/>
                <w:spacing w:val="0"/>
                <w:w w:val="100"/>
                <w:position w:val="0"/>
                <w:sz w:val="18"/>
                <w:szCs w:val="18"/>
              </w:rPr>
              <w:t>7,456,223,493.38</w:t>
            </w:r>
            <w:r>
              <w:rPr>
                <w:color w:val="000000"/>
                <w:spacing w:val="0"/>
                <w:w w:val="100"/>
                <w:position w:val="0"/>
              </w:rPr>
              <w:t>元，占合并财务报表资产总额</w:t>
            </w:r>
            <w:r>
              <w:rPr>
                <w:rFonts w:ascii="Times New Roman" w:eastAsia="Times New Roman" w:hAnsi="Times New Roman" w:cs="Times New Roman"/>
                <w:color w:val="000000"/>
                <w:spacing w:val="0"/>
                <w:w w:val="100"/>
                <w:position w:val="0"/>
                <w:sz w:val="18"/>
                <w:szCs w:val="18"/>
              </w:rPr>
              <w:t>24.30%</w:t>
            </w:r>
            <w:r>
              <w:rPr>
                <w:color w:val="000000"/>
                <w:spacing w:val="0"/>
                <w:w w:val="100"/>
                <w:position w:val="0"/>
              </w:rPr>
              <w:t>。 管理层依据账期及业务类型等信用风险特征将应收款项划分为 若干组合，在组合基础上计算预期信用损失。对于划分为组合的 应收款项，管理层参考历史信用损失经验，结合当前状况以及对 未来经济状况的预测，编制应收账款账期与整个存续期预期信用 损失率对照表，计算预期信用损失。因此，我们将应收账款坏账 准备事项作为关键审计事项。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374"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了解计提坏账准备的流程并评价其内部控制；</w:t>
            </w:r>
          </w:p>
          <w:p>
            <w:pPr>
              <w:pStyle w:val="Style28"/>
              <w:keepNext w:val="0"/>
              <w:keepLines w:val="0"/>
              <w:widowControl w:val="0"/>
              <w:shd w:val="clear" w:color="auto" w:fill="auto"/>
              <w:tabs>
                <w:tab w:pos="470"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了解管理层评估应收账款坏账准备时的判断及考虑因 素，并考虑是否存在对应收账款可回收性产生任何影响的情 况；</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对预期信用损失率的计算过程进行复核；对坏账准备 金额进行重新计算；</w:t>
            </w:r>
          </w:p>
          <w:p>
            <w:pPr>
              <w:pStyle w:val="Style28"/>
              <w:keepNext w:val="0"/>
              <w:keepLines w:val="0"/>
              <w:widowControl w:val="0"/>
              <w:shd w:val="clear" w:color="auto" w:fill="auto"/>
              <w:tabs>
                <w:tab w:pos="470"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了解并检查表明应收款项发生减值的相关客观证据； 查看与应收账款坏账准备计提及核销相关的审批文件；了解 并检查是否存在客观证据表明应收款项价值已恢复的情况；</w:t>
            </w:r>
          </w:p>
        </w:tc>
      </w:tr>
    </w:tbl>
    <w:p>
      <w:pPr>
        <w:widowControl w:val="0"/>
        <w:spacing w:line="1" w:lineRule="exact"/>
      </w:pPr>
      <w:r>
        <w:br w:type="page"/>
      </w:r>
    </w:p>
    <w:tbl>
      <w:tblPr>
        <w:tblOverlap w:val="never"/>
        <w:jc w:val="center"/>
        <w:tblLayout w:type="fixed"/>
      </w:tblPr>
      <w:tblGrid>
        <w:gridCol w:w="4987"/>
        <w:gridCol w:w="4690"/>
      </w:tblGrid>
      <w:tr>
        <w:trPr>
          <w:trHeight w:val="16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检查资产负债表日后是否收回款项；</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）通过检查销售合同、客户明细账及验收证据测试应收 账款账期划分的准确性；检查长账龄应收账款的回款情况； 测试资产负债表日后收到的回款；选择样本发送应收账款函 证；以及分析无法收回而需要核销的应收账款金额。</w:t>
            </w:r>
          </w:p>
        </w:tc>
      </w:tr>
      <w:tr>
        <w:trPr>
          <w:trHeight w:val="350"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存货跌价准备事项</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22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5" w:lineRule="exact"/>
              <w:ind w:left="0" w:right="0" w:firstLine="240"/>
              <w:jc w:val="both"/>
            </w:pPr>
            <w:r>
              <w:rPr>
                <w:color w:val="000000"/>
                <w:spacing w:val="0"/>
                <w:w w:val="100"/>
                <w:position w:val="0"/>
              </w:rPr>
              <w:t>如附注六、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所示，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日，存货账面价值为人民币 </w:t>
            </w:r>
            <w:r>
              <w:rPr>
                <w:rFonts w:ascii="Times New Roman" w:eastAsia="Times New Roman" w:hAnsi="Times New Roman" w:cs="Times New Roman"/>
                <w:color w:val="000000"/>
                <w:spacing w:val="0"/>
                <w:w w:val="100"/>
                <w:position w:val="0"/>
                <w:sz w:val="18"/>
                <w:szCs w:val="18"/>
              </w:rPr>
              <w:t>9,560,439,194.96</w:t>
            </w:r>
            <w:r>
              <w:rPr>
                <w:color w:val="000000"/>
                <w:spacing w:val="0"/>
                <w:w w:val="100"/>
                <w:position w:val="0"/>
              </w:rPr>
              <w:t>元，占合并财务报表资产总额</w:t>
            </w:r>
            <w:r>
              <w:rPr>
                <w:rFonts w:ascii="Times New Roman" w:eastAsia="Times New Roman" w:hAnsi="Times New Roman" w:cs="Times New Roman"/>
                <w:color w:val="000000"/>
                <w:spacing w:val="0"/>
                <w:w w:val="100"/>
                <w:position w:val="0"/>
                <w:sz w:val="18"/>
                <w:szCs w:val="18"/>
              </w:rPr>
              <w:t>31.15%</w:t>
            </w:r>
            <w:r>
              <w:rPr>
                <w:color w:val="000000"/>
                <w:spacing w:val="0"/>
                <w:w w:val="100"/>
                <w:position w:val="0"/>
              </w:rPr>
              <w:t>。存货跌 价准备的提取，取决于对存货可变现净值的估计。存货的可变现 净值的确定，要求管理层对存货的售价，至销售时将要发生的销 售费用以及相关税费的金额进行估计。因此，我们将存货跌价准 备事项作为关键审计事项。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374"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了解计提存货跌价准备的流程并评价其内部控制；</w:t>
            </w:r>
          </w:p>
          <w:p>
            <w:pPr>
              <w:pStyle w:val="Style28"/>
              <w:keepNext w:val="0"/>
              <w:keepLines w:val="0"/>
              <w:widowControl w:val="0"/>
              <w:shd w:val="clear" w:color="auto" w:fill="auto"/>
              <w:tabs>
                <w:tab w:pos="451"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对存货盘点进行监盘并关注残次冷背的存货是否被识 别；</w:t>
            </w:r>
          </w:p>
          <w:p>
            <w:pPr>
              <w:pStyle w:val="Style28"/>
              <w:keepNext w:val="0"/>
              <w:keepLines w:val="0"/>
              <w:widowControl w:val="0"/>
              <w:shd w:val="clear" w:color="auto" w:fill="auto"/>
              <w:tabs>
                <w:tab w:pos="360"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通过检查原始凭证对于存货库龄的划分进行测试；</w:t>
            </w:r>
          </w:p>
          <w:p>
            <w:pPr>
              <w:pStyle w:val="Style28"/>
              <w:keepNext w:val="0"/>
              <w:keepLines w:val="0"/>
              <w:widowControl w:val="0"/>
              <w:shd w:val="clear" w:color="auto" w:fill="auto"/>
              <w:tabs>
                <w:tab w:pos="451" w:val="left"/>
              </w:tabs>
              <w:bidi w:val="0"/>
              <w:spacing w:before="0" w:after="0" w:line="32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对管理层计算的可变现净值所涉及的重要假设进行评 价，例如检查销售价格和至销售时发生的销售费用以及相关 税金。</w:t>
            </w:r>
          </w:p>
        </w:tc>
      </w:tr>
      <w:tr>
        <w:trPr>
          <w:trHeight w:val="346"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营业收入确认事项</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441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3" w:lineRule="exact"/>
              <w:ind w:left="0" w:right="0" w:firstLine="160"/>
              <w:jc w:val="left"/>
            </w:pPr>
            <w:r>
              <w:rPr>
                <w:color w:val="000000"/>
                <w:spacing w:val="0"/>
                <w:w w:val="100"/>
                <w:position w:val="0"/>
              </w:rPr>
              <w:t>神州数码营业收入主要包括消费电子业务、企业增值业务、云 计算及数字化转型业务等，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年度营业收入为 </w:t>
            </w:r>
            <w:r>
              <w:rPr>
                <w:rFonts w:ascii="Times New Roman" w:eastAsia="Times New Roman" w:hAnsi="Times New Roman" w:cs="Times New Roman"/>
                <w:color w:val="000000"/>
                <w:spacing w:val="0"/>
                <w:w w:val="100"/>
                <w:position w:val="0"/>
                <w:sz w:val="18"/>
                <w:szCs w:val="18"/>
              </w:rPr>
              <w:t>92,060,443,406.22</w:t>
            </w:r>
            <w:r>
              <w:rPr>
                <w:color w:val="000000"/>
                <w:spacing w:val="0"/>
                <w:w w:val="100"/>
                <w:position w:val="0"/>
              </w:rPr>
              <w:t xml:space="preserve">元，金额重大且为关键业绩指标，根据附注四、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所述的会计政策，可能存在收入确认的相关风险。因此，我们 将营业收入确认作为关键审计事项。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44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对销售与收款循环内部控制进行了解，测试和评价与 收入确认相关的内部控制的设计及执行有效性；</w:t>
            </w:r>
          </w:p>
          <w:p>
            <w:pPr>
              <w:pStyle w:val="Style28"/>
              <w:keepNext w:val="0"/>
              <w:keepLines w:val="0"/>
              <w:widowControl w:val="0"/>
              <w:shd w:val="clear" w:color="auto" w:fill="auto"/>
              <w:tabs>
                <w:tab w:pos="470" w:val="left"/>
              </w:tabs>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了解收入确认政策，检查主要客户合同条款，并分析 评价实际执行的收入确认政策及确认方法是否适当；</w:t>
            </w:r>
          </w:p>
          <w:p>
            <w:pPr>
              <w:pStyle w:val="Style28"/>
              <w:keepNext w:val="0"/>
              <w:keepLines w:val="0"/>
              <w:widowControl w:val="0"/>
              <w:shd w:val="clear" w:color="auto" w:fill="auto"/>
              <w:tabs>
                <w:tab w:pos="456"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通过了解业务实质及检查相关合同等，判断公司系主 要责任人还是代理人，以确定收入按总额法确认还是净额法 确认；</w:t>
            </w:r>
          </w:p>
          <w:p>
            <w:pPr>
              <w:pStyle w:val="Style28"/>
              <w:keepNext w:val="0"/>
              <w:keepLines w:val="0"/>
              <w:widowControl w:val="0"/>
              <w:shd w:val="clear" w:color="auto" w:fill="auto"/>
              <w:tabs>
                <w:tab w:pos="451" w:val="left"/>
              </w:tabs>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对主要客户的销售额进行函证，检查函证差异原因并 取得相关支持证据，未回函的执行替代程序等；</w:t>
            </w:r>
          </w:p>
          <w:p>
            <w:pPr>
              <w:pStyle w:val="Style28"/>
              <w:keepNext w:val="0"/>
              <w:keepLines w:val="0"/>
              <w:widowControl w:val="0"/>
              <w:shd w:val="clear" w:color="auto" w:fill="auto"/>
              <w:tabs>
                <w:tab w:pos="446" w:val="left"/>
              </w:tabs>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对收入执行细节测试，检查合同、订单、出库单、签 收单等；</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执行收入截止测试，追查至关键审计证据；对给予客 户的返利进行截止测试，确保返利均已计入正确的会计期 间。</w:t>
            </w:r>
          </w:p>
        </w:tc>
      </w:tr>
    </w:tbl>
    <w:p>
      <w:pPr>
        <w:widowControl w:val="0"/>
        <w:spacing w:after="179" w:line="1" w:lineRule="exact"/>
      </w:pPr>
    </w:p>
    <w:p>
      <w:pPr>
        <w:pStyle w:val="Style37"/>
        <w:keepNext w:val="0"/>
        <w:keepLines w:val="0"/>
        <w:widowControl w:val="0"/>
        <w:shd w:val="clear" w:color="auto" w:fill="auto"/>
        <w:tabs>
          <w:tab w:pos="426" w:val="left"/>
        </w:tabs>
        <w:bidi w:val="0"/>
        <w:spacing w:before="0" w:after="220" w:line="315" w:lineRule="exact"/>
        <w:ind w:left="0" w:right="0" w:firstLine="0"/>
        <w:jc w:val="left"/>
      </w:pPr>
      <w:bookmarkStart w:id="661" w:name="bookmark661"/>
      <w:r>
        <w:rPr>
          <w:b/>
          <w:bCs/>
          <w:color w:val="000000"/>
          <w:spacing w:val="0"/>
          <w:w w:val="100"/>
          <w:position w:val="0"/>
        </w:rPr>
        <w:t>四</w:t>
      </w:r>
      <w:bookmarkEnd w:id="661"/>
      <w:r>
        <w:rPr>
          <w:b/>
          <w:bCs/>
          <w:color w:val="000000"/>
          <w:spacing w:val="0"/>
          <w:w w:val="100"/>
          <w:position w:val="0"/>
        </w:rPr>
        <w:t>、</w:t>
        <w:tab/>
        <w:t>其他信息</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神州数码管理层（以下简称管理层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对其他信息负责。其他信息包括神州数码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 财务报表和我们的审计报告。</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7"/>
        <w:keepNext w:val="0"/>
        <w:keepLines w:val="0"/>
        <w:widowControl w:val="0"/>
        <w:shd w:val="clear" w:color="auto" w:fill="auto"/>
        <w:bidi w:val="0"/>
        <w:spacing w:before="0" w:after="220" w:line="315"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7"/>
        <w:keepNext w:val="0"/>
        <w:keepLines w:val="0"/>
        <w:widowControl w:val="0"/>
        <w:shd w:val="clear" w:color="auto" w:fill="auto"/>
        <w:tabs>
          <w:tab w:pos="440" w:val="left"/>
        </w:tabs>
        <w:bidi w:val="0"/>
        <w:spacing w:before="0" w:after="220" w:line="315" w:lineRule="exact"/>
        <w:ind w:left="0" w:right="0" w:firstLine="0"/>
        <w:jc w:val="left"/>
      </w:pPr>
      <w:bookmarkStart w:id="662" w:name="bookmark662"/>
      <w:r>
        <w:rPr>
          <w:b/>
          <w:bCs/>
          <w:color w:val="000000"/>
          <w:spacing w:val="0"/>
          <w:w w:val="100"/>
          <w:position w:val="0"/>
        </w:rPr>
        <w:t>五</w:t>
      </w:r>
      <w:bookmarkEnd w:id="662"/>
      <w:r>
        <w:rPr>
          <w:b/>
          <w:bCs/>
          <w:color w:val="000000"/>
          <w:spacing w:val="0"/>
          <w:w w:val="100"/>
          <w:position w:val="0"/>
        </w:rPr>
        <w:t>、</w:t>
        <w:tab/>
        <w:t>管理层和治理层对财务报表的责任</w:t>
      </w:r>
    </w:p>
    <w:p>
      <w:pPr>
        <w:pStyle w:val="Style3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w:t>
        <w:br w:type="page"/>
      </w:r>
      <w:r>
        <w:rPr>
          <w:color w:val="000000"/>
          <w:spacing w:val="0"/>
          <w:w w:val="100"/>
          <w:position w:val="0"/>
        </w:rPr>
        <w:t>务报表不存在由于舞弊或错误导致的重大错报。</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在编制财务报表时，管理层负责评估神州数码的持续经营能力，披露与持续经营相关的事项（如适用），并运用持续经 营假设，除非管理层计划清算神州数码、终止运营或别无其他现实的选择。</w:t>
      </w:r>
    </w:p>
    <w:p>
      <w:pPr>
        <w:pStyle w:val="Style37"/>
        <w:keepNext w:val="0"/>
        <w:keepLines w:val="0"/>
        <w:widowControl w:val="0"/>
        <w:shd w:val="clear" w:color="auto" w:fill="auto"/>
        <w:bidi w:val="0"/>
        <w:spacing w:before="0" w:after="240" w:line="317" w:lineRule="exact"/>
        <w:ind w:left="0" w:right="0"/>
        <w:jc w:val="both"/>
      </w:pPr>
      <w:r>
        <w:rPr>
          <w:color w:val="000000"/>
          <w:spacing w:val="0"/>
          <w:w w:val="100"/>
          <w:position w:val="0"/>
        </w:rPr>
        <w:t>治理层负责监督神州数码的财务报告过程。</w:t>
      </w:r>
    </w:p>
    <w:p>
      <w:pPr>
        <w:pStyle w:val="Style37"/>
        <w:keepNext w:val="0"/>
        <w:keepLines w:val="0"/>
        <w:widowControl w:val="0"/>
        <w:shd w:val="clear" w:color="auto" w:fill="auto"/>
        <w:bidi w:val="0"/>
        <w:spacing w:before="0" w:after="240" w:line="313" w:lineRule="exact"/>
        <w:ind w:left="0" w:right="0" w:firstLine="0"/>
        <w:jc w:val="left"/>
      </w:pPr>
      <w:bookmarkStart w:id="663" w:name="bookmark663"/>
      <w:r>
        <w:rPr>
          <w:b/>
          <w:bCs/>
          <w:color w:val="000000"/>
          <w:spacing w:val="0"/>
          <w:w w:val="100"/>
          <w:position w:val="0"/>
        </w:rPr>
        <w:t>六</w:t>
      </w:r>
      <w:bookmarkEnd w:id="663"/>
      <w:r>
        <w:rPr>
          <w:b/>
          <w:bCs/>
          <w:color w:val="000000"/>
          <w:spacing w:val="0"/>
          <w:w w:val="100"/>
          <w:position w:val="0"/>
        </w:rPr>
        <w:t>、注册会计师对财务报表审计的责任</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7"/>
        <w:keepNext w:val="0"/>
        <w:keepLines w:val="0"/>
        <w:widowControl w:val="0"/>
        <w:shd w:val="clear" w:color="auto" w:fill="auto"/>
        <w:bidi w:val="0"/>
        <w:spacing w:before="0" w:after="0" w:line="313" w:lineRule="exact"/>
        <w:ind w:left="0" w:right="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7"/>
        <w:keepNext w:val="0"/>
        <w:keepLines w:val="0"/>
        <w:widowControl w:val="0"/>
        <w:shd w:val="clear" w:color="auto" w:fill="auto"/>
        <w:tabs>
          <w:tab w:pos="825" w:val="left"/>
        </w:tabs>
        <w:bidi w:val="0"/>
        <w:spacing w:before="0" w:after="0" w:line="313" w:lineRule="exact"/>
        <w:ind w:left="0" w:right="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37"/>
        <w:keepNext w:val="0"/>
        <w:keepLines w:val="0"/>
        <w:widowControl w:val="0"/>
        <w:shd w:val="clear" w:color="auto" w:fill="auto"/>
        <w:tabs>
          <w:tab w:pos="825" w:val="left"/>
        </w:tabs>
        <w:bidi w:val="0"/>
        <w:spacing w:before="0" w:after="0" w:line="313" w:lineRule="exact"/>
        <w:ind w:left="0" w:right="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7"/>
        <w:keepNext w:val="0"/>
        <w:keepLines w:val="0"/>
        <w:widowControl w:val="0"/>
        <w:shd w:val="clear" w:color="auto" w:fill="auto"/>
        <w:tabs>
          <w:tab w:pos="901" w:val="left"/>
        </w:tabs>
        <w:bidi w:val="0"/>
        <w:spacing w:before="0" w:after="0" w:line="313" w:lineRule="exact"/>
        <w:ind w:left="0" w:right="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对管理层使用持续经营假设的恰当性得出结论。同时，根据获取的审计证据，就可能导致对神州数码持续经营能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于截至审计报告日可获得的信息。然而，未来的事项或情况可能导致神州数码不能持续经营。</w:t>
      </w:r>
    </w:p>
    <w:p>
      <w:pPr>
        <w:pStyle w:val="Style37"/>
        <w:keepNext w:val="0"/>
        <w:keepLines w:val="0"/>
        <w:widowControl w:val="0"/>
        <w:shd w:val="clear" w:color="auto" w:fill="auto"/>
        <w:tabs>
          <w:tab w:pos="825" w:val="left"/>
        </w:tabs>
        <w:bidi w:val="0"/>
        <w:spacing w:before="0" w:after="0" w:line="313" w:lineRule="exact"/>
        <w:ind w:left="0" w:right="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37"/>
        <w:keepNext w:val="0"/>
        <w:keepLines w:val="0"/>
        <w:widowControl w:val="0"/>
        <w:shd w:val="clear" w:color="auto" w:fill="auto"/>
        <w:bidi w:val="0"/>
        <w:spacing w:before="0" w:after="0" w:line="313" w:lineRule="exact"/>
        <w:ind w:left="0" w:right="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就神州数码中实体或业务活动的财务信息获取充分、适当的审计证据，以对财务报表发表审计意见。我们负责指 导、监督和执行集团审计，并对审计意见承担全部责任。</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val="0"/>
        <w:keepLines w:val="0"/>
        <w:widowControl w:val="0"/>
        <w:shd w:val="clear" w:color="auto" w:fill="auto"/>
        <w:bidi w:val="0"/>
        <w:spacing w:before="0" w:after="740" w:line="313"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7"/>
        <w:keepNext w:val="0"/>
        <w:keepLines w:val="0"/>
        <w:widowControl w:val="0"/>
        <w:shd w:val="clear" w:color="auto" w:fill="auto"/>
        <w:bidi w:val="0"/>
        <w:spacing w:before="0" w:after="120" w:line="240" w:lineRule="auto"/>
        <w:ind w:left="1580" w:right="0" w:firstLine="0"/>
        <w:jc w:val="both"/>
      </w:pPr>
      <w:r>
        <mc:AlternateContent>
          <mc:Choice Requires="wps">
            <w:drawing>
              <wp:anchor distT="0" distB="1033145" distL="114300" distR="114300" simplePos="0" relativeHeight="125829380" behindDoc="0" locked="0" layoutInCell="1" allowOverlap="1">
                <wp:simplePos x="0" y="0"/>
                <wp:positionH relativeFrom="page">
                  <wp:posOffset>673100</wp:posOffset>
                </wp:positionH>
                <wp:positionV relativeFrom="paragraph">
                  <wp:posOffset>12700</wp:posOffset>
                </wp:positionV>
                <wp:extent cx="1935480" cy="158750"/>
                <wp:wrapSquare wrapText="right"/>
                <wp:docPr id="37" name="Shape 37"/>
                <a:graphic xmlns:a="http://schemas.openxmlformats.org/drawingml/2006/main">
                  <a:graphicData uri="http://schemas.microsoft.com/office/word/2010/wordprocessingShape">
                    <wps:wsp>
                      <wps:cNvSpPr txBox="1"/>
                      <wps:spPr>
                        <a:xfrm>
                          <a:ext cx="1935480" cy="1587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063" type="#_x0000_t202" style="position:absolute;margin-left:53.pt;margin-top:1.pt;width:152.40000000000001pt;height:12.5pt;z-index:-125829373;mso-wrap-distance-left:9.pt;mso-wrap-distance-right:9.pt;mso-wrap-distance-bottom:81.35000000000000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v:textbox>
                <w10:wrap type="square" side="right" anchorx="page"/>
              </v:shape>
            </w:pict>
          </mc:Fallback>
        </mc:AlternateContent>
      </w:r>
      <w:r>
        <mc:AlternateContent>
          <mc:Choice Requires="wps">
            <w:drawing>
              <wp:anchor distT="1042670" distB="0" distL="1028700" distR="354965" simplePos="0" relativeHeight="125829382" behindDoc="0" locked="0" layoutInCell="1" allowOverlap="1">
                <wp:simplePos x="0" y="0"/>
                <wp:positionH relativeFrom="page">
                  <wp:posOffset>1587500</wp:posOffset>
                </wp:positionH>
                <wp:positionV relativeFrom="paragraph">
                  <wp:posOffset>1055370</wp:posOffset>
                </wp:positionV>
                <wp:extent cx="780415" cy="149225"/>
                <wp:wrapSquare wrapText="right"/>
                <wp:docPr id="39" name="Shape 39"/>
                <a:graphic xmlns:a="http://schemas.openxmlformats.org/drawingml/2006/main">
                  <a:graphicData uri="http://schemas.microsoft.com/office/word/2010/wordprocessingShape">
                    <wps:wsp>
                      <wps:cNvSpPr txBox="1"/>
                      <wps:spPr>
                        <a:xfrm>
                          <a:ext cx="780415" cy="149225"/>
                        </a:xfrm>
                        <a:prstGeom prst="rect"/>
                        <a:noFill/>
                      </wps:spPr>
                      <wps:txbx>
                        <w:txbxContent>
                          <w:p>
                            <w:pPr>
                              <w:pStyle w:val="Style37"/>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中国</w:t>
                              <w:tab/>
                              <w:t>北京</w:t>
                            </w:r>
                          </w:p>
                        </w:txbxContent>
                      </wps:txbx>
                      <wps:bodyPr wrap="none" lIns="0" tIns="0" rIns="0" bIns="0">
                        <a:noAutoFit/>
                      </wps:bodyPr>
                    </wps:wsp>
                  </a:graphicData>
                </a:graphic>
              </wp:anchor>
            </w:drawing>
          </mc:Choice>
          <mc:Fallback>
            <w:pict>
              <v:shape id="_x0000_s1065" type="#_x0000_t202" style="position:absolute;margin-left:125.pt;margin-top:83.100000000000009pt;width:61.450000000000003pt;height:11.75pt;z-index:-125829371;mso-wrap-distance-left:81.pt;mso-wrap-distance-top:82.100000000000009pt;mso-wrap-distance-right:27.949999999999999pt;mso-position-horizontal-relative:page" filled="f" stroked="f">
                <v:textbox inset="0,0,0,0">
                  <w:txbxContent>
                    <w:p>
                      <w:pPr>
                        <w:pStyle w:val="Style37"/>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中国</w:t>
                        <w:tab/>
                        <w:t>北京</w:t>
                      </w:r>
                    </w:p>
                  </w:txbxContent>
                </v:textbox>
                <w10:wrap type="square" side="right" anchorx="page"/>
              </v:shape>
            </w:pict>
          </mc:Fallback>
        </mc:AlternateContent>
      </w:r>
      <w:r>
        <w:rPr>
          <w:color w:val="000000"/>
          <w:spacing w:val="0"/>
          <w:w w:val="100"/>
          <w:position w:val="0"/>
        </w:rPr>
        <w:t>中国注册会计师：</w:t>
      </w:r>
    </w:p>
    <w:p>
      <w:pPr>
        <w:pStyle w:val="Style37"/>
        <w:keepNext w:val="0"/>
        <w:keepLines w:val="0"/>
        <w:widowControl w:val="0"/>
        <w:shd w:val="clear" w:color="auto" w:fill="auto"/>
        <w:bidi w:val="0"/>
        <w:spacing w:before="0" w:after="44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项目合伙人</w:t>
      </w:r>
      <w:r>
        <w:rPr>
          <w:color w:val="000000"/>
          <w:spacing w:val="0"/>
          <w:w w:val="100"/>
          <w:position w:val="0"/>
          <w:sz w:val="18"/>
          <w:szCs w:val="18"/>
        </w:rPr>
        <w:t>）</w:t>
      </w:r>
    </w:p>
    <w:p>
      <w:pPr>
        <w:pStyle w:val="Style37"/>
        <w:keepNext w:val="0"/>
        <w:keepLines w:val="0"/>
        <w:widowControl w:val="0"/>
        <w:shd w:val="clear" w:color="auto" w:fill="auto"/>
        <w:bidi w:val="0"/>
        <w:spacing w:before="0" w:after="440" w:line="240" w:lineRule="auto"/>
        <w:ind w:left="1580" w:right="0" w:firstLine="0"/>
        <w:jc w:val="both"/>
      </w:pPr>
      <w:r>
        <w:rPr>
          <w:color w:val="000000"/>
          <w:spacing w:val="0"/>
          <w:w w:val="100"/>
          <w:position w:val="0"/>
        </w:rPr>
        <w:t>中国注册会计师：</w:t>
      </w:r>
    </w:p>
    <w:p>
      <w:pPr>
        <w:pStyle w:val="Style37"/>
        <w:keepNext w:val="0"/>
        <w:keepLines w:val="0"/>
        <w:widowControl w:val="0"/>
        <w:shd w:val="clear" w:color="auto" w:fill="auto"/>
        <w:bidi w:val="0"/>
        <w:spacing w:before="0" w:after="700" w:line="240" w:lineRule="auto"/>
        <w:ind w:left="1580" w:right="0" w:firstLine="0"/>
        <w:jc w:val="both"/>
      </w:pPr>
      <w:r>
        <w:rPr>
          <w:color w:val="000000"/>
          <w:spacing w:val="0"/>
          <w:w w:val="100"/>
          <w:position w:val="0"/>
        </w:rPr>
        <w:t>二</w:t>
      </w:r>
      <w:r>
        <w:rPr>
          <w:color w:val="000000"/>
          <w:spacing w:val="0"/>
          <w:w w:val="100"/>
          <w:position w:val="0"/>
          <w:sz w:val="18"/>
          <w:szCs w:val="18"/>
        </w:rPr>
        <w:t>。</w:t>
      </w:r>
      <w:r>
        <w:rPr>
          <w:color w:val="000000"/>
          <w:spacing w:val="0"/>
          <w:w w:val="100"/>
          <w:position w:val="0"/>
        </w:rPr>
        <w:t>二一年三月二十九日</w:t>
      </w:r>
    </w:p>
    <w:p>
      <w:pPr>
        <w:pStyle w:val="Style32"/>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r>
        <w:rPr>
          <w:color w:val="000000"/>
          <w:spacing w:val="0"/>
          <w:w w:val="100"/>
          <w:position w:val="0"/>
        </w:rPr>
        <w:t>二、财务报表</w:t>
      </w:r>
      <w:bookmarkEnd w:id="670"/>
      <w:bookmarkEnd w:id="671"/>
      <w:bookmarkEnd w:id="672"/>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财务附注中报表的单位为：元</w:t>
      </w:r>
      <w:r>
        <w:br w:type="page"/>
      </w:r>
    </w:p>
    <w:p>
      <w:pPr>
        <w:pStyle w:val="Style40"/>
        <w:keepNext/>
        <w:keepLines/>
        <w:widowControl w:val="0"/>
        <w:shd w:val="clear" w:color="auto" w:fill="auto"/>
        <w:bidi w:val="0"/>
        <w:spacing w:before="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、合并资产负债表</w:t>
      </w:r>
      <w:bookmarkEnd w:id="673"/>
      <w:bookmarkEnd w:id="674"/>
      <w:bookmarkEnd w:id="676"/>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编制单位：神州数码集团股份有限公司</w:t>
      </w:r>
    </w:p>
    <w:p>
      <w:pPr>
        <w:pStyle w:val="Style28"/>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4,097,592,432.58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4,000,033,909.38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6,193,221.28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299,451,142.72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340,819,332.24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7,456,223,493.38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7,038,877,340.76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370,298,196.37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391,954,244.02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1,768,739,390.81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1,801,675,988.15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212,031,714.55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183,110,885.61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9,560,439,194.96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9,198,835,216.66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32,754,498.16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16,470.22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203,640.19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314,754,201.89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393,791,821.14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24,112,400,735.64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23,355,495,599.43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3,940,868.49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3,771,033.79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1,083,329,455.08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1,135,055,094.45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45,126,528.90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27,085,995.00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166,148,565.53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171,886,206.38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198,811,531.74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152,024,086.54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730,146,171.91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2,353,598,102.79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2,450,600,309.82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931,286,825.05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931,286,825.05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12,655,137.57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11,045,015.60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439,454,907.61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357,748,473.68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90,146,901.95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90,317,630.76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6,577,202,497.26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6,065,406,842.98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30,689,603,232.90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29,420,902,442.41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9,461,489,844.04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9,691,753,164.15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22,085,412.30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3,804,586,176.93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3,558,687,083.68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6,312,788,897.91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5,825,871,423.34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1,323,390,053.02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1,298,268,893.89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479,368,631.74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427,695,627.41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444,677,181.33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321,723,313.03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877,218,246.70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794,739,812.80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670,243,111.55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543,770,050.53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1,212,125.60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23,378,950,203.38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22,510,928,065.86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2,013,840,434.43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2,102,378,244.54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378,187,968.30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310,007,671.47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14,628,524.22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110,054,528.34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107,321,370.62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2,607,863,478.50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2,535,107,286.63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25,986,813,681.88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25,046,035,352.49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659,560,727.00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654,070,434.00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2,422,889,157.24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2,376,124,753.80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213,233,123.66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37,090,317.03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-17,442,864.67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17,607,673.34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113,161,337.33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99,533,275.62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1,735,124,744.74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1,261,899,895.70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4,700,059,977.98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4,372,145,715.43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2,729,573.04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2,721,374.49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4,702,789,551.02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4,374,867,089.92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30,689,603,232.90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29,420,902,442.41</w:t>
            </w: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84" behindDoc="0" locked="0" layoutInCell="1" allowOverlap="1">
                <wp:simplePos x="0" y="0"/>
                <wp:positionH relativeFrom="page">
                  <wp:posOffset>690245</wp:posOffset>
                </wp:positionH>
                <wp:positionV relativeFrom="margin">
                  <wp:posOffset>2048510</wp:posOffset>
                </wp:positionV>
                <wp:extent cx="941705" cy="149225"/>
                <wp:wrapTopAndBottom/>
                <wp:docPr id="41" name="Shape 4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wps:txbx>
                      <wps:bodyPr wrap="none" lIns="0" tIns="0" rIns="0" bIns="0">
                        <a:noAutoFit/>
                      </wps:bodyPr>
                    </wps:wsp>
                  </a:graphicData>
                </a:graphic>
              </wp:anchor>
            </w:drawing>
          </mc:Choice>
          <mc:Fallback>
            <w:pict>
              <v:shape id="_x0000_s1067" type="#_x0000_t202" style="position:absolute;margin-left:54.350000000000001pt;margin-top:161.30000000000001pt;width:74.150000000000006pt;height:11.75pt;z-index:-125829369;mso-wrap-distance-left:9.pt;mso-wrap-distance-top:12.pt;mso-wrap-distance-right:414.15000000000003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法定代表人：郭为</w:t>
                      </w:r>
                    </w:p>
                  </w:txbxContent>
                </v:textbox>
                <w10:wrap type="topAndBottom" anchorx="page" anchory="margin"/>
              </v:shape>
            </w:pict>
          </mc:Fallback>
        </mc:AlternateContent>
      </w:r>
      <w:r>
        <mc:AlternateContent>
          <mc:Choice Requires="wps">
            <w:drawing>
              <wp:anchor distT="152400" distB="3175" distL="2290445" distR="2632075" simplePos="0" relativeHeight="125829386" behindDoc="0" locked="0" layoutInCell="1" allowOverlap="1">
                <wp:simplePos x="0" y="0"/>
                <wp:positionH relativeFrom="page">
                  <wp:posOffset>2866390</wp:posOffset>
                </wp:positionH>
                <wp:positionV relativeFrom="margin">
                  <wp:posOffset>2048510</wp:posOffset>
                </wp:positionV>
                <wp:extent cx="1393190" cy="146050"/>
                <wp:wrapTopAndBottom/>
                <wp:docPr id="43" name="Shape 4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主管会计工作负责人：辛昕</w:t>
                            </w:r>
                          </w:p>
                        </w:txbxContent>
                      </wps:txbx>
                      <wps:bodyPr wrap="none" lIns="0" tIns="0" rIns="0" bIns="0">
                        <a:noAutoFit/>
                      </wps:bodyPr>
                    </wps:wsp>
                  </a:graphicData>
                </a:graphic>
              </wp:anchor>
            </w:drawing>
          </mc:Choice>
          <mc:Fallback>
            <w:pict>
              <v:shape id="_x0000_s1069" type="#_x0000_t202" style="position:absolute;margin-left:225.70000000000002pt;margin-top:161.30000000000001pt;width:109.7pt;height:11.5pt;z-index:-125829367;mso-wrap-distance-left:180.34999999999999pt;mso-wrap-distance-top:12.pt;mso-wrap-distance-right:207.25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主管会计工作负责人：辛昕</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5490845</wp:posOffset>
                </wp:positionH>
                <wp:positionV relativeFrom="margin">
                  <wp:posOffset>2048510</wp:posOffset>
                </wp:positionV>
                <wp:extent cx="1286510" cy="149225"/>
                <wp:wrapTopAndBottom/>
                <wp:docPr id="45" name="Shape 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会计机构负责人：詹晓红</w:t>
                            </w:r>
                          </w:p>
                        </w:txbxContent>
                      </wps:txbx>
                      <wps:bodyPr wrap="none" lIns="0" tIns="0" rIns="0" bIns="0">
                        <a:noAutoFit/>
                      </wps:bodyPr>
                    </wps:wsp>
                  </a:graphicData>
                </a:graphic>
              </wp:anchor>
            </w:drawing>
          </mc:Choice>
          <mc:Fallback>
            <w:pict>
              <v:shape id="_x0000_s1071" type="#_x0000_t202" style="position:absolute;margin-left:432.35000000000002pt;margin-top:161.30000000000001pt;width:101.3pt;height:11.75pt;z-index:-125829365;mso-wrap-distance-left:387.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会计机构负责人：詹晓红</w:t>
                      </w:r>
                    </w:p>
                  </w:txbxContent>
                </v:textbox>
                <w10:wrap type="topAndBottom" anchorx="page" anchory="margin"/>
              </v:shape>
            </w:pict>
          </mc:Fallback>
        </mc:AlternateContent>
      </w: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、母公司资产负债表</w:t>
      </w:r>
      <w:bookmarkEnd w:id="677"/>
      <w:bookmarkEnd w:id="678"/>
      <w:bookmarkEnd w:id="68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227,517,197.45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9,751,835.77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6,570,064.18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11,011.14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394,541,551.10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355,060,654.92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1,462,329,015.67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1,265,461,867.01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50,050,068.69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24,032,835.63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2,151,007,897.09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1,664,318,204.47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5,712,493,879.11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5,702,470,586.51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40,191,066.00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27,085,995.00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436,516.82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525,562.91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730,146,171.91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2,311,217,845.37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2,398,708,741.72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36,102,130.96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89,818,348.62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89,818,348.62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9,434,947,459.43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8,948,755,406.67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11,585,955,356.52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10,613,073,611.14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212,199,999.98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212,114,166.64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6,573,521.59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165,317.35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23,904,758.61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22,569,977.32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291,880.10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250,107.47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1,862,389,327.24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1,148,274,130.14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2,623,524,804.87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1,855,208,381.57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5,696,750,705.60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5,424,256,918.32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5,696,750,705.60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5,424,256,918.32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8,320,275,510.47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7,279,465,299.89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659,560,727.00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654,070,434.00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2,575,410,895.91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2,484,833,624.66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213,233,123.66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37,090,317.03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5,551,336.43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-7,553,734.57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113,161,337.33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99,533,275.62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125,228,673.04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139,815,028.57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3,265,679,846.05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3,333,608,311.25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11,585,955,356.52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10,613,073,611.14</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、合并利润表</w:t>
      </w:r>
      <w:bookmarkEnd w:id="681"/>
      <w:bookmarkEnd w:id="682"/>
      <w:bookmarkEnd w:id="68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92,060,443,406.22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86,803,376,390.13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92,060,443,406.22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86,803,376,390.13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90,935,883,694.22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85,997,595,394.26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88,465,675,189.24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83,316,650,862.54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84,773,456.83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82,483,190.11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1,769,346,583.68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1,698,215,203.52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238,509,366.95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264,454,079.15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181,767,255.95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145,505,051.85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195,811,841.57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490,287,007.09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422,841,970.56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438,197,857.53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47,321,284.44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22,485,348.94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39,238,111.23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58,955,678.15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-109,396,819.64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59,517,156.32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25,964,362.78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59,517,314.09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-50,089,180.69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-72,193,825.52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-84,209,133.11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37,245,054.20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-86,526,484.12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-63,728,905.38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资产减值损失（损失以号填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21,093,299.71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19,934,952.66</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12,001,122.16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2,546,957.87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916,759,808.23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920,251,889.69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14,745,429.25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16,441,524.56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98,594,087.45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5,204,436.99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832,911,150.03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931,488,977.26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208,811,129.44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229,831,669.75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624,100,020.59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701,657,307.51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624,100,020.59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516,026,502.55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624,091,822.04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701,410,697.57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246,609.94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-35,050,538.01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14,200,597.52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-35,050,538.01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14,200,597.52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7,738,537.92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2,207,301.98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-5,750,919.40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-1,083,618.52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13,489,457.32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3,290,920.50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-42,789,075.93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11,993,295.54</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-1,661,885.41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83,608.80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634,532.41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-805,002.01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-41,761,722.93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12,714,688.75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589,049,482.58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715,857,905.03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589,041,284.03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715,611,295.09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246,609.94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w:t>
            </w:r>
          </w:p>
        </w:tc>
      </w:tr>
    </w:tbl>
    <w:p>
      <w:pPr>
        <w:widowControl w:val="0"/>
        <w:spacing w:after="79" w:line="1" w:lineRule="exact"/>
      </w:pPr>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法定代表人：郭为</w:t>
        <w:tab/>
        <w:t>主管会计工作负责人：辛昕</w:t>
        <w:tab/>
        <w:t>会计机构负责人：詹晓红</w:t>
      </w:r>
    </w:p>
    <w:p>
      <w:pPr>
        <w:pStyle w:val="Style40"/>
        <w:keepNext/>
        <w:keepLines/>
        <w:widowControl w:val="0"/>
        <w:shd w:val="clear" w:color="auto" w:fill="auto"/>
        <w:bidi w:val="0"/>
        <w:spacing w:before="0" w:after="40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、母公司利润表</w:t>
      </w:r>
      <w:bookmarkEnd w:id="685"/>
      <w:bookmarkEnd w:id="686"/>
      <w:bookmarkEnd w:id="68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11,794,196.44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414,792.58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11,130,845.75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358,318.00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321,999.10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-1,554,571.90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44,008,879.68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48,166,487.98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100,334,219.85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111,077,692.74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100,774,078.67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109,785,817.49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2,633,278.45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30,496.97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287,302.98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3,421,423.31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244,241,537.10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307,670,831.00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1,576,092.10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5,460,000.00</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-277,319.94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-155,805.70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100,249,772.20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153,303,314.37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71,629.04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100,178,486.51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153,303,257.56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-36,102,130.96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136,280,617.47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153,303,257.56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9"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136,280,617.47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153,303,257.56</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54"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13,105,071.00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3,290,920.50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13,105,071.00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3,290,920.50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13,105,071.00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3,290,920.50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6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149,385,688.47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156,594,178.06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0.2358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0.2082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0.2347</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、合并现金流量表</w:t>
      </w:r>
      <w:bookmarkEnd w:id="689"/>
      <w:bookmarkEnd w:id="690"/>
      <w:bookmarkEnd w:id="692"/>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101,248,863,150.88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98,647,311,679.93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5,427,688.50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9,487,132.34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71,310,488.29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94,225,859.80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101,325,601,327.67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98,751,024,672.07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96,836,079,976.62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94,255,703,519.26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1,006,542,736.64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981,995,155.19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788,251,801.67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701,794,695.67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1,237,806,669.18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1,311,902,601.63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99,868,681,184.11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97,251,395,971.75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1,456,920,143.56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1,499,628,700.32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244,957,757.00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30,529,265.83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64,121,425.71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12,749,871.24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1,759,427.69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20,528,405.27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63,807,542.34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310,838,610.40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304,496,376.64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131,629,023.78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215,957,529.59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37,893,397.30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520,453,906.23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199,522,421.08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-456,646,363.89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111,316,189.32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83,319,077.33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31,084,500.10</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19,134,756,924.47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20,344,849,093.49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19,218,076,001.80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20,375,933,593.59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18,945,458,869.13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18,892,078,473.77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793,709,609.91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927,793,740.00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188,661,232.99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69,367,075.04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19,927,829,712.03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19,889,239,288.81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-709,753,710.23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486,694,304.78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-27,744,847.87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-984,950.77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262,775,221.57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2,096,654,243.65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3,075,275,681.51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978,621,437.86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3,338,050,903.08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3,075,275,681.51</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、母公司现金流量表</w:t>
      </w:r>
      <w:bookmarkEnd w:id="693"/>
      <w:bookmarkEnd w:id="694"/>
      <w:bookmarkEnd w:id="69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6,560,666.13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428,948.41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2,920,581.43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3,458,399.52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9,481,247.56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3,887,347.93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101,842,937.71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63,947,031.87</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33,827,147.87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18,998,041.43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5,898,704.31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2,082,450.98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36,349,017.60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17,364,541.86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177,917,807.49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102,392,066.14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-168,436,559.93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-98,504,718.21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302,665,445.00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210,831.00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20,528,405.27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323,204,827.97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210,831.00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201,802,145.62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116,840,971.50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201,802,145.62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146,840,971.50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121,402,682.35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-146,630,140.50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83,319,077.33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31,084,500.10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1,282,062,066.59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1,514,844,695.12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1,365,381,143.92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1,545,929,195.22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932,000,000.00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443,026,731.10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310,775,693.80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185,550,266.63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50,009,066.93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1,100,576,997.73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1,292,784,760.73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264,804,146.19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253,144,434.49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217,770,252.47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8,009,580.79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9,742,535.83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1,732,955.04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227,512,788.30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9,742,535.83</w:t>
            </w:r>
          </w:p>
        </w:tc>
      </w:tr>
    </w:tbl>
    <w:p>
      <w:pPr>
        <w:sectPr>
          <w:footnotePr>
            <w:pos w:val="pageBottom"/>
            <w:numFmt w:val="decimal"/>
            <w:numRestart w:val="continuous"/>
          </w:footnotePr>
          <w:pgSz w:w="11900" w:h="16840"/>
          <w:pgMar w:top="1383" w:right="1091" w:bottom="1436" w:left="1046" w:header="0" w:footer="3" w:gutter="0"/>
          <w:cols w:space="720"/>
          <w:noEndnote/>
          <w:rtlGutter w:val="0"/>
          <w:docGrid w:linePitch="360"/>
        </w:sectPr>
      </w:pPr>
    </w:p>
    <w:p>
      <w:pPr>
        <w:pStyle w:val="Style40"/>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7</w:t>
      </w:r>
      <w:bookmarkEnd w:id="699"/>
      <w:r>
        <w:rPr>
          <w:color w:val="000000"/>
          <w:spacing w:val="0"/>
          <w:w w:val="100"/>
          <w:position w:val="0"/>
        </w:rPr>
        <w:t>、合并所有者权益变动表</w:t>
      </w:r>
      <w:bookmarkEnd w:id="697"/>
      <w:bookmarkEnd w:id="698"/>
      <w:bookmarkEnd w:id="700"/>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358"/>
        <w:gridCol w:w="1181"/>
        <w:gridCol w:w="235"/>
        <w:gridCol w:w="235"/>
        <w:gridCol w:w="235"/>
        <w:gridCol w:w="1315"/>
        <w:gridCol w:w="1181"/>
        <w:gridCol w:w="1152"/>
        <w:gridCol w:w="264"/>
        <w:gridCol w:w="1176"/>
        <w:gridCol w:w="370"/>
        <w:gridCol w:w="1315"/>
        <w:gridCol w:w="370"/>
        <w:gridCol w:w="1315"/>
        <w:gridCol w:w="1003"/>
        <w:gridCol w:w="1325"/>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400" w:firstLine="0"/>
              <w:jc w:val="right"/>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2,376,124,753.80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17,607,673.34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1,261,899,895.70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4,372,145,715.43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2,721,374.49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4,374,867,089.92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2,376,124,753.80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17,607,673.34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1,261,899,895.70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4,372,145,715.43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2,721,374.49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4,374,867,089.92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46,764,403.44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176,142,806.63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-35,050,538.01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473,224,849.04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327,914,262.55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327,922,461.10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-35,050,538.01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624,091,822.04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589,041,284.03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589,049,482.58</w:t>
            </w:r>
          </w:p>
        </w:tc>
      </w:tr>
    </w:tbl>
    <w:p>
      <w:pPr>
        <w:spacing w:lineRule="exact" w:line="1"/>
        <w:rPr>
          <w:sz w:val="2"/>
          <w:szCs w:val="2"/>
        </w:rPr>
      </w:pPr>
      <w:r>
        <w:br w:type="page"/>
      </w:r>
    </w:p>
    <w:tbl>
      <w:tblPr>
        <w:tblOverlap w:val="never"/>
        <w:jc w:val="center"/>
        <w:tblLayout w:type="fixed"/>
      </w:tblPr>
      <w:tblGrid>
        <w:gridCol w:w="1358"/>
        <w:gridCol w:w="1181"/>
        <w:gridCol w:w="235"/>
        <w:gridCol w:w="235"/>
        <w:gridCol w:w="235"/>
        <w:gridCol w:w="1315"/>
        <w:gridCol w:w="1181"/>
        <w:gridCol w:w="1152"/>
        <w:gridCol w:w="264"/>
        <w:gridCol w:w="1176"/>
        <w:gridCol w:w="370"/>
        <w:gridCol w:w="1315"/>
        <w:gridCol w:w="370"/>
        <w:gridCol w:w="1315"/>
        <w:gridCol w:w="1003"/>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90,577,271.25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176,142,806.63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-80,075,242.38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-80,075,242.38</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 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78,809,761.65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185,468,156.63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-101,168,101.98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-101,168,101.98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11,767,509.60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11,767,509.60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11,767,509.60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9,325,350.00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-150,866,973.00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-137,238,911.29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-137,238,911.29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-137,238,911.29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-137,238,911.29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1181"/>
        <w:gridCol w:w="235"/>
        <w:gridCol w:w="235"/>
        <w:gridCol w:w="235"/>
        <w:gridCol w:w="1315"/>
        <w:gridCol w:w="1181"/>
        <w:gridCol w:w="1152"/>
        <w:gridCol w:w="264"/>
        <w:gridCol w:w="1176"/>
        <w:gridCol w:w="370"/>
        <w:gridCol w:w="1315"/>
        <w:gridCol w:w="370"/>
        <w:gridCol w:w="1315"/>
        <w:gridCol w:w="1003"/>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-43,812,867.81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-43,812,867.81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-43,812,867.81</w:t>
            </w:r>
          </w:p>
        </w:tc>
      </w:tr>
    </w:tbl>
    <w:p>
      <w:pPr>
        <w:spacing w:lineRule="exact" w:line="1"/>
        <w:rPr>
          <w:sz w:val="2"/>
          <w:szCs w:val="2"/>
        </w:rPr>
      </w:pPr>
      <w:r>
        <w:br w:type="page"/>
      </w:r>
    </w:p>
    <w:tbl>
      <w:tblPr>
        <w:tblOverlap w:val="never"/>
        <w:jc w:val="center"/>
        <w:tblLayout w:type="fixed"/>
      </w:tblPr>
      <w:tblGrid>
        <w:gridCol w:w="1358"/>
        <w:gridCol w:w="1181"/>
        <w:gridCol w:w="235"/>
        <w:gridCol w:w="235"/>
        <w:gridCol w:w="235"/>
        <w:gridCol w:w="1315"/>
        <w:gridCol w:w="1181"/>
        <w:gridCol w:w="1152"/>
        <w:gridCol w:w="264"/>
        <w:gridCol w:w="1176"/>
        <w:gridCol w:w="370"/>
        <w:gridCol w:w="1315"/>
        <w:gridCol w:w="370"/>
        <w:gridCol w:w="1315"/>
        <w:gridCol w:w="1003"/>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659,560,727.00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2,422,889,157.24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213,233,123.66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-17,442,864.67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113,161,337.33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1,735,124,744.74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4,700,059,977.98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2,729,573.04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4,702,789,551.02</w:t>
            </w: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widowControl w:val="0"/>
        <w:spacing w:after="119" w:line="1" w:lineRule="exact"/>
      </w:pP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330"/>
        <w:gridCol w:w="1181"/>
        <w:gridCol w:w="235"/>
        <w:gridCol w:w="235"/>
        <w:gridCol w:w="235"/>
        <w:gridCol w:w="1315"/>
        <w:gridCol w:w="1152"/>
        <w:gridCol w:w="1090"/>
        <w:gridCol w:w="374"/>
        <w:gridCol w:w="1099"/>
        <w:gridCol w:w="374"/>
        <w:gridCol w:w="1325"/>
        <w:gridCol w:w="379"/>
        <w:gridCol w:w="1320"/>
        <w:gridCol w:w="1061"/>
        <w:gridCol w:w="13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2,380,341,533.95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6,267,874.72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84,202,949.86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716,563,287.65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3,841,446,080.18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5,044,169.56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3,846,490,249.74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-2,860,798.90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23,593,058.49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20,732,259.59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-23,744.20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20,708,515.39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0"/>
        <w:gridCol w:w="1181"/>
        <w:gridCol w:w="235"/>
        <w:gridCol w:w="235"/>
        <w:gridCol w:w="235"/>
        <w:gridCol w:w="1315"/>
        <w:gridCol w:w="1152"/>
        <w:gridCol w:w="1090"/>
        <w:gridCol w:w="374"/>
        <w:gridCol w:w="1090"/>
        <w:gridCol w:w="394"/>
        <w:gridCol w:w="1315"/>
        <w:gridCol w:w="379"/>
        <w:gridCol w:w="1320"/>
        <w:gridCol w:w="1061"/>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2,380,341,533.95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3,407,075.82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84,202,949.86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740,156,346.14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3,862,178,339.77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5,020,425.36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3,867,198,765.13</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-4,216,780.15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14,200,597.52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521,743,549.56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509,967,375.66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-2,299,050.87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507,668,324.79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14,200,597.52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701,410,697.57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715,611,295.09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246,609.94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715,857,905.03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-4,793,991.69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-41,884,308.72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-2,545,660.81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-44,429,969.53</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81,093,567.03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-81,093,567.03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-2,545,660.81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-83,639,227.84</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8,124,758.21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8,124,758.21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-12,918,749.90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-44,003,250.00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31,084,500.10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31,084,500.10</w:t>
            </w:r>
          </w:p>
        </w:tc>
      </w:tr>
    </w:tbl>
    <w:p>
      <w:pPr>
        <w:spacing w:lineRule="exact" w:line="1"/>
        <w:rPr>
          <w:sz w:val="2"/>
          <w:szCs w:val="2"/>
        </w:rPr>
      </w:pPr>
      <w:r>
        <w:br w:type="page"/>
      </w:r>
    </w:p>
    <w:tbl>
      <w:tblPr>
        <w:tblOverlap w:val="never"/>
        <w:jc w:val="center"/>
        <w:tblLayout w:type="fixed"/>
      </w:tblPr>
      <w:tblGrid>
        <w:gridCol w:w="1330"/>
        <w:gridCol w:w="1181"/>
        <w:gridCol w:w="235"/>
        <w:gridCol w:w="235"/>
        <w:gridCol w:w="235"/>
        <w:gridCol w:w="1315"/>
        <w:gridCol w:w="1152"/>
        <w:gridCol w:w="1090"/>
        <w:gridCol w:w="374"/>
        <w:gridCol w:w="1090"/>
        <w:gridCol w:w="394"/>
        <w:gridCol w:w="1315"/>
        <w:gridCol w:w="379"/>
        <w:gridCol w:w="1320"/>
        <w:gridCol w:w="1061"/>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-179,667,148.01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-164,336,822.25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-164,336,822.25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-164,336,822.25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-164,336,822.25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-164,336,822.25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0"/>
        <w:gridCol w:w="1181"/>
        <w:gridCol w:w="235"/>
        <w:gridCol w:w="235"/>
        <w:gridCol w:w="235"/>
        <w:gridCol w:w="1315"/>
        <w:gridCol w:w="1152"/>
        <w:gridCol w:w="1090"/>
        <w:gridCol w:w="374"/>
        <w:gridCol w:w="1090"/>
        <w:gridCol w:w="394"/>
        <w:gridCol w:w="1315"/>
        <w:gridCol w:w="379"/>
        <w:gridCol w:w="1320"/>
        <w:gridCol w:w="1061"/>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577,211.54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577,211.54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577,211.54</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2,376,124,753.80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17,607,673.34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1,261,899,895.70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4,372,145,715.43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2,721,374.49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4,374,867,089.92</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8</w:t>
      </w:r>
      <w:bookmarkEnd w:id="703"/>
      <w:r>
        <w:rPr>
          <w:color w:val="000000"/>
          <w:spacing w:val="0"/>
          <w:w w:val="100"/>
          <w:position w:val="0"/>
        </w:rPr>
        <w:t>、母公司所有者权益变动表</w:t>
      </w:r>
      <w:bookmarkEnd w:id="701"/>
      <w:bookmarkEnd w:id="702"/>
      <w:bookmarkEnd w:id="704"/>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728"/>
        <w:gridCol w:w="1181"/>
        <w:gridCol w:w="691"/>
        <w:gridCol w:w="691"/>
        <w:gridCol w:w="691"/>
        <w:gridCol w:w="1315"/>
        <w:gridCol w:w="1181"/>
        <w:gridCol w:w="1094"/>
        <w:gridCol w:w="869"/>
        <w:gridCol w:w="1176"/>
        <w:gridCol w:w="1238"/>
        <w:gridCol w:w="850"/>
        <w:gridCol w:w="13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2,484,833,624.66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-7,553,734.57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139,815,028.57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3,333,608,311.25</w:t>
            </w:r>
          </w:p>
        </w:tc>
      </w:tr>
    </w:tbl>
    <w:p>
      <w:pPr>
        <w:spacing w:lineRule="exact" w:line="1"/>
        <w:rPr>
          <w:sz w:val="2"/>
          <w:szCs w:val="2"/>
        </w:rPr>
      </w:pPr>
      <w:r>
        <w:br w:type="page"/>
      </w:r>
    </w:p>
    <w:tbl>
      <w:tblPr>
        <w:tblOverlap w:val="never"/>
        <w:jc w:val="center"/>
        <w:tblLayout w:type="fixed"/>
      </w:tblPr>
      <w:tblGrid>
        <w:gridCol w:w="1728"/>
        <w:gridCol w:w="1181"/>
        <w:gridCol w:w="691"/>
        <w:gridCol w:w="691"/>
        <w:gridCol w:w="691"/>
        <w:gridCol w:w="1315"/>
        <w:gridCol w:w="1181"/>
        <w:gridCol w:w="1094"/>
        <w:gridCol w:w="869"/>
        <w:gridCol w:w="1176"/>
        <w:gridCol w:w="1238"/>
        <w:gridCol w:w="850"/>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前期差错更</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2,484,833,624.66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-7,553,734.57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139,815,028.57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3,333,608,311.25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90,577,271.25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176,142,806.63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13,105,071.00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-14,586,355.53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-67,928,465.20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13,105,071.00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149,385,688.47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90,577,271.25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176,142,806.63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-80,075,242.38</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78,809,761.65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185,468,156.63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-101,168,101.98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11,767,509.60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11,767,509.60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-9,325,350.00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9,325,350.00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-150,866,973.00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-137,238,911.29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-137,238,911.29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-137,238,911.29</w:t>
            </w:r>
          </w:p>
        </w:tc>
      </w:tr>
    </w:tbl>
    <w:p>
      <w:pPr>
        <w:spacing w:lineRule="exact" w:line="1"/>
        <w:rPr>
          <w:sz w:val="2"/>
          <w:szCs w:val="2"/>
        </w:rPr>
      </w:pPr>
      <w:r>
        <w:br w:type="page"/>
      </w:r>
    </w:p>
    <w:tbl>
      <w:tblPr>
        <w:tblOverlap w:val="never"/>
        <w:jc w:val="center"/>
        <w:tblLayout w:type="fixed"/>
      </w:tblPr>
      <w:tblGrid>
        <w:gridCol w:w="1723"/>
        <w:gridCol w:w="1186"/>
        <w:gridCol w:w="691"/>
        <w:gridCol w:w="691"/>
        <w:gridCol w:w="691"/>
        <w:gridCol w:w="1315"/>
        <w:gridCol w:w="1181"/>
        <w:gridCol w:w="1094"/>
        <w:gridCol w:w="869"/>
        <w:gridCol w:w="1176"/>
        <w:gridCol w:w="1238"/>
        <w:gridCol w:w="850"/>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659,560,727.00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2,575,410,895.91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213,233,123.66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5,551,336.43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113,161,337.33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125,228,673.04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3,265,679,846.05</w:t>
            </w: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上期金额</w:t>
      </w:r>
    </w:p>
    <w:p>
      <w:pPr>
        <w:widowControl w:val="0"/>
        <w:spacing w:after="99" w:line="1" w:lineRule="exact"/>
      </w:pP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632"/>
        <w:gridCol w:w="12398"/>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bl>
    <w:p>
      <w:pPr>
        <w:spacing w:lineRule="exact" w:line="1"/>
        <w:rPr>
          <w:sz w:val="2"/>
          <w:szCs w:val="2"/>
        </w:rPr>
      </w:pPr>
      <w:r>
        <w:br w:type="page"/>
      </w:r>
    </w:p>
    <w:tbl>
      <w:tblPr>
        <w:tblOverlap w:val="never"/>
        <w:jc w:val="center"/>
        <w:tblLayout w:type="fixed"/>
      </w:tblPr>
      <w:tblGrid>
        <w:gridCol w:w="1632"/>
        <w:gridCol w:w="1181"/>
        <w:gridCol w:w="658"/>
        <w:gridCol w:w="662"/>
        <w:gridCol w:w="662"/>
        <w:gridCol w:w="1315"/>
        <w:gridCol w:w="1152"/>
        <w:gridCol w:w="1152"/>
        <w:gridCol w:w="970"/>
        <w:gridCol w:w="1090"/>
        <w:gridCol w:w="1238"/>
        <w:gridCol w:w="994"/>
        <w:gridCol w:w="1325"/>
      </w:tblGrid>
      <w:tr>
        <w:trPr>
          <w:trHeight w:val="43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2,489,627,616.35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-10,844,655.07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84,202,949.86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166,179,207.28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3,383,235,552.42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前期差错</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2,489,627,616.35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-10,844,655.07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84,202,949.86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166,178,919.02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3,383,235,264.16</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-4,793,991.69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3,290,920.50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-26,363,890.45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-49,626,952.91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3,290,920.50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153,303,257.56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156,594,178.06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-4,793,991.69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-41,884,308.72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81,093,567.03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-81,093,567.03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2,384,555.14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2,384,555.14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-7,178,546.83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-44,003,250.00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36,824,703.17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-179,667,148.01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-164,336,822.25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-15,330,325.76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-164,336,822.25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-164,336,822.25</w:t>
            </w:r>
          </w:p>
        </w:tc>
      </w:tr>
    </w:tbl>
    <w:p>
      <w:pPr>
        <w:spacing w:lineRule="exact" w:line="1"/>
        <w:rPr>
          <w:sz w:val="2"/>
          <w:szCs w:val="2"/>
        </w:rPr>
      </w:pPr>
      <w:r>
        <w:br w:type="page"/>
      </w:r>
    </w:p>
    <w:tbl>
      <w:tblPr>
        <w:tblOverlap w:val="never"/>
        <w:jc w:val="center"/>
        <w:tblLayout w:type="fixed"/>
      </w:tblPr>
      <w:tblGrid>
        <w:gridCol w:w="1632"/>
        <w:gridCol w:w="1181"/>
        <w:gridCol w:w="658"/>
        <w:gridCol w:w="662"/>
        <w:gridCol w:w="662"/>
        <w:gridCol w:w="1315"/>
        <w:gridCol w:w="1152"/>
        <w:gridCol w:w="1152"/>
        <w:gridCol w:w="970"/>
        <w:gridCol w:w="1090"/>
        <w:gridCol w:w="1238"/>
        <w:gridCol w:w="994"/>
        <w:gridCol w:w="1325"/>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2,484,833,624.66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-7,553,734.57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139,815,028.57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3,333,608,311.25</w:t>
            </w:r>
          </w:p>
        </w:tc>
      </w:tr>
    </w:tbl>
    <w:p>
      <w:pPr>
        <w:sectPr>
          <w:headerReference w:type="default" r:id="rId23"/>
          <w:footerReference w:type="default" r:id="rId24"/>
          <w:footnotePr>
            <w:pos w:val="pageBottom"/>
            <w:numFmt w:val="decimal"/>
            <w:numRestart w:val="continuous"/>
          </w:footnotePr>
          <w:pgSz w:w="16840" w:h="11900" w:orient="landscape"/>
          <w:pgMar w:top="1098" w:right="1402" w:bottom="1202" w:left="1407" w:header="0" w:footer="3" w:gutter="0"/>
          <w:cols w:space="720"/>
          <w:noEndnote/>
          <w:rtlGutter w:val="0"/>
          <w:docGrid w:linePitch="360"/>
        </w:sectPr>
      </w:pPr>
    </w:p>
    <w:p>
      <w:pPr>
        <w:pStyle w:val="Style32"/>
        <w:keepNext/>
        <w:keepLines/>
        <w:widowControl w:val="0"/>
        <w:shd w:val="clear" w:color="auto" w:fill="auto"/>
        <w:bidi w:val="0"/>
        <w:spacing w:before="80" w:after="260" w:line="240" w:lineRule="auto"/>
        <w:ind w:left="0" w:right="0" w:firstLine="0"/>
        <w:jc w:val="left"/>
      </w:pPr>
      <w:bookmarkStart w:id="705" w:name="bookmark705"/>
      <w:bookmarkStart w:id="706" w:name="bookmark706"/>
      <w:bookmarkStart w:id="707" w:name="bookmark707"/>
      <w:r>
        <w:rPr>
          <w:color w:val="000000"/>
          <w:spacing w:val="0"/>
          <w:w w:val="100"/>
          <w:position w:val="0"/>
        </w:rPr>
        <w:t>三、公司基本情况</w:t>
      </w:r>
      <w:bookmarkEnd w:id="705"/>
      <w:bookmarkEnd w:id="706"/>
      <w:bookmarkEnd w:id="707"/>
    </w:p>
    <w:p>
      <w:pPr>
        <w:pStyle w:val="Style37"/>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神州数码集团股份有限公司（以下简称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，在包含子公司时统称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）原名深圳市深信泰丰（集团） 股份有限公司，前身为深圳市华宝畜禽联合公司，</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日经深圳市人民政府以市特府</w:t>
      </w:r>
      <w:r>
        <w:rPr>
          <w:rFonts w:ascii="Times New Roman" w:eastAsia="Times New Roman" w:hAnsi="Times New Roman" w:cs="Times New Roman"/>
          <w:color w:val="000000"/>
          <w:spacing w:val="0"/>
          <w:w w:val="100"/>
          <w:position w:val="0"/>
          <w:sz w:val="18"/>
          <w:szCs w:val="18"/>
        </w:rPr>
        <w:t>[1981]20</w:t>
      </w:r>
      <w:r>
        <w:rPr>
          <w:color w:val="000000"/>
          <w:spacing w:val="0"/>
          <w:w w:val="100"/>
          <w:position w:val="0"/>
        </w:rPr>
        <w:t>号文批准成立， 并于</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日经中国牧工商联合总公司以（</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）农牧（办）字第</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号文批准更名为深圳华宝牧工商联合公司。</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日经深圳市人民政府以深府办复</w:t>
      </w:r>
      <w:r>
        <w:rPr>
          <w:rFonts w:ascii="Times New Roman" w:eastAsia="Times New Roman" w:hAnsi="Times New Roman" w:cs="Times New Roman"/>
          <w:color w:val="000000"/>
          <w:spacing w:val="0"/>
          <w:w w:val="100"/>
          <w:position w:val="0"/>
          <w:sz w:val="18"/>
          <w:szCs w:val="18"/>
        </w:rPr>
        <w:t>[1993]855</w:t>
      </w:r>
      <w:r>
        <w:rPr>
          <w:color w:val="000000"/>
          <w:spacing w:val="0"/>
          <w:w w:val="100"/>
          <w:position w:val="0"/>
        </w:rPr>
        <w:t>号文批准，由中国牧工商总公司、深圳市宝安区投资管理公司、深圳经 济特区食品贸易（集团）公司三家为发起人，通过改组以社会募集方式设立深圳市华宝（集团）股份有限公司。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日经深圳市工商行政管理局批准，公司名称变更为深圳市深信泰丰（集团）股份有限公司。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日经深圳市工商 行政管理局批准，公司名称变更为现名称神州数码集团股份有限公司。本公司已领取统一社会信用代码</w:t>
      </w:r>
      <w:r>
        <w:rPr>
          <w:rFonts w:ascii="Times New Roman" w:eastAsia="Times New Roman" w:hAnsi="Times New Roman" w:cs="Times New Roman"/>
          <w:color w:val="000000"/>
          <w:spacing w:val="0"/>
          <w:w w:val="100"/>
          <w:position w:val="0"/>
          <w:sz w:val="18"/>
          <w:szCs w:val="18"/>
        </w:rPr>
        <w:t xml:space="preserve">9144030019218259X7 </w:t>
      </w:r>
      <w:r>
        <w:rPr>
          <w:color w:val="000000"/>
          <w:spacing w:val="0"/>
          <w:w w:val="100"/>
          <w:position w:val="0"/>
        </w:rPr>
        <w:t>号企业法人营业执照，注册资本为人民币</w:t>
      </w:r>
      <w:r>
        <w:rPr>
          <w:rFonts w:ascii="Times New Roman" w:eastAsia="Times New Roman" w:hAnsi="Times New Roman" w:cs="Times New Roman"/>
          <w:color w:val="000000"/>
          <w:spacing w:val="0"/>
          <w:w w:val="100"/>
          <w:position w:val="0"/>
          <w:sz w:val="18"/>
          <w:szCs w:val="18"/>
        </w:rPr>
        <w:t>659,560,727.00</w:t>
      </w:r>
      <w:r>
        <w:rPr>
          <w:color w:val="000000"/>
          <w:spacing w:val="0"/>
          <w:w w:val="100"/>
          <w:position w:val="0"/>
        </w:rPr>
        <w:t>元。</w:t>
      </w:r>
    </w:p>
    <w:p>
      <w:pPr>
        <w:pStyle w:val="Style17"/>
        <w:keepNext w:val="0"/>
        <w:keepLines w:val="0"/>
        <w:widowControl w:val="0"/>
        <w:numPr>
          <w:ilvl w:val="0"/>
          <w:numId w:val="7"/>
        </w:numPr>
        <w:shd w:val="clear" w:color="auto" w:fill="auto"/>
        <w:bidi w:val="0"/>
        <w:spacing w:before="0" w:after="260" w:line="240" w:lineRule="auto"/>
        <w:ind w:left="0" w:right="0" w:firstLine="0"/>
        <w:jc w:val="left"/>
      </w:pPr>
      <w:bookmarkStart w:id="708" w:name="bookmark708"/>
      <w:bookmarkEnd w:id="708"/>
      <w:r>
        <w:rPr>
          <w:b/>
          <w:bCs/>
          <w:color w:val="000000"/>
          <w:spacing w:val="0"/>
          <w:w w:val="100"/>
          <w:position w:val="0"/>
        </w:rPr>
        <w:t>股东所持公司的法人股发生的股权转让事宜</w:t>
      </w:r>
    </w:p>
    <w:p>
      <w:pPr>
        <w:pStyle w:val="Style37"/>
        <w:keepNext w:val="0"/>
        <w:keepLines w:val="0"/>
        <w:widowControl w:val="0"/>
        <w:shd w:val="clear" w:color="auto" w:fill="auto"/>
        <w:tabs>
          <w:tab w:pos="841" w:val="left"/>
        </w:tabs>
        <w:bidi w:val="0"/>
        <w:spacing w:before="0" w:after="0" w:line="314" w:lineRule="exact"/>
        <w:ind w:left="0" w:right="0"/>
        <w:jc w:val="left"/>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深圳市证券管理办公室于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日以深证办复</w:t>
      </w:r>
      <w:r>
        <w:rPr>
          <w:rFonts w:ascii="Times New Roman" w:eastAsia="Times New Roman" w:hAnsi="Times New Roman" w:cs="Times New Roman"/>
          <w:color w:val="000000"/>
          <w:spacing w:val="0"/>
          <w:w w:val="100"/>
          <w:position w:val="0"/>
          <w:sz w:val="18"/>
          <w:szCs w:val="18"/>
        </w:rPr>
        <w:t>[1999]42</w:t>
      </w:r>
      <w:r>
        <w:rPr>
          <w:color w:val="000000"/>
          <w:spacing w:val="0"/>
          <w:w w:val="100"/>
          <w:position w:val="0"/>
        </w:rPr>
        <w:t>号文批准，以及经财政部于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日以财 管字</w:t>
      </w:r>
      <w:r>
        <w:rPr>
          <w:rFonts w:ascii="Times New Roman" w:eastAsia="Times New Roman" w:hAnsi="Times New Roman" w:cs="Times New Roman"/>
          <w:color w:val="000000"/>
          <w:spacing w:val="0"/>
          <w:w w:val="100"/>
          <w:position w:val="0"/>
          <w:sz w:val="18"/>
          <w:szCs w:val="18"/>
        </w:rPr>
        <w:t>[1999]362</w:t>
      </w:r>
      <w:r>
        <w:rPr>
          <w:color w:val="000000"/>
          <w:spacing w:val="0"/>
          <w:w w:val="100"/>
          <w:position w:val="0"/>
        </w:rPr>
        <w:t>号文批准，由深圳国际信托投资有限责任公司受让本公司原股东</w:t>
      </w:r>
      <w:r>
        <w:rPr>
          <w:color w:val="000000"/>
          <w:spacing w:val="0"/>
          <w:w w:val="100"/>
          <w:position w:val="0"/>
          <w:sz w:val="18"/>
          <w:szCs w:val="18"/>
        </w:rPr>
        <w:t>一</w:t>
      </w:r>
      <w:r>
        <w:rPr>
          <w:color w:val="000000"/>
          <w:spacing w:val="0"/>
          <w:w w:val="100"/>
          <w:position w:val="0"/>
        </w:rPr>
        <w:t>中国牧工商（集团）总公司持有的本公司 法人股份</w:t>
      </w:r>
      <w:r>
        <w:rPr>
          <w:rFonts w:ascii="Times New Roman" w:eastAsia="Times New Roman" w:hAnsi="Times New Roman" w:cs="Times New Roman"/>
          <w:color w:val="000000"/>
          <w:spacing w:val="0"/>
          <w:w w:val="100"/>
          <w:position w:val="0"/>
          <w:sz w:val="18"/>
          <w:szCs w:val="18"/>
        </w:rPr>
        <w:t>77,886,656</w:t>
      </w:r>
      <w:r>
        <w:rPr>
          <w:color w:val="000000"/>
          <w:spacing w:val="0"/>
          <w:w w:val="100"/>
          <w:position w:val="0"/>
        </w:rPr>
        <w:t>股，并办妥股权过户手续。转让完成后，中国牧工商（集团）总公司不再持有本公司股权。</w:t>
      </w:r>
    </w:p>
    <w:p>
      <w:pPr>
        <w:pStyle w:val="Style37"/>
        <w:keepNext w:val="0"/>
        <w:keepLines w:val="0"/>
        <w:widowControl w:val="0"/>
        <w:shd w:val="clear" w:color="auto" w:fill="auto"/>
        <w:tabs>
          <w:tab w:pos="841" w:val="left"/>
        </w:tabs>
        <w:bidi w:val="0"/>
        <w:spacing w:before="0" w:after="0" w:line="317" w:lineRule="exact"/>
        <w:ind w:left="0" w:right="0"/>
        <w:jc w:val="left"/>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深圳市宝安区人民政府于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日以深宝府函</w:t>
      </w:r>
      <w:r>
        <w:rPr>
          <w:rFonts w:ascii="Times New Roman" w:eastAsia="Times New Roman" w:hAnsi="Times New Roman" w:cs="Times New Roman"/>
          <w:color w:val="000000"/>
          <w:spacing w:val="0"/>
          <w:w w:val="100"/>
          <w:position w:val="0"/>
          <w:sz w:val="18"/>
          <w:szCs w:val="18"/>
        </w:rPr>
        <w:t>[1999]29</w:t>
      </w:r>
      <w:r>
        <w:rPr>
          <w:color w:val="000000"/>
          <w:spacing w:val="0"/>
          <w:w w:val="100"/>
          <w:position w:val="0"/>
        </w:rPr>
        <w:t>号文批准、深圳市国有资产管理办公室于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[1999]65</w:t>
      </w:r>
      <w:r>
        <w:rPr>
          <w:color w:val="000000"/>
          <w:spacing w:val="0"/>
          <w:w w:val="100"/>
          <w:position w:val="0"/>
        </w:rPr>
        <w:t>号文批准，以及深圳市证券管理办公室于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日以深证办复</w:t>
      </w:r>
      <w:r>
        <w:rPr>
          <w:rFonts w:ascii="Times New Roman" w:eastAsia="Times New Roman" w:hAnsi="Times New Roman" w:cs="Times New Roman"/>
          <w:color w:val="000000"/>
          <w:spacing w:val="0"/>
          <w:w w:val="100"/>
          <w:position w:val="0"/>
          <w:sz w:val="18"/>
          <w:szCs w:val="18"/>
        </w:rPr>
        <w:t>[1999]42</w:t>
      </w:r>
      <w:r>
        <w:rPr>
          <w:color w:val="000000"/>
          <w:spacing w:val="0"/>
          <w:w w:val="100"/>
          <w:position w:val="0"/>
        </w:rPr>
        <w:t>号文批准，以及经财政部 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日以财管字</w:t>
      </w:r>
      <w:r>
        <w:rPr>
          <w:rFonts w:ascii="Times New Roman" w:eastAsia="Times New Roman" w:hAnsi="Times New Roman" w:cs="Times New Roman"/>
          <w:color w:val="000000"/>
          <w:spacing w:val="0"/>
          <w:w w:val="100"/>
          <w:position w:val="0"/>
          <w:sz w:val="18"/>
          <w:szCs w:val="18"/>
        </w:rPr>
        <w:t>[1999]362</w:t>
      </w:r>
      <w:r>
        <w:rPr>
          <w:color w:val="000000"/>
          <w:spacing w:val="0"/>
          <w:w w:val="100"/>
          <w:position w:val="0"/>
        </w:rPr>
        <w:t>号文批准由深圳国际信托投资有限责任公司受让本公司原第一大股东</w:t>
      </w:r>
      <w:r>
        <w:rPr>
          <w:color w:val="000000"/>
          <w:spacing w:val="0"/>
          <w:w w:val="100"/>
          <w:position w:val="0"/>
          <w:sz w:val="18"/>
          <w:szCs w:val="18"/>
        </w:rPr>
        <w:t>一</w:t>
      </w:r>
      <w:r>
        <w:rPr>
          <w:color w:val="000000"/>
          <w:spacing w:val="0"/>
          <w:w w:val="100"/>
          <w:position w:val="0"/>
        </w:rPr>
        <w:t>深圳市宝 安区投资管理公司持有的本公司国家股份</w:t>
      </w:r>
      <w:r>
        <w:rPr>
          <w:rFonts w:ascii="Times New Roman" w:eastAsia="Times New Roman" w:hAnsi="Times New Roman" w:cs="Times New Roman"/>
          <w:color w:val="000000"/>
          <w:spacing w:val="0"/>
          <w:w w:val="100"/>
          <w:position w:val="0"/>
          <w:sz w:val="18"/>
          <w:szCs w:val="18"/>
        </w:rPr>
        <w:t>71,335,413</w:t>
      </w:r>
      <w:r>
        <w:rPr>
          <w:color w:val="000000"/>
          <w:spacing w:val="0"/>
          <w:w w:val="100"/>
          <w:position w:val="0"/>
        </w:rPr>
        <w:t>股。</w:t>
      </w:r>
    </w:p>
    <w:p>
      <w:pPr>
        <w:pStyle w:val="Style3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w:t>
      </w:r>
      <w:r>
        <w:rPr>
          <w:color w:val="000000"/>
          <w:spacing w:val="0"/>
          <w:w w:val="100"/>
          <w:position w:val="0"/>
        </w:rPr>
        <w:t>深圳市宝安区投资管理公司与深圳国际信托投资有限责任公司重新签定了《股权转让协议书》，根据审 计后本公司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日净资产，上述股权转让价格为</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股，总价款为</w:t>
      </w:r>
      <w:r>
        <w:rPr>
          <w:rFonts w:ascii="Times New Roman" w:eastAsia="Times New Roman" w:hAnsi="Times New Roman" w:cs="Times New Roman"/>
          <w:color w:val="000000"/>
          <w:spacing w:val="0"/>
          <w:w w:val="100"/>
          <w:position w:val="0"/>
          <w:sz w:val="18"/>
          <w:szCs w:val="18"/>
        </w:rPr>
        <w:t>82,749,079.08</w:t>
      </w:r>
      <w:r>
        <w:rPr>
          <w:color w:val="000000"/>
          <w:spacing w:val="0"/>
          <w:w w:val="100"/>
          <w:position w:val="0"/>
        </w:rPr>
        <w:t xml:space="preserve">元。该事项已获财政部财企 </w:t>
      </w:r>
      <w:r>
        <w:rPr>
          <w:rFonts w:ascii="Times New Roman" w:eastAsia="Times New Roman" w:hAnsi="Times New Roman" w:cs="Times New Roman"/>
          <w:color w:val="000000"/>
          <w:spacing w:val="0"/>
          <w:w w:val="100"/>
          <w:position w:val="0"/>
          <w:sz w:val="18"/>
          <w:szCs w:val="18"/>
        </w:rPr>
        <w:t>[2003]64</w:t>
      </w:r>
      <w:r>
        <w:rPr>
          <w:color w:val="000000"/>
          <w:spacing w:val="0"/>
          <w:w w:val="100"/>
          <w:position w:val="0"/>
        </w:rPr>
        <w:t>号文批复、中国证监会证监公司字</w:t>
      </w:r>
      <w:r>
        <w:rPr>
          <w:rFonts w:ascii="Times New Roman" w:eastAsia="Times New Roman" w:hAnsi="Times New Roman" w:cs="Times New Roman"/>
          <w:color w:val="000000"/>
          <w:spacing w:val="0"/>
          <w:w w:val="100"/>
          <w:position w:val="0"/>
          <w:sz w:val="18"/>
          <w:szCs w:val="18"/>
        </w:rPr>
        <w:t>[2003]38</w:t>
      </w:r>
      <w:r>
        <w:rPr>
          <w:color w:val="000000"/>
          <w:spacing w:val="0"/>
          <w:w w:val="100"/>
          <w:position w:val="0"/>
        </w:rPr>
        <w:t>号文批复，并办妥股权过户手续。</w:t>
      </w:r>
    </w:p>
    <w:p>
      <w:pPr>
        <w:pStyle w:val="Style37"/>
        <w:keepNext w:val="0"/>
        <w:keepLines w:val="0"/>
        <w:widowControl w:val="0"/>
        <w:shd w:val="clear" w:color="auto" w:fill="auto"/>
        <w:bidi w:val="0"/>
        <w:spacing w:before="0" w:after="0" w:line="322" w:lineRule="exact"/>
        <w:ind w:left="0" w:right="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深圳市宝安区人民政府于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日以深宝函</w:t>
      </w:r>
      <w:r>
        <w:rPr>
          <w:rFonts w:ascii="Times New Roman" w:eastAsia="Times New Roman" w:hAnsi="Times New Roman" w:cs="Times New Roman"/>
          <w:color w:val="000000"/>
          <w:spacing w:val="0"/>
          <w:w w:val="100"/>
          <w:position w:val="0"/>
          <w:sz w:val="18"/>
          <w:szCs w:val="18"/>
        </w:rPr>
        <w:t>[2000]42</w:t>
      </w:r>
      <w:r>
        <w:rPr>
          <w:color w:val="000000"/>
          <w:spacing w:val="0"/>
          <w:w w:val="100"/>
          <w:position w:val="0"/>
        </w:rPr>
        <w:t>号文批准，由深圳泰丰电子有限公司受让本公司原 股东</w:t>
      </w:r>
      <w:r>
        <w:rPr>
          <w:color w:val="000000"/>
          <w:spacing w:val="0"/>
          <w:w w:val="100"/>
          <w:position w:val="0"/>
          <w:sz w:val="18"/>
          <w:szCs w:val="18"/>
        </w:rPr>
        <w:t>一</w:t>
      </w:r>
      <w:r>
        <w:rPr>
          <w:color w:val="000000"/>
          <w:spacing w:val="0"/>
          <w:w w:val="100"/>
          <w:position w:val="0"/>
        </w:rPr>
        <w:t>深圳市宝安区投资管理公司持有的公司国家股</w:t>
      </w:r>
      <w:r>
        <w:rPr>
          <w:rFonts w:ascii="Times New Roman" w:eastAsia="Times New Roman" w:hAnsi="Times New Roman" w:cs="Times New Roman"/>
          <w:color w:val="000000"/>
          <w:spacing w:val="0"/>
          <w:w w:val="100"/>
          <w:position w:val="0"/>
          <w:sz w:val="18"/>
          <w:szCs w:val="18"/>
        </w:rPr>
        <w:t>24,891,152</w:t>
      </w:r>
      <w:r>
        <w:rPr>
          <w:color w:val="000000"/>
          <w:spacing w:val="0"/>
          <w:w w:val="100"/>
          <w:position w:val="0"/>
        </w:rPr>
        <w:t>股。</w:t>
      </w:r>
    </w:p>
    <w:p>
      <w:pPr>
        <w:pStyle w:val="Style3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日，深圳市宝安区投资管理公司与深圳泰丰电子有限公司重新签定了《股权转让协议书》，根据审计后的 本公司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日净资产，上述股权转让价格为</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股，总价款为</w:t>
      </w:r>
      <w:r>
        <w:rPr>
          <w:rFonts w:ascii="Times New Roman" w:eastAsia="Times New Roman" w:hAnsi="Times New Roman" w:cs="Times New Roman"/>
          <w:color w:val="000000"/>
          <w:spacing w:val="0"/>
          <w:w w:val="100"/>
          <w:position w:val="0"/>
          <w:sz w:val="18"/>
          <w:szCs w:val="18"/>
        </w:rPr>
        <w:t>28,873,736.32</w:t>
      </w:r>
      <w:r>
        <w:rPr>
          <w:color w:val="000000"/>
          <w:spacing w:val="0"/>
          <w:w w:val="100"/>
          <w:position w:val="0"/>
        </w:rPr>
        <w:t xml:space="preserve">元。该事项已获财政部财企 </w:t>
      </w:r>
      <w:r>
        <w:rPr>
          <w:rFonts w:ascii="Times New Roman" w:eastAsia="Times New Roman" w:hAnsi="Times New Roman" w:cs="Times New Roman"/>
          <w:color w:val="000000"/>
          <w:spacing w:val="0"/>
          <w:w w:val="100"/>
          <w:position w:val="0"/>
          <w:sz w:val="18"/>
          <w:szCs w:val="18"/>
        </w:rPr>
        <w:t>[2003]64</w:t>
      </w:r>
      <w:r>
        <w:rPr>
          <w:color w:val="000000"/>
          <w:spacing w:val="0"/>
          <w:w w:val="100"/>
          <w:position w:val="0"/>
        </w:rPr>
        <w:t>号文批复，并办妥股权过户手续。</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此次股权转让后，深圳市宝安区投资管理公司尚持有本公司股份为</w:t>
      </w:r>
      <w:r>
        <w:rPr>
          <w:rFonts w:ascii="Times New Roman" w:eastAsia="Times New Roman" w:hAnsi="Times New Roman" w:cs="Times New Roman"/>
          <w:color w:val="000000"/>
          <w:spacing w:val="0"/>
          <w:w w:val="100"/>
          <w:position w:val="0"/>
          <w:sz w:val="18"/>
          <w:szCs w:val="18"/>
        </w:rPr>
        <w:t>37,329,007</w:t>
      </w:r>
      <w:r>
        <w:rPr>
          <w:color w:val="000000"/>
          <w:spacing w:val="0"/>
          <w:w w:val="100"/>
          <w:position w:val="0"/>
        </w:rPr>
        <w:t>股。</w:t>
      </w:r>
    </w:p>
    <w:p>
      <w:pPr>
        <w:pStyle w:val="Style37"/>
        <w:keepNext w:val="0"/>
        <w:keepLines w:val="0"/>
        <w:widowControl w:val="0"/>
        <w:shd w:val="clear" w:color="auto" w:fill="auto"/>
        <w:bidi w:val="0"/>
        <w:spacing w:before="0" w:after="0" w:line="322" w:lineRule="exact"/>
        <w:ind w:left="0" w:right="0"/>
        <w:jc w:val="left"/>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深圳市投资管理公司于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日以深投</w:t>
      </w:r>
      <w:r>
        <w:rPr>
          <w:rFonts w:ascii="Times New Roman" w:eastAsia="Times New Roman" w:hAnsi="Times New Roman" w:cs="Times New Roman"/>
          <w:color w:val="000000"/>
          <w:spacing w:val="0"/>
          <w:w w:val="100"/>
          <w:position w:val="0"/>
          <w:sz w:val="18"/>
          <w:szCs w:val="18"/>
        </w:rPr>
        <w:t>[2000]411</w:t>
      </w:r>
      <w:r>
        <w:rPr>
          <w:color w:val="000000"/>
          <w:spacing w:val="0"/>
          <w:w w:val="100"/>
          <w:position w:val="0"/>
        </w:rPr>
        <w:t>号批准，由深圳泰丰电子有限公司受让公司原股东</w:t>
      </w:r>
      <w:r>
        <w:rPr>
          <w:color w:val="000000"/>
          <w:spacing w:val="0"/>
          <w:w w:val="100"/>
          <w:position w:val="0"/>
          <w:sz w:val="18"/>
          <w:szCs w:val="18"/>
        </w:rPr>
        <w:t>一</w:t>
      </w:r>
      <w:r>
        <w:rPr>
          <w:color w:val="000000"/>
          <w:spacing w:val="0"/>
          <w:w w:val="100"/>
          <w:position w:val="0"/>
        </w:rPr>
        <w:t>深 圳市国际信托投资有限责任公司持有的本公司法人股</w:t>
      </w:r>
      <w:r>
        <w:rPr>
          <w:rFonts w:ascii="Times New Roman" w:eastAsia="Times New Roman" w:hAnsi="Times New Roman" w:cs="Times New Roman"/>
          <w:color w:val="000000"/>
          <w:spacing w:val="0"/>
          <w:w w:val="100"/>
          <w:position w:val="0"/>
          <w:sz w:val="18"/>
          <w:szCs w:val="18"/>
        </w:rPr>
        <w:t>57,560,789</w:t>
      </w:r>
      <w:r>
        <w:rPr>
          <w:color w:val="000000"/>
          <w:spacing w:val="0"/>
          <w:w w:val="100"/>
          <w:position w:val="0"/>
        </w:rPr>
        <w:t>股，因需政府其他部门批准，故未办理股权过户手续。</w:t>
      </w:r>
    </w:p>
    <w:p>
      <w:pPr>
        <w:pStyle w:val="Style37"/>
        <w:keepNext w:val="0"/>
        <w:keepLines w:val="0"/>
        <w:widowControl w:val="0"/>
        <w:shd w:val="clear" w:color="auto" w:fill="auto"/>
        <w:bidi w:val="0"/>
        <w:spacing w:before="0" w:after="0" w:line="322" w:lineRule="exact"/>
        <w:ind w:left="0" w:right="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国务院国有资产监督管理委员会于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日以国资产权</w:t>
      </w:r>
      <w:r>
        <w:rPr>
          <w:rFonts w:ascii="Times New Roman" w:eastAsia="Times New Roman" w:hAnsi="Times New Roman" w:cs="Times New Roman"/>
          <w:color w:val="000000"/>
          <w:spacing w:val="0"/>
          <w:w w:val="100"/>
          <w:position w:val="0"/>
          <w:sz w:val="18"/>
          <w:szCs w:val="18"/>
        </w:rPr>
        <w:t>[2006]106</w:t>
      </w:r>
      <w:r>
        <w:rPr>
          <w:color w:val="000000"/>
          <w:spacing w:val="0"/>
          <w:w w:val="100"/>
          <w:position w:val="0"/>
        </w:rPr>
        <w:t>号批准，由中国希格玛有限公司受让公司 原股东</w:t>
      </w:r>
      <w:r>
        <w:rPr>
          <w:color w:val="000000"/>
          <w:spacing w:val="0"/>
          <w:w w:val="100"/>
          <w:position w:val="0"/>
          <w:sz w:val="18"/>
          <w:szCs w:val="18"/>
        </w:rPr>
        <w:t>一</w:t>
      </w:r>
      <w:r>
        <w:rPr>
          <w:color w:val="000000"/>
          <w:spacing w:val="0"/>
          <w:w w:val="100"/>
          <w:position w:val="0"/>
        </w:rPr>
        <w:t>深圳市国际信托投资有限责任公司持有的本公司国有股</w:t>
      </w:r>
      <w:r>
        <w:rPr>
          <w:rFonts w:ascii="Times New Roman" w:eastAsia="Times New Roman" w:hAnsi="Times New Roman" w:cs="Times New Roman"/>
          <w:color w:val="000000"/>
          <w:spacing w:val="0"/>
          <w:w w:val="100"/>
          <w:position w:val="0"/>
          <w:sz w:val="18"/>
          <w:szCs w:val="18"/>
        </w:rPr>
        <w:t>91,661,280</w:t>
      </w:r>
      <w:r>
        <w:rPr>
          <w:color w:val="000000"/>
          <w:spacing w:val="0"/>
          <w:w w:val="100"/>
          <w:position w:val="0"/>
        </w:rPr>
        <w:t>股，并办妥股权过户手续。</w:t>
      </w:r>
    </w:p>
    <w:p>
      <w:pPr>
        <w:pStyle w:val="Style37"/>
        <w:keepNext w:val="0"/>
        <w:keepLines w:val="0"/>
        <w:widowControl w:val="0"/>
        <w:shd w:val="clear" w:color="auto" w:fill="auto"/>
        <w:bidi w:val="0"/>
        <w:spacing w:before="0" w:after="0" w:line="318" w:lineRule="exact"/>
        <w:ind w:left="0" w:right="0"/>
        <w:jc w:val="left"/>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6</w:t>
      </w:r>
      <w:r>
        <w:rPr>
          <w:color w:val="000000"/>
          <w:spacing w:val="0"/>
          <w:w w:val="100"/>
          <w:position w:val="0"/>
        </w:rPr>
        <w:t>） 由于深圳泰丰电子有限公司持有的本公司</w:t>
      </w:r>
      <w:r>
        <w:rPr>
          <w:rFonts w:ascii="Times New Roman" w:eastAsia="Times New Roman" w:hAnsi="Times New Roman" w:cs="Times New Roman"/>
          <w:color w:val="000000"/>
          <w:spacing w:val="0"/>
          <w:w w:val="100"/>
          <w:position w:val="0"/>
          <w:sz w:val="18"/>
          <w:szCs w:val="18"/>
        </w:rPr>
        <w:t>24,891,152</w:t>
      </w:r>
      <w:r>
        <w:rPr>
          <w:color w:val="000000"/>
          <w:spacing w:val="0"/>
          <w:w w:val="100"/>
          <w:position w:val="0"/>
        </w:rPr>
        <w:t>股法人股被北京市第一中级人民法院于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 开拍卖。上海灵竹投资咨询有限公司、上海美佳商贸有限公司以联合竞拍方式各得</w:t>
      </w:r>
      <w:r>
        <w:rPr>
          <w:rFonts w:ascii="Times New Roman" w:eastAsia="Times New Roman" w:hAnsi="Times New Roman" w:cs="Times New Roman"/>
          <w:color w:val="000000"/>
          <w:spacing w:val="0"/>
          <w:w w:val="100"/>
          <w:position w:val="0"/>
          <w:sz w:val="18"/>
          <w:szCs w:val="18"/>
        </w:rPr>
        <w:t>12,445,576</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年办妥股权过 户手续。</w:t>
      </w:r>
    </w:p>
    <w:p>
      <w:pPr>
        <w:pStyle w:val="Style37"/>
        <w:keepNext w:val="0"/>
        <w:keepLines w:val="0"/>
        <w:widowControl w:val="0"/>
        <w:shd w:val="clear" w:color="auto" w:fill="auto"/>
        <w:tabs>
          <w:tab w:pos="841" w:val="left"/>
        </w:tabs>
        <w:bidi w:val="0"/>
        <w:spacing w:before="0" w:after="0" w:line="318" w:lineRule="exact"/>
        <w:ind w:left="0" w:right="0"/>
        <w:jc w:val="left"/>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由于深圳泰丰电子有限公司持有的本公司</w:t>
      </w:r>
      <w:r>
        <w:rPr>
          <w:rFonts w:ascii="Times New Roman" w:eastAsia="Times New Roman" w:hAnsi="Times New Roman" w:cs="Times New Roman"/>
          <w:color w:val="000000"/>
          <w:spacing w:val="0"/>
          <w:w w:val="100"/>
          <w:position w:val="0"/>
          <w:sz w:val="18"/>
          <w:szCs w:val="18"/>
        </w:rPr>
        <w:t>6,000,000</w:t>
      </w:r>
      <w:r>
        <w:rPr>
          <w:color w:val="000000"/>
          <w:spacing w:val="0"/>
          <w:w w:val="100"/>
          <w:position w:val="0"/>
        </w:rPr>
        <w:t>股法人股被广东省河源市中级人民法院公开拍卖。竞买人杨跃 烽、郝琳、谢雯、张丽程以联合竞拍方式竞得。具体为：杨跃烽拥有</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万股、郝琳拥有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万股、谢雯拥有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万股、张 丽程拥有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年办妥股权过户手续。</w:t>
      </w:r>
    </w:p>
    <w:p>
      <w:pPr>
        <w:pStyle w:val="Style37"/>
        <w:keepNext w:val="0"/>
        <w:keepLines w:val="0"/>
        <w:widowControl w:val="0"/>
        <w:shd w:val="clear" w:color="auto" w:fill="auto"/>
        <w:bidi w:val="0"/>
        <w:spacing w:before="0" w:after="0" w:line="319" w:lineRule="exact"/>
        <w:ind w:left="0" w:right="0"/>
        <w:jc w:val="left"/>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日，深圳泰丰电子有限公司持有的公司</w:t>
      </w:r>
      <w:r>
        <w:rPr>
          <w:rFonts w:ascii="Times New Roman" w:eastAsia="Times New Roman" w:hAnsi="Times New Roman" w:cs="Times New Roman"/>
          <w:color w:val="000000"/>
          <w:spacing w:val="0"/>
          <w:w w:val="100"/>
          <w:position w:val="0"/>
          <w:sz w:val="18"/>
          <w:szCs w:val="18"/>
        </w:rPr>
        <w:t>3050</w:t>
      </w:r>
      <w:r>
        <w:rPr>
          <w:color w:val="000000"/>
          <w:spacing w:val="0"/>
          <w:w w:val="100"/>
          <w:position w:val="0"/>
        </w:rPr>
        <w:t>万股股权被北京市第一中级人民法院公开拍卖，由重 庆润江基础设施投资有限公司竞得，并已办妥股权过户手续。</w:t>
      </w:r>
    </w:p>
    <w:p>
      <w:pPr>
        <w:pStyle w:val="Style37"/>
        <w:keepNext w:val="0"/>
        <w:keepLines w:val="0"/>
        <w:widowControl w:val="0"/>
        <w:shd w:val="clear" w:color="auto" w:fill="auto"/>
        <w:tabs>
          <w:tab w:pos="826" w:val="left"/>
        </w:tabs>
        <w:bidi w:val="0"/>
        <w:spacing w:before="0" w:after="360" w:line="319" w:lineRule="exact"/>
        <w:ind w:left="0" w:right="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日，广东省高级人民法院以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粤高法民二终第</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号民事判决书确认华润深国投信托有限公司持有 的公司</w:t>
      </w:r>
      <w:r>
        <w:rPr>
          <w:rFonts w:ascii="Times New Roman" w:eastAsia="Times New Roman" w:hAnsi="Times New Roman" w:cs="Times New Roman"/>
          <w:color w:val="000000"/>
          <w:spacing w:val="0"/>
          <w:w w:val="100"/>
          <w:position w:val="0"/>
          <w:sz w:val="18"/>
          <w:szCs w:val="18"/>
        </w:rPr>
        <w:t>17,901,671</w:t>
      </w:r>
      <w:r>
        <w:rPr>
          <w:color w:val="000000"/>
          <w:spacing w:val="0"/>
          <w:w w:val="100"/>
          <w:position w:val="0"/>
        </w:rPr>
        <w:t>股股权为深圳泰丰电子有限公司所有。</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日，深圳市中级人民法院裁定受理深圳泰丰电子有限公 </w:t>
      </w:r>
      <w:r>
        <w:rPr>
          <w:color w:val="000000"/>
          <w:spacing w:val="0"/>
          <w:w w:val="100"/>
          <w:position w:val="0"/>
        </w:rPr>
        <w:t>司破产清算。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日，中国证券登记结算有限责任公司深圳分公司出具《证券过户登记确认书》，将华润深国投信 托有限公司名下的公司</w:t>
      </w:r>
      <w:r>
        <w:rPr>
          <w:rFonts w:ascii="Times New Roman" w:eastAsia="Times New Roman" w:hAnsi="Times New Roman" w:cs="Times New Roman"/>
          <w:color w:val="000000"/>
          <w:spacing w:val="0"/>
          <w:w w:val="100"/>
          <w:position w:val="0"/>
          <w:sz w:val="18"/>
          <w:szCs w:val="18"/>
        </w:rPr>
        <w:t>17,901,671</w:t>
      </w:r>
      <w:r>
        <w:rPr>
          <w:color w:val="000000"/>
          <w:spacing w:val="0"/>
          <w:w w:val="100"/>
          <w:position w:val="0"/>
        </w:rPr>
        <w:t>股过户至管理人开立的证券账户中，户名为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深圳泰丰电子有限公司破产企业财产处置专用 账户匚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月，将股权分置改革后遗留的限售流通股</w:t>
      </w:r>
      <w:r>
        <w:rPr>
          <w:rFonts w:ascii="Times New Roman" w:eastAsia="Times New Roman" w:hAnsi="Times New Roman" w:cs="Times New Roman"/>
          <w:color w:val="000000"/>
          <w:spacing w:val="0"/>
          <w:w w:val="100"/>
          <w:position w:val="0"/>
          <w:sz w:val="18"/>
          <w:szCs w:val="18"/>
        </w:rPr>
        <w:t>17,901,671</w:t>
      </w:r>
      <w:r>
        <w:rPr>
          <w:color w:val="000000"/>
          <w:spacing w:val="0"/>
          <w:w w:val="100"/>
          <w:position w:val="0"/>
        </w:rPr>
        <w:t>股依法办理解除限售，并于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日上市流通。</w:t>
      </w:r>
    </w:p>
    <w:p>
      <w:pPr>
        <w:pStyle w:val="Style17"/>
        <w:keepNext w:val="0"/>
        <w:keepLines w:val="0"/>
        <w:widowControl w:val="0"/>
        <w:numPr>
          <w:ilvl w:val="0"/>
          <w:numId w:val="7"/>
        </w:numPr>
        <w:shd w:val="clear" w:color="auto" w:fill="auto"/>
        <w:tabs>
          <w:tab w:pos="284" w:val="left"/>
        </w:tabs>
        <w:bidi w:val="0"/>
        <w:spacing w:before="0" w:after="280" w:line="240" w:lineRule="auto"/>
        <w:ind w:left="0" w:right="0" w:firstLine="0"/>
        <w:jc w:val="both"/>
      </w:pPr>
      <w:bookmarkStart w:id="718" w:name="bookmark718"/>
      <w:bookmarkEnd w:id="718"/>
      <w:r>
        <w:rPr>
          <w:b/>
          <w:bCs/>
          <w:color w:val="000000"/>
          <w:spacing w:val="0"/>
          <w:w w:val="100"/>
          <w:position w:val="0"/>
        </w:rPr>
        <w:t>股权分置改革情况</w:t>
      </w:r>
    </w:p>
    <w:p>
      <w:pPr>
        <w:pStyle w:val="Style37"/>
        <w:keepNext w:val="0"/>
        <w:keepLines w:val="0"/>
        <w:widowControl w:val="0"/>
        <w:shd w:val="clear" w:color="auto" w:fill="auto"/>
        <w:bidi w:val="0"/>
        <w:spacing w:before="0" w:after="360" w:line="312"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日召开股权分置改革相关股东会议，审议通过《深圳市深信泰丰（集团）股份有限公司股权分 置改革方案》。根据股权分置改革方案，公司申请增加注册资本人民币</w:t>
      </w:r>
      <w:r>
        <w:rPr>
          <w:rFonts w:ascii="Times New Roman" w:eastAsia="Times New Roman" w:hAnsi="Times New Roman" w:cs="Times New Roman"/>
          <w:color w:val="000000"/>
          <w:spacing w:val="0"/>
          <w:w w:val="100"/>
          <w:position w:val="0"/>
          <w:sz w:val="18"/>
          <w:szCs w:val="18"/>
        </w:rPr>
        <w:t>46,834,131.00</w:t>
      </w:r>
      <w:r>
        <w:rPr>
          <w:color w:val="000000"/>
          <w:spacing w:val="0"/>
          <w:w w:val="100"/>
          <w:position w:val="0"/>
        </w:rPr>
        <w:t>元，以截止</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日的可流通 股本</w:t>
      </w:r>
      <w:r>
        <w:rPr>
          <w:rFonts w:ascii="Times New Roman" w:eastAsia="Times New Roman" w:hAnsi="Times New Roman" w:cs="Times New Roman"/>
          <w:color w:val="000000"/>
          <w:spacing w:val="0"/>
          <w:w w:val="100"/>
          <w:position w:val="0"/>
          <w:sz w:val="18"/>
          <w:szCs w:val="18"/>
        </w:rPr>
        <w:t>84,658,866</w:t>
      </w:r>
      <w:r>
        <w:rPr>
          <w:color w:val="000000"/>
          <w:spacing w:val="0"/>
          <w:w w:val="100"/>
          <w:position w:val="0"/>
        </w:rPr>
        <w:t>股为基数，用资本公积金向截止</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日在册的全体流通股股东转增股本，流通股股东获得每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5.5321</w:t>
      </w:r>
      <w:r>
        <w:rPr>
          <w:color w:val="000000"/>
          <w:spacing w:val="0"/>
          <w:w w:val="100"/>
          <w:position w:val="0"/>
        </w:rPr>
        <w:t>股的股份，即</w:t>
      </w:r>
      <w:r>
        <w:rPr>
          <w:rFonts w:ascii="Times New Roman" w:eastAsia="Times New Roman" w:hAnsi="Times New Roman" w:cs="Times New Roman"/>
          <w:color w:val="000000"/>
          <w:spacing w:val="0"/>
          <w:w w:val="100"/>
          <w:position w:val="0"/>
          <w:sz w:val="18"/>
          <w:szCs w:val="18"/>
        </w:rPr>
        <w:t>46,834,131</w:t>
      </w:r>
      <w:r>
        <w:rPr>
          <w:color w:val="000000"/>
          <w:spacing w:val="0"/>
          <w:w w:val="100"/>
          <w:position w:val="0"/>
        </w:rPr>
        <w:t>股，面值每股人民币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元；上述对价水平换算为非流通股股东送股方案，相当于流通股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股获送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股，公司总股本增加至</w:t>
      </w:r>
      <w:r>
        <w:rPr>
          <w:rFonts w:ascii="Times New Roman" w:eastAsia="Times New Roman" w:hAnsi="Times New Roman" w:cs="Times New Roman"/>
          <w:color w:val="000000"/>
          <w:spacing w:val="0"/>
          <w:w w:val="100"/>
          <w:position w:val="0"/>
          <w:sz w:val="18"/>
          <w:szCs w:val="18"/>
        </w:rPr>
        <w:t>357,973,531</w:t>
      </w:r>
      <w:r>
        <w:rPr>
          <w:color w:val="000000"/>
          <w:spacing w:val="0"/>
          <w:w w:val="100"/>
          <w:position w:val="0"/>
        </w:rPr>
        <w:t>股。转增完成后，公司的注册资本增加人民币</w:t>
      </w:r>
      <w:r>
        <w:rPr>
          <w:rFonts w:ascii="Times New Roman" w:eastAsia="Times New Roman" w:hAnsi="Times New Roman" w:cs="Times New Roman"/>
          <w:color w:val="000000"/>
          <w:spacing w:val="0"/>
          <w:w w:val="100"/>
          <w:position w:val="0"/>
          <w:sz w:val="18"/>
          <w:szCs w:val="18"/>
        </w:rPr>
        <w:t>46,834,131.00</w:t>
      </w:r>
      <w:r>
        <w:rPr>
          <w:color w:val="000000"/>
          <w:spacing w:val="0"/>
          <w:w w:val="100"/>
          <w:position w:val="0"/>
        </w:rPr>
        <w:t>元，变 更后的注册资本为人民币</w:t>
      </w:r>
      <w:r>
        <w:rPr>
          <w:rFonts w:ascii="Times New Roman" w:eastAsia="Times New Roman" w:hAnsi="Times New Roman" w:cs="Times New Roman"/>
          <w:color w:val="000000"/>
          <w:spacing w:val="0"/>
          <w:w w:val="100"/>
          <w:position w:val="0"/>
          <w:sz w:val="18"/>
          <w:szCs w:val="18"/>
        </w:rPr>
        <w:t>357,973,531.00</w:t>
      </w:r>
      <w:r>
        <w:rPr>
          <w:color w:val="000000"/>
          <w:spacing w:val="0"/>
          <w:w w:val="100"/>
          <w:position w:val="0"/>
        </w:rPr>
        <w:t>元。</w:t>
      </w:r>
    </w:p>
    <w:p>
      <w:pPr>
        <w:pStyle w:val="Style17"/>
        <w:keepNext w:val="0"/>
        <w:keepLines w:val="0"/>
        <w:widowControl w:val="0"/>
        <w:numPr>
          <w:ilvl w:val="0"/>
          <w:numId w:val="7"/>
        </w:numPr>
        <w:shd w:val="clear" w:color="auto" w:fill="auto"/>
        <w:tabs>
          <w:tab w:pos="284" w:val="left"/>
        </w:tabs>
        <w:bidi w:val="0"/>
        <w:spacing w:before="0" w:after="280" w:line="240" w:lineRule="auto"/>
        <w:ind w:left="0" w:right="0" w:firstLine="0"/>
        <w:jc w:val="left"/>
      </w:pPr>
      <w:bookmarkStart w:id="719" w:name="bookmark719"/>
      <w:bookmarkEnd w:id="719"/>
      <w:r>
        <w:rPr>
          <w:b/>
          <w:bCs/>
          <w:color w:val="000000"/>
          <w:spacing w:val="0"/>
          <w:w w:val="100"/>
          <w:position w:val="0"/>
        </w:rPr>
        <w:t>公司重整事项中股东权益调整事项</w:t>
      </w:r>
    </w:p>
    <w:p>
      <w:pPr>
        <w:pStyle w:val="Style37"/>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年，根据深圳市中级人民法院批准的重整计划，公司全体限售流通股股东，即中国希格玛有限公司、深圳市宝安 区投资管理公司、重庆润江基础设施投资有限公司、深圳国际信托投资有限责任公司各无偿让渡所持有的限售流通股的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合计让渡限售流通股</w:t>
      </w:r>
      <w:r>
        <w:rPr>
          <w:rFonts w:ascii="Times New Roman" w:eastAsia="Times New Roman" w:hAnsi="Times New Roman" w:cs="Times New Roman"/>
          <w:color w:val="000000"/>
          <w:spacing w:val="0"/>
          <w:w w:val="100"/>
          <w:position w:val="0"/>
          <w:sz w:val="18"/>
          <w:szCs w:val="18"/>
        </w:rPr>
        <w:t>25,415,516</w:t>
      </w:r>
      <w:r>
        <w:rPr>
          <w:color w:val="000000"/>
          <w:spacing w:val="0"/>
          <w:w w:val="100"/>
          <w:position w:val="0"/>
        </w:rPr>
        <w:t>股；全体流通股股东各无偿让渡所持有的流通股的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,合计让渡流通股</w:t>
      </w:r>
      <w:r>
        <w:rPr>
          <w:rFonts w:ascii="Times New Roman" w:eastAsia="Times New Roman" w:hAnsi="Times New Roman" w:cs="Times New Roman"/>
          <w:color w:val="000000"/>
          <w:spacing w:val="0"/>
          <w:w w:val="100"/>
          <w:position w:val="0"/>
          <w:sz w:val="18"/>
          <w:szCs w:val="18"/>
        </w:rPr>
        <w:t>18,849,303</w:t>
      </w:r>
      <w:r>
        <w:rPr>
          <w:color w:val="000000"/>
          <w:spacing w:val="0"/>
          <w:w w:val="100"/>
          <w:position w:val="0"/>
        </w:rPr>
        <w:t>股。以 上共计让渡公司股票</w:t>
      </w:r>
      <w:r>
        <w:rPr>
          <w:rFonts w:ascii="Times New Roman" w:eastAsia="Times New Roman" w:hAnsi="Times New Roman" w:cs="Times New Roman"/>
          <w:color w:val="000000"/>
          <w:spacing w:val="0"/>
          <w:w w:val="100"/>
          <w:position w:val="0"/>
          <w:sz w:val="18"/>
          <w:szCs w:val="18"/>
        </w:rPr>
        <w:t>44,264,819</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12.37%</w:t>
      </w:r>
      <w:r>
        <w:rPr>
          <w:color w:val="000000"/>
          <w:spacing w:val="0"/>
          <w:w w:val="100"/>
          <w:position w:val="0"/>
        </w:rPr>
        <w:t>。该等股票用于支付公司重整费用和共益债务、清偿普通债权、 保全主要子公司经营性资产。</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年度重整完后，本公司注册资本仍为人民币</w:t>
      </w:r>
      <w:r>
        <w:rPr>
          <w:rFonts w:ascii="Times New Roman" w:eastAsia="Times New Roman" w:hAnsi="Times New Roman" w:cs="Times New Roman"/>
          <w:color w:val="000000"/>
          <w:spacing w:val="0"/>
          <w:w w:val="100"/>
          <w:position w:val="0"/>
          <w:sz w:val="18"/>
          <w:szCs w:val="18"/>
        </w:rPr>
        <w:t>357,973,531.00</w:t>
      </w:r>
      <w:r>
        <w:rPr>
          <w:color w:val="000000"/>
          <w:spacing w:val="0"/>
          <w:w w:val="100"/>
          <w:position w:val="0"/>
        </w:rPr>
        <w:t>元。</w:t>
      </w:r>
    </w:p>
    <w:p>
      <w:pPr>
        <w:pStyle w:val="Style17"/>
        <w:keepNext w:val="0"/>
        <w:keepLines w:val="0"/>
        <w:widowControl w:val="0"/>
        <w:numPr>
          <w:ilvl w:val="0"/>
          <w:numId w:val="7"/>
        </w:numPr>
        <w:shd w:val="clear" w:color="auto" w:fill="auto"/>
        <w:tabs>
          <w:tab w:pos="284" w:val="left"/>
        </w:tabs>
        <w:bidi w:val="0"/>
        <w:spacing w:before="0" w:after="280" w:line="240" w:lineRule="auto"/>
        <w:ind w:left="0" w:right="0" w:firstLine="0"/>
        <w:jc w:val="left"/>
      </w:pPr>
      <w:bookmarkStart w:id="720" w:name="bookmark720"/>
      <w:bookmarkEnd w:id="720"/>
      <w:r>
        <w:rPr>
          <w:b/>
          <w:bCs/>
          <w:color w:val="000000"/>
          <w:spacing w:val="0"/>
          <w:w w:val="100"/>
          <w:position w:val="0"/>
        </w:rPr>
        <w:t>公司重大资产重组事项</w:t>
      </w:r>
    </w:p>
    <w:p>
      <w:pPr>
        <w:pStyle w:val="Style37"/>
        <w:keepNext w:val="0"/>
        <w:keepLines w:val="0"/>
        <w:widowControl w:val="0"/>
        <w:shd w:val="clear" w:color="auto" w:fill="auto"/>
        <w:tabs>
          <w:tab w:pos="765" w:val="left"/>
        </w:tabs>
        <w:bidi w:val="0"/>
        <w:spacing w:before="0" w:after="0" w:line="314" w:lineRule="exact"/>
        <w:ind w:left="0" w:right="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发行股份购买资产</w:t>
      </w:r>
    </w:p>
    <w:p>
      <w:pPr>
        <w:pStyle w:val="Style37"/>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日，本公司与神州数码控股有限公司（以下简称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）及其全资子公司神州数码有限公司（以下简称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）签订股权转让协议，本公司通过向特定对象发行股份募集资金及自筹资金的方式受让重组后的神码有限的全资 子公司神州数码（中国）有限公司（以下简称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）及广州神州数 码信息科技有限公司（以下简称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，神码中国、神码上海及神码广州合称为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）的全部股权。</w:t>
      </w:r>
    </w:p>
    <w:p>
      <w:pPr>
        <w:pStyle w:val="Style37"/>
        <w:keepNext w:val="0"/>
        <w:keepLines w:val="0"/>
        <w:widowControl w:val="0"/>
        <w:shd w:val="clear" w:color="auto" w:fill="auto"/>
        <w:bidi w:val="0"/>
        <w:spacing w:before="0" w:after="0" w:line="316" w:lineRule="exact"/>
        <w:ind w:left="0" w:right="0" w:firstLine="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年第一次临时股东大会决议，并经中国证券监督管理委员会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[2015]2952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日启动向郭为发行</w:t>
      </w:r>
      <w:r>
        <w:rPr>
          <w:rFonts w:ascii="Times New Roman" w:eastAsia="Times New Roman" w:hAnsi="Times New Roman" w:cs="Times New Roman"/>
          <w:color w:val="000000"/>
          <w:spacing w:val="0"/>
          <w:w w:val="100"/>
          <w:position w:val="0"/>
          <w:sz w:val="18"/>
          <w:szCs w:val="18"/>
        </w:rPr>
        <w:t>154,777,803</w:t>
      </w:r>
      <w:r>
        <w:rPr>
          <w:color w:val="000000"/>
          <w:spacing w:val="0"/>
          <w:w w:val="100"/>
          <w:position w:val="0"/>
        </w:rPr>
        <w:t>股、向王晓岩发行</w:t>
      </w:r>
      <w:r>
        <w:rPr>
          <w:rFonts w:ascii="Times New Roman" w:eastAsia="Times New Roman" w:hAnsi="Times New Roman" w:cs="Times New Roman"/>
          <w:color w:val="000000"/>
          <w:spacing w:val="0"/>
          <w:w w:val="100"/>
          <w:position w:val="0"/>
          <w:sz w:val="18"/>
          <w:szCs w:val="18"/>
        </w:rPr>
        <w:t>64,603,000</w:t>
      </w:r>
      <w:r>
        <w:rPr>
          <w:color w:val="000000"/>
          <w:spacing w:val="0"/>
          <w:w w:val="100"/>
          <w:position w:val="0"/>
        </w:rPr>
        <w:t>股、向王廷月发行</w:t>
      </w:r>
      <w:r>
        <w:rPr>
          <w:rFonts w:ascii="Times New Roman" w:eastAsia="Times New Roman" w:hAnsi="Times New Roman" w:cs="Times New Roman"/>
          <w:color w:val="000000"/>
          <w:spacing w:val="0"/>
          <w:w w:val="100"/>
          <w:position w:val="0"/>
          <w:sz w:val="18"/>
          <w:szCs w:val="18"/>
        </w:rPr>
        <w:t>26,917,900</w:t>
      </w:r>
      <w:r>
        <w:rPr>
          <w:color w:val="000000"/>
          <w:spacing w:val="0"/>
          <w:w w:val="100"/>
          <w:position w:val="0"/>
        </w:rPr>
        <w:t>股、向钱学宁发行</w:t>
      </w:r>
      <w:r>
        <w:rPr>
          <w:rFonts w:ascii="Times New Roman" w:eastAsia="Times New Roman" w:hAnsi="Times New Roman" w:cs="Times New Roman"/>
          <w:color w:val="000000"/>
          <w:spacing w:val="0"/>
          <w:w w:val="100"/>
          <w:position w:val="0"/>
          <w:sz w:val="18"/>
          <w:szCs w:val="18"/>
        </w:rPr>
        <w:t xml:space="preserve">13,459,000 </w:t>
      </w:r>
      <w:r>
        <w:rPr>
          <w:color w:val="000000"/>
          <w:spacing w:val="0"/>
          <w:w w:val="100"/>
          <w:position w:val="0"/>
        </w:rPr>
        <w:t>股、向张明发行</w:t>
      </w:r>
      <w:r>
        <w:rPr>
          <w:rFonts w:ascii="Times New Roman" w:eastAsia="Times New Roman" w:hAnsi="Times New Roman" w:cs="Times New Roman"/>
          <w:color w:val="000000"/>
          <w:spacing w:val="0"/>
          <w:w w:val="100"/>
          <w:position w:val="0"/>
          <w:sz w:val="18"/>
          <w:szCs w:val="18"/>
        </w:rPr>
        <w:t>6,729,500</w:t>
      </w:r>
      <w:r>
        <w:rPr>
          <w:color w:val="000000"/>
          <w:spacing w:val="0"/>
          <w:w w:val="100"/>
          <w:position w:val="0"/>
        </w:rPr>
        <w:t>股、向中信建投基金管理有限公司发行</w:t>
      </w:r>
      <w:r>
        <w:rPr>
          <w:rFonts w:ascii="Times New Roman" w:eastAsia="Times New Roman" w:hAnsi="Times New Roman" w:cs="Times New Roman"/>
          <w:color w:val="000000"/>
          <w:spacing w:val="0"/>
          <w:w w:val="100"/>
          <w:position w:val="0"/>
          <w:sz w:val="18"/>
          <w:szCs w:val="18"/>
        </w:rPr>
        <w:t>29,609,700</w:t>
      </w:r>
      <w:r>
        <w:rPr>
          <w:color w:val="000000"/>
          <w:spacing w:val="0"/>
          <w:w w:val="100"/>
          <w:position w:val="0"/>
        </w:rPr>
        <w:t>股股份购买标的公司全部股权。本次实际增发人 民币普通股</w:t>
      </w:r>
      <w:r>
        <w:rPr>
          <w:rFonts w:ascii="Times New Roman" w:eastAsia="Times New Roman" w:hAnsi="Times New Roman" w:cs="Times New Roman"/>
          <w:color w:val="000000"/>
          <w:spacing w:val="0"/>
          <w:w w:val="100"/>
          <w:position w:val="0"/>
          <w:sz w:val="18"/>
          <w:szCs w:val="18"/>
        </w:rPr>
        <w:t>296,096,903</w:t>
      </w:r>
      <w:r>
        <w:rPr>
          <w:color w:val="000000"/>
          <w:spacing w:val="0"/>
          <w:w w:val="100"/>
          <w:position w:val="0"/>
        </w:rPr>
        <w:t>股，每股面值为人民币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元，增发价格为人民币</w:t>
      </w:r>
      <w:r>
        <w:rPr>
          <w:rFonts w:ascii="Times New Roman" w:eastAsia="Times New Roman" w:hAnsi="Times New Roman" w:cs="Times New Roman"/>
          <w:color w:val="000000"/>
          <w:spacing w:val="0"/>
          <w:w w:val="100"/>
          <w:position w:val="0"/>
          <w:sz w:val="18"/>
          <w:szCs w:val="18"/>
        </w:rPr>
        <w:t>7.43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股，募集资金总额为人民币</w:t>
      </w:r>
      <w:r>
        <w:rPr>
          <w:rFonts w:ascii="Times New Roman" w:eastAsia="Times New Roman" w:hAnsi="Times New Roman" w:cs="Times New Roman"/>
          <w:color w:val="000000"/>
          <w:spacing w:val="0"/>
          <w:w w:val="100"/>
          <w:position w:val="0"/>
          <w:sz w:val="18"/>
          <w:szCs w:val="18"/>
        </w:rPr>
        <w:t xml:space="preserve">2,199,999,989.29 </w:t>
      </w:r>
      <w:r>
        <w:rPr>
          <w:color w:val="000000"/>
          <w:spacing w:val="0"/>
          <w:w w:val="100"/>
          <w:position w:val="0"/>
        </w:rPr>
        <w:t>元，扣除发行费用后募集资金净额为人民币</w:t>
      </w:r>
      <w:r>
        <w:rPr>
          <w:rFonts w:ascii="Times New Roman" w:eastAsia="Times New Roman" w:hAnsi="Times New Roman" w:cs="Times New Roman"/>
          <w:color w:val="000000"/>
          <w:spacing w:val="0"/>
          <w:w w:val="100"/>
          <w:position w:val="0"/>
          <w:sz w:val="18"/>
          <w:szCs w:val="18"/>
        </w:rPr>
        <w:t>2,179,799,989.29</w:t>
      </w:r>
      <w:r>
        <w:rPr>
          <w:color w:val="000000"/>
          <w:spacing w:val="0"/>
          <w:w w:val="100"/>
          <w:position w:val="0"/>
        </w:rPr>
        <w:t>元。本次非公开发行后，本公司注册资本变更为</w:t>
      </w:r>
      <w:r>
        <w:rPr>
          <w:rFonts w:ascii="Times New Roman" w:eastAsia="Times New Roman" w:hAnsi="Times New Roman" w:cs="Times New Roman"/>
          <w:color w:val="000000"/>
          <w:spacing w:val="0"/>
          <w:w w:val="100"/>
          <w:position w:val="0"/>
          <w:sz w:val="18"/>
          <w:szCs w:val="18"/>
        </w:rPr>
        <w:t xml:space="preserve">654,070,434.00 </w:t>
      </w:r>
      <w:r>
        <w:rPr>
          <w:color w:val="000000"/>
          <w:spacing w:val="0"/>
          <w:w w:val="100"/>
          <w:position w:val="0"/>
        </w:rPr>
        <w:t>元，郭为成为本公司实际控制人。</w:t>
      </w:r>
    </w:p>
    <w:p>
      <w:pPr>
        <w:pStyle w:val="Style37"/>
        <w:keepNext w:val="0"/>
        <w:keepLines w:val="0"/>
        <w:widowControl w:val="0"/>
        <w:shd w:val="clear" w:color="auto" w:fill="auto"/>
        <w:tabs>
          <w:tab w:pos="765" w:val="left"/>
        </w:tabs>
        <w:bidi w:val="0"/>
        <w:spacing w:before="0" w:after="0" w:line="314" w:lineRule="exact"/>
        <w:ind w:left="0" w:right="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出售重大资产</w:t>
      </w:r>
    </w:p>
    <w:p>
      <w:pPr>
        <w:pStyle w:val="Style37"/>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日，本公司与中国希格玛有限公司（以下简称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希格玛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）签订重大资产出售协议，本公司将持有的深圳市 深信西部房地产有限公司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股权、深圳市泰丰科技有限公司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股权、深圳市华宝（集团）饲料有限公司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股权、深 圳市深信泰丰投资发展有限公司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股权、深圳市龙岗区华宝经济发展有限公司</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160,801</w:t>
      </w:r>
      <w:r>
        <w:rPr>
          <w:color w:val="000000"/>
          <w:spacing w:val="0"/>
          <w:w w:val="100"/>
          <w:position w:val="0"/>
        </w:rPr>
        <w:t>千元的对价转让给希格 玛。上述公司已于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日办妥工商变更登记，本公司已于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日收到上述转让价款。</w:t>
      </w:r>
    </w:p>
    <w:p>
      <w:pPr>
        <w:pStyle w:val="Style17"/>
        <w:keepNext w:val="0"/>
        <w:keepLines w:val="0"/>
        <w:widowControl w:val="0"/>
        <w:numPr>
          <w:ilvl w:val="0"/>
          <w:numId w:val="7"/>
        </w:numPr>
        <w:shd w:val="clear" w:color="auto" w:fill="auto"/>
        <w:tabs>
          <w:tab w:pos="284" w:val="left"/>
        </w:tabs>
        <w:bidi w:val="0"/>
        <w:spacing w:before="0" w:after="280" w:line="240" w:lineRule="auto"/>
        <w:ind w:left="0" w:right="0" w:firstLine="0"/>
        <w:jc w:val="left"/>
      </w:pPr>
      <w:bookmarkStart w:id="723" w:name="bookmark723"/>
      <w:bookmarkEnd w:id="723"/>
      <w:r>
        <w:rPr>
          <w:b/>
          <w:bCs/>
          <w:color w:val="000000"/>
          <w:spacing w:val="0"/>
          <w:w w:val="100"/>
          <w:position w:val="0"/>
        </w:rPr>
        <w:t>向激励对象授予股票期权与限制性股票</w:t>
      </w:r>
    </w:p>
    <w:p>
      <w:pPr>
        <w:pStyle w:val="Style3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日，本公司第九届董事会第十二次会议审议通过了《关于公司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 xml:space="preserve">的议案》、《关于提请股 </w:t>
      </w:r>
      <w:r>
        <w:rPr>
          <w:color w:val="000000"/>
          <w:spacing w:val="0"/>
          <w:w w:val="100"/>
          <w:position w:val="0"/>
        </w:rPr>
        <w:t>东大会授权董事会办理股权激励相关事宜的议案》、《关于召开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年第二次临时股东大会的议案》。</w:t>
      </w:r>
    </w:p>
    <w:p>
      <w:pPr>
        <w:pStyle w:val="Style37"/>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年第二次临时股东大会审议并通过了《关于公司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 （草案）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年股票期权与限制性股票激励计划实施考核管理办法</w:t>
      </w:r>
      <w:r>
        <w:rPr>
          <w:color w:val="000000"/>
          <w:spacing w:val="0"/>
          <w:w w:val="100"/>
          <w:position w:val="0"/>
          <w:sz w:val="18"/>
          <w:szCs w:val="18"/>
        </w:rPr>
        <w:t>〉</w:t>
      </w:r>
      <w:r>
        <w:rPr>
          <w:color w:val="000000"/>
          <w:spacing w:val="0"/>
          <w:w w:val="100"/>
          <w:position w:val="0"/>
        </w:rPr>
        <w:t>的议案》、《关于提 请股东大会授权董事会办理股权激励相关事宜的议案》。</w:t>
      </w:r>
    </w:p>
    <w:p>
      <w:pPr>
        <w:pStyle w:val="Style37"/>
        <w:keepNext w:val="0"/>
        <w:keepLines w:val="0"/>
        <w:widowControl w:val="0"/>
        <w:shd w:val="clear" w:color="auto" w:fill="auto"/>
        <w:bidi w:val="0"/>
        <w:spacing w:before="0" w:after="0" w:line="331" w:lineRule="exact"/>
        <w:ind w:left="0" w:right="0" w:firstLine="46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日，本公司第九届董事会第十三次会议和第九届监事会第十二次会议审议通过了《关于调整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 权与限制性股票激励计划激励对象名单及授予权益数量的议案》、《关于向激励对象首次授予股票期权与限制性股票的议案》。</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根据中国证券监督管理委员会《上市公司股权激励管理办法》、深圳证券交易所、中国证券登记结算有限责任公司深圳 分公司有关规则，本公司于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年限制性股票激励计划首次授予登记工作。公司向激励对象定向发行 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股普通股，授予日为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w:t>
      </w:r>
      <w:r>
        <w:rPr>
          <w:rFonts w:ascii="Times New Roman" w:eastAsia="Times New Roman" w:hAnsi="Times New Roman" w:cs="Times New Roman"/>
          <w:color w:val="000000"/>
          <w:spacing w:val="0"/>
          <w:w w:val="100"/>
          <w:position w:val="0"/>
          <w:sz w:val="18"/>
          <w:szCs w:val="18"/>
        </w:rPr>
        <w:t>3,975,000.00</w:t>
      </w:r>
      <w:r>
        <w:rPr>
          <w:color w:val="000000"/>
          <w:spacing w:val="0"/>
          <w:w w:val="100"/>
          <w:position w:val="0"/>
        </w:rPr>
        <w:t>股限制性股票。公司本次限制性股票 授予完成后，公司的总股本未发生变化。北京兴华会计师事务所（特殊普通合伙）于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）京会兴验 字第</w:t>
      </w:r>
      <w:r>
        <w:rPr>
          <w:rFonts w:ascii="Times New Roman" w:eastAsia="Times New Roman" w:hAnsi="Times New Roman" w:cs="Times New Roman"/>
          <w:color w:val="000000"/>
          <w:spacing w:val="0"/>
          <w:w w:val="100"/>
          <w:position w:val="0"/>
          <w:sz w:val="18"/>
          <w:szCs w:val="18"/>
        </w:rPr>
        <w:t>64000002</w:t>
      </w:r>
      <w:r>
        <w:rPr>
          <w:color w:val="000000"/>
          <w:spacing w:val="0"/>
          <w:w w:val="100"/>
          <w:position w:val="0"/>
        </w:rPr>
        <w:t>号验资报告，对本公司截止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日的出资情况进行审验，本公司的募集资金账户共收到</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名激励对象 入资款</w:t>
      </w:r>
      <w:r>
        <w:rPr>
          <w:rFonts w:ascii="Times New Roman" w:eastAsia="Times New Roman" w:hAnsi="Times New Roman" w:cs="Times New Roman"/>
          <w:color w:val="000000"/>
          <w:spacing w:val="0"/>
          <w:w w:val="100"/>
          <w:position w:val="0"/>
          <w:sz w:val="18"/>
          <w:szCs w:val="18"/>
        </w:rPr>
        <w:t>31,084,500.10</w:t>
      </w:r>
      <w:r>
        <w:rPr>
          <w:color w:val="000000"/>
          <w:spacing w:val="0"/>
          <w:w w:val="100"/>
          <w:position w:val="0"/>
        </w:rPr>
        <w:t>元，按照激励计划草案购买本公司己回购的股份</w:t>
      </w:r>
      <w:r>
        <w:rPr>
          <w:rFonts w:ascii="Times New Roman" w:eastAsia="Times New Roman" w:hAnsi="Times New Roman" w:cs="Times New Roman"/>
          <w:color w:val="000000"/>
          <w:spacing w:val="0"/>
          <w:w w:val="100"/>
          <w:position w:val="0"/>
          <w:sz w:val="18"/>
          <w:szCs w:val="18"/>
        </w:rPr>
        <w:t>3,975,000.00</w:t>
      </w:r>
      <w:r>
        <w:rPr>
          <w:color w:val="000000"/>
          <w:spacing w:val="0"/>
          <w:w w:val="100"/>
          <w:position w:val="0"/>
        </w:rPr>
        <w:t>股。上述</w:t>
      </w:r>
      <w:r>
        <w:rPr>
          <w:rFonts w:ascii="Times New Roman" w:eastAsia="Times New Roman" w:hAnsi="Times New Roman" w:cs="Times New Roman"/>
          <w:color w:val="000000"/>
          <w:spacing w:val="0"/>
          <w:w w:val="100"/>
          <w:position w:val="0"/>
          <w:sz w:val="18"/>
          <w:szCs w:val="18"/>
        </w:rPr>
        <w:t>3,975,000.00</w:t>
      </w:r>
      <w:r>
        <w:rPr>
          <w:color w:val="000000"/>
          <w:spacing w:val="0"/>
          <w:w w:val="100"/>
          <w:position w:val="0"/>
        </w:rPr>
        <w:t xml:space="preserve">股库存股成本 </w:t>
      </w:r>
      <w:r>
        <w:rPr>
          <w:rFonts w:ascii="Times New Roman" w:eastAsia="Times New Roman" w:hAnsi="Times New Roman" w:cs="Times New Roman"/>
          <w:color w:val="000000"/>
          <w:spacing w:val="0"/>
          <w:w w:val="100"/>
          <w:position w:val="0"/>
          <w:sz w:val="18"/>
          <w:szCs w:val="18"/>
        </w:rPr>
        <w:t>44,003,250.00</w:t>
      </w:r>
      <w:r>
        <w:rPr>
          <w:color w:val="000000"/>
          <w:spacing w:val="0"/>
          <w:w w:val="100"/>
          <w:position w:val="0"/>
        </w:rPr>
        <w:t>元与入资款</w:t>
      </w:r>
      <w:r>
        <w:rPr>
          <w:rFonts w:ascii="Times New Roman" w:eastAsia="Times New Roman" w:hAnsi="Times New Roman" w:cs="Times New Roman"/>
          <w:color w:val="000000"/>
          <w:spacing w:val="0"/>
          <w:w w:val="100"/>
          <w:position w:val="0"/>
          <w:sz w:val="18"/>
          <w:szCs w:val="18"/>
        </w:rPr>
        <w:t>31,084,500.10</w:t>
      </w:r>
      <w:r>
        <w:rPr>
          <w:color w:val="000000"/>
          <w:spacing w:val="0"/>
          <w:w w:val="100"/>
          <w:position w:val="0"/>
        </w:rPr>
        <w:t>元的差额</w:t>
      </w:r>
      <w:r>
        <w:rPr>
          <w:rFonts w:ascii="Times New Roman" w:eastAsia="Times New Roman" w:hAnsi="Times New Roman" w:cs="Times New Roman"/>
          <w:color w:val="000000"/>
          <w:spacing w:val="0"/>
          <w:w w:val="100"/>
          <w:position w:val="0"/>
          <w:sz w:val="18"/>
          <w:szCs w:val="18"/>
        </w:rPr>
        <w:t>12,918,749.90</w:t>
      </w:r>
      <w:r>
        <w:rPr>
          <w:color w:val="000000"/>
          <w:spacing w:val="0"/>
          <w:w w:val="100"/>
          <w:position w:val="0"/>
        </w:rPr>
        <w:t>元冲减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日召开的第九届董事会第二十六次会议和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年第一次临时股东大会决议的规 定，公司回购注销因个人实际业绩完成率未达标的激励对象持有的限制性股票</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股，回购价格为</w:t>
      </w:r>
      <w:r>
        <w:rPr>
          <w:rFonts w:ascii="Times New Roman" w:eastAsia="Times New Roman" w:hAnsi="Times New Roman" w:cs="Times New Roman"/>
          <w:color w:val="000000"/>
          <w:spacing w:val="0"/>
          <w:w w:val="100"/>
          <w:position w:val="0"/>
          <w:sz w:val="18"/>
          <w:szCs w:val="18"/>
        </w:rPr>
        <w:t>7.6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股（扣除已分配 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股）。上述回购注销限制性股票导致减少股本人民币</w:t>
      </w:r>
      <w:r>
        <w:rPr>
          <w:rFonts w:ascii="Times New Roman" w:eastAsia="Times New Roman" w:hAnsi="Times New Roman" w:cs="Times New Roman"/>
          <w:color w:val="000000"/>
          <w:spacing w:val="0"/>
          <w:w w:val="100"/>
          <w:position w:val="0"/>
          <w:sz w:val="18"/>
          <w:szCs w:val="18"/>
        </w:rPr>
        <w:t>10,500.00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sz w:val="18"/>
          <w:szCs w:val="18"/>
        </w:rPr>
        <w:t>71,610.00</w:t>
      </w:r>
      <w:r>
        <w:rPr>
          <w:color w:val="000000"/>
          <w:spacing w:val="0"/>
          <w:w w:val="100"/>
          <w:position w:val="0"/>
        </w:rPr>
        <w:t>元。本次股本变 动已经北京兴华会计师事务所（特殊普通合伙）审验，并于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64000002</w:t>
      </w:r>
      <w:r>
        <w:rPr>
          <w:color w:val="000000"/>
          <w:spacing w:val="0"/>
          <w:w w:val="100"/>
          <w:position w:val="0"/>
        </w:rPr>
        <w:t>号验资报告。</w:t>
      </w:r>
    </w:p>
    <w:p>
      <w:pPr>
        <w:pStyle w:val="Style37"/>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根据公司股权激励计划的相关规定，公司股票期权第一个行权期激励对象中部分员工行权，合计行权股票期权数量为 </w:t>
      </w:r>
      <w:r>
        <w:rPr>
          <w:rFonts w:ascii="Times New Roman" w:eastAsia="Times New Roman" w:hAnsi="Times New Roman" w:cs="Times New Roman"/>
          <w:color w:val="000000"/>
          <w:spacing w:val="0"/>
          <w:w w:val="100"/>
          <w:position w:val="0"/>
          <w:sz w:val="18"/>
          <w:szCs w:val="18"/>
        </w:rPr>
        <w:t>5,500,793</w:t>
      </w:r>
      <w:r>
        <w:rPr>
          <w:color w:val="000000"/>
          <w:spacing w:val="0"/>
          <w:w w:val="100"/>
          <w:position w:val="0"/>
        </w:rPr>
        <w:t>份，股票期权行权款为</w:t>
      </w:r>
      <w:r>
        <w:rPr>
          <w:rFonts w:ascii="Times New Roman" w:eastAsia="Times New Roman" w:hAnsi="Times New Roman" w:cs="Times New Roman"/>
          <w:color w:val="000000"/>
          <w:spacing w:val="0"/>
          <w:w w:val="100"/>
          <w:position w:val="0"/>
          <w:sz w:val="18"/>
          <w:szCs w:val="18"/>
        </w:rPr>
        <w:t>84,382,164.65</w:t>
      </w:r>
      <w:r>
        <w:rPr>
          <w:color w:val="000000"/>
          <w:spacing w:val="0"/>
          <w:w w:val="100"/>
          <w:position w:val="0"/>
        </w:rPr>
        <w:t>元。上述股票期权行权导致增加股本人民币</w:t>
      </w:r>
      <w:r>
        <w:rPr>
          <w:rFonts w:ascii="Times New Roman" w:eastAsia="Times New Roman" w:hAnsi="Times New Roman" w:cs="Times New Roman"/>
          <w:color w:val="000000"/>
          <w:spacing w:val="0"/>
          <w:w w:val="100"/>
          <w:position w:val="0"/>
          <w:sz w:val="18"/>
          <w:szCs w:val="18"/>
        </w:rPr>
        <w:t>5,500,793.00</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 他资本公积</w:t>
      </w:r>
      <w:r>
        <w:rPr>
          <w:rFonts w:ascii="Times New Roman" w:eastAsia="Times New Roman" w:hAnsi="Times New Roman" w:cs="Times New Roman"/>
          <w:color w:val="000000"/>
          <w:spacing w:val="0"/>
          <w:w w:val="100"/>
          <w:position w:val="0"/>
          <w:sz w:val="18"/>
          <w:szCs w:val="18"/>
        </w:rPr>
        <w:t>3,151,920.45</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82,033,292.10</w:t>
      </w:r>
      <w:r>
        <w:rPr>
          <w:color w:val="000000"/>
          <w:spacing w:val="0"/>
          <w:w w:val="100"/>
          <w:position w:val="0"/>
        </w:rPr>
        <w:t>元。</w:t>
      </w:r>
    </w:p>
    <w:p>
      <w:pPr>
        <w:pStyle w:val="Style17"/>
        <w:keepNext w:val="0"/>
        <w:keepLines w:val="0"/>
        <w:widowControl w:val="0"/>
        <w:numPr>
          <w:ilvl w:val="0"/>
          <w:numId w:val="7"/>
        </w:numPr>
        <w:shd w:val="clear" w:color="auto" w:fill="auto"/>
        <w:bidi w:val="0"/>
        <w:spacing w:before="0" w:after="260" w:line="240" w:lineRule="auto"/>
        <w:ind w:left="0" w:right="0" w:firstLine="0"/>
        <w:jc w:val="both"/>
      </w:pPr>
      <w:bookmarkStart w:id="724" w:name="bookmark724"/>
      <w:bookmarkEnd w:id="724"/>
      <w:r>
        <w:rPr>
          <w:b/>
          <w:bCs/>
          <w:color w:val="000000"/>
          <w:spacing w:val="0"/>
          <w:w w:val="100"/>
          <w:position w:val="0"/>
        </w:rPr>
        <w:t>其他基本情况</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rPr>
        <w:t>注册地址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深圳市南山区粤海街道科发路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号金融基地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E1</w:t>
      </w:r>
      <w:r>
        <w:rPr>
          <w:color w:val="000000"/>
          <w:spacing w:val="0"/>
          <w:w w:val="100"/>
          <w:position w:val="0"/>
        </w:rPr>
        <w:t>。</w:t>
      </w:r>
    </w:p>
    <w:p>
      <w:pPr>
        <w:pStyle w:val="Style37"/>
        <w:keepNext w:val="0"/>
        <w:keepLines w:val="0"/>
        <w:widowControl w:val="0"/>
        <w:shd w:val="clear" w:color="auto" w:fill="auto"/>
        <w:bidi w:val="0"/>
        <w:spacing w:before="0" w:after="380" w:line="312" w:lineRule="exact"/>
        <w:ind w:left="0" w:right="0"/>
        <w:jc w:val="both"/>
      </w:pPr>
      <w:r>
        <w:rPr>
          <w:color w:val="000000"/>
          <w:spacing w:val="0"/>
          <w:w w:val="100"/>
          <w:position w:val="0"/>
        </w:rPr>
        <w:t>本公司主要经营范围为：（一）计算机硬件及配套零件的研究、开发；网络产品、多媒体产品、电子信息产品及通讯产 品、办公自动化设备、仪器仪表、电器及印刷照排设备、计算机应用系统的安装和维修；自产产品的技术咨询、技术服务、 技术转让（法律、行政法规、国务院决定禁止的项目除外，限制的项目须取得许可后方可经营）；经营进出口业务（法律、 行政法规、国务院决定禁止的项目除外，限制的项目须取得许可后方可经营）；计算机硬件、软件及外围设施的代理销售； 销售自产产品；（二）通信设备、电子、计算机配件的技术开发；计算机软件、信息技术、系统集成、办公自动化、综合布 线技术的研发（不含限制项目）；（三）投资兴办实业（具体项目另行申报）；在合法取得使用权的土地上从事房地产开发 经营。（以上项目法律、行政法规、国务院决定禁止的项目除外，限制的项目须取得许可后方可经营）。</w:t>
      </w:r>
    </w:p>
    <w:p>
      <w:pPr>
        <w:pStyle w:val="Style32"/>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四</w:t>
      </w:r>
      <w:bookmarkEnd w:id="727"/>
      <w:r>
        <w:rPr>
          <w:color w:val="000000"/>
          <w:spacing w:val="0"/>
          <w:w w:val="100"/>
          <w:position w:val="0"/>
        </w:rPr>
        <w:t>、财务报表的编制基础</w:t>
      </w:r>
      <w:bookmarkEnd w:id="725"/>
      <w:bookmarkEnd w:id="726"/>
      <w:bookmarkEnd w:id="728"/>
    </w:p>
    <w:p>
      <w:pPr>
        <w:pStyle w:val="Style40"/>
        <w:keepNext/>
        <w:keepLines/>
        <w:widowControl w:val="0"/>
        <w:shd w:val="clear" w:color="auto" w:fill="auto"/>
        <w:tabs>
          <w:tab w:pos="317"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1</w:t>
      </w:r>
      <w:bookmarkEnd w:id="731"/>
      <w:r>
        <w:rPr>
          <w:color w:val="000000"/>
          <w:spacing w:val="0"/>
          <w:w w:val="100"/>
          <w:position w:val="0"/>
        </w:rPr>
        <w:t>、</w:t>
        <w:tab/>
        <w:t>编制基础</w:t>
      </w:r>
      <w:bookmarkEnd w:id="729"/>
      <w:bookmarkEnd w:id="730"/>
      <w:bookmarkEnd w:id="732"/>
    </w:p>
    <w:p>
      <w:pPr>
        <w:pStyle w:val="Style37"/>
        <w:keepNext w:val="0"/>
        <w:keepLines w:val="0"/>
        <w:widowControl w:val="0"/>
        <w:shd w:val="clear" w:color="auto" w:fill="auto"/>
        <w:bidi w:val="0"/>
        <w:spacing w:before="0" w:after="380" w:line="288" w:lineRule="exact"/>
        <w:ind w:left="0" w:right="0"/>
        <w:jc w:val="both"/>
      </w:pPr>
      <w:r>
        <w:rPr>
          <w:color w:val="000000"/>
          <w:spacing w:val="0"/>
          <w:w w:val="100"/>
          <w:position w:val="0"/>
        </w:rPr>
        <w:t>本集团财务报表以持续经营为基础，根据实际发生的交易和事项，按照财政部颁布的《企业会计准则》及相关规定，并 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40"/>
        <w:keepNext/>
        <w:keepLines/>
        <w:widowControl w:val="0"/>
        <w:shd w:val="clear" w:color="auto" w:fill="auto"/>
        <w:tabs>
          <w:tab w:pos="318" w:val="left"/>
        </w:tabs>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2</w:t>
      </w:r>
      <w:bookmarkEnd w:id="735"/>
      <w:r>
        <w:rPr>
          <w:color w:val="000000"/>
          <w:spacing w:val="0"/>
          <w:w w:val="100"/>
          <w:position w:val="0"/>
        </w:rPr>
        <w:t>、</w:t>
        <w:tab/>
        <w:t>持续经营</w:t>
      </w:r>
      <w:bookmarkEnd w:id="733"/>
      <w:bookmarkEnd w:id="734"/>
      <w:bookmarkEnd w:id="736"/>
    </w:p>
    <w:p>
      <w:pPr>
        <w:pStyle w:val="Style37"/>
        <w:keepNext w:val="0"/>
        <w:keepLines w:val="0"/>
        <w:widowControl w:val="0"/>
        <w:shd w:val="clear" w:color="auto" w:fill="auto"/>
        <w:bidi w:val="0"/>
        <w:spacing w:before="0" w:after="260" w:line="331" w:lineRule="exact"/>
        <w:ind w:left="0" w:right="0"/>
        <w:jc w:val="both"/>
      </w:pPr>
      <w:r>
        <w:rPr>
          <w:color w:val="000000"/>
          <w:spacing w:val="0"/>
          <w:w w:val="100"/>
          <w:position w:val="0"/>
        </w:rPr>
        <w:t>本集团不存在导致对报告期末起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个月内的持续经营假设产生重大疑虑的事项或情况。因此，本财务报表系在持续经营 假设的基础上编制。</w:t>
      </w:r>
    </w:p>
    <w:p>
      <w:pPr>
        <w:pStyle w:val="Style32"/>
        <w:keepNext/>
        <w:keepLines/>
        <w:widowControl w:val="0"/>
        <w:shd w:val="clear" w:color="auto" w:fill="auto"/>
        <w:bidi w:val="0"/>
        <w:spacing w:before="0" w:after="26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五</w:t>
      </w:r>
      <w:bookmarkEnd w:id="739"/>
      <w:r>
        <w:rPr>
          <w:color w:val="000000"/>
          <w:spacing w:val="0"/>
          <w:w w:val="100"/>
          <w:position w:val="0"/>
        </w:rPr>
        <w:t>、重要会计政策及会计估计</w:t>
      </w:r>
      <w:bookmarkEnd w:id="737"/>
      <w:bookmarkEnd w:id="738"/>
      <w:bookmarkEnd w:id="740"/>
    </w:p>
    <w:p>
      <w:pPr>
        <w:pStyle w:val="Style37"/>
        <w:keepNext w:val="0"/>
        <w:keepLines w:val="0"/>
        <w:widowControl w:val="0"/>
        <w:shd w:val="clear" w:color="auto" w:fill="auto"/>
        <w:bidi w:val="0"/>
        <w:spacing w:before="0" w:after="0" w:line="316" w:lineRule="exact"/>
        <w:ind w:left="0" w:right="0" w:firstLine="0"/>
        <w:jc w:val="left"/>
      </w:pPr>
      <w:r>
        <w:rPr>
          <w:color w:val="000000"/>
          <w:spacing w:val="0"/>
          <w:w w:val="100"/>
          <w:position w:val="0"/>
        </w:rPr>
        <w:t>具体会计政策和会计估计提示：</w:t>
      </w:r>
    </w:p>
    <w:p>
      <w:pPr>
        <w:pStyle w:val="Style37"/>
        <w:keepNext w:val="0"/>
        <w:keepLines w:val="0"/>
        <w:widowControl w:val="0"/>
        <w:shd w:val="clear" w:color="auto" w:fill="auto"/>
        <w:bidi w:val="0"/>
        <w:spacing w:before="0" w:after="380" w:line="314" w:lineRule="exact"/>
        <w:ind w:left="0" w:right="0"/>
        <w:jc w:val="both"/>
      </w:pPr>
      <w:r>
        <w:rPr>
          <w:color w:val="000000"/>
          <w:spacing w:val="0"/>
          <w:w w:val="100"/>
          <w:position w:val="0"/>
        </w:rPr>
        <w:t>具体会计政策和会计估计提示：本集团根据实际生产经营特点制定的具体会计政策和会计估计包括营业周期、应收款项 坏账准备的确认和计量、存货跌价准备的确认和计量、固定资产分类及折旧方法、无形资产摊销、开发支出资本化条件、商 誉减值测试、递延所得税资产和递延所得税负债确认、收入确认和计量等。</w:t>
      </w:r>
    </w:p>
    <w:p>
      <w:pPr>
        <w:pStyle w:val="Style40"/>
        <w:keepNext/>
        <w:keepLines/>
        <w:widowControl w:val="0"/>
        <w:shd w:val="clear" w:color="auto" w:fill="auto"/>
        <w:tabs>
          <w:tab w:pos="36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遵循企业会计准则的声明</w:t>
      </w:r>
      <w:bookmarkEnd w:id="741"/>
      <w:bookmarkEnd w:id="742"/>
      <w:bookmarkEnd w:id="744"/>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本公司编制的财务报表符合企业会计准则的要求，真实、完整地反映了本公司及本集团的财务状况、经营成果和现金流 量等有关信息。</w:t>
      </w:r>
    </w:p>
    <w:p>
      <w:pPr>
        <w:pStyle w:val="Style40"/>
        <w:keepNext/>
        <w:keepLines/>
        <w:widowControl w:val="0"/>
        <w:shd w:val="clear" w:color="auto" w:fill="auto"/>
        <w:tabs>
          <w:tab w:pos="37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会计期间</w:t>
      </w:r>
      <w:bookmarkEnd w:id="745"/>
      <w:bookmarkEnd w:id="746"/>
      <w:bookmarkEnd w:id="748"/>
    </w:p>
    <w:p>
      <w:pPr>
        <w:pStyle w:val="Style37"/>
        <w:keepNext w:val="0"/>
        <w:keepLines w:val="0"/>
        <w:widowControl w:val="0"/>
        <w:shd w:val="clear" w:color="auto" w:fill="auto"/>
        <w:bidi w:val="0"/>
        <w:spacing w:before="0" w:after="380" w:line="316" w:lineRule="exact"/>
        <w:ind w:left="0" w:right="0"/>
        <w:jc w:val="both"/>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40"/>
        <w:keepNext/>
        <w:keepLines/>
        <w:widowControl w:val="0"/>
        <w:shd w:val="clear" w:color="auto" w:fill="auto"/>
        <w:tabs>
          <w:tab w:pos="378"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w:t>
        <w:tab/>
        <w:t>营业周期</w:t>
      </w:r>
      <w:bookmarkEnd w:id="749"/>
      <w:bookmarkEnd w:id="750"/>
      <w:bookmarkEnd w:id="752"/>
    </w:p>
    <w:p>
      <w:pPr>
        <w:pStyle w:val="Style37"/>
        <w:keepNext w:val="0"/>
        <w:keepLines w:val="0"/>
        <w:widowControl w:val="0"/>
        <w:shd w:val="clear" w:color="auto" w:fill="auto"/>
        <w:bidi w:val="0"/>
        <w:spacing w:before="0" w:after="380" w:line="316" w:lineRule="exact"/>
        <w:ind w:left="0" w:right="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40"/>
        <w:keepNext/>
        <w:keepLines/>
        <w:widowControl w:val="0"/>
        <w:shd w:val="clear" w:color="auto" w:fill="auto"/>
        <w:tabs>
          <w:tab w:pos="378"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w:t>
        <w:tab/>
        <w:t>记账本位币</w:t>
      </w:r>
      <w:bookmarkEnd w:id="753"/>
      <w:bookmarkEnd w:id="754"/>
      <w:bookmarkEnd w:id="756"/>
    </w:p>
    <w:p>
      <w:pPr>
        <w:pStyle w:val="Style37"/>
        <w:keepNext w:val="0"/>
        <w:keepLines w:val="0"/>
        <w:widowControl w:val="0"/>
        <w:shd w:val="clear" w:color="auto" w:fill="auto"/>
        <w:bidi w:val="0"/>
        <w:spacing w:before="0" w:after="380" w:line="322" w:lineRule="exact"/>
        <w:ind w:left="0" w:right="0"/>
        <w:jc w:val="both"/>
      </w:pPr>
      <w:r>
        <w:rPr>
          <w:color w:val="000000"/>
          <w:spacing w:val="0"/>
          <w:w w:val="100"/>
          <w:position w:val="0"/>
        </w:rPr>
        <w:t>本公司、本公司之子公司、合营企业及联营企业根据其经营所处的主要经济环境自行决定其记账本位币，在编制合并财 务报表时折算为人民币。本公司编制本合并财务报表所采用的货币为人民币。</w:t>
      </w:r>
    </w:p>
    <w:p>
      <w:pPr>
        <w:pStyle w:val="Style40"/>
        <w:keepNext/>
        <w:keepLines/>
        <w:widowControl w:val="0"/>
        <w:shd w:val="clear" w:color="auto" w:fill="auto"/>
        <w:tabs>
          <w:tab w:pos="378" w:val="left"/>
        </w:tabs>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w:t>
        <w:tab/>
        <w:t>同一控制下和非同一控制下企业合并的会计处理方法</w:t>
      </w:r>
      <w:bookmarkEnd w:id="757"/>
      <w:bookmarkEnd w:id="758"/>
      <w:bookmarkEnd w:id="760"/>
    </w:p>
    <w:p>
      <w:pPr>
        <w:pStyle w:val="Style37"/>
        <w:keepNext w:val="0"/>
        <w:keepLines w:val="0"/>
        <w:widowControl w:val="0"/>
        <w:shd w:val="clear" w:color="auto" w:fill="auto"/>
        <w:bidi w:val="0"/>
        <w:spacing w:before="0" w:after="0" w:line="316" w:lineRule="exact"/>
        <w:ind w:left="0" w:right="0"/>
        <w:jc w:val="both"/>
      </w:pPr>
      <w:r>
        <w:rPr>
          <w:color w:val="000000"/>
          <w:spacing w:val="0"/>
          <w:w w:val="100"/>
          <w:position w:val="0"/>
        </w:rPr>
        <w:t>企业合并分为同一控制下的企业合并和非同一控制下的企业合并。</w:t>
      </w:r>
    </w:p>
    <w:p>
      <w:pPr>
        <w:pStyle w:val="Style37"/>
        <w:keepNext w:val="0"/>
        <w:keepLines w:val="0"/>
        <w:widowControl w:val="0"/>
        <w:shd w:val="clear" w:color="auto" w:fill="auto"/>
        <w:tabs>
          <w:tab w:pos="825" w:val="left"/>
        </w:tabs>
        <w:bidi w:val="0"/>
        <w:spacing w:before="0" w:after="0" w:line="334" w:lineRule="exact"/>
        <w:ind w:left="0" w:right="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37"/>
        <w:keepNext w:val="0"/>
        <w:keepLines w:val="0"/>
        <w:widowControl w:val="0"/>
        <w:shd w:val="clear" w:color="auto" w:fill="auto"/>
        <w:bidi w:val="0"/>
        <w:spacing w:before="0" w:after="0" w:line="334" w:lineRule="exact"/>
        <w:ind w:left="0" w:right="0"/>
        <w:jc w:val="left"/>
      </w:pPr>
      <w:r>
        <w:rPr>
          <w:color w:val="000000"/>
          <w:spacing w:val="0"/>
          <w:w w:val="100"/>
          <w:position w:val="0"/>
        </w:rPr>
        <w:t>参与合并的企业在合并前后均受同一方或相同的多方最终控制，且该控制并非暂时性的，为同一控制下的企业合并。 在企业合并中取得的资产和负债，按合并日其在被合并方的账面价值计量。合并方取得的净资产账面价值与支付的合并对价 的账面价值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发行股份面值总额的差额，调整资本公积中的股本溢价，股本溢价不足冲减的则调整留存收益。</w:t>
      </w:r>
    </w:p>
    <w:p>
      <w:pPr>
        <w:pStyle w:val="Style37"/>
        <w:keepNext w:val="0"/>
        <w:keepLines w:val="0"/>
        <w:widowControl w:val="0"/>
        <w:shd w:val="clear" w:color="auto" w:fill="auto"/>
        <w:bidi w:val="0"/>
        <w:spacing w:before="0" w:after="0" w:line="334" w:lineRule="exact"/>
        <w:ind w:left="0" w:right="0" w:firstLine="0"/>
        <w:jc w:val="left"/>
      </w:pPr>
      <w:r>
        <w:rPr>
          <w:color w:val="000000"/>
          <w:spacing w:val="0"/>
          <w:w w:val="100"/>
          <w:position w:val="0"/>
        </w:rPr>
        <w:t>为进行企业合并发生的各项直接费用，于发生时计入当期损益。合并日为合并方实际取得对被合并方控制权的日期。</w:t>
      </w:r>
    </w:p>
    <w:p>
      <w:pPr>
        <w:pStyle w:val="Style37"/>
        <w:keepNext w:val="0"/>
        <w:keepLines w:val="0"/>
        <w:widowControl w:val="0"/>
        <w:shd w:val="clear" w:color="auto" w:fill="auto"/>
        <w:tabs>
          <w:tab w:pos="825" w:val="left"/>
        </w:tabs>
        <w:bidi w:val="0"/>
        <w:spacing w:before="0" w:after="0" w:line="334"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37"/>
        <w:keepNext w:val="0"/>
        <w:keepLines w:val="0"/>
        <w:widowControl w:val="0"/>
        <w:shd w:val="clear" w:color="auto" w:fill="auto"/>
        <w:bidi w:val="0"/>
        <w:spacing w:before="0" w:after="260" w:line="313" w:lineRule="exact"/>
        <w:ind w:left="0" w:right="0"/>
        <w:jc w:val="both"/>
      </w:pPr>
      <w:r>
        <w:rPr>
          <w:color w:val="000000"/>
          <w:spacing w:val="0"/>
          <w:w w:val="100"/>
          <w:position w:val="0"/>
        </w:rPr>
        <w:t>在非同一控制下企业合并中取得的被购买方可辨认资产、负债及或有负债在收购日以公允价值计量。合并成本为本公司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40"/>
        <w:keepNext/>
        <w:keepLines/>
        <w:widowControl w:val="0"/>
        <w:shd w:val="clear" w:color="auto" w:fill="auto"/>
        <w:tabs>
          <w:tab w:pos="345" w:val="left"/>
        </w:tabs>
        <w:bidi w:val="0"/>
        <w:spacing w:before="0" w:after="2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6</w:t>
      </w:r>
      <w:bookmarkEnd w:id="765"/>
      <w:r>
        <w:rPr>
          <w:color w:val="000000"/>
          <w:spacing w:val="0"/>
          <w:w w:val="100"/>
          <w:position w:val="0"/>
        </w:rPr>
        <w:t>、</w:t>
        <w:tab/>
        <w:t>合并财务报表的编制方法</w:t>
      </w:r>
      <w:bookmarkEnd w:id="763"/>
      <w:bookmarkEnd w:id="764"/>
      <w:bookmarkEnd w:id="766"/>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合并财务报表的合并范围以控制为基础予以确定。控制是指本集团拥有对被投资方的权力，通过参与被投资方的相关活 动而享有可变回报，并且有能力运用对被投资方的权力影响其回报金额。一旦相关事实和情况的变化导致上述控制定义涉及 的相关要素发生了变化，本集团将进行重新评估。</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本公司将所有控制的子公司及结构化主体纳入合并财务报表范围。</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37"/>
        <w:keepNext w:val="0"/>
        <w:keepLines w:val="0"/>
        <w:widowControl w:val="0"/>
        <w:shd w:val="clear" w:color="auto" w:fill="auto"/>
        <w:bidi w:val="0"/>
        <w:spacing w:before="0" w:after="0" w:line="307" w:lineRule="exact"/>
        <w:ind w:left="0" w:right="0"/>
        <w:jc w:val="both"/>
      </w:pPr>
      <w:r>
        <w:rPr>
          <w:color w:val="000000"/>
          <w:spacing w:val="0"/>
          <w:w w:val="100"/>
          <w:position w:val="0"/>
        </w:rPr>
        <w:t>对于同一控制下企业合并取得的子公司，其经营成果和现金流量自合并当期期初纳入合并财务报表。编制比较合并财务 报表时，对上年财务报表的相关项目进行调整，视同合并后形成的报告主体自最终控制方开始控制时点起一直存在。</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对于非同一控制下企业合并取得子公司，经营成果和现金流量自本公司取得控制权之日起纳入合并财务报表。在编制合 并财务报表时，以购买日确定的各项可辨认资产、负债及或有负债的公允价值为基础对子公司的财务报表进行调整。</w:t>
      </w:r>
    </w:p>
    <w:p>
      <w:pPr>
        <w:pStyle w:val="Style37"/>
        <w:keepNext w:val="0"/>
        <w:keepLines w:val="0"/>
        <w:widowControl w:val="0"/>
        <w:shd w:val="clear" w:color="auto" w:fill="auto"/>
        <w:bidi w:val="0"/>
        <w:spacing w:before="0" w:after="360" w:line="314" w:lineRule="exact"/>
        <w:ind w:left="0" w:right="0"/>
        <w:jc w:val="both"/>
      </w:pPr>
      <w:r>
        <w:rPr>
          <w:color w:val="000000"/>
          <w:spacing w:val="0"/>
          <w:w w:val="100"/>
          <w:position w:val="0"/>
        </w:rPr>
        <w:t>通过多次交易分步取得非同一控制下被投资单位的股权，最终形成企业合并，编制合并报表时，对于购买日之前持有的 被购买方的股权，按照该股权在购买日的公允价值进行重新计量，公允价值与其账面价值的差额计入当期投资收益；与其相 关的购买日之前持有的被购买方的股权涉及权益法核算下的其他综合收益以及除净损益、其他综合收益和利润分配外的其他 所有者权益变动，在购买日所属当期转为投资损益，由于被投资方重新计量设定受益计划净负债或净资产变动而产生的其他 综合收益除外。</w:t>
      </w:r>
    </w:p>
    <w:p>
      <w:pPr>
        <w:pStyle w:val="Style40"/>
        <w:keepNext/>
        <w:keepLines/>
        <w:widowControl w:val="0"/>
        <w:shd w:val="clear" w:color="auto" w:fill="auto"/>
        <w:tabs>
          <w:tab w:pos="340" w:val="left"/>
        </w:tabs>
        <w:bidi w:val="0"/>
        <w:spacing w:before="0" w:after="2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7</w:t>
      </w:r>
      <w:bookmarkEnd w:id="769"/>
      <w:r>
        <w:rPr>
          <w:color w:val="000000"/>
          <w:spacing w:val="0"/>
          <w:w w:val="100"/>
          <w:position w:val="0"/>
        </w:rPr>
        <w:t>、</w:t>
        <w:tab/>
        <w:t>合营安排分类及共同经营会计处理方法</w:t>
      </w:r>
      <w:bookmarkEnd w:id="767"/>
      <w:bookmarkEnd w:id="768"/>
      <w:bookmarkEnd w:id="770"/>
    </w:p>
    <w:p>
      <w:pPr>
        <w:pStyle w:val="Style37"/>
        <w:keepNext w:val="0"/>
        <w:keepLines w:val="0"/>
        <w:widowControl w:val="0"/>
        <w:shd w:val="clear" w:color="auto" w:fill="auto"/>
        <w:bidi w:val="0"/>
        <w:spacing w:before="0" w:after="360" w:line="312" w:lineRule="exact"/>
        <w:ind w:left="0" w:right="0"/>
        <w:jc w:val="both"/>
      </w:pPr>
      <w:r>
        <w:rPr>
          <w:color w:val="000000"/>
          <w:spacing w:val="0"/>
          <w:w w:val="100"/>
          <w:position w:val="0"/>
        </w:rPr>
        <w:t>合营安排分为共同经营和合营企业。共同经营，是指合营方享有该安排相关资产且承担该安排相关负债的合营安排。合 营企业，是指合营方仅对该安排的净资产享有权利的合营安排。本集团无共同经营情况。</w:t>
      </w:r>
    </w:p>
    <w:p>
      <w:pPr>
        <w:pStyle w:val="Style40"/>
        <w:keepNext/>
        <w:keepLines/>
        <w:widowControl w:val="0"/>
        <w:shd w:val="clear" w:color="auto" w:fill="auto"/>
        <w:tabs>
          <w:tab w:pos="345"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8</w:t>
      </w:r>
      <w:bookmarkEnd w:id="773"/>
      <w:r>
        <w:rPr>
          <w:color w:val="000000"/>
          <w:spacing w:val="0"/>
          <w:w w:val="100"/>
          <w:position w:val="0"/>
        </w:rPr>
        <w:t>、</w:t>
        <w:tab/>
        <w:t>现金及现金等价物的确定标准</w:t>
      </w:r>
      <w:bookmarkEnd w:id="771"/>
      <w:bookmarkEnd w:id="772"/>
      <w:bookmarkEnd w:id="774"/>
    </w:p>
    <w:p>
      <w:pPr>
        <w:pStyle w:val="Style37"/>
        <w:keepNext w:val="0"/>
        <w:keepLines w:val="0"/>
        <w:widowControl w:val="0"/>
        <w:shd w:val="clear" w:color="auto" w:fill="auto"/>
        <w:bidi w:val="0"/>
        <w:spacing w:before="0" w:after="360" w:line="331" w:lineRule="exact"/>
        <w:ind w:left="0" w:right="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40"/>
        <w:keepNext/>
        <w:keepLines/>
        <w:widowControl w:val="0"/>
        <w:shd w:val="clear" w:color="auto" w:fill="auto"/>
        <w:tabs>
          <w:tab w:pos="345" w:val="left"/>
        </w:tabs>
        <w:bidi w:val="0"/>
        <w:spacing w:before="0" w:after="2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9</w:t>
      </w:r>
      <w:bookmarkEnd w:id="777"/>
      <w:r>
        <w:rPr>
          <w:color w:val="000000"/>
          <w:spacing w:val="0"/>
          <w:w w:val="100"/>
          <w:position w:val="0"/>
        </w:rPr>
        <w:t>、</w:t>
        <w:tab/>
        <w:t>外币业务和外币报表折算</w:t>
      </w:r>
      <w:bookmarkEnd w:id="775"/>
      <w:bookmarkEnd w:id="776"/>
      <w:bookmarkEnd w:id="778"/>
    </w:p>
    <w:p>
      <w:pPr>
        <w:pStyle w:val="Style37"/>
        <w:keepNext w:val="0"/>
        <w:keepLines w:val="0"/>
        <w:widowControl w:val="0"/>
        <w:shd w:val="clear" w:color="auto" w:fill="auto"/>
        <w:tabs>
          <w:tab w:pos="792" w:val="left"/>
        </w:tabs>
        <w:bidi w:val="0"/>
        <w:spacing w:before="0" w:after="0" w:line="314" w:lineRule="exact"/>
        <w:ind w:left="0" w:right="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37"/>
        <w:keepNext w:val="0"/>
        <w:keepLines w:val="0"/>
        <w:widowControl w:val="0"/>
        <w:shd w:val="clear" w:color="auto" w:fill="auto"/>
        <w:tabs>
          <w:tab w:pos="792" w:val="left"/>
        </w:tabs>
        <w:bidi w:val="0"/>
        <w:spacing w:before="0" w:after="0" w:line="314" w:lineRule="exact"/>
        <w:ind w:left="0" w:right="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外币资产负债表中资产、负债类项目采用资产负债表日的即期汇率折算；股东权益类项目除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外，均按业务 发生时的即期汇率折算；利润表中的收入与费用项目，采用交易发生日的即期汇率折算。上述折算产生的外币报表折算差额， 在其他综合收益项目中列示。外币现金流量采用现金流量发生日的即期汇率折算。汇率变动对现金的影响额，在现金流量表 中单独列示。</w:t>
      </w:r>
    </w:p>
    <w:p>
      <w:pPr>
        <w:pStyle w:val="Style40"/>
        <w:keepNext/>
        <w:keepLines/>
        <w:widowControl w:val="0"/>
        <w:shd w:val="clear" w:color="auto" w:fill="auto"/>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1"/>
      <w:bookmarkEnd w:id="782"/>
      <w:bookmarkEnd w:id="784"/>
    </w:p>
    <w:p>
      <w:pPr>
        <w:pStyle w:val="Style37"/>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本集团成为金融工具合同的一方时确认一项金融资产或金融负债。</w:t>
      </w:r>
    </w:p>
    <w:p>
      <w:pPr>
        <w:pStyle w:val="Style37"/>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对于以常规方式购买或出售金融资产的，在交易日确认将收到的资产和为此将承担的负债，或者在交易日终止确认已出 售的资产。</w:t>
      </w:r>
    </w:p>
    <w:p>
      <w:pPr>
        <w:pStyle w:val="Style3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债，相关的交易费用直接计入当期损益；对于其他类别的金融资产和金融负债，相关交易费用计入初始确认金额。当本集团 按照《企业会计准则第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初始确认未包含重大融资成分或不考虑不超过一年的合同中的融资成分 的应收账款时，按照收入准则定义的交易价格进行初始计量。</w:t>
      </w:r>
    </w:p>
    <w:p>
      <w:pPr>
        <w:pStyle w:val="Style3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实际利率法是指计算金融资产或金融负债的摊余成本以及将利息收入或利息费用分摊计入各会计期间的方法。</w:t>
      </w:r>
    </w:p>
    <w:p>
      <w:pPr>
        <w:pStyle w:val="Style3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37"/>
        <w:keepNext w:val="0"/>
        <w:keepLines w:val="0"/>
        <w:widowControl w:val="0"/>
        <w:shd w:val="clear" w:color="auto" w:fill="auto"/>
        <w:bidi w:val="0"/>
        <w:spacing w:before="0" w:after="0" w:line="326" w:lineRule="exact"/>
        <w:ind w:left="0" w:right="0" w:firstLine="36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val="0"/>
        <w:keepLines w:val="0"/>
        <w:widowControl w:val="0"/>
        <w:shd w:val="clear" w:color="auto" w:fill="auto"/>
        <w:bidi w:val="0"/>
        <w:spacing w:before="0" w:after="0" w:line="326" w:lineRule="exact"/>
        <w:ind w:left="0" w:right="0" w:firstLine="36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37"/>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）金融资产分类、确认依据和计量方法</w:t>
      </w:r>
    </w:p>
    <w:p>
      <w:pPr>
        <w:pStyle w:val="Style3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3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本集团将同时符合下列条件的金融资产分类为以摊余成本计量的金融资产:①管理该金融资产的业务模式是以收取合同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息的支付。此类金融资产按照公允价值进行初始计量，相关交易费用计入初始确认金额；以摊余成本进行后续计量。除被指 定为被套期项目的，按照实际利率法摊销初始金额与到期金额之间的差额，其摊销、减值、汇兑损益以及终止确认时产生的 利得或损失，计入当期损益。</w:t>
      </w:r>
    </w:p>
    <w:p>
      <w:pPr>
        <w:pStyle w:val="Style3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计入初始确认金额。除被指定为被套期项目的，此类金融资产，除信用减值损失或利得、汇兑损益和按照实际利率法计算的 该金融资产利息之外，所产生的其他利得或损失，均计入其他综合收益；金融资产终止确认时，之前计入其他综合收益的累 计利得或损失应当从其他综合收益中转出，计入当期损益。</w:t>
      </w:r>
    </w:p>
    <w:p>
      <w:pPr>
        <w:pStyle w:val="Style3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本集团分类为以公允价值计量且其变动计入其他综合收益的金融资产为应收款项融资。</w:t>
      </w:r>
    </w:p>
    <w:p>
      <w:pPr>
        <w:pStyle w:val="Style3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本集团按照实际利率法确认利息收入。利息收入根据金融资产账面余额乘以实际利率计算确定，但下列情况除外：①对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37"/>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本集团将非交易性权益工具投资指定为以公允价值计量且其变动计入其他综合收益的金融资产。该指定一经作出，不得 撤销。本集团指定的以公允价值计量且其变动计入其他综合收益的非交易性权益工具投资，按照公允价值进行初始计量，相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37"/>
        <w:keepNext w:val="0"/>
        <w:keepLines w:val="0"/>
        <w:widowControl w:val="0"/>
        <w:shd w:val="clear" w:color="auto" w:fill="auto"/>
        <w:bidi w:val="0"/>
        <w:spacing w:before="0" w:after="0" w:line="312" w:lineRule="exact"/>
        <w:ind w:left="360" w:right="0" w:firstLine="0"/>
        <w:jc w:val="both"/>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相关交易费用直接计入当期损益。此类金融资产的利得或损失，计入当期损益。</w:t>
      </w:r>
    </w:p>
    <w:p>
      <w:pPr>
        <w:pStyle w:val="Style37"/>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本集团在非同一控制下的企业合并中确认的或有对价构成金融资产的，该金融资产分类为以公允价值计量且其变动计入当期 损益的金融资产。</w:t>
      </w:r>
    </w:p>
    <w:p>
      <w:pPr>
        <w:pStyle w:val="Style3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）金融资产转移的确认依据和计量方法</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37"/>
        <w:keepNext w:val="0"/>
        <w:keepLines w:val="0"/>
        <w:widowControl w:val="0"/>
        <w:shd w:val="clear" w:color="auto" w:fill="auto"/>
        <w:bidi w:val="0"/>
        <w:spacing w:before="0" w:after="0" w:line="324" w:lineRule="exact"/>
        <w:ind w:left="0" w:right="0"/>
        <w:jc w:val="both"/>
      </w:pPr>
      <w:r>
        <w:rPr>
          <w:color w:val="000000"/>
          <w:spacing w:val="0"/>
          <w:w w:val="100"/>
          <w:position w:val="0"/>
        </w:rPr>
        <w:t xml:space="preserve">若本集团既没有转移也没有保留金融资产所有权上几乎所有风险和报酬，且保留了对该金融资产控制的，则按照其继续 涉入被转移金融资产的程度继续确认该被转移金融资产，并相应确认相关负债。本集团按照下列方式对相关负债进行计量： 被转移金融资产以摊余成本计量的，相关负债的账面价值等于继续涉入被转移金融资产的账面价值减去本集团保留的权利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如果本集团因金融资产转移保留了相关权利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的摊余成本并加上本集团承担的义务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如果本集团因金融资产转移承担了相关 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的摊余成本，相关负债不指定为以公允价值计量且其变动计入当期损益的金融负债。</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被转移金融资产以公允价值计量的，相关负债的账面价值等于继续涉入被转移金融资产的账面价值减去本集团保留的权 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如果本集团因金融资产转移保留了相关权利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的公允价值并加上本集团承担的义务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如果本集团因金融资产转移承担了相 关义务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的公允价值，该权利和义务的公允价值为按独立基础计量时的公允价值。</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收益的公允价值变动累计额中对应终止确认部分的金额之和的差额计入当期损益。若本集团转移的金融资产是指定为以公允 价值计量且其变动计入其他综合收益的非交易性权益工具投资，之前计入其他综合收益的累计利得或损失从其他综合收益中 转出，计入留存收益。</w:t>
      </w:r>
    </w:p>
    <w:p>
      <w:pPr>
        <w:pStyle w:val="Style37"/>
        <w:keepNext w:val="0"/>
        <w:keepLines w:val="0"/>
        <w:widowControl w:val="0"/>
        <w:shd w:val="clear" w:color="auto" w:fill="auto"/>
        <w:bidi w:val="0"/>
        <w:spacing w:before="0" w:after="0" w:line="311" w:lineRule="exact"/>
        <w:ind w:left="0" w:right="0"/>
        <w:jc w:val="both"/>
      </w:pPr>
      <w:r>
        <w:rPr>
          <w:color w:val="000000"/>
          <w:spacing w:val="0"/>
          <w:w w:val="100"/>
          <w:position w:val="0"/>
        </w:rPr>
        <w:t>金融资产部分转移满足终止确认条件的，将转移前金融资产整体的账面价值在终止确认部分和继续确认部分之间按照转 移日各自的相对公允价值进行分摊，并将终止确认部分收到的对价和原计入其他综合收益的公允价值变动累计额中对应终止 确认部分的金额之和与终止确认部分在终止确认日的账面价值之差额计入当期损益。若本集团转移的金融资产是指定为以公 允价值计量且其变动计入其他综合收益的非交易性权益工具投资，之前计入其他综合收益的累计利得或损失从其他综合收益 中转出，计入留存收益。</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金融资产整体转移未满足终止确认条件的，本集团继续确认所转移的金融资产整体，并将收到的对价确认为金融负债。</w:t>
      </w:r>
    </w:p>
    <w:p>
      <w:pPr>
        <w:pStyle w:val="Style37"/>
        <w:keepNext w:val="0"/>
        <w:keepLines w:val="0"/>
        <w:widowControl w:val="0"/>
        <w:shd w:val="clear" w:color="auto" w:fill="auto"/>
        <w:bidi w:val="0"/>
        <w:spacing w:before="0" w:after="140" w:line="313" w:lineRule="exact"/>
        <w:ind w:left="0" w:right="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37"/>
        <w:keepNext w:val="0"/>
        <w:keepLines w:val="0"/>
        <w:widowControl w:val="0"/>
        <w:shd w:val="clear" w:color="auto" w:fill="auto"/>
        <w:tabs>
          <w:tab w:pos="669" w:val="left"/>
        </w:tabs>
        <w:bidi w:val="0"/>
        <w:spacing w:before="0" w:after="0" w:line="360" w:lineRule="auto"/>
        <w:ind w:left="0" w:right="0"/>
        <w:jc w:val="both"/>
      </w:pPr>
      <w:bookmarkStart w:id="787" w:name="bookmark787"/>
      <w:r>
        <w:rPr>
          <w:rFonts w:ascii="Times New Roman" w:eastAsia="Times New Roman" w:hAnsi="Times New Roman" w:cs="Times New Roman"/>
          <w:color w:val="000000"/>
          <w:spacing w:val="0"/>
          <w:w w:val="100"/>
          <w:position w:val="0"/>
          <w:sz w:val="18"/>
          <w:szCs w:val="18"/>
        </w:rPr>
        <w:t>1</w:t>
      </w:r>
      <w:bookmarkEnd w:id="787"/>
      <w:r>
        <w:rPr>
          <w:color w:val="000000"/>
          <w:spacing w:val="0"/>
          <w:w w:val="100"/>
          <w:position w:val="0"/>
        </w:rPr>
        <w:t>）</w:t>
        <w:tab/>
        <w:t>金融负债分类、确认依据和计量方法</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本集团的金融负债于初始确认时分类为以公允价值计量且其变动计入当期损益的金融负债和其他金融负债。</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计入当期损益的金融负债。交易性金融负债，是指满足下列条件之一的金融负债：承担该金融负债的目的是为了在近期内回 购；属于进行集中管理的可辨认金融工具组合的一部分，且有客观证据表明企业近期采用短期获利方式对该组合进行管理； 属于衍生工具，但是，被指定且为有效套期工具的衍生工具、属于财务担保合同的衍生工具、与在活跃市场中没有报价且其 公允价值不能可靠计量的权益工具投资挂钩并须通过交付该权益工具结算的衍生工具除外。对于此类金融负债，按照公允价 值进行后续计量，所有已实现和未实现的损益均计入当期损益。</w:t>
      </w:r>
    </w:p>
    <w:p>
      <w:pPr>
        <w:pStyle w:val="Style37"/>
        <w:keepNext w:val="0"/>
        <w:keepLines w:val="0"/>
        <w:widowControl w:val="0"/>
        <w:shd w:val="clear" w:color="auto" w:fill="auto"/>
        <w:bidi w:val="0"/>
        <w:spacing w:before="0" w:after="140" w:line="313" w:lineRule="exact"/>
        <w:ind w:left="0" w:right="0"/>
        <w:jc w:val="both"/>
      </w:pPr>
      <w:r>
        <w:rPr>
          <w:color w:val="000000"/>
          <w:spacing w:val="0"/>
          <w:w w:val="100"/>
          <w:position w:val="0"/>
        </w:rPr>
        <w:t>其他金融负债，采用实际利率法，按照摊余成本进行后续计量。除下列各项外，本集团将金融负债分类为以摊余成本计 量的金融负债：①以公允价值计量且其变动计入当期损益的金融负债，包括交易性金融负债（含属于金融负债的衍生工具） 和指定为以公允价值计量且其变动计入当期损益的金融负债。②不符合终止确认条件的金融资产转移或继续涉入被转移金融 资产所形成的金融负债。③不属于以上①或②情形的财务担保合同，以及不属于以上①情形的以低于市场利率贷款的贷款承 诺。</w:t>
      </w:r>
    </w:p>
    <w:p>
      <w:pPr>
        <w:pStyle w:val="Style37"/>
        <w:keepNext w:val="0"/>
        <w:keepLines w:val="0"/>
        <w:widowControl w:val="0"/>
        <w:shd w:val="clear" w:color="auto" w:fill="auto"/>
        <w:tabs>
          <w:tab w:pos="688" w:val="left"/>
        </w:tabs>
        <w:bidi w:val="0"/>
        <w:spacing w:before="0" w:after="0" w:line="360" w:lineRule="auto"/>
        <w:ind w:left="0" w:right="0"/>
        <w:jc w:val="both"/>
      </w:pPr>
      <w:bookmarkStart w:id="788" w:name="bookmark788"/>
      <w:r>
        <w:rPr>
          <w:rFonts w:ascii="Times New Roman" w:eastAsia="Times New Roman" w:hAnsi="Times New Roman" w:cs="Times New Roman"/>
          <w:color w:val="000000"/>
          <w:spacing w:val="0"/>
          <w:w w:val="100"/>
          <w:position w:val="0"/>
          <w:sz w:val="18"/>
          <w:szCs w:val="18"/>
        </w:rPr>
        <w:t>2</w:t>
      </w:r>
      <w:bookmarkEnd w:id="788"/>
      <w:r>
        <w:rPr>
          <w:color w:val="000000"/>
          <w:spacing w:val="0"/>
          <w:w w:val="100"/>
          <w:position w:val="0"/>
        </w:rPr>
        <w:t>）</w:t>
        <w:tab/>
        <w:t>金融负债终止确认条件</w:t>
      </w:r>
    </w:p>
    <w:p>
      <w:pPr>
        <w:pStyle w:val="Style37"/>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w:t>
      </w:r>
      <w:r>
        <w:rPr>
          <w:color w:val="000000"/>
          <w:spacing w:val="0"/>
          <w:w w:val="100"/>
          <w:position w:val="0"/>
        </w:rPr>
        <w:t>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37"/>
        <w:keepNext w:val="0"/>
        <w:keepLines w:val="0"/>
        <w:widowControl w:val="0"/>
        <w:shd w:val="clear" w:color="auto" w:fill="auto"/>
        <w:tabs>
          <w:tab w:pos="765" w:val="left"/>
        </w:tabs>
        <w:bidi w:val="0"/>
        <w:spacing w:before="0" w:after="0" w:line="313" w:lineRule="exact"/>
        <w:ind w:left="0" w:right="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金融资产和金融负债的公允价值确定方法</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本集团以主要市场的价格计量金融资产和金融负债的公允价值，不存在主要市场的，以最有利市场的价格计量金融资产和金 融负债的公允价值，并且采用当时适用并且有足够可利用数据和其他信息支持的估值技术。公允价值计量所使用的输入值分 为三个层次，即第一层次输入值是计量日能够取得的相同资产或负债在活跃市场上未经调整的报价；第二层次输入值是除第 一层次输入值外相关资产或负债直接或间接可观察的输入值；第三层次输入值是相关资产或负债的不可观察输入值。本集团 优先使用第一层次输入值，最后再使用第三层次输入值，神州数码控股有限公司的股票使用第一层次输入值，交易性金融资 产、应收款项融资和衍生金融负债使用第二层次输入值，深圳数云创想信息技术有限公司的股权投资使用第三层次输入值。 公允价值计量结果所属的层次，由对公允价值计量整体而言具有重大意义的输入值所属的最低层次决定。</w:t>
      </w:r>
    </w:p>
    <w:p>
      <w:pPr>
        <w:pStyle w:val="Style37"/>
        <w:keepNext w:val="0"/>
        <w:keepLines w:val="0"/>
        <w:widowControl w:val="0"/>
        <w:shd w:val="clear" w:color="auto" w:fill="auto"/>
        <w:tabs>
          <w:tab w:pos="765" w:val="left"/>
        </w:tabs>
        <w:bidi w:val="0"/>
        <w:spacing w:before="0" w:after="0" w:line="313" w:lineRule="exact"/>
        <w:ind w:left="0" w:right="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金融资产和金融负债的抵销</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本集团的金融资产和金融负债在资产负债表内分别列示，不相互抵销。但同时满足下列条件时，以相互抵销后的净额在资产 负债表内列示：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）本集团计划以净额结算， 或同时变现该金融资产和清偿该金融负债。</w:t>
      </w:r>
    </w:p>
    <w:p>
      <w:pPr>
        <w:pStyle w:val="Style37"/>
        <w:keepNext w:val="0"/>
        <w:keepLines w:val="0"/>
        <w:widowControl w:val="0"/>
        <w:shd w:val="clear" w:color="auto" w:fill="auto"/>
        <w:tabs>
          <w:tab w:pos="765" w:val="left"/>
        </w:tabs>
        <w:bidi w:val="0"/>
        <w:spacing w:before="0" w:after="0" w:line="313" w:lineRule="exact"/>
        <w:ind w:left="0" w:right="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金融负债与权益工具的区分及相关处理方法</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本集团按照以下原则区分金融负债与权益工具：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）如果本集团不能无条件地避免以交付现金或其他金融资产来履行一项合 同义务，则该合同义务符合金融负债的定义。有些金融工具虽然没有明确地包含交付现金或其他金融资产义务的条款和条件, 但有可能通过其他条款和条件间接地形成合同义务。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）如果一项金融工具须用或可用本集团自身权益工具进行结算，需要 考虑用于结算该工具的本集团自身权益工具，是作为现金或其他金融资产的替代品，还是为了使该工具持有方享有在发行方 扣除所有负债后的资产中的剩余权益。如果是前者，该工具是发行方的金融负债；如果是后者，该工具是发行方的权益工具。 在某些情况下，一项金融工具合同规定本集团须用或可用自身权益工具结算该金融工具，其中合同权利或合同义务的金额等 于可获取或需交付的自身权益工具的数量乘以其结算时的公允价值，则无论该合同权利或义务的金额是固定的，还是完全或 部分地基于除本集团自身权益工具的市场价格以外的变量（例如利率、某种商品的价格或某项金融工具的价格）的变动而变 动，该合同分类为金融负债。</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37"/>
        <w:keepNext w:val="0"/>
        <w:keepLines w:val="0"/>
        <w:widowControl w:val="0"/>
        <w:shd w:val="clear" w:color="auto" w:fill="auto"/>
        <w:bidi w:val="0"/>
        <w:spacing w:before="0" w:after="0" w:line="322" w:lineRule="exact"/>
        <w:ind w:left="0" w:right="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金融工具或其组成部分属于权益工具的，其发行（含再融资）、回购、出售或注销时，本集团作为权益的变动处理，不 确认权益工具的公允价值变动。</w:t>
      </w:r>
    </w:p>
    <w:p>
      <w:pPr>
        <w:pStyle w:val="Style37"/>
        <w:keepNext w:val="0"/>
        <w:keepLines w:val="0"/>
        <w:widowControl w:val="0"/>
        <w:shd w:val="clear" w:color="auto" w:fill="auto"/>
        <w:bidi w:val="0"/>
        <w:spacing w:before="0" w:after="0" w:line="313" w:lineRule="exact"/>
        <w:ind w:left="0" w:right="0" w:firstLine="46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本集团对分类为以摊余成本计量的金融资产、分类为以公允价值计量且其变动计入其他综合收益的金融资产以预期信用 损失为基础确认损失准备。</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本集团对由收入准则规范的交易形成的应收账款按照相当于整个存续期内预期信用损失的金额计量损失准备。</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对于其他金融工具，除购买或源生的已发生信用减值的金融资产外，本集团在每个资产负债表日评估相关金融工具的信 用风险自初始确认后的变动情况。若该金融工具的信用风险自初始确认后已显著增加，本集团按照相当于该金融工具整个存 续期内预期信用损失的金额计量其损失准备；若该等金融工具的信用风险自初始确认后并未显著增加，本集团按照相当于该 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个月内预期信用损失的金额计量其损失准备。信用损失准备的增加或转回金额，除分类为以公允价值计量且 其变动计入其他综合收益的金融资产外，作为减值损失或利得计入当期损益。对于分类为以公允价值计量且其变动计入其他 综合收益的金融资产，本集团在其他综合收益中确认其信用损失准备，并将减值损失或利得计入当期损益，且不减少该金融 资产在资产负债表中列示的账面价值。</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本集团在前一会计期间已经按照相当于金融工具整个存续期内预期信用损失的金额计量了损失准备，但在当期资产负债 表日，该金融工具已不再属于自初始确认后信用风险显著增加的情形的，本集团在当期资产负债表日按照相当于未来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信用风险显著增加</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本集团利用可获得的合理且有依据的前瞻性信息，通过比较金融工具在资产负债表日发生违约的风险与在初始确认日发 生违约的风险，以确定金融工具的信用风险自初始确认后是否已显著增加。</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本集团在评估信用风险是否显著增加时会考虑如下因素：</w:t>
      </w:r>
    </w:p>
    <w:p>
      <w:pPr>
        <w:pStyle w:val="Style37"/>
        <w:keepNext w:val="0"/>
        <w:keepLines w:val="0"/>
        <w:widowControl w:val="0"/>
        <w:numPr>
          <w:ilvl w:val="0"/>
          <w:numId w:val="9"/>
        </w:numPr>
        <w:shd w:val="clear" w:color="auto" w:fill="auto"/>
        <w:tabs>
          <w:tab w:pos="673" w:val="left"/>
        </w:tabs>
        <w:bidi w:val="0"/>
        <w:spacing w:before="0" w:after="0" w:line="313" w:lineRule="exact"/>
        <w:ind w:left="0" w:right="0" w:firstLine="300"/>
        <w:jc w:val="both"/>
      </w:pPr>
      <w:bookmarkStart w:id="793" w:name="bookmark793"/>
      <w:bookmarkEnd w:id="793"/>
      <w:r>
        <w:rPr>
          <w:color w:val="000000"/>
          <w:spacing w:val="0"/>
          <w:w w:val="100"/>
          <w:position w:val="0"/>
        </w:rPr>
        <w:t>金融工具外部信用评级实际或预期是否发生显著变化；</w:t>
      </w:r>
    </w:p>
    <w:p>
      <w:pPr>
        <w:pStyle w:val="Style37"/>
        <w:keepNext w:val="0"/>
        <w:keepLines w:val="0"/>
        <w:widowControl w:val="0"/>
        <w:numPr>
          <w:ilvl w:val="0"/>
          <w:numId w:val="9"/>
        </w:numPr>
        <w:shd w:val="clear" w:color="auto" w:fill="auto"/>
        <w:tabs>
          <w:tab w:pos="673" w:val="left"/>
        </w:tabs>
        <w:bidi w:val="0"/>
        <w:spacing w:before="0" w:after="0" w:line="313" w:lineRule="exact"/>
        <w:ind w:left="0" w:right="0" w:firstLine="300"/>
        <w:jc w:val="both"/>
      </w:pPr>
      <w:bookmarkStart w:id="794" w:name="bookmark794"/>
      <w:bookmarkEnd w:id="794"/>
      <w:r>
        <w:rPr>
          <w:color w:val="000000"/>
          <w:spacing w:val="0"/>
          <w:w w:val="100"/>
          <w:position w:val="0"/>
        </w:rPr>
        <w:t>同一金融工具或具有相同预计存续期的类似金融工具的信用风险的外部市场指标是否发生显著变化；</w:t>
      </w:r>
    </w:p>
    <w:p>
      <w:pPr>
        <w:pStyle w:val="Style37"/>
        <w:keepNext w:val="0"/>
        <w:keepLines w:val="0"/>
        <w:widowControl w:val="0"/>
        <w:numPr>
          <w:ilvl w:val="0"/>
          <w:numId w:val="9"/>
        </w:numPr>
        <w:shd w:val="clear" w:color="auto" w:fill="auto"/>
        <w:tabs>
          <w:tab w:pos="673" w:val="left"/>
        </w:tabs>
        <w:bidi w:val="0"/>
        <w:spacing w:before="0" w:after="0" w:line="313" w:lineRule="exact"/>
        <w:ind w:left="0" w:right="0" w:firstLine="300"/>
        <w:jc w:val="both"/>
      </w:pPr>
      <w:bookmarkStart w:id="795" w:name="bookmark795"/>
      <w:bookmarkEnd w:id="795"/>
      <w:r>
        <w:rPr>
          <w:color w:val="000000"/>
          <w:spacing w:val="0"/>
          <w:w w:val="100"/>
          <w:position w:val="0"/>
        </w:rPr>
        <w:t>对债务人实际或预期的内部信用评级是否下调；</w:t>
      </w:r>
    </w:p>
    <w:p>
      <w:pPr>
        <w:pStyle w:val="Style37"/>
        <w:keepNext w:val="0"/>
        <w:keepLines w:val="0"/>
        <w:widowControl w:val="0"/>
        <w:numPr>
          <w:ilvl w:val="0"/>
          <w:numId w:val="9"/>
        </w:numPr>
        <w:shd w:val="clear" w:color="auto" w:fill="auto"/>
        <w:tabs>
          <w:tab w:pos="661" w:val="left"/>
        </w:tabs>
        <w:bidi w:val="0"/>
        <w:spacing w:before="0" w:after="0" w:line="317" w:lineRule="exact"/>
        <w:ind w:left="0" w:right="0" w:firstLine="300"/>
        <w:jc w:val="both"/>
      </w:pPr>
      <w:bookmarkStart w:id="796" w:name="bookmark796"/>
      <w:bookmarkEnd w:id="796"/>
      <w:r>
        <w:rPr>
          <w:color w:val="000000"/>
          <w:spacing w:val="0"/>
          <w:w w:val="100"/>
          <w:position w:val="0"/>
        </w:rPr>
        <w:t>预期将导致债务人履行其偿债义务的能力发生显著变化的业务、财务或经济状况是否出现不利变化，如债务人市场份 额明显下降、主要产品价格急剧持续下跌、主要原材料价格明显上涨、营运资金严重短缺、资产质量下降等；</w:t>
      </w:r>
    </w:p>
    <w:p>
      <w:pPr>
        <w:pStyle w:val="Style37"/>
        <w:keepNext w:val="0"/>
        <w:keepLines w:val="0"/>
        <w:widowControl w:val="0"/>
        <w:numPr>
          <w:ilvl w:val="0"/>
          <w:numId w:val="9"/>
        </w:numPr>
        <w:shd w:val="clear" w:color="auto" w:fill="auto"/>
        <w:tabs>
          <w:tab w:pos="673" w:val="left"/>
        </w:tabs>
        <w:bidi w:val="0"/>
        <w:spacing w:before="0" w:after="0" w:line="313" w:lineRule="exact"/>
        <w:ind w:left="0" w:right="0" w:firstLine="300"/>
        <w:jc w:val="both"/>
      </w:pPr>
      <w:bookmarkStart w:id="797" w:name="bookmark797"/>
      <w:bookmarkEnd w:id="797"/>
      <w:r>
        <w:rPr>
          <w:color w:val="000000"/>
          <w:spacing w:val="0"/>
          <w:w w:val="100"/>
          <w:position w:val="0"/>
        </w:rPr>
        <w:t>债务人经营成果实际或预期是否发生显著变化，如收入、利润等经营指标出现明显不利变化且预期短时间内难以好转;</w:t>
      </w:r>
    </w:p>
    <w:p>
      <w:pPr>
        <w:pStyle w:val="Style37"/>
        <w:keepNext w:val="0"/>
        <w:keepLines w:val="0"/>
        <w:widowControl w:val="0"/>
        <w:numPr>
          <w:ilvl w:val="0"/>
          <w:numId w:val="9"/>
        </w:numPr>
        <w:shd w:val="clear" w:color="auto" w:fill="auto"/>
        <w:tabs>
          <w:tab w:pos="661" w:val="left"/>
        </w:tabs>
        <w:bidi w:val="0"/>
        <w:spacing w:before="0" w:after="0" w:line="312" w:lineRule="exact"/>
        <w:ind w:left="0" w:right="0" w:firstLine="300"/>
        <w:jc w:val="both"/>
      </w:pPr>
      <w:bookmarkStart w:id="798" w:name="bookmark798"/>
      <w:bookmarkEnd w:id="798"/>
      <w:r>
        <w:rPr>
          <w:color w:val="000000"/>
          <w:spacing w:val="0"/>
          <w:w w:val="100"/>
          <w:position w:val="0"/>
        </w:rPr>
        <w:t>债务人所处的监管、经济或技术环境是否发生显著不利变化，如技术变革、国家或地方政府拟出台相关政策是否对债 务人产生重大不利影响；</w:t>
      </w:r>
    </w:p>
    <w:p>
      <w:pPr>
        <w:pStyle w:val="Style37"/>
        <w:keepNext w:val="0"/>
        <w:keepLines w:val="0"/>
        <w:widowControl w:val="0"/>
        <w:numPr>
          <w:ilvl w:val="0"/>
          <w:numId w:val="9"/>
        </w:numPr>
        <w:shd w:val="clear" w:color="auto" w:fill="auto"/>
        <w:tabs>
          <w:tab w:pos="673" w:val="left"/>
        </w:tabs>
        <w:bidi w:val="0"/>
        <w:spacing w:before="0" w:after="0" w:line="313" w:lineRule="exact"/>
        <w:ind w:left="0" w:right="0" w:firstLine="300"/>
        <w:jc w:val="both"/>
      </w:pPr>
      <w:bookmarkStart w:id="799" w:name="bookmark799"/>
      <w:bookmarkEnd w:id="799"/>
      <w:r>
        <w:rPr>
          <w:color w:val="000000"/>
          <w:spacing w:val="0"/>
          <w:w w:val="100"/>
          <w:position w:val="0"/>
        </w:rPr>
        <w:t>作为债务抵押的担保物价值或第三方提供的担保或信用增级质量的是否发生显著变化；</w:t>
      </w:r>
    </w:p>
    <w:p>
      <w:pPr>
        <w:pStyle w:val="Style37"/>
        <w:keepNext w:val="0"/>
        <w:keepLines w:val="0"/>
        <w:widowControl w:val="0"/>
        <w:numPr>
          <w:ilvl w:val="0"/>
          <w:numId w:val="9"/>
        </w:numPr>
        <w:shd w:val="clear" w:color="auto" w:fill="auto"/>
        <w:tabs>
          <w:tab w:pos="656" w:val="left"/>
        </w:tabs>
        <w:bidi w:val="0"/>
        <w:spacing w:before="0" w:after="0" w:line="317" w:lineRule="exact"/>
        <w:ind w:left="0" w:right="0" w:firstLine="300"/>
        <w:jc w:val="both"/>
      </w:pPr>
      <w:bookmarkStart w:id="800" w:name="bookmark800"/>
      <w:bookmarkEnd w:id="800"/>
      <w:r>
        <w:rPr>
          <w:color w:val="000000"/>
          <w:spacing w:val="0"/>
          <w:w w:val="100"/>
          <w:position w:val="0"/>
        </w:rPr>
        <w:t>预期将降低债务人按合同约定期限还款的经济动机的是否发生显著变化，如母公司或其他关联公司能够提供的财务支 持减少，或者信用增级质量的显著变化；</w:t>
      </w:r>
    </w:p>
    <w:p>
      <w:pPr>
        <w:pStyle w:val="Style37"/>
        <w:keepNext w:val="0"/>
        <w:keepLines w:val="0"/>
        <w:widowControl w:val="0"/>
        <w:numPr>
          <w:ilvl w:val="0"/>
          <w:numId w:val="9"/>
        </w:numPr>
        <w:shd w:val="clear" w:color="auto" w:fill="auto"/>
        <w:tabs>
          <w:tab w:pos="673" w:val="left"/>
        </w:tabs>
        <w:bidi w:val="0"/>
        <w:spacing w:before="0" w:after="0" w:line="313" w:lineRule="exact"/>
        <w:ind w:left="0" w:right="0" w:firstLine="300"/>
        <w:jc w:val="both"/>
      </w:pPr>
      <w:bookmarkStart w:id="801" w:name="bookmark801"/>
      <w:bookmarkEnd w:id="801"/>
      <w:r>
        <w:rPr>
          <w:color w:val="000000"/>
          <w:spacing w:val="0"/>
          <w:w w:val="100"/>
          <w:position w:val="0"/>
        </w:rPr>
        <w:t>债务人预期表现和还款行为是否发生显著变化；</w:t>
      </w:r>
    </w:p>
    <w:p>
      <w:pPr>
        <w:pStyle w:val="Style37"/>
        <w:keepNext w:val="0"/>
        <w:keepLines w:val="0"/>
        <w:widowControl w:val="0"/>
        <w:numPr>
          <w:ilvl w:val="0"/>
          <w:numId w:val="9"/>
        </w:numPr>
        <w:shd w:val="clear" w:color="auto" w:fill="auto"/>
        <w:tabs>
          <w:tab w:pos="673" w:val="left"/>
        </w:tabs>
        <w:bidi w:val="0"/>
        <w:spacing w:before="0" w:after="0" w:line="313" w:lineRule="exact"/>
        <w:ind w:left="0" w:right="0" w:firstLine="300"/>
        <w:jc w:val="both"/>
      </w:pPr>
      <w:bookmarkStart w:id="802" w:name="bookmark802"/>
      <w:bookmarkEnd w:id="802"/>
      <w:r>
        <w:rPr>
          <w:color w:val="000000"/>
          <w:spacing w:val="0"/>
          <w:w w:val="100"/>
          <w:position w:val="0"/>
        </w:rPr>
        <w:t>本集团对金融工具信用管理方法是否发生变化。</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已发生信用减值的金融资产</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当本集团预期对金融资产未来现金流量具有不利影响的一项或多项事件发生时，该金融资产成为已发生信用减值的金融 资产。金融资产已发生信用减值的证据包括下列可观察信息：</w:t>
      </w:r>
    </w:p>
    <w:p>
      <w:pPr>
        <w:pStyle w:val="Style37"/>
        <w:keepNext w:val="0"/>
        <w:keepLines w:val="0"/>
        <w:widowControl w:val="0"/>
        <w:numPr>
          <w:ilvl w:val="0"/>
          <w:numId w:val="11"/>
        </w:numPr>
        <w:shd w:val="clear" w:color="auto" w:fill="auto"/>
        <w:tabs>
          <w:tab w:pos="753" w:val="left"/>
        </w:tabs>
        <w:bidi w:val="0"/>
        <w:spacing w:before="0" w:after="0" w:line="313" w:lineRule="exact"/>
        <w:ind w:left="0" w:right="0"/>
        <w:jc w:val="both"/>
      </w:pPr>
      <w:bookmarkStart w:id="803" w:name="bookmark803"/>
      <w:bookmarkEnd w:id="803"/>
      <w:r>
        <w:rPr>
          <w:color w:val="000000"/>
          <w:spacing w:val="0"/>
          <w:w w:val="100"/>
          <w:position w:val="0"/>
        </w:rPr>
        <w:t>发行方或债务人发生重大财务困难；</w:t>
      </w:r>
    </w:p>
    <w:p>
      <w:pPr>
        <w:pStyle w:val="Style37"/>
        <w:keepNext w:val="0"/>
        <w:keepLines w:val="0"/>
        <w:widowControl w:val="0"/>
        <w:numPr>
          <w:ilvl w:val="0"/>
          <w:numId w:val="11"/>
        </w:numPr>
        <w:shd w:val="clear" w:color="auto" w:fill="auto"/>
        <w:tabs>
          <w:tab w:pos="753" w:val="left"/>
        </w:tabs>
        <w:bidi w:val="0"/>
        <w:spacing w:before="0" w:after="0" w:line="313" w:lineRule="exact"/>
        <w:ind w:left="0" w:right="0"/>
        <w:jc w:val="both"/>
      </w:pPr>
      <w:bookmarkStart w:id="804" w:name="bookmark804"/>
      <w:bookmarkEnd w:id="804"/>
      <w:r>
        <w:rPr>
          <w:color w:val="000000"/>
          <w:spacing w:val="0"/>
          <w:w w:val="100"/>
          <w:position w:val="0"/>
        </w:rPr>
        <w:t>债务人违反合同，如偿付利息或本金违约或逾期等；</w:t>
      </w:r>
    </w:p>
    <w:p>
      <w:pPr>
        <w:pStyle w:val="Style37"/>
        <w:keepNext w:val="0"/>
        <w:keepLines w:val="0"/>
        <w:widowControl w:val="0"/>
        <w:numPr>
          <w:ilvl w:val="0"/>
          <w:numId w:val="11"/>
        </w:numPr>
        <w:shd w:val="clear" w:color="auto" w:fill="auto"/>
        <w:tabs>
          <w:tab w:pos="753" w:val="left"/>
        </w:tabs>
        <w:bidi w:val="0"/>
        <w:spacing w:before="0" w:after="0" w:line="313" w:lineRule="exact"/>
        <w:ind w:left="0" w:right="0"/>
        <w:jc w:val="both"/>
      </w:pPr>
      <w:bookmarkStart w:id="805" w:name="bookmark805"/>
      <w:bookmarkEnd w:id="805"/>
      <w:r>
        <w:rPr>
          <w:color w:val="000000"/>
          <w:spacing w:val="0"/>
          <w:w w:val="100"/>
          <w:position w:val="0"/>
        </w:rPr>
        <w:t>债权人出于与债务人财务困难有关的经济或合同考虑，给予债务人在任何其他情况下都不会做出的让步；</w:t>
      </w:r>
    </w:p>
    <w:p>
      <w:pPr>
        <w:pStyle w:val="Style37"/>
        <w:keepNext w:val="0"/>
        <w:keepLines w:val="0"/>
        <w:widowControl w:val="0"/>
        <w:numPr>
          <w:ilvl w:val="0"/>
          <w:numId w:val="11"/>
        </w:numPr>
        <w:shd w:val="clear" w:color="auto" w:fill="auto"/>
        <w:tabs>
          <w:tab w:pos="753" w:val="left"/>
        </w:tabs>
        <w:bidi w:val="0"/>
        <w:spacing w:before="0" w:after="0" w:line="313" w:lineRule="exact"/>
        <w:ind w:left="0" w:right="0"/>
        <w:jc w:val="both"/>
      </w:pPr>
      <w:bookmarkStart w:id="806" w:name="bookmark806"/>
      <w:bookmarkEnd w:id="806"/>
      <w:r>
        <w:rPr>
          <w:color w:val="000000"/>
          <w:spacing w:val="0"/>
          <w:w w:val="100"/>
          <w:position w:val="0"/>
        </w:rPr>
        <w:t>债务人很可能破产或进行其他财务重组；</w:t>
      </w:r>
    </w:p>
    <w:p>
      <w:pPr>
        <w:pStyle w:val="Style37"/>
        <w:keepNext w:val="0"/>
        <w:keepLines w:val="0"/>
        <w:widowControl w:val="0"/>
        <w:numPr>
          <w:ilvl w:val="0"/>
          <w:numId w:val="11"/>
        </w:numPr>
        <w:shd w:val="clear" w:color="auto" w:fill="auto"/>
        <w:tabs>
          <w:tab w:pos="753" w:val="left"/>
        </w:tabs>
        <w:bidi w:val="0"/>
        <w:spacing w:before="0" w:after="0" w:line="313" w:lineRule="exact"/>
        <w:ind w:left="0" w:right="0"/>
        <w:jc w:val="both"/>
      </w:pPr>
      <w:bookmarkStart w:id="807" w:name="bookmark807"/>
      <w:bookmarkEnd w:id="807"/>
      <w:r>
        <w:rPr>
          <w:color w:val="000000"/>
          <w:spacing w:val="0"/>
          <w:w w:val="100"/>
          <w:position w:val="0"/>
        </w:rPr>
        <w:t>发行方或债务人财务困难导致该金融资产的活跃市场消失；</w:t>
      </w:r>
    </w:p>
    <w:p>
      <w:pPr>
        <w:pStyle w:val="Style37"/>
        <w:keepNext w:val="0"/>
        <w:keepLines w:val="0"/>
        <w:widowControl w:val="0"/>
        <w:numPr>
          <w:ilvl w:val="0"/>
          <w:numId w:val="11"/>
        </w:numPr>
        <w:shd w:val="clear" w:color="auto" w:fill="auto"/>
        <w:tabs>
          <w:tab w:pos="753" w:val="left"/>
        </w:tabs>
        <w:bidi w:val="0"/>
        <w:spacing w:before="0" w:after="0" w:line="313" w:lineRule="exact"/>
        <w:ind w:left="0" w:right="0"/>
        <w:jc w:val="both"/>
      </w:pPr>
      <w:bookmarkStart w:id="808" w:name="bookmark808"/>
      <w:bookmarkEnd w:id="808"/>
      <w:r>
        <w:rPr>
          <w:color w:val="000000"/>
          <w:spacing w:val="0"/>
          <w:w w:val="100"/>
          <w:position w:val="0"/>
        </w:rPr>
        <w:t>以大幅折扣购买或源生一项金融资产，该折扣反映了发生信用损失的事实。</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预期信用损失的确定</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本集团对长期应收款在单项资产的基础上确定其信用损失，对应收票据、应收账款、其他应收款等在组合基础上采用减 值矩阵确定相关金融工具的信用损失。本集团以共同风险特征为依据，将金融工具分为不同组别。本集团的共同信用风险特 征包括：金融工具类型、款项性质、初始确认日期、剩余合同期限、业务属性等。本集团基于历史信用损失经验、使用减值 矩阵计算应收款项的预期信用损失，相关历史经验根据资产负债表日应收对象的特定因素、以及对当前状况和未来经济状况 预测的评估进行调整。</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本集团按照下列方法确定相关金融工具的预期信用损失：</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对于金融资产，信用损失为本集团应收取的合同现金流量与预期收取的现金流量之间差额的现值。</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本集团计量金融工具预期信用损失的方法反映的因素包括：通过评价一系列可能的结果而确定的无偏概率加权平均金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37"/>
        <w:keepNext w:val="0"/>
        <w:keepLines w:val="0"/>
        <w:widowControl w:val="0"/>
        <w:shd w:val="clear" w:color="auto" w:fill="auto"/>
        <w:bidi w:val="0"/>
        <w:spacing w:before="0" w:after="400" w:line="313" w:lineRule="exact"/>
        <w:ind w:left="0" w:right="0"/>
        <w:jc w:val="both"/>
      </w:pPr>
      <w:r>
        <w:rPr>
          <w:color w:val="000000"/>
          <w:spacing w:val="0"/>
          <w:w w:val="100"/>
          <w:position w:val="0"/>
        </w:rPr>
        <w:t xml:space="preserve">本集团依据信用风险特征将应收款项划分为若干组合，在组合基础上计算预期信用损失。对于划分为组合的应收账款， </w:t>
      </w:r>
      <w:r>
        <w:rPr>
          <w:color w:val="000000"/>
          <w:spacing w:val="0"/>
          <w:w w:val="100"/>
          <w:position w:val="0"/>
        </w:rPr>
        <w:t>本集团参考历史信用损失经验，结合当前状况以及对未来经济状况的预测，编制应收账款账期与整个存续期预期信用损失率 对照表，计算预期信用损失。对于划分为组合的其他应收款，本集团编制其他应收款账龄与预期信用损失率对照表，计算预 期信用损失。</w:t>
      </w:r>
    </w:p>
    <w:p>
      <w:pPr>
        <w:pStyle w:val="Style40"/>
        <w:keepNext/>
        <w:keepLines/>
        <w:widowControl w:val="0"/>
        <w:shd w:val="clear" w:color="auto" w:fill="auto"/>
        <w:tabs>
          <w:tab w:pos="474" w:val="left"/>
        </w:tabs>
        <w:bidi w:val="0"/>
        <w:spacing w:before="0" w:after="28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9"/>
      <w:bookmarkEnd w:id="810"/>
      <w:bookmarkEnd w:id="812"/>
    </w:p>
    <w:p>
      <w:pPr>
        <w:pStyle w:val="Style37"/>
        <w:keepNext w:val="0"/>
        <w:keepLines w:val="0"/>
        <w:widowControl w:val="0"/>
        <w:shd w:val="clear" w:color="auto" w:fill="auto"/>
        <w:bidi w:val="0"/>
        <w:spacing w:before="0" w:after="400" w:line="302" w:lineRule="exact"/>
        <w:ind w:left="0" w:right="0"/>
        <w:jc w:val="both"/>
      </w:pPr>
      <w:r>
        <w:rPr>
          <w:color w:val="000000"/>
          <w:spacing w:val="0"/>
          <w:w w:val="100"/>
          <w:position w:val="0"/>
        </w:rPr>
        <w:t>本集团应收票据的预期信用损失的确定方法及会计处理方法详见本报告第十二节财务报告、五、重要会计政策及会计估 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40"/>
        <w:keepNext/>
        <w:keepLines/>
        <w:widowControl w:val="0"/>
        <w:shd w:val="clear" w:color="auto" w:fill="auto"/>
        <w:tabs>
          <w:tab w:pos="474"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3"/>
      <w:bookmarkEnd w:id="814"/>
      <w:bookmarkEnd w:id="816"/>
    </w:p>
    <w:p>
      <w:pPr>
        <w:pStyle w:val="Style37"/>
        <w:keepNext w:val="0"/>
        <w:keepLines w:val="0"/>
        <w:widowControl w:val="0"/>
        <w:shd w:val="clear" w:color="auto" w:fill="auto"/>
        <w:bidi w:val="0"/>
        <w:spacing w:before="0" w:after="400" w:line="298" w:lineRule="exact"/>
        <w:ind w:left="0" w:right="0"/>
        <w:jc w:val="both"/>
      </w:pPr>
      <w:r>
        <w:rPr>
          <w:color w:val="000000"/>
          <w:spacing w:val="0"/>
          <w:w w:val="100"/>
          <w:position w:val="0"/>
        </w:rPr>
        <w:t>本集团应收账款的预期信用损失的确定方法及会计处理方法详见本报告第十二节财务报告、五、重要会计政策及会计估 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40"/>
        <w:keepNext/>
        <w:keepLines/>
        <w:widowControl w:val="0"/>
        <w:shd w:val="clear" w:color="auto" w:fill="auto"/>
        <w:tabs>
          <w:tab w:pos="474"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7"/>
      <w:bookmarkEnd w:id="818"/>
      <w:bookmarkEnd w:id="820"/>
    </w:p>
    <w:p>
      <w:pPr>
        <w:pStyle w:val="Style37"/>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本集团应收款项融资的确定方法及会计处理方法详见本报告第十二节财务报告、五、重要会计政策及会计估计、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 融工具。</w:t>
      </w:r>
    </w:p>
    <w:p>
      <w:pPr>
        <w:pStyle w:val="Style40"/>
        <w:keepNext/>
        <w:keepLines/>
        <w:widowControl w:val="0"/>
        <w:shd w:val="clear" w:color="auto" w:fill="auto"/>
        <w:tabs>
          <w:tab w:pos="474"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1"/>
      <w:bookmarkEnd w:id="822"/>
      <w:bookmarkEnd w:id="824"/>
    </w:p>
    <w:p>
      <w:pPr>
        <w:pStyle w:val="Style37"/>
        <w:keepNext w:val="0"/>
        <w:keepLines w:val="0"/>
        <w:widowControl w:val="0"/>
        <w:shd w:val="clear" w:color="auto" w:fill="auto"/>
        <w:bidi w:val="0"/>
        <w:spacing w:before="0" w:line="313" w:lineRule="exact"/>
        <w:ind w:left="0" w:right="0" w:firstLine="0"/>
        <w:jc w:val="left"/>
      </w:pPr>
      <w:r>
        <w:rPr>
          <w:color w:val="000000"/>
          <w:spacing w:val="0"/>
          <w:w w:val="100"/>
          <w:position w:val="0"/>
        </w:rPr>
        <w:t>其他应收款的预期信用损失的确定方法及会计处理方法</w:t>
      </w:r>
    </w:p>
    <w:p>
      <w:pPr>
        <w:pStyle w:val="Style37"/>
        <w:keepNext w:val="0"/>
        <w:keepLines w:val="0"/>
        <w:widowControl w:val="0"/>
        <w:shd w:val="clear" w:color="auto" w:fill="auto"/>
        <w:bidi w:val="0"/>
        <w:spacing w:before="0" w:after="400" w:line="298" w:lineRule="exact"/>
        <w:ind w:left="0" w:right="0" w:firstLine="240"/>
        <w:jc w:val="left"/>
      </w:pPr>
      <w:r>
        <w:rPr>
          <w:color w:val="000000"/>
          <w:spacing w:val="0"/>
          <w:w w:val="100"/>
          <w:position w:val="0"/>
        </w:rPr>
        <w:t>本集团其他应收款的预期信用损失的确定方法及会计处理方法详见本报告第十二节财务报告、五、重要会计政策及会计 估计、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40"/>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5"/>
      <w:bookmarkEnd w:id="826"/>
      <w:bookmarkEnd w:id="828"/>
    </w:p>
    <w:p>
      <w:pPr>
        <w:pStyle w:val="Style37"/>
        <w:keepNext w:val="0"/>
        <w:keepLines w:val="0"/>
        <w:widowControl w:val="0"/>
        <w:shd w:val="clear" w:color="auto" w:fill="auto"/>
        <w:bidi w:val="0"/>
        <w:spacing w:before="0" w:line="317" w:lineRule="exact"/>
        <w:ind w:left="0" w:right="0"/>
        <w:jc w:val="both"/>
      </w:pPr>
      <w:r>
        <w:rPr>
          <w:color w:val="000000"/>
          <w:spacing w:val="0"/>
          <w:w w:val="100"/>
          <w:position w:val="0"/>
        </w:rPr>
        <w:t>本集团存货主要包括库存商品、在途商品、开发成本等。开发成本是指已建成、待出售的物业；或未建成、以出售为目 的的物业；或所购入的、已决定将之发展为已完工开发产品的土地。开发成本包括土地成本、施工成本和其他成本。符合资 本化条件的借款费用，亦计入开发成本。</w:t>
      </w:r>
    </w:p>
    <w:p>
      <w:pPr>
        <w:pStyle w:val="Style37"/>
        <w:keepNext w:val="0"/>
        <w:keepLines w:val="0"/>
        <w:widowControl w:val="0"/>
        <w:shd w:val="clear" w:color="auto" w:fill="auto"/>
        <w:bidi w:val="0"/>
        <w:spacing w:before="0" w:line="313" w:lineRule="exact"/>
        <w:ind w:left="0" w:right="0"/>
        <w:jc w:val="both"/>
      </w:pPr>
      <w:r>
        <w:rPr>
          <w:color w:val="000000"/>
          <w:spacing w:val="0"/>
          <w:w w:val="100"/>
          <w:position w:val="0"/>
        </w:rPr>
        <w:t>存货实行永续盘存制，存货在取得时按实际成本计价；发出存货，采用加权平均法确定其实际成本。</w:t>
      </w:r>
    </w:p>
    <w:p>
      <w:pPr>
        <w:pStyle w:val="Style37"/>
        <w:keepNext w:val="0"/>
        <w:keepLines w:val="0"/>
        <w:widowControl w:val="0"/>
        <w:shd w:val="clear" w:color="auto" w:fill="auto"/>
        <w:bidi w:val="0"/>
        <w:spacing w:before="0" w:line="312" w:lineRule="exact"/>
        <w:ind w:left="0" w:right="0"/>
        <w:jc w:val="both"/>
      </w:pPr>
      <w:r>
        <w:rPr>
          <w:color w:val="000000"/>
          <w:spacing w:val="0"/>
          <w:w w:val="100"/>
          <w:position w:val="0"/>
        </w:rPr>
        <w:t>于资产负债表日，存货按照成本与可变现净值孰低计量，对成本高于可变现净值的，计提存货跌价准备，计入当期损益。 如果以前计提存货跌价准备的影响因素已经消失，使得存货的可变现净值高于其账面价值，则在原已计提的存货跌价准备金 额内，将以前减记的金额予以恢复，转回的金额计入当期损益。</w:t>
      </w:r>
    </w:p>
    <w:p>
      <w:pPr>
        <w:pStyle w:val="Style37"/>
        <w:keepNext w:val="0"/>
        <w:keepLines w:val="0"/>
        <w:widowControl w:val="0"/>
        <w:shd w:val="clear" w:color="auto" w:fill="auto"/>
        <w:bidi w:val="0"/>
        <w:spacing w:before="0" w:after="400" w:line="314" w:lineRule="exact"/>
        <w:ind w:left="0" w:right="0"/>
        <w:jc w:val="both"/>
      </w:pPr>
      <w:r>
        <w:rPr>
          <w:color w:val="000000"/>
          <w:spacing w:val="0"/>
          <w:w w:val="100"/>
          <w:position w:val="0"/>
        </w:rPr>
        <w:t>可变现净值，是指在日常活动中，管理层根据存货最新的销售发票金额和当期市场情况估计所得。计提存货跌价准备时， 按存货类别计提。与在同一地区生产和销售的产品系列相关、具有相同或类似最终用途或目的，且难以与其他项目分开计量 的存货，合并计提存货跌价准备。</w:t>
      </w:r>
    </w:p>
    <w:p>
      <w:pPr>
        <w:pStyle w:val="Style40"/>
        <w:keepNext/>
        <w:keepLines/>
        <w:widowControl w:val="0"/>
        <w:shd w:val="clear" w:color="auto" w:fill="auto"/>
        <w:tabs>
          <w:tab w:pos="474"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9"/>
      <w:bookmarkEnd w:id="830"/>
      <w:bookmarkEnd w:id="832"/>
    </w:p>
    <w:p>
      <w:pPr>
        <w:pStyle w:val="Style37"/>
        <w:keepNext w:val="0"/>
        <w:keepLines w:val="0"/>
        <w:widowControl w:val="0"/>
        <w:shd w:val="clear" w:color="auto" w:fill="auto"/>
        <w:bidi w:val="0"/>
        <w:spacing w:before="0" w:after="500" w:line="317" w:lineRule="exact"/>
        <w:ind w:left="0" w:right="0"/>
        <w:jc w:val="both"/>
      </w:pPr>
      <w:r>
        <w:rPr>
          <w:color w:val="000000"/>
          <w:spacing w:val="0"/>
          <w:w w:val="100"/>
          <w:position w:val="0"/>
        </w:rPr>
        <w:t>合同资产是指本集团已向客户转让商品或服务而有权收取对价的权利，且该权利取决于时间流逝之外的其他因素。本集 团拥有的无条件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37"/>
        <w:keepNext w:val="0"/>
        <w:keepLines w:val="0"/>
        <w:widowControl w:val="0"/>
        <w:shd w:val="clear" w:color="auto" w:fill="auto"/>
        <w:bidi w:val="0"/>
        <w:spacing w:before="0" w:after="280" w:line="240" w:lineRule="auto"/>
        <w:ind w:left="0" w:right="0"/>
        <w:jc w:val="both"/>
      </w:pPr>
      <w:r>
        <w:rPr>
          <w:color w:val="000000"/>
          <w:spacing w:val="0"/>
          <w:w w:val="100"/>
          <w:position w:val="0"/>
        </w:rPr>
        <w:t>本集团对合同资产以预期信用损失为基础确认损失准备。</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本集团对合同资产按照相当于整个存续期内预期信用损失的金额计量损失准备。</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会计处理方法，本集团在资产负债表日计算合同资产预期信用损失，如果该预期信用损失大于当前合同资产减值准备的 账面金额，本集团将其差额确认为减值损失，借记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。相反，本集团将差额确认为 减值利得，做相反的会计记录。</w:t>
      </w:r>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 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合同资产匚若核销金额大于已计提的损失准备，按其差额借记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0"/>
        <w:keepNext/>
        <w:keepLines/>
        <w:widowControl w:val="0"/>
        <w:shd w:val="clear" w:color="auto" w:fill="auto"/>
        <w:tabs>
          <w:tab w:pos="422"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3"/>
      <w:bookmarkEnd w:id="834"/>
      <w:bookmarkEnd w:id="836"/>
    </w:p>
    <w:p>
      <w:pPr>
        <w:pStyle w:val="Style37"/>
        <w:keepNext w:val="0"/>
        <w:keepLines w:val="0"/>
        <w:widowControl w:val="0"/>
        <w:shd w:val="clear" w:color="auto" w:fill="auto"/>
        <w:tabs>
          <w:tab w:pos="773" w:val="left"/>
        </w:tabs>
        <w:bidi w:val="0"/>
        <w:spacing w:before="0" w:after="0" w:line="314" w:lineRule="exact"/>
        <w:ind w:left="0" w:right="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与合同成本有关的资产金额的确定方法</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本集团与合同成本有关的资产包括合同履约成本和合同取得成本。</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合同履约成本，即本集团为履行合同发生的成本，不属于其他企业会计准则规范范围且同时满足下列条件的，作为合同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用）、明确由客户承担的成本以及仅因该合同而发生的其他成本；该成本增加了本集团未来用于履行履约义务的资源；该成 本预期能够收回。</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合同取得成本，即本集团为取得合同发生的增量成本预期能够收回的，作为合同取得成本确认为一项资产；该资产摊销 期限不超过一年的，在发生时计入当期损益。增量成本，是指本集团不取得合同就不会发生的成本（如销售佣金等）。本集 团为取得合同发生的、除预期能够收回的增量成本之外的其他支出（如无论是否取得合同均会发生的差旅费等），在发生时 计入当期损益，但是，明确由客户承担的除外。</w:t>
      </w:r>
    </w:p>
    <w:p>
      <w:pPr>
        <w:pStyle w:val="Style37"/>
        <w:keepNext w:val="0"/>
        <w:keepLines w:val="0"/>
        <w:widowControl w:val="0"/>
        <w:shd w:val="clear" w:color="auto" w:fill="auto"/>
        <w:tabs>
          <w:tab w:pos="773" w:val="left"/>
        </w:tabs>
        <w:bidi w:val="0"/>
        <w:spacing w:before="0" w:after="0" w:line="314" w:lineRule="exact"/>
        <w:ind w:left="0" w:right="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与合同成本有关的资产的摊销</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本集团与合同成本有关的资产采用与该资产相关的商品收入确认相同的基础进行摊销，计入当期损益。</w:t>
      </w:r>
    </w:p>
    <w:p>
      <w:pPr>
        <w:pStyle w:val="Style37"/>
        <w:keepNext w:val="0"/>
        <w:keepLines w:val="0"/>
        <w:widowControl w:val="0"/>
        <w:shd w:val="clear" w:color="auto" w:fill="auto"/>
        <w:tabs>
          <w:tab w:pos="773" w:val="left"/>
        </w:tabs>
        <w:bidi w:val="0"/>
        <w:spacing w:before="0" w:after="0" w:line="314" w:lineRule="exact"/>
        <w:ind w:left="0" w:right="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与合同成本有关的资产的减值</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本集团在确定与合同成本有关的资产的减值损失时，首先对按照其他相关企业会计准则确认的、与合同有关的其他资产 确定减值损失;然后根据其账面价值高于本集团因转让与该资产相关的商品预期能够取得的剩余对价以及为转让该相关商品 估计将要发生的成本这两项差额的，超出部分应当计提减值准备，并确认为资产减值损失。</w:t>
      </w:r>
    </w:p>
    <w:p>
      <w:pPr>
        <w:pStyle w:val="Style37"/>
        <w:keepNext w:val="0"/>
        <w:keepLines w:val="0"/>
        <w:widowControl w:val="0"/>
        <w:shd w:val="clear" w:color="auto" w:fill="auto"/>
        <w:bidi w:val="0"/>
        <w:spacing w:before="0" w:after="380" w:line="312" w:lineRule="exact"/>
        <w:ind w:left="0" w:right="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40"/>
        <w:keepNext/>
        <w:keepLines/>
        <w:widowControl w:val="0"/>
        <w:shd w:val="clear" w:color="auto" w:fill="auto"/>
        <w:tabs>
          <w:tab w:pos="422" w:val="left"/>
        </w:tabs>
        <w:bidi w:val="0"/>
        <w:spacing w:before="0" w:after="28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0"/>
      <w:bookmarkEnd w:id="841"/>
      <w:bookmarkEnd w:id="843"/>
    </w:p>
    <w:p>
      <w:pPr>
        <w:pStyle w:val="Style37"/>
        <w:keepNext w:val="0"/>
        <w:keepLines w:val="0"/>
        <w:widowControl w:val="0"/>
        <w:shd w:val="clear" w:color="auto" w:fill="auto"/>
        <w:bidi w:val="0"/>
        <w:spacing w:before="0" w:after="0" w:line="313" w:lineRule="exact"/>
        <w:ind w:left="0" w:right="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本集团将同时符合下列条件的非流动资产或处置组划分为持有待售：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）根据类似交易中出售此类资产或处置组的 惯例，在当前状况下即可立即出售；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）出售极可能发生，即已经就一项出售计划作出决议且获得确定的购买承诺，预计出 售将在一年内完成。有关规定要求相关权力机构或者监管部门批准后方可出售的需要获得相关批准。本集团将非流动资产或 处置组首次划分为持有待售类别前，按照相关会计准则规定计量非流动资产或处置组中各项资产和负债的账面价值。初始计 量或在资产负债表日重新计量持有待售的非流动资产或处置组时，其账面价值高于公允价值减去出售费用后的净额的，将账 面价值减记至公允价值减去出售费用后的净额，减记的金额确认为资产减值损失，计入当期损益，同时计提持有待售资产减 值准备。</w:t>
      </w:r>
    </w:p>
    <w:p>
      <w:pPr>
        <w:pStyle w:val="Style37"/>
        <w:keepNext w:val="0"/>
        <w:keepLines w:val="0"/>
        <w:widowControl w:val="0"/>
        <w:shd w:val="clear" w:color="auto" w:fill="auto"/>
        <w:tabs>
          <w:tab w:pos="849" w:val="left"/>
        </w:tabs>
        <w:bidi w:val="0"/>
        <w:spacing w:before="0" w:after="0" w:line="316" w:lineRule="exact"/>
        <w:ind w:left="0" w:right="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本集团专为转售而取得的非流动资产或处置组，在取得日满足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的规定条件，且短期（通 常为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个月）内很可能满足持有待售类别的其他划分条件的，在取得日将其划分为持有待售类别。在初始计量时，比较假定 其不划分为持有待售类别情况下的初始计量金额和公允价值减去出售费用后的净额，以两者孰低计量。除企业合并中取得的 非流动资产或处置组外，由非流动资产或处置组以公允价值减去出售费用后的净额作为初始计量金额而产生的差额，计入当 期损益。</w:t>
      </w:r>
    </w:p>
    <w:p>
      <w:pPr>
        <w:pStyle w:val="Style37"/>
        <w:keepNext w:val="0"/>
        <w:keepLines w:val="0"/>
        <w:widowControl w:val="0"/>
        <w:shd w:val="clear" w:color="auto" w:fill="auto"/>
        <w:tabs>
          <w:tab w:pos="393" w:val="left"/>
        </w:tabs>
        <w:bidi w:val="0"/>
        <w:spacing w:before="0" w:after="0" w:line="314" w:lineRule="exact"/>
        <w:ind w:left="0" w:right="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本集团因出售对子公司的投资等原因导致丧失对子公司控制权的，无论出售后本集团是否保留部分权益性投资， </w:t>
      </w:r>
      <w:r>
        <w:rPr>
          <w:color w:val="000000"/>
          <w:spacing w:val="0"/>
          <w:w w:val="100"/>
          <w:position w:val="0"/>
        </w:rPr>
        <w:t>在拟出售的对子公司投资满足持有待售类别划分条件时，在母公司个别财务报表中将对子公司投资整体划分为持有待售类 别，在合并财务报表中将子公司所有资产和负债划分为持有待售类别。</w:t>
      </w:r>
    </w:p>
    <w:p>
      <w:pPr>
        <w:pStyle w:val="Style37"/>
        <w:keepNext w:val="0"/>
        <w:keepLines w:val="0"/>
        <w:widowControl w:val="0"/>
        <w:shd w:val="clear" w:color="auto" w:fill="auto"/>
        <w:tabs>
          <w:tab w:pos="863" w:val="left"/>
        </w:tabs>
        <w:bidi w:val="0"/>
        <w:spacing w:before="0" w:after="0" w:line="318" w:lineRule="exact"/>
        <w:ind w:left="0" w:right="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后续资产负债表日持有待售的非流动资产公允价值减去出售费用后的净额增加的，以前减记的金额应当予以恢复， 并在划分为持有待售类别后确认的资产减值损失金额内转回，转回金额计入当期损益。划分为持有待售类别前确认的资产减 值损失不得转回。</w:t>
      </w:r>
    </w:p>
    <w:p>
      <w:pPr>
        <w:pStyle w:val="Style37"/>
        <w:keepNext w:val="0"/>
        <w:keepLines w:val="0"/>
        <w:widowControl w:val="0"/>
        <w:shd w:val="clear" w:color="auto" w:fill="auto"/>
        <w:tabs>
          <w:tab w:pos="858" w:val="left"/>
        </w:tabs>
        <w:bidi w:val="0"/>
        <w:spacing w:before="0" w:after="0" w:line="326" w:lineRule="exact"/>
        <w:ind w:left="0" w:right="0"/>
        <w:jc w:val="left"/>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对于持有待售的处置组确认的资产减值损失金额，先抵减处置组中商誉的账面价值，再根据各项非流动资产账面 价值所占比重，按比例抵减其账面价值。</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后续资产负债表日持有待售的处置组公允价值减去出售费用后的净额增加的，以前减记的金额应当予以恢复，并在划分 为持有待售类别后适用相关计量规定的非流动资产确认的资产减值损失金额内转回，转回金额计入当期损益。已抵减的商誉 账面价值，以及非流动资产在划分为持有待售类别前确认的资产减值损失不得转回。</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rPr>
        <w:t>持有待售的处置组确认的资产减值损失后续转回金额，根据处置组中除商誉外，各项非流动资产账面价值所占比重，按 比例增加其账面价值。</w:t>
      </w:r>
    </w:p>
    <w:p>
      <w:pPr>
        <w:pStyle w:val="Style37"/>
        <w:keepNext w:val="0"/>
        <w:keepLines w:val="0"/>
        <w:widowControl w:val="0"/>
        <w:shd w:val="clear" w:color="auto" w:fill="auto"/>
        <w:tabs>
          <w:tab w:pos="858" w:val="left"/>
        </w:tabs>
        <w:bidi w:val="0"/>
        <w:spacing w:before="0" w:after="0" w:line="320" w:lineRule="exact"/>
        <w:ind w:left="0" w:right="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持有待售的非流动资产或处置组中的非流动资产不计提折旧或摊销，持有待售的处置组中负债的利息和其他费用 继续予以确认。</w:t>
      </w:r>
    </w:p>
    <w:p>
      <w:pPr>
        <w:pStyle w:val="Style37"/>
        <w:keepNext w:val="0"/>
        <w:keepLines w:val="0"/>
        <w:widowControl w:val="0"/>
        <w:shd w:val="clear" w:color="auto" w:fill="auto"/>
        <w:bidi w:val="0"/>
        <w:spacing w:before="0" w:after="0" w:line="320" w:lineRule="exact"/>
        <w:ind w:left="0" w:right="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持有待售的非流动资产或处置组因不再满足持有待售类别的划分条件，而不再继续划分为持有待售类别或非流动 资产从持有待售的处置组中移除时，按照以下两者孰低计量：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 有待售类别情况下本应确认的折旧、摊销或减值等进行调整后的金额；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7"/>
        <w:keepNext w:val="0"/>
        <w:keepLines w:val="0"/>
        <w:widowControl w:val="0"/>
        <w:shd w:val="clear" w:color="auto" w:fill="auto"/>
        <w:bidi w:val="0"/>
        <w:spacing w:before="0" w:after="400" w:line="316" w:lineRule="exact"/>
        <w:ind w:left="0" w:right="0"/>
        <w:jc w:val="left"/>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8</w:t>
      </w:r>
      <w:r>
        <w:rPr>
          <w:color w:val="000000"/>
          <w:spacing w:val="0"/>
          <w:w w:val="100"/>
          <w:position w:val="0"/>
        </w:rPr>
        <w:t>） 终止确认持有待售的非流动资产或处置组时，将尚未确认的利得或损失计入当期损益。</w:t>
      </w:r>
    </w:p>
    <w:p>
      <w:pPr>
        <w:pStyle w:val="Style40"/>
        <w:keepNext/>
        <w:keepLines/>
        <w:widowControl w:val="0"/>
        <w:shd w:val="clear" w:color="auto" w:fill="auto"/>
        <w:tabs>
          <w:tab w:pos="431" w:val="left"/>
        </w:tabs>
        <w:bidi w:val="0"/>
        <w:spacing w:before="0" w:after="28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9</w:t>
      </w:r>
      <w:r>
        <w:rPr>
          <w:color w:val="000000"/>
          <w:spacing w:val="0"/>
          <w:w w:val="100"/>
          <w:position w:val="0"/>
        </w:rPr>
        <w:t>、</w:t>
        <w:tab/>
        <w:t>长期应收款</w:t>
      </w:r>
      <w:bookmarkEnd w:id="852"/>
      <w:bookmarkEnd w:id="853"/>
      <w:bookmarkEnd w:id="855"/>
    </w:p>
    <w:p>
      <w:pPr>
        <w:pStyle w:val="Style37"/>
        <w:keepNext w:val="0"/>
        <w:keepLines w:val="0"/>
        <w:widowControl w:val="0"/>
        <w:shd w:val="clear" w:color="auto" w:fill="auto"/>
        <w:bidi w:val="0"/>
        <w:spacing w:before="0" w:after="400" w:line="302" w:lineRule="exact"/>
        <w:ind w:left="0" w:right="0"/>
        <w:jc w:val="both"/>
      </w:pPr>
      <w:r>
        <w:rPr>
          <w:color w:val="000000"/>
          <w:spacing w:val="0"/>
          <w:w w:val="100"/>
          <w:position w:val="0"/>
        </w:rPr>
        <w:t>本集团长期应收款的预期信用损失的确定方法及会计处理方法详见本报告第十二节财务报告、五、重要会计政策及会计 估计、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40"/>
        <w:keepNext/>
        <w:keepLines/>
        <w:widowControl w:val="0"/>
        <w:shd w:val="clear" w:color="auto" w:fill="auto"/>
        <w:tabs>
          <w:tab w:pos="441" w:val="left"/>
        </w:tabs>
        <w:bidi w:val="0"/>
        <w:spacing w:before="0" w:after="2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856"/>
      <w:bookmarkEnd w:id="857"/>
      <w:bookmarkEnd w:id="859"/>
    </w:p>
    <w:p>
      <w:pPr>
        <w:pStyle w:val="Style37"/>
        <w:keepNext w:val="0"/>
        <w:keepLines w:val="0"/>
        <w:widowControl w:val="0"/>
        <w:shd w:val="clear" w:color="auto" w:fill="auto"/>
        <w:bidi w:val="0"/>
        <w:spacing w:before="0" w:after="0" w:line="316" w:lineRule="exact"/>
        <w:ind w:left="0" w:right="0"/>
        <w:jc w:val="both"/>
      </w:pPr>
      <w:r>
        <w:rPr>
          <w:color w:val="000000"/>
          <w:spacing w:val="0"/>
          <w:w w:val="100"/>
          <w:position w:val="0"/>
        </w:rPr>
        <w:t>本集团长期股权投资主要是对子公司的投资、对联营企业的投资和对合营企业的投资。</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的表决权时，通常认为对被投资单位具有重大影响。 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以下表决权的，还需要综合考虑在被投资单位的董事会或类似权力机构中派有代表、或参与被投资单位 财务和经营政策制定过程、或与被投资单位之间发生重要交易、或向被投资单位派出管理人员、或向被投资单位提供关键技 术资料等事实和情况判断对被投资单位具有重大影响。</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对被投资单位形成控制的，为本集团的子公司。通过同一控制下的企业合并取得的长期股权投资，在合并日按照取得被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面价值为负数的，长期股权投资成本按零确定。初始投资成本与合并对价账面价值之间差额，调整资本公积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不足冲减的， 冲减留存收益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val="0"/>
        <w:keepLines w:val="0"/>
        <w:widowControl w:val="0"/>
        <w:shd w:val="clear" w:color="auto" w:fill="auto"/>
        <w:bidi w:val="0"/>
        <w:spacing w:before="0" w:after="0" w:line="316" w:lineRule="exact"/>
        <w:ind w:left="0" w:right="0"/>
        <w:jc w:val="both"/>
      </w:pPr>
      <w:r>
        <w:rPr>
          <w:color w:val="000000"/>
          <w:spacing w:val="0"/>
          <w:w w:val="100"/>
          <w:position w:val="0"/>
        </w:rPr>
        <w:t>通过非同一控制下的企业合并取得的长期股权投资，以合并成本作为初始投资成本。</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除企业合并形成的长期股权投资以外方式取得的长期股权投资，按照下列方法确定初始投资成本：支付现金取得的，以 实际支付的购买价款及与取得长期股权投资直接相关的费用、税金及其他必要支出作为初始投资成本；发行权益性证券取得 的，以发行权益性证券的公允价值作为初始投资成本；通过非货币性资产交换取得的，按照《企业会计准则第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 币性资产交换》确定初始投资成本；通过债务重组取得的，按照《企业会计准则第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号——债务重组》确定初始投资成本。</w:t>
      </w:r>
    </w:p>
    <w:p>
      <w:pPr>
        <w:pStyle w:val="Style37"/>
        <w:keepNext w:val="0"/>
        <w:keepLines w:val="0"/>
        <w:widowControl w:val="0"/>
        <w:shd w:val="clear" w:color="auto" w:fill="auto"/>
        <w:bidi w:val="0"/>
        <w:spacing w:before="0" w:after="0" w:line="316" w:lineRule="exact"/>
        <w:ind w:left="0" w:right="0"/>
        <w:jc w:val="both"/>
      </w:pPr>
      <w:r>
        <w:rPr>
          <w:color w:val="000000"/>
          <w:spacing w:val="0"/>
          <w:w w:val="100"/>
          <w:position w:val="0"/>
        </w:rPr>
        <w:t>本集团对子公司投资采用成本法核算，对合营企业及联营企业投资采用权益法核算。</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后续计量采用权益法核算的长期股权投资，随着被投资单位所有者权益的变动相应调整增加或减少长期股权投资的账面 价值。其中在确认应享有被投资单位净损益的份额时，以取得投资时被投资单位各项可辨认资产等的公允价值为基础，按照 本集团的会计政策及会计期间，并抵销与联营企业及合营企业之间发生的内部交易损益按照持股比例计算归属于投资企业的 部分，对被投资单位的净利润进行调整后确认。</w:t>
      </w:r>
    </w:p>
    <w:p>
      <w:pPr>
        <w:pStyle w:val="Style37"/>
        <w:keepNext w:val="0"/>
        <w:keepLines w:val="0"/>
        <w:widowControl w:val="0"/>
        <w:shd w:val="clear" w:color="auto" w:fill="auto"/>
        <w:bidi w:val="0"/>
        <w:spacing w:before="0" w:after="360" w:line="312" w:lineRule="exact"/>
        <w:ind w:left="0" w:right="0"/>
        <w:jc w:val="both"/>
      </w:pPr>
      <w:r>
        <w:rPr>
          <w:color w:val="000000"/>
          <w:spacing w:val="0"/>
          <w:w w:val="100"/>
          <w:position w:val="0"/>
        </w:rPr>
        <w:t>处置长期股权投资，其账面价值与实际取得价款的差额，计入当期投资收益。采用权益法核算的长期股权投资，原权益 法核算的相关其他综合收益应当在终止采用权益法核算时采用与被投资单位直接处置相关资产或负债相同的基础进行会计 处理，因被投资单位除净损益、其他综合收益和利润分配以外的其他所有者权益变动而确认的所有者权益，应当在终止采用 权益法核算时全部转入当期投资损益。</w:t>
      </w:r>
    </w:p>
    <w:p>
      <w:pPr>
        <w:pStyle w:val="Style40"/>
        <w:keepNext/>
        <w:keepLines/>
        <w:widowControl w:val="0"/>
        <w:shd w:val="clear" w:color="auto" w:fill="auto"/>
        <w:bidi w:val="0"/>
        <w:spacing w:before="0" w:after="28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860"/>
      <w:bookmarkEnd w:id="861"/>
      <w:bookmarkEnd w:id="863"/>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投资性房地产计量模式</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成本法计量</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折旧或摊销方法</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本集团投资性房地产为房屋建筑物。</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本集团投资性房地产按其成本作为入账价值，外购投资性房地产的成本包括购买价款、相关税费和可直接归属于该资产 的其他支出；自行建造投资性房地产的成本，由建造该项资产达到预定可使用状态前所发生的必要支出构成。</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本集团对投资性房地产采用成本模式进行后续计量，并按照与房屋建筑物一致的政策进行折旧或摊销。</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当投资性房地产的用途改变为自用时，则自改变之日起，将该投资性房地产转换为固定资产或无形资产。自用房地产的 用途改变为赚取租金或资本增值时，则自改变之日起，将固定资产或无形资产转换为投资性房地产。发生转换时，以转换前 的账面价值作为转换后的入账价值。</w:t>
      </w:r>
    </w:p>
    <w:p>
      <w:pPr>
        <w:pStyle w:val="Style37"/>
        <w:keepNext w:val="0"/>
        <w:keepLines w:val="0"/>
        <w:widowControl w:val="0"/>
        <w:shd w:val="clear" w:color="auto" w:fill="auto"/>
        <w:bidi w:val="0"/>
        <w:spacing w:before="0" w:after="140" w:line="314" w:lineRule="exact"/>
        <w:ind w:left="0" w:right="0"/>
        <w:jc w:val="both"/>
      </w:pPr>
      <w:r>
        <w:rPr>
          <w:color w:val="000000"/>
          <w:spacing w:val="0"/>
          <w:w w:val="100"/>
          <w:position w:val="0"/>
        </w:rPr>
        <w:t xml:space="preserve">当投资性房地产被处置，或者永久退出使用且预计不能从其处置中取得经济利益时，终止确认该项投资性房地产。投资 </w:t>
      </w:r>
      <w:r>
        <w:rPr>
          <w:color w:val="000000"/>
          <w:spacing w:val="0"/>
          <w:w w:val="100"/>
          <w:position w:val="0"/>
        </w:rPr>
        <w:t>性房地产出售、转让、报废或毁损的处置收入扣除其账面价值和相关税费后的金额计入当期损益。</w:t>
      </w:r>
    </w:p>
    <w:p>
      <w:pPr>
        <w:pStyle w:val="Style37"/>
        <w:keepNext w:val="0"/>
        <w:keepLines w:val="0"/>
        <w:widowControl w:val="0"/>
        <w:shd w:val="clear" w:color="auto" w:fill="auto"/>
        <w:bidi w:val="0"/>
        <w:spacing w:before="0" w:after="100" w:line="240" w:lineRule="auto"/>
        <w:ind w:left="0" w:right="0"/>
        <w:jc w:val="left"/>
      </w:pPr>
      <w:r>
        <w:rPr>
          <w:color w:val="000000"/>
          <w:spacing w:val="0"/>
          <w:w w:val="100"/>
          <w:position w:val="0"/>
        </w:rPr>
        <w:t>本集团投资性房地产采用平均年限方法计提折旧或摊销。投资性房地产的预计使用寿命、净残值率及年折旧率如下:</w:t>
      </w:r>
    </w:p>
    <w:tbl>
      <w:tblPr>
        <w:tblOverlap w:val="never"/>
        <w:jc w:val="center"/>
        <w:tblLayout w:type="fixed"/>
      </w:tblPr>
      <w:tblGrid>
        <w:gridCol w:w="1229"/>
        <w:gridCol w:w="2462"/>
        <w:gridCol w:w="1872"/>
        <w:gridCol w:w="2170"/>
        <w:gridCol w:w="1906"/>
      </w:tblGrid>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序号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折旧年限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预计残值率</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年折旧率</w:t>
            </w: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房屋及土地使用权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20-50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1.80-5.00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864"/>
      <w:bookmarkEnd w:id="865"/>
      <w:bookmarkEnd w:id="867"/>
    </w:p>
    <w:p>
      <w:pPr>
        <w:pStyle w:val="Style47"/>
        <w:keepNext/>
        <w:keepLines/>
        <w:widowControl w:val="0"/>
        <w:shd w:val="clear" w:color="auto" w:fill="auto"/>
        <w:tabs>
          <w:tab w:pos="493" w:val="left"/>
        </w:tabs>
        <w:bidi w:val="0"/>
        <w:spacing w:before="0" w:after="28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68"/>
      <w:bookmarkEnd w:id="869"/>
      <w:bookmarkEnd w:id="871"/>
    </w:p>
    <w:p>
      <w:pPr>
        <w:pStyle w:val="Style37"/>
        <w:keepNext w:val="0"/>
        <w:keepLines w:val="0"/>
        <w:widowControl w:val="0"/>
        <w:shd w:val="clear" w:color="auto" w:fill="auto"/>
        <w:bidi w:val="0"/>
        <w:spacing w:before="0" w:after="0" w:line="307" w:lineRule="exact"/>
        <w:ind w:left="0" w:right="0" w:firstLine="560"/>
        <w:jc w:val="left"/>
      </w:pPr>
      <w:r>
        <w:rPr>
          <w:color w:val="000000"/>
          <w:spacing w:val="0"/>
          <w:w w:val="100"/>
          <w:position w:val="0"/>
        </w:rPr>
        <w:t>本集团固定资产是指同时具有以下特征，即为生产商品、提供劳务、出租或经营管理而持有的，使用年限超过一年， 单位价值超过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元的有形资产。</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固定资产在与其有关的经济利益很可能流入本集团、且其成本能够可靠计量时予以确认。与固定资产有关的后续支出， 符合该确认条件的，计入固定资产成本，并终止确认被替换部分的账面价值；否则，在发生时计入当期损益。本集团固定资 产包括房屋及土地使用权、办公设备、运输设备等。</w:t>
      </w:r>
    </w:p>
    <w:p>
      <w:pPr>
        <w:pStyle w:val="Style37"/>
        <w:keepNext w:val="0"/>
        <w:keepLines w:val="0"/>
        <w:widowControl w:val="0"/>
        <w:shd w:val="clear" w:color="auto" w:fill="auto"/>
        <w:bidi w:val="0"/>
        <w:spacing w:before="0" w:after="360" w:line="317" w:lineRule="exact"/>
        <w:ind w:left="0" w:right="0"/>
        <w:jc w:val="left"/>
      </w:pPr>
      <w:r>
        <w:rPr>
          <w:color w:val="000000"/>
          <w:spacing w:val="0"/>
          <w:w w:val="100"/>
          <w:position w:val="0"/>
        </w:rPr>
        <w:t>固定资产按照成本进行初始计量。购置固定资产的成本包括购买价款，相关税费，以及为使固定资产达到预定可使用状 态前所发生的可直接归属于该资产的其他支出。</w:t>
      </w:r>
    </w:p>
    <w:p>
      <w:pPr>
        <w:pStyle w:val="Style47"/>
        <w:keepNext/>
        <w:keepLines/>
        <w:widowControl w:val="0"/>
        <w:shd w:val="clear" w:color="auto" w:fill="auto"/>
        <w:tabs>
          <w:tab w:pos="493" w:val="left"/>
        </w:tabs>
        <w:bidi w:val="0"/>
        <w:spacing w:before="0" w:after="36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72"/>
      <w:bookmarkEnd w:id="873"/>
      <w:bookmarkEnd w:id="875"/>
    </w:p>
    <w:tbl>
      <w:tblPr>
        <w:tblOverlap w:val="never"/>
        <w:jc w:val="center"/>
        <w:tblLayout w:type="fixed"/>
      </w:tblPr>
      <w:tblGrid>
        <w:gridCol w:w="1920"/>
        <w:gridCol w:w="1915"/>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9.00-33.33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9.00-20.00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9.00-20.00</w:t>
            </w:r>
          </w:p>
        </w:tc>
      </w:tr>
    </w:tbl>
    <w:p>
      <w:pPr>
        <w:pStyle w:val="Style37"/>
        <w:keepNext w:val="0"/>
        <w:keepLines w:val="0"/>
        <w:widowControl w:val="0"/>
        <w:shd w:val="clear" w:color="auto" w:fill="auto"/>
        <w:bidi w:val="0"/>
        <w:spacing w:before="0" w:after="380" w:line="314" w:lineRule="exact"/>
        <w:ind w:left="0" w:right="0"/>
        <w:jc w:val="both"/>
      </w:pPr>
      <w:r>
        <w:rPr>
          <w:color w:val="000000"/>
          <w:spacing w:val="0"/>
          <w:w w:val="100"/>
          <w:position w:val="0"/>
        </w:rPr>
        <w:t>除已提足折旧仍继续使用的固定资产外，本集团对所有固定资产计提折旧。计提折旧时采用平均年限法。本集团于每年 年度终了，对固定资产的预计使用寿命、预计净残值和折旧方法进行复核，如发生改变，则作为会计估计变更处理。当固定 资产被处置、或者预期通过使用或处置不能产生经济利益时，终止确认该固定资产。固定资产出售、转让、报废或毁损的处 置收入扣除其账面价值和相关税费后的金额计入当期损益。</w:t>
      </w:r>
    </w:p>
    <w:p>
      <w:pPr>
        <w:pStyle w:val="Style47"/>
        <w:keepNext/>
        <w:keepLines/>
        <w:widowControl w:val="0"/>
        <w:shd w:val="clear" w:color="auto" w:fill="auto"/>
        <w:bidi w:val="0"/>
        <w:spacing w:before="0" w:after="28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6"/>
      <w:bookmarkEnd w:id="877"/>
      <w:bookmarkEnd w:id="879"/>
    </w:p>
    <w:p>
      <w:pPr>
        <w:pStyle w:val="Style37"/>
        <w:keepNext w:val="0"/>
        <w:keepLines w:val="0"/>
        <w:widowControl w:val="0"/>
        <w:shd w:val="clear" w:color="auto" w:fill="auto"/>
        <w:bidi w:val="0"/>
        <w:spacing w:before="0" w:after="0" w:line="322" w:lineRule="exact"/>
        <w:ind w:left="0" w:right="0"/>
        <w:jc w:val="both"/>
      </w:pPr>
      <w:r>
        <w:rPr>
          <w:color w:val="000000"/>
          <w:spacing w:val="0"/>
          <w:w w:val="100"/>
          <w:position w:val="0"/>
        </w:rPr>
        <w:t>融资租入固定资产以租赁资产的公允价值与最低租赁付款额的现值两者中的较低者作为租入资产的入账价值。租入资产 的入账价值与最低租赁付款额之间的差额作为未确认融资费用。</w:t>
      </w:r>
    </w:p>
    <w:p>
      <w:pPr>
        <w:pStyle w:val="Style37"/>
        <w:keepNext w:val="0"/>
        <w:keepLines w:val="0"/>
        <w:widowControl w:val="0"/>
        <w:shd w:val="clear" w:color="auto" w:fill="auto"/>
        <w:bidi w:val="0"/>
        <w:spacing w:before="0" w:after="380" w:line="312" w:lineRule="exact"/>
        <w:ind w:left="0" w:right="0"/>
        <w:jc w:val="both"/>
      </w:pPr>
      <w:r>
        <w:rPr>
          <w:color w:val="000000"/>
          <w:spacing w:val="0"/>
          <w:w w:val="100"/>
          <w:position w:val="0"/>
        </w:rPr>
        <w:t>融资租入的固定资产采用与自有固定资产相一致的折旧政策。能够合理确定租赁期届满时将取得租入资产所有权的，租 入固定资产在其预计使用寿命内计提折旧；否则，租入固定资产在租赁期与该资产预计使用寿命两者中较短的期间内计提折 旧。</w:t>
      </w:r>
    </w:p>
    <w:p>
      <w:pPr>
        <w:pStyle w:val="Style40"/>
        <w:keepNext/>
        <w:keepLines/>
        <w:widowControl w:val="0"/>
        <w:shd w:val="clear" w:color="auto" w:fill="auto"/>
        <w:tabs>
          <w:tab w:pos="424"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3</w:t>
      </w:r>
      <w:r>
        <w:rPr>
          <w:color w:val="000000"/>
          <w:spacing w:val="0"/>
          <w:w w:val="100"/>
          <w:position w:val="0"/>
        </w:rPr>
        <w:t>、</w:t>
        <w:tab/>
        <w:t>在建工程</w:t>
      </w:r>
      <w:bookmarkEnd w:id="880"/>
      <w:bookmarkEnd w:id="881"/>
      <w:bookmarkEnd w:id="883"/>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在建工程包括在建期间发生的各项工程支出、工程达到预定可使用状态前的资本化的借款费用以及其他相关费用等。在 建工程在达到预定可使用状态之日起，根据工程预算、造价或工程实际成本等，按估计的价值结转固定资产，次月起开始计 提折旧，待办理了竣工决算手续后再对固定资产原值差异进行调整。</w:t>
      </w:r>
    </w:p>
    <w:p>
      <w:pPr>
        <w:pStyle w:val="Style40"/>
        <w:keepNext/>
        <w:keepLines/>
        <w:widowControl w:val="0"/>
        <w:shd w:val="clear" w:color="auto" w:fill="auto"/>
        <w:tabs>
          <w:tab w:pos="424"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884"/>
      <w:bookmarkEnd w:id="885"/>
      <w:bookmarkEnd w:id="887"/>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年以上的购建或者生产活动才能达到预定可使用或者可销售状态的固定资产和存货等的 借款费用，在资产支出已经发生、借款费用已经发生、为使资产达到预定可使用或可销售状态所必要的购建或生产活动已经 开始时，开始资本化；当购建或生产符合资本化条件的资产达到预定可使用或可销售状态时，停止资本化，其后发生的借款 费用计入当期损益。如果符合资本化条件的资产在购建或者生产过程中发生非正常中断、且中断时间连续超过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 借款费用的资本化，直至资产的购建或生产活动重新开始。</w:t>
      </w:r>
    </w:p>
    <w:p>
      <w:pPr>
        <w:pStyle w:val="Style37"/>
        <w:keepNext w:val="0"/>
        <w:keepLines w:val="0"/>
        <w:widowControl w:val="0"/>
        <w:shd w:val="clear" w:color="auto" w:fill="auto"/>
        <w:bidi w:val="0"/>
        <w:spacing w:before="0" w:after="380" w:line="314" w:lineRule="exact"/>
        <w:ind w:left="0" w:right="0"/>
        <w:jc w:val="both"/>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40"/>
        <w:keepNext/>
        <w:keepLines/>
        <w:widowControl w:val="0"/>
        <w:shd w:val="clear" w:color="auto" w:fill="auto"/>
        <w:tabs>
          <w:tab w:pos="424" w:val="left"/>
        </w:tabs>
        <w:bidi w:val="0"/>
        <w:spacing w:before="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888"/>
      <w:bookmarkEnd w:id="889"/>
      <w:bookmarkEnd w:id="891"/>
    </w:p>
    <w:p>
      <w:pPr>
        <w:pStyle w:val="Style47"/>
        <w:keepNext/>
        <w:keepLines/>
        <w:widowControl w:val="0"/>
        <w:shd w:val="clear" w:color="auto" w:fill="auto"/>
        <w:bidi w:val="0"/>
        <w:spacing w:before="0" w:after="28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2"/>
      <w:bookmarkEnd w:id="893"/>
      <w:bookmarkEnd w:id="895"/>
    </w:p>
    <w:p>
      <w:pPr>
        <w:pStyle w:val="Style37"/>
        <w:keepNext w:val="0"/>
        <w:keepLines w:val="0"/>
        <w:widowControl w:val="0"/>
        <w:shd w:val="clear" w:color="auto" w:fill="auto"/>
        <w:bidi w:val="0"/>
        <w:spacing w:before="0" w:after="320" w:line="313" w:lineRule="exact"/>
        <w:ind w:left="0" w:right="0"/>
        <w:jc w:val="left"/>
      </w:pPr>
      <w:r>
        <w:rPr>
          <w:color w:val="000000"/>
          <w:spacing w:val="0"/>
          <w:w w:val="100"/>
          <w:position w:val="0"/>
        </w:rPr>
        <w:t>本集团无形资产包括土地使用权、软件技术、非同一控制下合并中取得被购买方拥有的但在其财务报表中未确认的商标、 软件著作权、专利、域名及非专利技术等，按取得时的实际成本计量，其中，购入的无形资产，按实际支付的价款和相关的 其他支出作为实际成本；投资者投入的无形资产，按投资合同或协议约定的价值确定实际成本，但合同或协议约定价值不公 允的，按公允价值确定实际成本；对非同一控制下合并中取得被购买方拥有的但在其财务报表中未确认的商标、软件著作权、 专利、域名等无形资产，在对被购买方资产进行初始确认时，按公允价值确认为无形资产。</w:t>
      </w:r>
    </w:p>
    <w:p>
      <w:pPr>
        <w:pStyle w:val="Style37"/>
        <w:keepNext w:val="0"/>
        <w:keepLines w:val="0"/>
        <w:widowControl w:val="0"/>
        <w:shd w:val="clear" w:color="auto" w:fill="auto"/>
        <w:bidi w:val="0"/>
        <w:spacing w:before="0" w:after="380" w:line="314" w:lineRule="exact"/>
        <w:ind w:left="0" w:right="0"/>
        <w:jc w:val="both"/>
      </w:pPr>
      <w:r>
        <w:rPr>
          <w:color w:val="000000"/>
          <w:spacing w:val="0"/>
          <w:w w:val="100"/>
          <w:position w:val="0"/>
        </w:rPr>
        <w:t>土地使用权从出让起始日起，按其出让年限平均摊销；软件技术、商标使用权等无形资产按预计使用年限、合同规定的 受益年限和法律规定的有效年限三者中最短者分期平均摊销。对使用寿命有限的无形资产的预计使用寿命及摊销方法于每年 年度终了进行复核，如发生改变，则作为会计估计变更处理。</w:t>
      </w:r>
    </w:p>
    <w:p>
      <w:pPr>
        <w:pStyle w:val="Style47"/>
        <w:keepNext/>
        <w:keepLines/>
        <w:widowControl w:val="0"/>
        <w:shd w:val="clear" w:color="auto" w:fill="auto"/>
        <w:bidi w:val="0"/>
        <w:spacing w:before="0" w:after="2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6"/>
      <w:bookmarkEnd w:id="897"/>
      <w:bookmarkEnd w:id="899"/>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本集团内部研究开发项目支出根据其性质以及研发活动最终形成无形资产是否具有较大不确定性，分为研究阶段支出和 开发阶段支出。</w:t>
      </w:r>
    </w:p>
    <w:p>
      <w:pPr>
        <w:pStyle w:val="Style37"/>
        <w:keepNext w:val="0"/>
        <w:keepLines w:val="0"/>
        <w:widowControl w:val="0"/>
        <w:shd w:val="clear" w:color="auto" w:fill="auto"/>
        <w:bidi w:val="0"/>
        <w:spacing w:before="0" w:after="120" w:line="315" w:lineRule="exact"/>
        <w:ind w:left="0" w:right="0"/>
        <w:jc w:val="both"/>
      </w:pPr>
      <w:r>
        <w:rPr>
          <w:color w:val="000000"/>
          <w:spacing w:val="0"/>
          <w:w w:val="100"/>
          <w:position w:val="0"/>
        </w:rPr>
        <w:t>自行研究开发的无形资产，其研究阶段的支出，于发生时计入当期损益；其开发阶段的支出，同时满足下列条件的，确 认为无形资产：</w:t>
      </w:r>
    </w:p>
    <w:p>
      <w:pPr>
        <w:pStyle w:val="Style37"/>
        <w:keepNext w:val="0"/>
        <w:keepLines w:val="0"/>
        <w:widowControl w:val="0"/>
        <w:shd w:val="clear" w:color="auto" w:fill="auto"/>
        <w:tabs>
          <w:tab w:pos="725" w:val="left"/>
        </w:tabs>
        <w:bidi w:val="0"/>
        <w:spacing w:before="0" w:after="0" w:line="360" w:lineRule="auto"/>
        <w:ind w:left="0" w:right="0"/>
        <w:jc w:val="both"/>
      </w:pPr>
      <w:bookmarkStart w:id="900" w:name="bookmark900"/>
      <w:r>
        <w:rPr>
          <w:rFonts w:ascii="Times New Roman" w:eastAsia="Times New Roman" w:hAnsi="Times New Roman" w:cs="Times New Roman"/>
          <w:color w:val="000000"/>
          <w:spacing w:val="0"/>
          <w:w w:val="100"/>
          <w:position w:val="0"/>
          <w:sz w:val="18"/>
          <w:szCs w:val="18"/>
        </w:rPr>
        <w:t>1</w:t>
      </w:r>
      <w:bookmarkEnd w:id="900"/>
      <w:r>
        <w:rPr>
          <w:color w:val="000000"/>
          <w:spacing w:val="0"/>
          <w:w w:val="100"/>
          <w:position w:val="0"/>
        </w:rPr>
        <w:t>）</w:t>
        <w:tab/>
        <w:t>完成该无形资产以使其能够使用或出售在技术上具有可行性；</w:t>
      </w:r>
    </w:p>
    <w:p>
      <w:pPr>
        <w:pStyle w:val="Style37"/>
        <w:keepNext w:val="0"/>
        <w:keepLines w:val="0"/>
        <w:widowControl w:val="0"/>
        <w:shd w:val="clear" w:color="auto" w:fill="auto"/>
        <w:tabs>
          <w:tab w:pos="744" w:val="left"/>
        </w:tabs>
        <w:bidi w:val="0"/>
        <w:spacing w:before="0" w:after="0" w:line="360" w:lineRule="auto"/>
        <w:ind w:left="0" w:right="0"/>
        <w:jc w:val="both"/>
      </w:pPr>
      <w:bookmarkStart w:id="901" w:name="bookmark901"/>
      <w:r>
        <w:rPr>
          <w:rFonts w:ascii="Times New Roman" w:eastAsia="Times New Roman" w:hAnsi="Times New Roman" w:cs="Times New Roman"/>
          <w:color w:val="000000"/>
          <w:spacing w:val="0"/>
          <w:w w:val="100"/>
          <w:position w:val="0"/>
          <w:sz w:val="18"/>
          <w:szCs w:val="18"/>
        </w:rPr>
        <w:t>2</w:t>
      </w:r>
      <w:bookmarkEnd w:id="901"/>
      <w:r>
        <w:rPr>
          <w:color w:val="000000"/>
          <w:spacing w:val="0"/>
          <w:w w:val="100"/>
          <w:position w:val="0"/>
        </w:rPr>
        <w:t>）</w:t>
        <w:tab/>
        <w:t>具有完成该无形资产并使用或出售的意图；</w:t>
      </w:r>
    </w:p>
    <w:p>
      <w:pPr>
        <w:pStyle w:val="Style37"/>
        <w:keepNext w:val="0"/>
        <w:keepLines w:val="0"/>
        <w:widowControl w:val="0"/>
        <w:shd w:val="clear" w:color="auto" w:fill="auto"/>
        <w:tabs>
          <w:tab w:pos="744" w:val="left"/>
        </w:tabs>
        <w:bidi w:val="0"/>
        <w:spacing w:before="0" w:after="0" w:line="360" w:lineRule="auto"/>
        <w:ind w:left="0" w:right="0"/>
        <w:jc w:val="both"/>
      </w:pPr>
      <w:bookmarkStart w:id="902" w:name="bookmark902"/>
      <w:r>
        <w:rPr>
          <w:rFonts w:ascii="Times New Roman" w:eastAsia="Times New Roman" w:hAnsi="Times New Roman" w:cs="Times New Roman"/>
          <w:color w:val="000000"/>
          <w:spacing w:val="0"/>
          <w:w w:val="100"/>
          <w:position w:val="0"/>
          <w:sz w:val="18"/>
          <w:szCs w:val="18"/>
        </w:rPr>
        <w:t>3</w:t>
      </w:r>
      <w:bookmarkEnd w:id="902"/>
      <w:r>
        <w:rPr>
          <w:color w:val="000000"/>
          <w:spacing w:val="0"/>
          <w:w w:val="100"/>
          <w:position w:val="0"/>
        </w:rPr>
        <w:t>）</w:t>
        <w:tab/>
        <w:t>运用该无形资产生产的产品存在市场或无形资产自身存在市场；</w:t>
      </w:r>
    </w:p>
    <w:p>
      <w:pPr>
        <w:pStyle w:val="Style37"/>
        <w:keepNext w:val="0"/>
        <w:keepLines w:val="0"/>
        <w:widowControl w:val="0"/>
        <w:shd w:val="clear" w:color="auto" w:fill="auto"/>
        <w:tabs>
          <w:tab w:pos="744" w:val="left"/>
        </w:tabs>
        <w:bidi w:val="0"/>
        <w:spacing w:before="0" w:after="0" w:line="360" w:lineRule="auto"/>
        <w:ind w:left="0" w:right="0"/>
        <w:jc w:val="both"/>
      </w:pPr>
      <w:bookmarkStart w:id="903" w:name="bookmark903"/>
      <w:r>
        <w:rPr>
          <w:rFonts w:ascii="Times New Roman" w:eastAsia="Times New Roman" w:hAnsi="Times New Roman" w:cs="Times New Roman"/>
          <w:color w:val="000000"/>
          <w:spacing w:val="0"/>
          <w:w w:val="100"/>
          <w:position w:val="0"/>
          <w:sz w:val="18"/>
          <w:szCs w:val="18"/>
        </w:rPr>
        <w:t>4</w:t>
      </w:r>
      <w:bookmarkEnd w:id="903"/>
      <w:r>
        <w:rPr>
          <w:color w:val="000000"/>
          <w:spacing w:val="0"/>
          <w:w w:val="100"/>
          <w:position w:val="0"/>
        </w:rPr>
        <w:t>）</w:t>
        <w:tab/>
        <w:t>有足够的技术、财务资源和其他资源支持，以完成该无形资产的开发，并有能力使用或出售该无形资产；</w:t>
      </w:r>
    </w:p>
    <w:p>
      <w:pPr>
        <w:pStyle w:val="Style37"/>
        <w:keepNext w:val="0"/>
        <w:keepLines w:val="0"/>
        <w:widowControl w:val="0"/>
        <w:shd w:val="clear" w:color="auto" w:fill="auto"/>
        <w:tabs>
          <w:tab w:pos="744" w:val="left"/>
        </w:tabs>
        <w:bidi w:val="0"/>
        <w:spacing w:before="0" w:after="0" w:line="360" w:lineRule="auto"/>
        <w:ind w:left="0" w:right="0"/>
        <w:jc w:val="both"/>
      </w:pPr>
      <w:bookmarkStart w:id="904" w:name="bookmark904"/>
      <w:r>
        <w:rPr>
          <w:rFonts w:ascii="Times New Roman" w:eastAsia="Times New Roman" w:hAnsi="Times New Roman" w:cs="Times New Roman"/>
          <w:color w:val="000000"/>
          <w:spacing w:val="0"/>
          <w:w w:val="100"/>
          <w:position w:val="0"/>
          <w:sz w:val="18"/>
          <w:szCs w:val="18"/>
        </w:rPr>
        <w:t>5</w:t>
      </w:r>
      <w:bookmarkEnd w:id="904"/>
      <w:r>
        <w:rPr>
          <w:color w:val="000000"/>
          <w:spacing w:val="0"/>
          <w:w w:val="100"/>
          <w:position w:val="0"/>
        </w:rPr>
        <w:t>）</w:t>
        <w:tab/>
        <w:t>归属于该无形资产开发阶段的支出能够可靠地计量。</w:t>
      </w:r>
    </w:p>
    <w:p>
      <w:pPr>
        <w:pStyle w:val="Style37"/>
        <w:keepNext w:val="0"/>
        <w:keepLines w:val="0"/>
        <w:widowControl w:val="0"/>
        <w:shd w:val="clear" w:color="auto" w:fill="auto"/>
        <w:bidi w:val="0"/>
        <w:spacing w:before="0" w:after="380" w:line="315" w:lineRule="exact"/>
        <w:ind w:left="0" w:right="0"/>
        <w:jc w:val="both"/>
      </w:pPr>
      <w:r>
        <w:rPr>
          <w:color w:val="000000"/>
          <w:spacing w:val="0"/>
          <w:w w:val="100"/>
          <w:position w:val="0"/>
        </w:rPr>
        <w:t>不满足上述条件的开发阶段的支出，于发生时计入当期损益。前期已计入损益的开发支出不在以后期间确认为资产。已 资本化的开发阶段的支出在资产负债表上列示为开发支出，自该项目达到预定可使用状态之日起转为无形资产。</w:t>
      </w:r>
    </w:p>
    <w:p>
      <w:pPr>
        <w:pStyle w:val="Style40"/>
        <w:keepNext/>
        <w:keepLines/>
        <w:widowControl w:val="0"/>
        <w:shd w:val="clear" w:color="auto" w:fill="auto"/>
        <w:tabs>
          <w:tab w:pos="479"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905"/>
      <w:bookmarkEnd w:id="906"/>
      <w:bookmarkEnd w:id="908"/>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本集团于每一资产负债表日对长期股权投资、采用成本模式计量的投资性房地产、固定资产、在建工程、使用寿命有限 的无形资产等项目进行检查，当存在减值迹象时，本集团将估计其可收回金额，进行减值测试。</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可收回金额根据资产的公允价值减去处置费用后的净额与资产预计未来现金流量的现值两者之间较高者确定。本集团以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当资产或者资产组的可收回金额低于其账面价值时，本集团将其账面价值减记至可收回金额，减记的金额计入当期损益， 同时计提相应的资产减值准备。</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商誉至少在每年年度终了进行减值测试。对商誉进行减值测试时，结合与其相关的资产组或者资产组组合进行。即，自 购买日起将商誉的账面价值按照合理的方法分摊到能够从企业合并的协同效应中受益的资产组或资产组组合,如包含分摊的 商誉的资产组或资产组组合的可收回金额低于其账面价值的，确认相应的减值损失。减值损失金额首先抵减分摊到该资产组 或资产组组合的商誉的账面价值，再根据资产组或资产组组合中除商誉以外的其他各项资产的账面价值所占比重，按比例抵 减其他各项资产的账面价值。</w:t>
      </w:r>
    </w:p>
    <w:p>
      <w:pPr>
        <w:pStyle w:val="Style37"/>
        <w:keepNext w:val="0"/>
        <w:keepLines w:val="0"/>
        <w:widowControl w:val="0"/>
        <w:shd w:val="clear" w:color="auto" w:fill="auto"/>
        <w:bidi w:val="0"/>
        <w:spacing w:before="0" w:after="380" w:line="315" w:lineRule="exact"/>
        <w:ind w:left="0" w:right="0"/>
        <w:jc w:val="both"/>
      </w:pPr>
      <w:r>
        <w:rPr>
          <w:color w:val="000000"/>
          <w:spacing w:val="0"/>
          <w:w w:val="100"/>
          <w:position w:val="0"/>
        </w:rPr>
        <w:t>上述资产减值损失一经确认，在以后会计期间不再转回。</w:t>
      </w:r>
    </w:p>
    <w:p>
      <w:pPr>
        <w:pStyle w:val="Style40"/>
        <w:keepNext/>
        <w:keepLines/>
        <w:widowControl w:val="0"/>
        <w:shd w:val="clear" w:color="auto" w:fill="auto"/>
        <w:tabs>
          <w:tab w:pos="479" w:val="left"/>
        </w:tabs>
        <w:bidi w:val="0"/>
        <w:spacing w:before="0" w:after="28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909"/>
      <w:bookmarkEnd w:id="910"/>
      <w:bookmarkEnd w:id="912"/>
    </w:p>
    <w:p>
      <w:pPr>
        <w:pStyle w:val="Style37"/>
        <w:keepNext w:val="0"/>
        <w:keepLines w:val="0"/>
        <w:widowControl w:val="0"/>
        <w:shd w:val="clear" w:color="auto" w:fill="auto"/>
        <w:bidi w:val="0"/>
        <w:spacing w:before="0" w:after="720" w:line="317" w:lineRule="exact"/>
        <w:ind w:left="0" w:right="0"/>
        <w:jc w:val="both"/>
      </w:pPr>
      <w:r>
        <w:rPr>
          <w:color w:val="000000"/>
          <w:spacing w:val="0"/>
          <w:w w:val="100"/>
          <w:position w:val="0"/>
        </w:rPr>
        <w:t>本集团的长期待摊费用包括装修费及办公设备。该等费用在受益期内平均摊销，如果长期待摊费用项目不能使以后会计 期间受益，则将尚未摊销的该项目的摊余价值全部转入当期损益。</w:t>
      </w:r>
    </w:p>
    <w:p>
      <w:pPr>
        <w:pStyle w:val="Style40"/>
        <w:keepNext/>
        <w:keepLines/>
        <w:widowControl w:val="0"/>
        <w:shd w:val="clear" w:color="auto" w:fill="auto"/>
        <w:bidi w:val="0"/>
        <w:spacing w:before="0" w:after="28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913"/>
      <w:bookmarkEnd w:id="914"/>
      <w:bookmarkEnd w:id="916"/>
    </w:p>
    <w:p>
      <w:pPr>
        <w:pStyle w:val="Style37"/>
        <w:keepNext w:val="0"/>
        <w:keepLines w:val="0"/>
        <w:widowControl w:val="0"/>
        <w:shd w:val="clear" w:color="auto" w:fill="auto"/>
        <w:bidi w:val="0"/>
        <w:spacing w:before="0" w:after="280" w:line="317" w:lineRule="exact"/>
        <w:ind w:left="0" w:right="0"/>
        <w:jc w:val="both"/>
      </w:pPr>
      <w:r>
        <w:rPr>
          <w:color w:val="000000"/>
          <w:spacing w:val="0"/>
          <w:w w:val="100"/>
          <w:position w:val="0"/>
        </w:rPr>
        <w:t>合同负债是指本集团已收或应收客户对价而应向客户转让商品或服务的义务。同一合同下的合同资产和合同负债以净额 列示。</w:t>
      </w:r>
    </w:p>
    <w:p>
      <w:pPr>
        <w:pStyle w:val="Style40"/>
        <w:keepNext/>
        <w:keepLines/>
        <w:widowControl w:val="0"/>
        <w:shd w:val="clear" w:color="auto" w:fill="auto"/>
        <w:tabs>
          <w:tab w:pos="475" w:val="left"/>
        </w:tabs>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917"/>
      <w:bookmarkEnd w:id="918"/>
      <w:bookmarkEnd w:id="920"/>
    </w:p>
    <w:p>
      <w:pPr>
        <w:pStyle w:val="Style47"/>
        <w:keepNext/>
        <w:keepLines/>
        <w:widowControl w:val="0"/>
        <w:numPr>
          <w:ilvl w:val="0"/>
          <w:numId w:val="13"/>
        </w:numPr>
        <w:shd w:val="clear" w:color="auto" w:fill="auto"/>
        <w:tabs>
          <w:tab w:pos="485" w:val="left"/>
        </w:tabs>
        <w:bidi w:val="0"/>
        <w:spacing w:before="0" w:after="280" w:line="240" w:lineRule="auto"/>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短期薪酬的会计处理方法</w:t>
      </w:r>
      <w:bookmarkEnd w:id="921"/>
      <w:bookmarkEnd w:id="922"/>
      <w:bookmarkEnd w:id="924"/>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本集团职工薪酬包括短期薪酬、离职后福利及辞退福利。</w:t>
      </w:r>
    </w:p>
    <w:p>
      <w:pPr>
        <w:pStyle w:val="Style37"/>
        <w:keepNext w:val="0"/>
        <w:keepLines w:val="0"/>
        <w:widowControl w:val="0"/>
        <w:shd w:val="clear" w:color="auto" w:fill="auto"/>
        <w:bidi w:val="0"/>
        <w:spacing w:before="0" w:after="380" w:line="314" w:lineRule="exact"/>
        <w:ind w:left="0" w:right="0"/>
        <w:jc w:val="both"/>
      </w:pPr>
      <w:r>
        <w:rPr>
          <w:color w:val="000000"/>
          <w:spacing w:val="0"/>
          <w:w w:val="100"/>
          <w:position w:val="0"/>
        </w:rPr>
        <w:t>短期薪酬主要包括工资、奖金、津贴和补贴、职工福利费、社会保险费及住房公积金、工会经费和职工教育经费等与获 得职工提供的服务相关的支出，在职工提供服务的会计期间，将实际发生的短期薪酬确认为负债，并按照受益对象计入当期 损益或相关资产成本。</w:t>
      </w:r>
    </w:p>
    <w:p>
      <w:pPr>
        <w:pStyle w:val="Style47"/>
        <w:keepNext/>
        <w:keepLines/>
        <w:widowControl w:val="0"/>
        <w:numPr>
          <w:ilvl w:val="0"/>
          <w:numId w:val="13"/>
        </w:numPr>
        <w:shd w:val="clear" w:color="auto" w:fill="auto"/>
        <w:tabs>
          <w:tab w:pos="485" w:val="left"/>
        </w:tabs>
        <w:bidi w:val="0"/>
        <w:spacing w:before="0" w:after="280" w:line="240" w:lineRule="auto"/>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离职后福利的会计处理方法</w:t>
      </w:r>
      <w:bookmarkEnd w:id="925"/>
      <w:bookmarkEnd w:id="926"/>
      <w:bookmarkEnd w:id="928"/>
    </w:p>
    <w:p>
      <w:pPr>
        <w:pStyle w:val="Style37"/>
        <w:keepNext w:val="0"/>
        <w:keepLines w:val="0"/>
        <w:widowControl w:val="0"/>
        <w:shd w:val="clear" w:color="auto" w:fill="auto"/>
        <w:bidi w:val="0"/>
        <w:spacing w:before="0" w:after="380" w:line="312" w:lineRule="exact"/>
        <w:ind w:left="0" w:right="0"/>
        <w:jc w:val="left"/>
      </w:pPr>
      <w:r>
        <w:rPr>
          <w:color w:val="000000"/>
          <w:spacing w:val="0"/>
          <w:w w:val="100"/>
          <w:position w:val="0"/>
        </w:rPr>
        <w:t>离职后福利主要包括基本养老保险、失业保险、补充养老保险等，按照公司承担的风险和义务，分类为设定提存计划。 对于设定提存计划在根据在资产负债表日为换取职工在会计期间提供的服务而向单独主体缴存的提存金确认为负债,并按照 受益对象计入当期损益或相关资产成本。</w:t>
      </w:r>
    </w:p>
    <w:p>
      <w:pPr>
        <w:pStyle w:val="Style47"/>
        <w:keepNext/>
        <w:keepLines/>
        <w:widowControl w:val="0"/>
        <w:numPr>
          <w:ilvl w:val="0"/>
          <w:numId w:val="13"/>
        </w:numPr>
        <w:shd w:val="clear" w:color="auto" w:fill="auto"/>
        <w:tabs>
          <w:tab w:pos="485" w:val="left"/>
        </w:tabs>
        <w:bidi w:val="0"/>
        <w:spacing w:before="0" w:after="280" w:line="240" w:lineRule="auto"/>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辞退福利的会计处理方法</w:t>
      </w:r>
      <w:bookmarkEnd w:id="929"/>
      <w:bookmarkEnd w:id="930"/>
      <w:bookmarkEnd w:id="932"/>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本集团向职工提供辞退福利的，在下列两者孰早日确认辞退福利产生的职工薪酬负债，并计入当期损益：企业不能单方 面撤回因解除劳动关系计划或裁减建议所提供的辞退福利时；企业确认与涉及支付辞退福利的重组相关的成本或费用时。</w:t>
      </w:r>
    </w:p>
    <w:p>
      <w:pPr>
        <w:pStyle w:val="Style40"/>
        <w:keepNext/>
        <w:keepLines/>
        <w:widowControl w:val="0"/>
        <w:shd w:val="clear" w:color="auto" w:fill="auto"/>
        <w:tabs>
          <w:tab w:pos="475"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933"/>
      <w:bookmarkEnd w:id="934"/>
      <w:bookmarkEnd w:id="936"/>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当与对外担保、未决诉讼或仲裁、产品质量保证等与或有事项相关的义务同时符合以下条件，本集团将其确认为负债： 该义务是本集团承担的现时义务；该义务的履行很可能导致经济利益流出企业；该义务的金额能够可靠地计量。</w:t>
      </w:r>
    </w:p>
    <w:p>
      <w:pPr>
        <w:pStyle w:val="Style37"/>
        <w:keepNext w:val="0"/>
        <w:keepLines w:val="0"/>
        <w:widowControl w:val="0"/>
        <w:shd w:val="clear" w:color="auto" w:fill="auto"/>
        <w:bidi w:val="0"/>
        <w:spacing w:before="0" w:after="380" w:line="314"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40"/>
        <w:keepNext/>
        <w:keepLines/>
        <w:widowControl w:val="0"/>
        <w:shd w:val="clear" w:color="auto" w:fill="auto"/>
        <w:tabs>
          <w:tab w:pos="475" w:val="left"/>
        </w:tabs>
        <w:bidi w:val="0"/>
        <w:spacing w:before="0" w:after="28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股份支付</w:t>
      </w:r>
      <w:bookmarkEnd w:id="937"/>
      <w:bookmarkEnd w:id="938"/>
      <w:bookmarkEnd w:id="940"/>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股份支付，分为以权益结算的股份支付和以现金结算的股份支付。</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个资产负债表日，本公司根据最新取得的可行权职工人数变动、是否达到规定业绩条件等后续信息对可行权权益工具数量作 出最佳估计，以此为基础，按照授予日的公允价值，将当期取得的服务计入相关成本或费用，相应增加资本公积。</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37"/>
        <w:keepNext w:val="0"/>
        <w:keepLines w:val="0"/>
        <w:widowControl w:val="0"/>
        <w:shd w:val="clear" w:color="auto" w:fill="auto"/>
        <w:bidi w:val="0"/>
        <w:spacing w:before="0" w:after="0" w:line="322" w:lineRule="exact"/>
        <w:ind w:left="0" w:right="0"/>
        <w:jc w:val="both"/>
      </w:pPr>
      <w:r>
        <w:rPr>
          <w:color w:val="000000"/>
          <w:spacing w:val="0"/>
          <w:w w:val="100"/>
          <w:position w:val="0"/>
        </w:rPr>
        <w:t>如果修改了以权益结算的股份支付的条款，至少按照未修改条款的情况确认取得的服务。此外，增加所授予权益工具公 允价值的修改，或在修改日对职工有利的变更，均确认取得服务的增加。</w:t>
      </w:r>
    </w:p>
    <w:p>
      <w:pPr>
        <w:pStyle w:val="Style37"/>
        <w:keepNext w:val="0"/>
        <w:keepLines w:val="0"/>
        <w:widowControl w:val="0"/>
        <w:shd w:val="clear" w:color="auto" w:fill="auto"/>
        <w:bidi w:val="0"/>
        <w:spacing w:before="0" w:after="280" w:line="322"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w:t>
      </w:r>
    </w:p>
    <w:p>
      <w:pPr>
        <w:pStyle w:val="Style40"/>
        <w:keepNext/>
        <w:keepLines/>
        <w:widowControl w:val="0"/>
        <w:shd w:val="clear" w:color="auto" w:fill="auto"/>
        <w:tabs>
          <w:tab w:pos="441" w:val="left"/>
        </w:tabs>
        <w:bidi w:val="0"/>
        <w:spacing w:before="0" w:after="28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941"/>
      <w:bookmarkEnd w:id="942"/>
      <w:bookmarkEnd w:id="944"/>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收入确认和计量所采用的会计政策</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本集团的营业收入主要包括销售商品收入、提供劳务收入等。</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本集团在履行了合同中的履约义务，即在客户取得相关商品或服务控制权时，按照分摊至该项履约义务的交易价格确认 收入。履约义务，是指合同中本集团向客户转让可明确区分商品或服务的承诺。交易价格，是指本集团因向客户转让商品或 服务而预期有权收取的对价金额，但不包含代第三方收取的款项以及本集团预期将退还给客户的款项。</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 在本集团履约的同时即取得并消耗本集团履约所带来的经济利益；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客户能够控制本集团履约过程中在建的商品；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集团履约过程中所产出的商品具有不可替代用途，且本集团在整个合同期间内有权就累计至今已完成的履约部分收取款项。 否则，本集团在客户取得相关商品或服务控制权的时点确认收入。</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主要责任人与代理人</w:t>
      </w:r>
    </w:p>
    <w:p>
      <w:pPr>
        <w:pStyle w:val="Style37"/>
        <w:keepNext w:val="0"/>
        <w:keepLines w:val="0"/>
        <w:widowControl w:val="0"/>
        <w:shd w:val="clear" w:color="auto" w:fill="auto"/>
        <w:bidi w:val="0"/>
        <w:spacing w:before="0" w:after="380" w:line="314" w:lineRule="exact"/>
        <w:ind w:left="0" w:right="0"/>
        <w:jc w:val="left"/>
      </w:pPr>
      <w:r>
        <w:rPr>
          <w:color w:val="000000"/>
          <w:spacing w:val="0"/>
          <w:w w:val="100"/>
          <w:position w:val="0"/>
        </w:rPr>
        <w:t>本集团根据在向客户转让商品或服务前是否拥有对该商品或服务的控制权，来判断从事交易时本集团的身份是主要责任 人还是代理人。本集团在向客户转让商品或服务前能够控制该商品或服务的，本集团为主要责任人，按照已收或应收对价总 额确认收入；否则，本集团为代理人，按照预期有权收取的佣金或手续费的金额确认收入，该金额按照已收或应收对价总额 扣除应支付给其他相关方的价款后的净额，或者按照既定的佣金金额或比例等确定。</w:t>
      </w:r>
    </w:p>
    <w:p>
      <w:pPr>
        <w:pStyle w:val="Style37"/>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同类业务采用不同经营模式导致收入确认会计政策存在差异的情况</w:t>
      </w:r>
    </w:p>
    <w:p>
      <w:pPr>
        <w:pStyle w:val="Style3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40"/>
        <w:keepNext/>
        <w:keepLines/>
        <w:widowControl w:val="0"/>
        <w:shd w:val="clear" w:color="auto" w:fill="auto"/>
        <w:tabs>
          <w:tab w:pos="441"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945"/>
      <w:bookmarkEnd w:id="946"/>
      <w:bookmarkEnd w:id="948"/>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政府补助包括与资产相关的政府补助及与收益相关的政府补助。其中，与资产相关的政府补助，是指本公司取得的、用 于购建或以其他方式形成长期资产的政府补助；与收益相关的政府补助，是指除与资产相关的政府补助之外的政府补助。如 果政府文件中未明确规定补助对象，本集团按照上述区分原则进行判断，难以区分的，整体归类为与收益相关的政府补助。</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政府补助为货币性资产的，按照实际收到的金额计量，对于按照固定的定额标准拨付的补助，或对年末有确凿证据表明 能够符合财政扶持政策规定的相关条件且预计能够收到财政扶持资金时，按照应收的金额计量；政府补助为非货币性资产 的，按照公允价值计量，公允价值不能可靠取得的，按照名义金额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与资产相关的政府补助</w:t>
      </w:r>
      <w:r>
        <w:rPr>
          <w:color w:val="000000"/>
          <w:spacing w:val="0"/>
          <w:w w:val="100"/>
          <w:position w:val="0"/>
          <w:sz w:val="18"/>
          <w:szCs w:val="18"/>
        </w:rPr>
        <w:t>，</w:t>
      </w:r>
      <w:r>
        <w:rPr>
          <w:color w:val="000000"/>
          <w:spacing w:val="0"/>
          <w:w w:val="100"/>
          <w:position w:val="0"/>
        </w:rPr>
        <w:t>冲减相关资产的账面价值或确认为递延收益，确认为递延收益的与资产相关的政府补助，在相 关资产使用寿命内平均分配计入损益。</w:t>
      </w:r>
    </w:p>
    <w:p>
      <w:pPr>
        <w:pStyle w:val="Style37"/>
        <w:keepNext w:val="0"/>
        <w:keepLines w:val="0"/>
        <w:widowControl w:val="0"/>
        <w:shd w:val="clear" w:color="auto" w:fill="auto"/>
        <w:bidi w:val="0"/>
        <w:spacing w:before="0" w:after="0" w:line="302" w:lineRule="exact"/>
        <w:ind w:left="0" w:right="0"/>
        <w:jc w:val="both"/>
      </w:pPr>
      <w:r>
        <w:rPr>
          <w:color w:val="000000"/>
          <w:spacing w:val="0"/>
          <w:w w:val="100"/>
          <w:position w:val="0"/>
        </w:rPr>
        <w:t xml:space="preserve">相关资产在使用寿命结束前被出售、转让、报废或发生毁损的，将尚未分配的相关递延收益余额转入资产处置当期的损 </w:t>
      </w:r>
      <w:r>
        <w:rPr>
          <w:color w:val="000000"/>
          <w:spacing w:val="0"/>
          <w:w w:val="100"/>
          <w:position w:val="0"/>
          <w:u w:val="single"/>
        </w:rPr>
        <w:t>益</w:t>
      </w:r>
      <w:r>
        <w:rPr>
          <w:color w:val="000000"/>
          <w:spacing w:val="0"/>
          <w:w w:val="100"/>
          <w:position w:val="0"/>
        </w:rPr>
        <w:t>。</w:t>
      </w:r>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与收益相关的政府补助，用于补偿以后期间的相关成本费用或损失的，确认为递延收益，并在确认相关成本费用或损失 的期间计入当期损益或冲减相关成本。与日常活动相关的政府补助，按照经济业务实质，计入其他收益或冲减相关成本费用。 与日常活动无关的政府补助，计入营业外收支。</w:t>
      </w:r>
    </w:p>
    <w:p>
      <w:pPr>
        <w:pStyle w:val="Style40"/>
        <w:keepNext/>
        <w:keepLines/>
        <w:widowControl w:val="0"/>
        <w:shd w:val="clear" w:color="auto" w:fill="auto"/>
        <w:tabs>
          <w:tab w:pos="441"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9"/>
      <w:bookmarkEnd w:id="950"/>
      <w:bookmarkEnd w:id="952"/>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本集团以很可能取得用来抵扣可抵扣暂时性差异、可抵扣亏损和税款抵减的未来应纳税所得额为限，确认递延所得税资 产。</w:t>
      </w:r>
    </w:p>
    <w:p>
      <w:pPr>
        <w:pStyle w:val="Style40"/>
        <w:keepNext/>
        <w:keepLines/>
        <w:widowControl w:val="0"/>
        <w:shd w:val="clear" w:color="auto" w:fill="auto"/>
        <w:tabs>
          <w:tab w:pos="472" w:val="left"/>
        </w:tabs>
        <w:bidi w:val="0"/>
        <w:spacing w:before="0" w:after="2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5</w:t>
      </w:r>
      <w:r>
        <w:rPr>
          <w:color w:val="000000"/>
          <w:spacing w:val="0"/>
          <w:w w:val="100"/>
          <w:position w:val="0"/>
        </w:rPr>
        <w:t>、</w:t>
        <w:tab/>
        <w:t>资产证券化业务的会计处理方法</w:t>
      </w:r>
      <w:bookmarkEnd w:id="953"/>
      <w:bookmarkEnd w:id="954"/>
      <w:bookmarkEnd w:id="956"/>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本集团将部分应收账款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证券化，证券公司作为管理人设立的资产支持专项计划（以下简称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特定目的实体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购买基础资产后，由该特定目的实体向投资者发行优先级资产支持证券，全部次级资产支持证券由本集团持有，次级资产支 持证券在优先级资产支持证券本息偿付完毕前不得转让。本集团作为资产服务机构，提供资产维护和日常管理、定期编制资 产服务报告等服务；同时本集团作为流动性支持机构，在专项计划费用、优先级资产支持证券的预期收益及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或本金未能得 到足额偿付时履行差额支付义务。基础资产在支付税负和相关费用之后，优先用于偿付优先级资产支持证券的本息，全部本 息偿付之后剩余的基础资产作为次级资产支持证券的收益，归本集团所有。本集团实际上保留了与基础资产相关几乎所有的 风险和报酬，故未对基础资产终止确认；同时，本集团对特定目的实体具有实际控制权，已经将其纳入合并财务报表范围。</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在运用证券化金融资产的会计政策时，本集团已考虑转移至其他实体的资产的风险和报酬程度，以及本集团对该实体行 使控制权的程度：</w:t>
      </w:r>
    </w:p>
    <w:p>
      <w:pPr>
        <w:pStyle w:val="Style37"/>
        <w:keepNext w:val="0"/>
        <w:keepLines w:val="0"/>
        <w:widowControl w:val="0"/>
        <w:shd w:val="clear" w:color="auto" w:fill="auto"/>
        <w:tabs>
          <w:tab w:pos="814" w:val="left"/>
        </w:tabs>
        <w:bidi w:val="0"/>
        <w:spacing w:before="0" w:after="0" w:line="314" w:lineRule="exact"/>
        <w:ind w:left="0" w:right="0"/>
        <w:jc w:val="left"/>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当本集团已转移该金融资产所有权上几乎全部风险和报酬时，本集团予以终止确认该金融资产；</w:t>
      </w:r>
    </w:p>
    <w:p>
      <w:pPr>
        <w:pStyle w:val="Style37"/>
        <w:keepNext w:val="0"/>
        <w:keepLines w:val="0"/>
        <w:widowControl w:val="0"/>
        <w:shd w:val="clear" w:color="auto" w:fill="auto"/>
        <w:tabs>
          <w:tab w:pos="814" w:val="left"/>
        </w:tabs>
        <w:bidi w:val="0"/>
        <w:spacing w:before="0" w:after="0" w:line="314" w:lineRule="exact"/>
        <w:ind w:left="0" w:right="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当本集团保留该金融资产所有权上几乎全部风险和报酬时，本集团继续确认该金融资产；</w:t>
      </w:r>
    </w:p>
    <w:p>
      <w:pPr>
        <w:pStyle w:val="Style37"/>
        <w:keepNext w:val="0"/>
        <w:keepLines w:val="0"/>
        <w:widowControl w:val="0"/>
        <w:shd w:val="clear" w:color="auto" w:fill="auto"/>
        <w:tabs>
          <w:tab w:pos="890" w:val="left"/>
        </w:tabs>
        <w:bidi w:val="0"/>
        <w:spacing w:before="0" w:after="380" w:line="314" w:lineRule="exact"/>
        <w:ind w:left="0" w:right="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如本集团并未转移或保留该金融资产所有权上几乎全部风险和报酬，本集团考虑对该金融资产是否存在控制。如 果本集团并未保留控制权，本集团终止确认该金融资产，并把在转移中产生或保留的权利及义务分别确认为资产或负债。如 本集团保留控制权，则根据对金融资产的继续涉入程度确认金融资产。</w:t>
      </w:r>
    </w:p>
    <w:p>
      <w:pPr>
        <w:pStyle w:val="Style40"/>
        <w:keepNext/>
        <w:keepLines/>
        <w:widowControl w:val="0"/>
        <w:shd w:val="clear" w:color="auto" w:fill="auto"/>
        <w:tabs>
          <w:tab w:pos="472" w:val="left"/>
        </w:tabs>
        <w:bidi w:val="0"/>
        <w:spacing w:before="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3</w:t>
      </w:r>
      <w:bookmarkEnd w:id="962"/>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960"/>
      <w:bookmarkEnd w:id="961"/>
      <w:bookmarkEnd w:id="963"/>
    </w:p>
    <w:p>
      <w:pPr>
        <w:pStyle w:val="Style47"/>
        <w:keepNext/>
        <w:keepLines/>
        <w:widowControl w:val="0"/>
        <w:shd w:val="clear" w:color="auto" w:fill="auto"/>
        <w:tabs>
          <w:tab w:pos="482" w:val="left"/>
        </w:tabs>
        <w:bidi w:val="0"/>
        <w:spacing w:before="0" w:after="28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64"/>
      <w:bookmarkEnd w:id="965"/>
      <w:bookmarkEnd w:id="967"/>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本集团作为经营租赁承租方的租金在租赁期内的各个期间按直线法计入相关资产成本或当期损益。</w:t>
      </w:r>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本集团作为融资租赁承租方时，在租赁开始日，按租赁开始日租赁资产的公允价值与最低租赁付款额的现值两者中较低 者，作为融资租入固定资产的入账价值，将最低租赁付款额作为长期应付款的入账价值，将两者的差额记录为未确认融资费 用。</w:t>
      </w:r>
    </w:p>
    <w:p>
      <w:pPr>
        <w:pStyle w:val="Style47"/>
        <w:keepNext/>
        <w:keepLines/>
        <w:widowControl w:val="0"/>
        <w:shd w:val="clear" w:color="auto" w:fill="auto"/>
        <w:tabs>
          <w:tab w:pos="482" w:val="left"/>
        </w:tabs>
        <w:bidi w:val="0"/>
        <w:spacing w:before="0" w:after="2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68"/>
      <w:bookmarkEnd w:id="969"/>
      <w:bookmarkEnd w:id="971"/>
    </w:p>
    <w:p>
      <w:pPr>
        <w:pStyle w:val="Style37"/>
        <w:keepNext w:val="0"/>
        <w:keepLines w:val="0"/>
        <w:widowControl w:val="0"/>
        <w:shd w:val="clear" w:color="auto" w:fill="auto"/>
        <w:bidi w:val="0"/>
        <w:spacing w:before="0" w:after="380" w:line="317" w:lineRule="exact"/>
        <w:ind w:left="0" w:right="0" w:firstLine="320"/>
        <w:jc w:val="both"/>
      </w:pPr>
      <w:r>
        <w:rPr>
          <w:color w:val="000000"/>
          <w:spacing w:val="0"/>
          <w:w w:val="100"/>
          <w:position w:val="0"/>
        </w:rPr>
        <w:t>本集团作为融资租赁承租方时，在租赁开始日，按租赁开始日租赁资产的公允价值与最低租赁付款额的现值两者中较低 者，作为融资租入固定资产的入账价值，将最低租赁付款额作为长期应付款的入账价值，将两者的差额记录为未确认融资费 用。</w:t>
      </w:r>
    </w:p>
    <w:p>
      <w:pPr>
        <w:pStyle w:val="Style40"/>
        <w:keepNext/>
        <w:keepLines/>
        <w:widowControl w:val="0"/>
        <w:shd w:val="clear" w:color="auto" w:fill="auto"/>
        <w:tabs>
          <w:tab w:pos="472" w:val="left"/>
        </w:tabs>
        <w:bidi w:val="0"/>
        <w:spacing w:before="0" w:after="28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rFonts w:ascii="Times New Roman" w:eastAsia="Times New Roman" w:hAnsi="Times New Roman" w:cs="Times New Roman"/>
          <w:color w:val="000000"/>
          <w:spacing w:val="0"/>
          <w:w w:val="100"/>
          <w:position w:val="0"/>
        </w:rPr>
        <w:t>7</w:t>
      </w:r>
      <w:r>
        <w:rPr>
          <w:color w:val="000000"/>
          <w:spacing w:val="0"/>
          <w:w w:val="100"/>
          <w:position w:val="0"/>
        </w:rPr>
        <w:t>、</w:t>
        <w:tab/>
        <w:t>终止经营</w:t>
      </w:r>
      <w:bookmarkEnd w:id="972"/>
      <w:bookmarkEnd w:id="973"/>
      <w:bookmarkEnd w:id="975"/>
    </w:p>
    <w:p>
      <w:pPr>
        <w:pStyle w:val="Style37"/>
        <w:keepNext w:val="0"/>
        <w:keepLines w:val="0"/>
        <w:widowControl w:val="0"/>
        <w:shd w:val="clear" w:color="auto" w:fill="auto"/>
        <w:bidi w:val="0"/>
        <w:spacing w:before="0" w:after="0" w:line="310" w:lineRule="exact"/>
        <w:ind w:left="0" w:right="0" w:firstLine="300"/>
        <w:jc w:val="both"/>
      </w:pPr>
      <w:r>
        <w:rPr>
          <w:color w:val="000000"/>
          <w:spacing w:val="0"/>
          <w:w w:val="100"/>
          <w:position w:val="0"/>
          <w:shd w:val="clear" w:color="auto" w:fill="FFFFFF"/>
        </w:rPr>
        <w:t>终止经营，是指本集团满足下列条件之一的、能够单独区分的组成部分，且该组成部分已经处置或划分为持有待售类别：</w:t>
      </w:r>
    </w:p>
    <w:p>
      <w:pPr>
        <w:pStyle w:val="Style37"/>
        <w:keepNext w:val="0"/>
        <w:keepLines w:val="0"/>
        <w:widowControl w:val="0"/>
        <w:shd w:val="clear" w:color="auto" w:fill="auto"/>
        <w:bidi w:val="0"/>
        <w:spacing w:before="0" w:after="700" w:line="310" w:lineRule="exact"/>
        <w:ind w:left="0" w:right="0" w:firstLine="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）该组成部分代表一项独立的主要业务或一个单独的主要经营地区；（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）该组成部分是拟对一项独立的主要业务或一个 单独的主要经营地区进行处置的一项相关联计划的一部分；（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）该组成部分是专为转售而取得的子公司。</w:t>
      </w:r>
    </w:p>
    <w:p>
      <w:pPr>
        <w:pStyle w:val="Style40"/>
        <w:keepNext/>
        <w:keepLines/>
        <w:widowControl w:val="0"/>
        <w:shd w:val="clear" w:color="auto" w:fill="auto"/>
        <w:bidi w:val="0"/>
        <w:spacing w:before="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8</w:t>
      </w:r>
      <w:r>
        <w:rPr>
          <w:color w:val="000000"/>
          <w:spacing w:val="0"/>
          <w:w w:val="100"/>
          <w:position w:val="0"/>
        </w:rPr>
        <w:t>、其他重要的会计政策和会计估计</w:t>
      </w:r>
      <w:bookmarkEnd w:id="977"/>
      <w:bookmarkEnd w:id="978"/>
      <w:bookmarkEnd w:id="980"/>
    </w:p>
    <w:p>
      <w:pPr>
        <w:pStyle w:val="Style37"/>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编制合并财务报表要求管理层作出判断、估计和假设，这些判断、估计和假设会影响收入、费用、资产和负债的列报金 </w:t>
      </w:r>
      <w:r>
        <w:rPr>
          <w:color w:val="000000"/>
          <w:spacing w:val="0"/>
          <w:w w:val="100"/>
          <w:position w:val="0"/>
        </w:rPr>
        <w:t>额及其披露，以及资产负债表日或有负债的披露。然而，这些假设和估计的不确定性所导致的结果可能造成对未来受影响的 资产或负债的账面金额进行重大调整。</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以下为于资产负债表日有关未来的关键假设以及估计不确定性的其他关键来源，可能会导致未来会计期间资产和负债账 面金额重大调整。</w:t>
      </w:r>
    </w:p>
    <w:p>
      <w:pPr>
        <w:pStyle w:val="Style37"/>
        <w:keepNext w:val="0"/>
        <w:keepLines w:val="0"/>
        <w:widowControl w:val="0"/>
        <w:shd w:val="clear" w:color="auto" w:fill="auto"/>
        <w:tabs>
          <w:tab w:pos="823" w:val="left"/>
        </w:tabs>
        <w:bidi w:val="0"/>
        <w:spacing w:before="0" w:after="0" w:line="314" w:lineRule="exact"/>
        <w:ind w:left="0" w:right="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应收账款的预期信用损失准备</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本集团采用减值矩阵确定应收账款的预期信用损失准备。本集团将具有类似风险特征的各类应收账款确定相应的损失准 备的比例。减值矩阵基于本集团历史逾期比例考虑无须付出不必要的额外成本或努力即可获得的合理且有依据的前瞻性信息 确定。</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该预期信用损失准备的金额将随本集团的估计而发生变化。</w:t>
      </w:r>
    </w:p>
    <w:p>
      <w:pPr>
        <w:pStyle w:val="Style37"/>
        <w:keepNext w:val="0"/>
        <w:keepLines w:val="0"/>
        <w:widowControl w:val="0"/>
        <w:shd w:val="clear" w:color="auto" w:fill="auto"/>
        <w:tabs>
          <w:tab w:pos="823" w:val="left"/>
        </w:tabs>
        <w:bidi w:val="0"/>
        <w:spacing w:before="0" w:after="0" w:line="314" w:lineRule="exact"/>
        <w:ind w:left="0" w:right="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存货跌价准备</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本集团根据存货会计政策，按照成本与可变现净值孰低计量，对成本高于可变现净值及陈旧和滞销的存货，计提存货跌 价准备。存货的可变现净值是指存货的估计售价减去估计的销售费用以及相关税费后的金额。管理层对存货的可变现净值计 算涉及到对售价、销售费用以及相关税费的估计。本集团于每个资产负债表日对不同类别的存货是否陈旧和滞销、可变现净 值是否低于存货成本进行重新估计。如重新估计结果与现有估计存在差异，该差异将会影响估计改变期间的存货账面价值。</w:t>
      </w:r>
    </w:p>
    <w:p>
      <w:pPr>
        <w:pStyle w:val="Style37"/>
        <w:keepNext w:val="0"/>
        <w:keepLines w:val="0"/>
        <w:widowControl w:val="0"/>
        <w:shd w:val="clear" w:color="auto" w:fill="auto"/>
        <w:tabs>
          <w:tab w:pos="823" w:val="left"/>
        </w:tabs>
        <w:bidi w:val="0"/>
        <w:spacing w:before="0" w:after="0" w:line="314" w:lineRule="exact"/>
        <w:ind w:left="0" w:right="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递延所得税资产</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在很可能有足够的应纳税所得额用以抵扣可抵扣亏损的限度内，应就所有尚未利用的可抵扣亏损确认递延所得税资产。 这需要管理层运用大量的判断来估计未来取得应纳税所得额的时间和金额，结合纳税筹划策略，以决定应确认的递延所得税 资产的金额。</w:t>
      </w:r>
    </w:p>
    <w:p>
      <w:pPr>
        <w:pStyle w:val="Style37"/>
        <w:keepNext w:val="0"/>
        <w:keepLines w:val="0"/>
        <w:widowControl w:val="0"/>
        <w:shd w:val="clear" w:color="auto" w:fill="auto"/>
        <w:tabs>
          <w:tab w:pos="823" w:val="left"/>
        </w:tabs>
        <w:bidi w:val="0"/>
        <w:spacing w:before="0" w:after="0" w:line="314" w:lineRule="exact"/>
        <w:ind w:left="0" w:right="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本集团因分布在多个区域而需分别在其所在地缴纳企业所得税。若有关事项的最终税务结果有别于已确认金额时，该些 差额将对当期的所得税造成影响。</w:t>
      </w:r>
    </w:p>
    <w:p>
      <w:pPr>
        <w:pStyle w:val="Style37"/>
        <w:keepNext w:val="0"/>
        <w:keepLines w:val="0"/>
        <w:widowControl w:val="0"/>
        <w:shd w:val="clear" w:color="auto" w:fill="auto"/>
        <w:tabs>
          <w:tab w:pos="823" w:val="left"/>
        </w:tabs>
        <w:bidi w:val="0"/>
        <w:spacing w:before="0" w:after="0" w:line="314" w:lineRule="exact"/>
        <w:ind w:left="0" w:right="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衍生金融工具的公允价值</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当资产负债表中的衍生金融工具的公允价值无法从活跃市场获得时，公允价值采用估值技术确定。估值模型使用的参数 根据市场中可观察的输入值，结合一定的判断得到。判断包括对流动性风险、信用风险及波动性的考虑。对参数的不同假设 可能会影响衍生金融工具公允价值的金额。</w:t>
      </w:r>
    </w:p>
    <w:p>
      <w:pPr>
        <w:pStyle w:val="Style37"/>
        <w:keepNext w:val="0"/>
        <w:keepLines w:val="0"/>
        <w:widowControl w:val="0"/>
        <w:shd w:val="clear" w:color="auto" w:fill="auto"/>
        <w:tabs>
          <w:tab w:pos="823" w:val="left"/>
        </w:tabs>
        <w:bidi w:val="0"/>
        <w:spacing w:before="0" w:after="0" w:line="314" w:lineRule="exact"/>
        <w:ind w:left="0" w:right="0"/>
        <w:jc w:val="both"/>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商誉减值准备的会计估计</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本集团每年对商誉进行减值测试。包含商誉的资产组和资产组组合的可收回金额为其预计未来现金流量的现值，其计算 需要采用会计估计。</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如果管理层对资产组和资产组组合未来现金流量计算中采用的毛利率或收入增长率等进行修订，修订后的毛利率或收入 增长率低于目前采用的毛利率或收入增长率，本集团可能需对商誉计提减值准备。</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如果管理层对应用于现金流量折现的税前折现率进行重新修订，修订后的税前折现率高于目前采用的税前折现率，本集 团可能需对商誉计提减值准备。</w:t>
      </w:r>
    </w:p>
    <w:p>
      <w:pPr>
        <w:pStyle w:val="Style37"/>
        <w:keepNext w:val="0"/>
        <w:keepLines w:val="0"/>
        <w:widowControl w:val="0"/>
        <w:shd w:val="clear" w:color="auto" w:fill="auto"/>
        <w:bidi w:val="0"/>
        <w:spacing w:before="0" w:after="740" w:line="314" w:lineRule="exact"/>
        <w:ind w:left="0" w:right="0"/>
        <w:jc w:val="both"/>
      </w:pPr>
      <w:r>
        <w:rPr>
          <w:color w:val="000000"/>
          <w:spacing w:val="0"/>
          <w:w w:val="100"/>
          <w:position w:val="0"/>
        </w:rPr>
        <w:t>如果实际毛利率、收入增长率或税前折现率高于或低于管理层的估计，本集团不能转回原已计提的商誉减值损失。</w:t>
      </w:r>
    </w:p>
    <w:p>
      <w:pPr>
        <w:pStyle w:val="Style40"/>
        <w:keepNext/>
        <w:keepLines/>
        <w:widowControl w:val="0"/>
        <w:shd w:val="clear" w:color="auto" w:fill="auto"/>
        <w:bidi w:val="0"/>
        <w:spacing w:before="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87"/>
      <w:bookmarkEnd w:id="988"/>
      <w:bookmarkEnd w:id="990"/>
    </w:p>
    <w:p>
      <w:pPr>
        <w:pStyle w:val="Style47"/>
        <w:keepNext/>
        <w:keepLines/>
        <w:widowControl w:val="0"/>
        <w:shd w:val="clear" w:color="auto" w:fill="auto"/>
        <w:bidi w:val="0"/>
        <w:spacing w:before="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1"/>
      <w:bookmarkEnd w:id="992"/>
      <w:bookmarkEnd w:id="994"/>
    </w:p>
    <w:p>
      <w:pPr>
        <w:pStyle w:val="Style3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参见巨潮资讯网相关公告</w:t>
            </w:r>
          </w:p>
        </w:tc>
      </w:tr>
    </w:tbl>
    <w:p>
      <w:pPr>
        <w:pStyle w:val="Style37"/>
        <w:keepNext w:val="0"/>
        <w:keepLines w:val="0"/>
        <w:widowControl w:val="0"/>
        <w:shd w:val="clear" w:color="auto" w:fill="auto"/>
        <w:bidi w:val="0"/>
        <w:spacing w:before="0" w:after="0" w:line="326" w:lineRule="exact"/>
        <w:ind w:left="0" w:right="0"/>
        <w:jc w:val="both"/>
      </w:pPr>
      <w:r>
        <w:rPr>
          <w:color w:val="000000"/>
          <w:spacing w:val="0"/>
          <w:w w:val="100"/>
          <w:position w:val="0"/>
        </w:rPr>
        <w:t>新收入准则：</w:t>
      </w:r>
    </w:p>
    <w:p>
      <w:pPr>
        <w:pStyle w:val="Style37"/>
        <w:keepNext w:val="0"/>
        <w:keepLines w:val="0"/>
        <w:widowControl w:val="0"/>
        <w:shd w:val="clear" w:color="auto" w:fill="auto"/>
        <w:bidi w:val="0"/>
        <w:spacing w:before="0" w:after="0" w:line="326" w:lineRule="exact"/>
        <w:ind w:left="0" w:right="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 前的收入准则简称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val="0"/>
        <w:keepLines w:val="0"/>
        <w:widowControl w:val="0"/>
        <w:shd w:val="clear" w:color="auto" w:fill="auto"/>
        <w:bidi w:val="0"/>
        <w:spacing w:before="0" w:after="0" w:line="317" w:lineRule="exact"/>
        <w:ind w:left="0" w:right="0"/>
        <w:jc w:val="both"/>
      </w:pPr>
      <w:r>
        <w:rPr>
          <w:color w:val="000000"/>
          <w:spacing w:val="0"/>
          <w:w w:val="100"/>
          <w:position w:val="0"/>
        </w:rPr>
        <w:t>新收入准则引入了收入确认计量的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步法，并针对特定交易（或事项）增加了更多的指引。本集团详细的收入确认和计 量的会计政策参见本报告第十二节财务报告、五、重要会计政策及会计估计、</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、收入。新收入准则要求首次执行该准则的 累计影响数调整首次执行当期期初（即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日）留存收益及财务报表其他相关项目金额，对可比期间信息不予调整。 在执行新收入准则时，本集团仅对首次执行日尚未完成的合同的累计影响数进行调整。</w:t>
      </w:r>
    </w:p>
    <w:p>
      <w:pPr>
        <w:pStyle w:val="Style37"/>
        <w:keepNext w:val="0"/>
        <w:keepLines w:val="0"/>
        <w:widowControl w:val="0"/>
        <w:shd w:val="clear" w:color="auto" w:fill="auto"/>
        <w:bidi w:val="0"/>
        <w:spacing w:before="0" w:after="80" w:line="307" w:lineRule="exact"/>
        <w:ind w:left="0" w:right="0"/>
        <w:jc w:val="both"/>
      </w:pPr>
      <w:r>
        <w:rPr>
          <w:color w:val="000000"/>
          <w:spacing w:val="0"/>
          <w:w w:val="100"/>
          <w:position w:val="0"/>
        </w:rPr>
        <w:t>除了提供了更广泛的收入交易的披露外，首次执行新收入准则对当期期初的留存收益金额未产生重大影响。新收入准则 对本集团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日合并资产负债表的影响如下，未受影响的报表项目未包含在内：</w:t>
      </w:r>
    </w:p>
    <w:tbl>
      <w:tblPr>
        <w:tblOverlap w:val="never"/>
        <w:jc w:val="center"/>
        <w:tblLayout w:type="fixed"/>
      </w:tblPr>
      <w:tblGrid>
        <w:gridCol w:w="1786"/>
        <w:gridCol w:w="2621"/>
        <w:gridCol w:w="2410"/>
        <w:gridCol w:w="2702"/>
      </w:tblGrid>
      <w:tr>
        <w:trPr>
          <w:trHeight w:val="4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7,038,877,340.76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6,995,705,365.66</w:t>
            </w:r>
          </w:p>
        </w:tc>
      </w:tr>
      <w:tr>
        <w:trPr>
          <w:trHeight w:val="4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r>
      <w:tr>
        <w:trPr>
          <w:trHeight w:val="4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1,323,390,053.02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-1,323,390,053.02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1,171,515,264.87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1,171,515,264.87</w:t>
            </w:r>
          </w:p>
        </w:tc>
      </w:tr>
      <w:tr>
        <w:trPr>
          <w:trHeight w:val="442"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321,723,313.03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151,874,788.15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473,598,101.18</w:t>
            </w:r>
          </w:p>
        </w:tc>
      </w:tr>
    </w:tbl>
    <w:p>
      <w:pPr>
        <w:widowControl w:val="0"/>
        <w:spacing w:after="31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95"/>
      <w:bookmarkEnd w:id="996"/>
      <w:bookmarkEnd w:id="998"/>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both"/>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00"/>
      <w:bookmarkEnd w:id="1002"/>
      <w:bookmarkEnd w:id="999"/>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3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4,000,033,909.38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4,000,033,909.38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6,193,221.28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6,193,221.28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340,819,332.24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340,819,332.24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7,038,877,340.76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6,995,705,365.66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391,954,244.02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391,954,244.02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1,801,675,988.15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1,801,675,988.15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183,110,885.61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183,110,885.61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9,198,835,216.66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9,198,835,216.66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203,640.19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203,640.19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393,791,821.14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393,791,821.14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23,355,495,599.43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23,355,495,599.43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3,771,033.79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3,771,033.79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1,135,055,094.45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1,135,055,094.45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27,085,995.00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27,085,995.00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171,886,206.38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171,886,206.38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152,024,086.54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152,024,086.54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730,146,171.91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730,146,171.91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2,450,600,309.82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2,450,600,309.82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931,286,825.05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931,286,825.05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11,045,015.60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11,045,015.60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357,748,473.68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357,748,473.68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90,317,630.76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90,317,630.76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6,065,406,842.98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6,065,406,842.98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29,420,902,442.41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29,420,902,442.41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9,691,753,164.15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9,691,753,164.15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22,085,412.30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22,085,412.30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3,558,687,083.68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3,558,687,083.68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5,825,871,423.34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5,825,871,423.34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1,323,390,053.02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-1,323,390,053.02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1,171,515,264.87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1,171,515,264.87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427,695,627.41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427,695,627.41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321,723,313.03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473,598,101.18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151,874,788.15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794,739,812.80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794,739,812.80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543,770,050.53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543,770,050.53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1,212,125.60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1,212,125.60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22,510,928,065.86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22,510,928,065.86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2,102,378,244.54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2,102,378,244.54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310,007,671.47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310,007,671.47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107,321,370.62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107,321,370.62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2,535,107,286.63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2,535,107,286.63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25,046,035,352.49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25,046,035,352.49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2,376,124,753.80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2,376,124,753.80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17,607,673.34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17,607,673.34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1,261,899,895.70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1,261,899,895.70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4,372,145,715.43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4,372,145,715.43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2,721,374.49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2,721,374.49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4,374,867,089.92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4,374,867,089.92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29,420,902,442.41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29,420,902,442.41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355" w:lineRule="exact"/>
        <w:ind w:left="0" w:right="0" w:firstLine="0"/>
        <w:jc w:val="left"/>
      </w:pPr>
      <w:r>
        <w:rPr>
          <w:color w:val="000000"/>
          <w:spacing w:val="0"/>
          <w:w w:val="100"/>
          <w:position w:val="0"/>
        </w:rPr>
        <w:t>调整情况说明 母公司资产负债表</w:t>
      </w:r>
      <w:r>
        <w:br w:type="page"/>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9,751,835.77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9,751,835.77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355,060,654.92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355,060,654.92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1,265,461,867.01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1,265,461,867.01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24,032,835.63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24,032,835.63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1,664,318,204.47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1,664,318,204.47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5,702,470,586.51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5,702,470,586.51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27,085,995.00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27,085,995.00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525,562.91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525,562.91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730,146,171.91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730,146,171.91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2,398,708,741.72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2,398,708,741.72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89,818,348.62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89,818,348.62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8,948,755,406.67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8,948,755,406.67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10,613,073,611.14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10,613,073,611.14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212,114,166.64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212,114,166.64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22,569,977.32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22,569,977.32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250,107.47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250,107.47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1,148,274,130.14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1,148,274,130.14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1,855,208,381.57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1,855,208,381.57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5,424,256,918.32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5,424,256,918.32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5,424,256,918.32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5,424,256,918.32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7,279,465,299.89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7,279,465,299.89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2,484,833,624.66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2,484,833,624.66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-7,553,734.57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-7,553,734.57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139,815,028.57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139,815,028.57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3,333,608,311.25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3,333,608,311.25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10,613,073,611.14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10,613,073,611.14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03"/>
      <w:bookmarkEnd w:id="1004"/>
      <w:bookmarkEnd w:id="1006"/>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六</w:t>
      </w:r>
      <w:bookmarkEnd w:id="1009"/>
      <w:r>
        <w:rPr>
          <w:color w:val="000000"/>
          <w:spacing w:val="0"/>
          <w:w w:val="100"/>
          <w:position w:val="0"/>
        </w:rPr>
        <w:t>、税项</w:t>
      </w:r>
      <w:bookmarkEnd w:id="1007"/>
      <w:bookmarkEnd w:id="1008"/>
      <w:bookmarkEnd w:id="1010"/>
    </w:p>
    <w:p>
      <w:pPr>
        <w:pStyle w:val="Style40"/>
        <w:keepNext/>
        <w:keepLines/>
        <w:widowControl w:val="0"/>
        <w:shd w:val="clear" w:color="auto" w:fill="auto"/>
        <w:bidi w:val="0"/>
        <w:spacing w:before="0" w:after="300" w:line="240" w:lineRule="auto"/>
        <w:ind w:left="0" w:right="0" w:firstLine="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1"/>
      <w:bookmarkEnd w:id="1012"/>
      <w:bookmarkEnd w:id="1013"/>
    </w:p>
    <w:tbl>
      <w:tblPr>
        <w:tblOverlap w:val="never"/>
        <w:jc w:val="center"/>
        <w:tblLayout w:type="fixed"/>
      </w:tblPr>
      <w:tblGrid>
        <w:gridCol w:w="1704"/>
        <w:gridCol w:w="3970"/>
        <w:gridCol w:w="391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应纳税额按应纳税销售额乘以适用 税率扣除当期允许抵扣的进项税后的余额计算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5674"/>
        <w:gridCol w:w="39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武汉神州数码云科网络技术有限公司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深圳神州数码电商服务有限公司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299" w:line="1" w:lineRule="exact"/>
      </w:pPr>
    </w:p>
    <w:p>
      <w:pPr>
        <w:pStyle w:val="Style40"/>
        <w:keepNext/>
        <w:keepLines/>
        <w:widowControl w:val="0"/>
        <w:shd w:val="clear" w:color="auto" w:fill="auto"/>
        <w:tabs>
          <w:tab w:pos="332" w:val="left"/>
        </w:tabs>
        <w:bidi w:val="0"/>
        <w:spacing w:before="0" w:after="30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w:t>
      </w:r>
      <w:bookmarkEnd w:id="1016"/>
      <w:r>
        <w:rPr>
          <w:color w:val="000000"/>
          <w:spacing w:val="0"/>
          <w:w w:val="100"/>
          <w:position w:val="0"/>
        </w:rPr>
        <w:t>、</w:t>
        <w:tab/>
        <w:t>税收优惠</w:t>
      </w:r>
      <w:bookmarkEnd w:id="1014"/>
      <w:bookmarkEnd w:id="1015"/>
      <w:bookmarkEnd w:id="1017"/>
    </w:p>
    <w:p>
      <w:pPr>
        <w:pStyle w:val="Style37"/>
        <w:keepNext w:val="0"/>
        <w:keepLines w:val="0"/>
        <w:widowControl w:val="0"/>
        <w:shd w:val="clear" w:color="auto" w:fill="auto"/>
        <w:tabs>
          <w:tab w:pos="840" w:val="left"/>
        </w:tabs>
        <w:bidi w:val="0"/>
        <w:spacing w:before="0" w:after="0" w:line="312" w:lineRule="exact"/>
        <w:ind w:left="0" w:right="0" w:firstLine="44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本公司之子公司神码中国、北京云科信息技术、上海云角，根据《财政部、国家税务总局关于软件产品增值税退税政策 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号，因神码中国、北京云科信息技术、上海云角软件产品符合该规定，于报告期享受增值税即征 即退的政策。</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本公司之子公司神码中国、北京神州数码有限公司（以下简称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），根据《财政部、国家税务总局关于将铁路 运输和邮政业纳入营业税改征增值税试点的通知》（财税</w:t>
      </w:r>
      <w:r>
        <w:rPr>
          <w:rFonts w:ascii="Times New Roman" w:eastAsia="Times New Roman" w:hAnsi="Times New Roman" w:cs="Times New Roman"/>
          <w:color w:val="000000"/>
          <w:spacing w:val="0"/>
          <w:w w:val="100"/>
          <w:position w:val="0"/>
          <w:sz w:val="18"/>
          <w:szCs w:val="18"/>
        </w:rPr>
        <w:t>[2013]106</w:t>
      </w:r>
      <w:r>
        <w:rPr>
          <w:color w:val="000000"/>
          <w:spacing w:val="0"/>
          <w:w w:val="100"/>
          <w:position w:val="0"/>
        </w:rPr>
        <w:t>号），技术转让、技术开发收入免征增值税。</w:t>
      </w:r>
    </w:p>
    <w:p>
      <w:pPr>
        <w:pStyle w:val="Style37"/>
        <w:keepNext w:val="0"/>
        <w:keepLines w:val="0"/>
        <w:widowControl w:val="0"/>
        <w:shd w:val="clear" w:color="auto" w:fill="auto"/>
        <w:tabs>
          <w:tab w:pos="840" w:val="left"/>
        </w:tabs>
        <w:bidi w:val="0"/>
        <w:spacing w:before="0" w:after="0" w:line="312" w:lineRule="exact"/>
        <w:ind w:left="0" w:right="0" w:firstLine="4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rPr>
        <w:t>本公司之子公司北京云科信息技术于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年申报通过高新技术企业资格认定，并于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年资 格复审合格。因此，北京云科信息技术作为国家需要重点扶持的高新技术企业在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rPr>
        <w:t>本公司之子公司上海云角于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日申报通过高新技术企业资格认定，于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日进行所得税优惠事项备 案，上海市闵行区国家税务局第一税务所于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日通过，并于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年资格复审合格。因此，上海云角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年度减按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rPr>
        <w:t>本公司之子公司武汉云科网络于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日申报通过高新技术企业资格认定，因此作为国家需要重点扶持的高新技 术企业。因此，武汉云科网络在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37"/>
        <w:keepNext w:val="0"/>
        <w:keepLines w:val="0"/>
        <w:widowControl w:val="0"/>
        <w:shd w:val="clear" w:color="auto" w:fill="auto"/>
        <w:bidi w:val="0"/>
        <w:spacing w:before="0" w:after="0" w:line="312" w:lineRule="exact"/>
        <w:ind w:left="0" w:right="0"/>
        <w:jc w:val="left"/>
      </w:pPr>
      <w:r>
        <w:rPr>
          <w:color w:val="000000"/>
          <w:spacing w:val="0"/>
          <w:w w:val="100"/>
          <w:position w:val="0"/>
        </w:rPr>
        <w:t>本公司之子公司深圳电商服务，根据深前海【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152</w:t>
      </w:r>
      <w:r>
        <w:rPr>
          <w:color w:val="000000"/>
          <w:spacing w:val="0"/>
          <w:w w:val="100"/>
          <w:position w:val="0"/>
        </w:rPr>
        <w:t>号文件《深圳前海深港现代服务业合作区企业所得税优惠产 业认定操作指引的通告》，因符合上述文件规定，深圳电商服务在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37"/>
        <w:keepNext w:val="0"/>
        <w:keepLines w:val="0"/>
        <w:widowControl w:val="0"/>
        <w:shd w:val="clear" w:color="auto" w:fill="auto"/>
        <w:bidi w:val="0"/>
        <w:spacing w:before="0" w:after="300" w:line="312" w:lineRule="exact"/>
        <w:ind w:left="0" w:right="0"/>
        <w:jc w:val="left"/>
      </w:pPr>
      <w:r>
        <w:rPr>
          <w:color w:val="000000"/>
          <w:spacing w:val="0"/>
          <w:w w:val="100"/>
          <w:position w:val="0"/>
        </w:rPr>
        <w:t>本公司之子公司神码西安，根据《财政部税务总局关于实施小微企业普惠性税收减免政策的通知》（财税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 规定，对小型微利企业年应纳税所得额不超过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 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的税率缴纳企业所得税。神码 西安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年适用上述规定，可根据应纳税所得额实际情况，自行适用相应减免优惠政策。</w:t>
      </w:r>
    </w:p>
    <w:p>
      <w:pPr>
        <w:pStyle w:val="Style40"/>
        <w:keepNext/>
        <w:keepLines/>
        <w:widowControl w:val="0"/>
        <w:shd w:val="clear" w:color="auto" w:fill="auto"/>
        <w:tabs>
          <w:tab w:pos="332" w:val="left"/>
        </w:tabs>
        <w:bidi w:val="0"/>
        <w:spacing w:before="0" w:after="300" w:line="312" w:lineRule="exact"/>
        <w:ind w:left="0" w:right="0" w:firstLine="0"/>
        <w:jc w:val="left"/>
        <w:rPr>
          <w:sz w:val="17"/>
          <w:szCs w:val="17"/>
        </w:rPr>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sz w:val="18"/>
          <w:szCs w:val="18"/>
        </w:rPr>
        <w:t>3</w:t>
      </w:r>
      <w:bookmarkEnd w:id="1022"/>
      <w:r>
        <w:rPr>
          <w:color w:val="000000"/>
          <w:spacing w:val="0"/>
          <w:w w:val="100"/>
          <w:position w:val="0"/>
          <w:sz w:val="17"/>
          <w:szCs w:val="17"/>
        </w:rPr>
        <w:t>、</w:t>
        <w:tab/>
        <w:t>其他</w:t>
      </w:r>
      <w:bookmarkEnd w:id="1020"/>
      <w:bookmarkEnd w:id="1021"/>
      <w:bookmarkEnd w:id="1023"/>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：根据财政部、国家税务总局、海关总署联合发布的《关于深化增值税改革有关政策的公告》（财政部税务总局海 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日起，纳税人发生增值税应税销售行为或者进口货物，将税率</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变更为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:神州数码澳门离岸商业服务有限公司（</w:t>
      </w:r>
      <w:r>
        <w:rPr>
          <w:rFonts w:ascii="Times New Roman" w:eastAsia="Times New Roman" w:hAnsi="Times New Roman" w:cs="Times New Roman"/>
          <w:color w:val="000000"/>
          <w:spacing w:val="0"/>
          <w:w w:val="100"/>
          <w:position w:val="0"/>
          <w:sz w:val="18"/>
          <w:szCs w:val="18"/>
        </w:rPr>
        <w:t>Digital China Macao Commercial Offshore Limited</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神码澳门离岸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由于满足中国澳门离岸业务法令规定的获许可在澳门地区营运的离岸机构规定，豁免从事离岸业务时获得收益的所得补充 税。</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神州数码澳门有限公司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Digital China Macau Company Limited</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神码澳门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）为澳门居民企业，其所得税适用 澳门税务法例，所得补充税税率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神州数码科技发展有限公司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Digital China Technology Limited</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神码科技发展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）、神州数码网络（香港）有 限公司（</w:t>
      </w:r>
      <w:r>
        <w:rPr>
          <w:rFonts w:ascii="Times New Roman" w:eastAsia="Times New Roman" w:hAnsi="Times New Roman" w:cs="Times New Roman"/>
          <w:color w:val="000000"/>
          <w:spacing w:val="0"/>
          <w:w w:val="100"/>
          <w:position w:val="0"/>
          <w:sz w:val="18"/>
          <w:szCs w:val="18"/>
        </w:rPr>
        <w:t>Digital China Networks （HK） Limited</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神码网络香港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）由于满足中国香港离岸业务法令规定的获许可在 </w:t>
      </w:r>
      <w:r>
        <w:rPr>
          <w:color w:val="000000"/>
          <w:spacing w:val="0"/>
          <w:w w:val="100"/>
          <w:position w:val="0"/>
        </w:rPr>
        <w:t>香港地区营运的离岸机构规定，豁免从事离岸业务时获得收益的利得税。</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神州数码（香港）有限公司（</w:t>
      </w:r>
      <w:r>
        <w:rPr>
          <w:rFonts w:ascii="Times New Roman" w:eastAsia="Times New Roman" w:hAnsi="Times New Roman" w:cs="Times New Roman"/>
          <w:color w:val="000000"/>
          <w:spacing w:val="0"/>
          <w:w w:val="100"/>
          <w:position w:val="0"/>
          <w:sz w:val="18"/>
          <w:szCs w:val="18"/>
        </w:rPr>
        <w:t>Digital China （HK） Limited</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）、神州数码数据服务（香港）有限公 司（</w:t>
      </w:r>
      <w:r>
        <w:rPr>
          <w:rFonts w:ascii="Times New Roman" w:eastAsia="Times New Roman" w:hAnsi="Times New Roman" w:cs="Times New Roman"/>
          <w:color w:val="000000"/>
          <w:spacing w:val="0"/>
          <w:w w:val="100"/>
          <w:position w:val="0"/>
          <w:sz w:val="18"/>
          <w:szCs w:val="18"/>
        </w:rPr>
        <w:t>Digital China Data Services （HK） Limited</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神码数据服务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）、神州数码云有限公司</w:t>
      </w:r>
      <w:r>
        <w:rPr>
          <w:color w:val="000000"/>
          <w:spacing w:val="0"/>
          <w:w w:val="100"/>
          <w:position w:val="0"/>
          <w:sz w:val="18"/>
          <w:szCs w:val="18"/>
        </w:rPr>
        <w:t>（Digital China Technology Services Limited，</w:t>
      </w:r>
      <w:r>
        <w:rPr>
          <w:color w:val="000000"/>
          <w:spacing w:val="0"/>
          <w:w w:val="100"/>
          <w:position w:val="0"/>
        </w:rPr>
        <w:t>以下简称“神州数码云”，原“神州数码科技服务有限公司”）、系统信息科技（香港）有限公司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Systems Information Technology （HK） Limited</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系统信息香港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）、上海云角信息技术（香港）有限公司为香港居民企业， 其所得税适用香港税务法例，按应纳税所得额的</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缴纳香港利得税。</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上海云角信息技术（美国）有限公司为注册于美国的公司，按应纳税所得额的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缴纳企业所得税。</w:t>
      </w:r>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Digital China Technology International （Sin） PTE LTD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Digital China Cloud Singapore Pte.Ltd</w:t>
      </w:r>
      <w:r>
        <w:rPr>
          <w:color w:val="000000"/>
          <w:spacing w:val="0"/>
          <w:w w:val="100"/>
          <w:position w:val="0"/>
        </w:rPr>
        <w:t>为注册于新加坡的公司，按应 纳税所得额的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缴纳企业所得税。</w:t>
      </w:r>
    </w:p>
    <w:p>
      <w:pPr>
        <w:pStyle w:val="Style28"/>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sz w:val="18"/>
          <w:szCs w:val="18"/>
        </w:rPr>
        <w:t>Digital China Technology （Malaysia） Sdn. Bhd</w:t>
      </w:r>
      <w:r>
        <w:rPr>
          <w:color w:val="000000"/>
          <w:spacing w:val="0"/>
          <w:w w:val="100"/>
          <w:position w:val="0"/>
        </w:rPr>
        <w:t>为注册于马来西亚的公司，按应纳税所得额的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缴纳企业所得税。</w:t>
      </w:r>
    </w:p>
    <w:p>
      <w:pPr>
        <w:pStyle w:val="Style32"/>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七</w:t>
      </w:r>
      <w:bookmarkEnd w:id="1026"/>
      <w:r>
        <w:rPr>
          <w:color w:val="000000"/>
          <w:spacing w:val="0"/>
          <w:w w:val="100"/>
          <w:position w:val="0"/>
        </w:rPr>
        <w:t>、合并财务报表项目注释</w:t>
      </w:r>
      <w:bookmarkEnd w:id="1024"/>
      <w:bookmarkEnd w:id="1025"/>
      <w:bookmarkEnd w:id="1027"/>
    </w:p>
    <w:p>
      <w:pPr>
        <w:pStyle w:val="Style40"/>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8"/>
      <w:bookmarkEnd w:id="1029"/>
      <w:bookmarkEnd w:id="103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24,577.31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3,607,805,527.74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3,374,316,265.39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489,773,257.23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625,693,066.68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4,097,592,432.58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4,000,033,909.38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396,965,553.51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612,083,522.25</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759,541,529.50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924,758,227.87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310" w:lineRule="exact"/>
        <w:ind w:left="0" w:right="0" w:firstLine="320"/>
        <w:jc w:val="both"/>
      </w:pPr>
      <w:r>
        <w:rPr>
          <w:color w:val="000000"/>
          <w:spacing w:val="0"/>
          <w:w w:val="100"/>
          <w:position w:val="0"/>
        </w:rPr>
        <w:t>本报告期末银行存款余额中包括因未决诉讼被冻结的资金</w:t>
      </w:r>
      <w:r>
        <w:rPr>
          <w:rFonts w:ascii="Times New Roman" w:eastAsia="Times New Roman" w:hAnsi="Times New Roman" w:cs="Times New Roman"/>
          <w:color w:val="000000"/>
          <w:spacing w:val="0"/>
          <w:w w:val="100"/>
          <w:position w:val="0"/>
          <w:sz w:val="18"/>
          <w:szCs w:val="18"/>
        </w:rPr>
        <w:t>29,930,893.30</w:t>
      </w:r>
      <w:r>
        <w:rPr>
          <w:color w:val="000000"/>
          <w:spacing w:val="0"/>
          <w:w w:val="100"/>
          <w:position w:val="0"/>
        </w:rPr>
        <w:t>元，受限制定期存款</w:t>
      </w:r>
      <w:r>
        <w:rPr>
          <w:rFonts w:ascii="Times New Roman" w:eastAsia="Times New Roman" w:hAnsi="Times New Roman" w:cs="Times New Roman"/>
          <w:color w:val="000000"/>
          <w:spacing w:val="0"/>
          <w:w w:val="100"/>
          <w:position w:val="0"/>
          <w:sz w:val="18"/>
          <w:szCs w:val="18"/>
        </w:rPr>
        <w:t>240,000,000.00</w:t>
      </w:r>
      <w:r>
        <w:rPr>
          <w:color w:val="000000"/>
          <w:spacing w:val="0"/>
          <w:w w:val="100"/>
          <w:position w:val="0"/>
        </w:rPr>
        <w:t>元，其中因开 立信用证受限制定期存款</w:t>
      </w:r>
      <w:r>
        <w:rPr>
          <w:rFonts w:ascii="Times New Roman" w:eastAsia="Times New Roman" w:hAnsi="Times New Roman" w:cs="Times New Roman"/>
          <w:color w:val="000000"/>
          <w:spacing w:val="0"/>
          <w:w w:val="100"/>
          <w:position w:val="0"/>
          <w:sz w:val="18"/>
          <w:szCs w:val="18"/>
        </w:rPr>
        <w:t>80,000,000.00</w:t>
      </w:r>
      <w:r>
        <w:rPr>
          <w:color w:val="000000"/>
          <w:spacing w:val="0"/>
          <w:w w:val="100"/>
          <w:position w:val="0"/>
        </w:rPr>
        <w:t>元，因开立保函受限制定期存款</w:t>
      </w:r>
      <w:r>
        <w:rPr>
          <w:rFonts w:ascii="Times New Roman" w:eastAsia="Times New Roman" w:hAnsi="Times New Roman" w:cs="Times New Roman"/>
          <w:color w:val="000000"/>
          <w:spacing w:val="0"/>
          <w:w w:val="100"/>
          <w:position w:val="0"/>
          <w:sz w:val="18"/>
          <w:szCs w:val="18"/>
        </w:rPr>
        <w:t>160,000,000.00</w:t>
      </w:r>
      <w:r>
        <w:rPr>
          <w:color w:val="000000"/>
          <w:spacing w:val="0"/>
          <w:w w:val="100"/>
          <w:position w:val="0"/>
        </w:rPr>
        <w:t xml:space="preserve">元，信贷资金监管账户存款受限余额 </w:t>
      </w:r>
      <w:r>
        <w:rPr>
          <w:rFonts w:ascii="Times New Roman" w:eastAsia="Times New Roman" w:hAnsi="Times New Roman" w:cs="Times New Roman"/>
          <w:color w:val="000000"/>
          <w:spacing w:val="0"/>
          <w:w w:val="100"/>
          <w:position w:val="0"/>
          <w:sz w:val="18"/>
          <w:szCs w:val="18"/>
        </w:rPr>
        <w:t xml:space="preserve">4,409.15 </w:t>
      </w:r>
      <w:r>
        <w:rPr>
          <w:color w:val="000000"/>
          <w:spacing w:val="0"/>
          <w:w w:val="100"/>
          <w:position w:val="0"/>
        </w:rPr>
        <w:t>元；</w:t>
      </w:r>
    </w:p>
    <w:p>
      <w:pPr>
        <w:pStyle w:val="Style28"/>
        <w:keepNext w:val="0"/>
        <w:keepLines w:val="0"/>
        <w:widowControl w:val="0"/>
        <w:shd w:val="clear" w:color="auto" w:fill="auto"/>
        <w:bidi w:val="0"/>
        <w:spacing w:before="0" w:after="0" w:line="310" w:lineRule="exact"/>
        <w:ind w:left="0" w:right="0" w:firstLine="320"/>
        <w:jc w:val="left"/>
      </w:pPr>
      <w:r>
        <w:rPr>
          <w:color w:val="000000"/>
          <w:spacing w:val="0"/>
          <w:w w:val="100"/>
          <w:position w:val="0"/>
        </w:rPr>
        <w:t>本报告期末其他货币资金余额中包括受限金额</w:t>
      </w:r>
      <w:r>
        <w:rPr>
          <w:rFonts w:ascii="Times New Roman" w:eastAsia="Times New Roman" w:hAnsi="Times New Roman" w:cs="Times New Roman"/>
          <w:color w:val="000000"/>
          <w:spacing w:val="0"/>
          <w:w w:val="100"/>
          <w:position w:val="0"/>
          <w:sz w:val="18"/>
          <w:szCs w:val="18"/>
        </w:rPr>
        <w:t>489,606,227.05</w:t>
      </w:r>
      <w:r>
        <w:rPr>
          <w:color w:val="000000"/>
          <w:spacing w:val="0"/>
          <w:w w:val="100"/>
          <w:position w:val="0"/>
        </w:rPr>
        <w:t>元，其中，保函保证金</w:t>
      </w:r>
      <w:r>
        <w:rPr>
          <w:rFonts w:ascii="Times New Roman" w:eastAsia="Times New Roman" w:hAnsi="Times New Roman" w:cs="Times New Roman"/>
          <w:color w:val="000000"/>
          <w:spacing w:val="0"/>
          <w:w w:val="100"/>
          <w:position w:val="0"/>
          <w:sz w:val="18"/>
          <w:szCs w:val="18"/>
        </w:rPr>
        <w:t>217,549,550.80</w:t>
      </w:r>
      <w:r>
        <w:rPr>
          <w:color w:val="000000"/>
          <w:spacing w:val="0"/>
          <w:w w:val="100"/>
          <w:position w:val="0"/>
        </w:rPr>
        <w:t xml:space="preserve">元，信用证保证金 </w:t>
      </w:r>
      <w:r>
        <w:rPr>
          <w:rFonts w:ascii="Times New Roman" w:eastAsia="Times New Roman" w:hAnsi="Times New Roman" w:cs="Times New Roman"/>
          <w:color w:val="000000"/>
          <w:spacing w:val="0"/>
          <w:w w:val="100"/>
          <w:position w:val="0"/>
          <w:sz w:val="18"/>
          <w:szCs w:val="18"/>
        </w:rPr>
        <w:t>244,629,444.65</w:t>
      </w:r>
      <w:r>
        <w:rPr>
          <w:color w:val="000000"/>
          <w:spacing w:val="0"/>
          <w:w w:val="100"/>
          <w:position w:val="0"/>
        </w:rPr>
        <w:t>元，银行承兑汇票保证金</w:t>
      </w:r>
      <w:r>
        <w:rPr>
          <w:rFonts w:ascii="Times New Roman" w:eastAsia="Times New Roman" w:hAnsi="Times New Roman" w:cs="Times New Roman"/>
          <w:color w:val="000000"/>
          <w:spacing w:val="0"/>
          <w:w w:val="100"/>
          <w:position w:val="0"/>
          <w:sz w:val="18"/>
          <w:szCs w:val="18"/>
        </w:rPr>
        <w:t>27,427,231.6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元；包括非受限金额</w:t>
      </w:r>
      <w:r>
        <w:rPr>
          <w:rFonts w:ascii="Times New Roman" w:eastAsia="Times New Roman" w:hAnsi="Times New Roman" w:cs="Times New Roman"/>
          <w:color w:val="000000"/>
          <w:spacing w:val="0"/>
          <w:w w:val="100"/>
          <w:position w:val="0"/>
          <w:sz w:val="18"/>
          <w:szCs w:val="18"/>
        </w:rPr>
        <w:t>167,030.18</w:t>
      </w:r>
      <w:r>
        <w:rPr>
          <w:color w:val="000000"/>
          <w:spacing w:val="0"/>
          <w:w w:val="100"/>
          <w:position w:val="0"/>
        </w:rPr>
        <w:t>元，其中支付宝余额</w:t>
      </w:r>
      <w:r>
        <w:rPr>
          <w:rFonts w:ascii="Times New Roman" w:eastAsia="Times New Roman" w:hAnsi="Times New Roman" w:cs="Times New Roman"/>
          <w:color w:val="000000"/>
          <w:spacing w:val="0"/>
          <w:w w:val="100"/>
          <w:position w:val="0"/>
          <w:sz w:val="18"/>
          <w:szCs w:val="18"/>
        </w:rPr>
        <w:t>149,337.4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Paypal </w:t>
      </w:r>
      <w:r>
        <w:rPr>
          <w:color w:val="000000"/>
          <w:spacing w:val="0"/>
          <w:w w:val="100"/>
          <w:position w:val="0"/>
        </w:rPr>
        <w:t xml:space="preserve">余额 </w:t>
      </w:r>
      <w:r>
        <w:rPr>
          <w:rFonts w:ascii="Times New Roman" w:eastAsia="Times New Roman" w:hAnsi="Times New Roman" w:cs="Times New Roman"/>
          <w:color w:val="000000"/>
          <w:spacing w:val="0"/>
          <w:w w:val="100"/>
          <w:position w:val="0"/>
          <w:sz w:val="18"/>
          <w:szCs w:val="18"/>
        </w:rPr>
        <w:t>17,692.77</w:t>
      </w:r>
      <w:r>
        <w:rPr>
          <w:color w:val="000000"/>
          <w:spacing w:val="0"/>
          <w:w w:val="100"/>
          <w:position w:val="0"/>
        </w:rPr>
        <w:t>元。</w:t>
      </w:r>
    </w:p>
    <w:p>
      <w:pPr>
        <w:pStyle w:val="Style37"/>
        <w:keepNext w:val="0"/>
        <w:keepLines w:val="0"/>
        <w:widowControl w:val="0"/>
        <w:shd w:val="clear" w:color="auto" w:fill="auto"/>
        <w:bidi w:val="0"/>
        <w:spacing w:before="0" w:after="940" w:line="310" w:lineRule="exact"/>
        <w:ind w:left="0" w:right="0" w:firstLine="320"/>
        <w:jc w:val="both"/>
      </w:pPr>
      <w:r>
        <w:rPr>
          <w:color w:val="000000"/>
          <w:spacing w:val="0"/>
          <w:w w:val="100"/>
          <w:position w:val="0"/>
        </w:rPr>
        <w:t>现金流量表中的现金及现金等价物，不包括上述受限资金。</w:t>
      </w:r>
    </w:p>
    <w:p>
      <w:pPr>
        <w:pStyle w:val="Style40"/>
        <w:keepNext/>
        <w:keepLines/>
        <w:widowControl w:val="0"/>
        <w:shd w:val="clear" w:color="auto" w:fill="auto"/>
        <w:bidi w:val="0"/>
        <w:spacing w:before="0" w:line="240" w:lineRule="auto"/>
        <w:ind w:left="0" w:right="0" w:firstLine="0"/>
        <w:jc w:val="both"/>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31"/>
      <w:bookmarkEnd w:id="1032"/>
      <w:bookmarkEnd w:id="1033"/>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981"/>
        <w:gridCol w:w="249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6,193,221.28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2981"/>
        <w:gridCol w:w="2491"/>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6,193,221.28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6,193,221.28</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color w:val="000000"/>
          <w:spacing w:val="0"/>
          <w:w w:val="100"/>
          <w:position w:val="0"/>
        </w:rPr>
        <w:t>、应收票据</w:t>
      </w:r>
      <w:bookmarkEnd w:id="1034"/>
      <w:bookmarkEnd w:id="1035"/>
      <w:bookmarkEnd w:id="1037"/>
    </w:p>
    <w:p>
      <w:pPr>
        <w:pStyle w:val="Style47"/>
        <w:keepNext/>
        <w:keepLines/>
        <w:widowControl w:val="0"/>
        <w:numPr>
          <w:ilvl w:val="0"/>
          <w:numId w:val="15"/>
        </w:numPr>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应收票据分类列示</w:t>
      </w:r>
      <w:bookmarkEnd w:id="1038"/>
      <w:bookmarkEnd w:id="1039"/>
      <w:bookmarkEnd w:id="1041"/>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299,451,142.72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340,819,332.24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299,451,142.72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340,819,332.24</w:t>
            </w:r>
          </w:p>
        </w:tc>
      </w:tr>
    </w:tbl>
    <w:p>
      <w:pPr>
        <w:widowControl w:val="0"/>
        <w:spacing w:after="79" w:line="1" w:lineRule="exact"/>
      </w:pP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8"/>
        <w:gridCol w:w="758"/>
        <w:gridCol w:w="763"/>
        <w:gridCol w:w="758"/>
        <w:gridCol w:w="797"/>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302,475,</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3,024,75</w:t>
            </w:r>
          </w:p>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299,451,1</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344,261,9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3,442,619.5</w:t>
            </w:r>
          </w:p>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340,819,3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302,475,</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3,024,75</w:t>
            </w:r>
          </w:p>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299,451,1</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344,261,9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3,442,619.5</w:t>
            </w:r>
          </w:p>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340,819,3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302,475,</w:t>
            </w:r>
          </w:p>
          <w:p>
            <w:pPr>
              <w:pStyle w:val="Style2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901.74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3,024,75</w:t>
            </w:r>
          </w:p>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299,451,1</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344,261,9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3,442,619.5</w:t>
            </w:r>
          </w:p>
          <w:p>
            <w:pPr>
              <w:pStyle w:val="Style2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340,819,3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w:t>
            </w:r>
          </w:p>
        </w:tc>
      </w:tr>
    </w:tbl>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3,024,759.02</w:t>
      </w:r>
    </w:p>
    <w:p>
      <w:pPr>
        <w:widowControl w:val="0"/>
        <w:spacing w:after="139" w:line="1" w:lineRule="exact"/>
      </w:pP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302,475,901.74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3,024,759.02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302,475,901.74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3,024,759.02</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numPr>
          <w:ilvl w:val="0"/>
          <w:numId w:val="15"/>
        </w:numPr>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本期计提、收回或转回的坏账准备情况</w:t>
      </w:r>
      <w:bookmarkEnd w:id="1042"/>
      <w:bookmarkEnd w:id="1043"/>
      <w:bookmarkEnd w:id="1045"/>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3,442,619.52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-417,860.50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3,024,759.02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3,442,619.52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-417,860.50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3,024,759.02</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7"/>
        <w:keepNext/>
        <w:keepLines/>
        <w:widowControl w:val="0"/>
        <w:numPr>
          <w:ilvl w:val="0"/>
          <w:numId w:val="15"/>
        </w:numPr>
        <w:shd w:val="clear" w:color="auto" w:fill="auto"/>
        <w:bidi w:val="0"/>
        <w:spacing w:before="0" w:after="400" w:line="240" w:lineRule="auto"/>
        <w:ind w:left="0" w:right="0" w:firstLine="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期末公司已背书或贴现且在资产负债表日尚未到期的应收票据</w:t>
      </w:r>
      <w:bookmarkEnd w:id="1046"/>
      <w:bookmarkEnd w:id="1047"/>
      <w:bookmarkEnd w:id="1049"/>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10,540,790.40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10,540,790.40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5"/>
          <w:footerReference w:type="default" r:id="rId26"/>
          <w:footnotePr>
            <w:pos w:val="pageBottom"/>
            <w:numFmt w:val="decimal"/>
            <w:numRestart w:val="continuous"/>
          </w:footnotePr>
          <w:pgSz w:w="11900" w:h="16840"/>
          <w:pgMar w:top="1378" w:right="1034" w:bottom="1455" w:left="1080" w:header="0" w:footer="3" w:gutter="0"/>
          <w:cols w:space="720"/>
          <w:noEndnote/>
          <w:rtlGutter w:val="0"/>
          <w:docGrid w:linePitch="360"/>
        </w:sectPr>
      </w:pPr>
    </w:p>
    <w:p>
      <w:pPr>
        <w:pStyle w:val="Style40"/>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w:t>
      </w:r>
      <w:bookmarkEnd w:id="1052"/>
      <w:r>
        <w:rPr>
          <w:color w:val="000000"/>
          <w:spacing w:val="0"/>
          <w:w w:val="100"/>
          <w:position w:val="0"/>
        </w:rPr>
        <w:t>、应收账款</w:t>
      </w:r>
      <w:bookmarkEnd w:id="1050"/>
      <w:bookmarkEnd w:id="1051"/>
      <w:bookmarkEnd w:id="1053"/>
    </w:p>
    <w:p>
      <w:pPr>
        <w:pStyle w:val="Style47"/>
        <w:keepNext/>
        <w:keepLines/>
        <w:widowControl w:val="0"/>
        <w:numPr>
          <w:ilvl w:val="0"/>
          <w:numId w:val="17"/>
        </w:numPr>
        <w:shd w:val="clear" w:color="auto" w:fill="auto"/>
        <w:bidi w:val="0"/>
        <w:spacing w:before="0" w:after="360" w:line="240" w:lineRule="auto"/>
        <w:ind w:left="0" w:right="0" w:firstLine="1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应收账款分类披露</w:t>
      </w:r>
      <w:bookmarkEnd w:id="1054"/>
      <w:bookmarkEnd w:id="1055"/>
      <w:bookmarkEnd w:id="1057"/>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2285"/>
        <w:gridCol w:w="1315"/>
        <w:gridCol w:w="1003"/>
        <w:gridCol w:w="1181"/>
        <w:gridCol w:w="1003"/>
        <w:gridCol w:w="1315"/>
        <w:gridCol w:w="1320"/>
        <w:gridCol w:w="1056"/>
        <w:gridCol w:w="1181"/>
        <w:gridCol w:w="1046"/>
        <w:gridCol w:w="13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7,992,603,420.17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536,379,926.79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7,456,223,493.38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7,452,195,171.15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456,489,805.49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6,995,705,365.66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7,992,603,420.17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536,379,926.79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7,456,223,493.38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7,452,195,171.15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456,489,805.49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6,995,705,365.66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7,992,603,420.17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536,379,926.79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7,456,223,493.38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7,452,195,171.15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456,489,805.49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6,995,705,365.66</w:t>
            </w:r>
          </w:p>
        </w:tc>
      </w:tr>
    </w:tbl>
    <w:p>
      <w:pPr>
        <w:pStyle w:val="Style35"/>
        <w:keepNext w:val="0"/>
        <w:keepLines w:val="0"/>
        <w:widowControl w:val="0"/>
        <w:shd w:val="clear" w:color="auto" w:fill="auto"/>
        <w:bidi w:val="0"/>
        <w:spacing w:before="0" w:after="0" w:line="240" w:lineRule="auto"/>
        <w:ind w:left="14"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536,375,021.13</w:t>
      </w:r>
    </w:p>
    <w:p>
      <w:pPr>
        <w:widowControl w:val="0"/>
        <w:spacing w:after="119" w:line="1" w:lineRule="exact"/>
      </w:pPr>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3509"/>
        <w:gridCol w:w="3504"/>
        <w:gridCol w:w="3504"/>
        <w:gridCol w:w="35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127,651,190.87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127,651,190.87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17,070,865.00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17,070,865.00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14,501,809.00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14,501,809.00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13,319,380.00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13,319,380.00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11,632,594.40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11,632,594.40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10,475,000.00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10,475,000.00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8,345,738.60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8,345,738.60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509"/>
        <w:gridCol w:w="3504"/>
        <w:gridCol w:w="3504"/>
        <w:gridCol w:w="3514"/>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7,818,571.95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7,818,571.95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7,622,285.80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7,622,285.80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7,403,025.00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7,403,025.00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7,087,750.87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7,087,750.87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6,993,478.23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6,993,478.23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6,765,610.00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6,765,610.00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4,820,400.00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4,820,400.00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客户十九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3,794,682.02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3,794,682.02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219,342,686.74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104,526,981.41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72,862,037.30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728,620.37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43,217,022.57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4,321,702.26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91-180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3,226,788.74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1,290,715.53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181-270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4,579,106.67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2,747,464.00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271-360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96,261.05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77,008.84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天及以上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95,361,470.41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95,361,470.41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III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7,645,609,542.56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304,201,754.51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6,612,684,776.69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66,126,847.77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584,978,327.69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11,699,566.55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91-180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150,010,905.22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15,001,090.52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181-270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73,381,861.44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22,014,558.43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271-360</w:t>
            </w:r>
            <w:r>
              <w:rPr>
                <w:color w:val="000000"/>
                <w:spacing w:val="0"/>
                <w:w w:val="100"/>
                <w:position w:val="0"/>
              </w:rPr>
              <w:t>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26,522,726.84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13,261,363.43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3509"/>
        <w:gridCol w:w="3504"/>
        <w:gridCol w:w="3504"/>
        <w:gridCol w:w="3514"/>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361-720</w:t>
            </w:r>
            <w:r>
              <w:rPr>
                <w:color w:val="000000"/>
                <w:spacing w:val="0"/>
                <w:w w:val="100"/>
                <w:position w:val="0"/>
              </w:rPr>
              <w:t>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73,108,722.89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51,176,106.02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超期</w:t>
            </w:r>
            <w:r>
              <w:rPr>
                <w:rFonts w:ascii="Times New Roman" w:eastAsia="Times New Roman" w:hAnsi="Times New Roman" w:cs="Times New Roman"/>
                <w:color w:val="000000"/>
                <w:spacing w:val="0"/>
                <w:w w:val="100"/>
                <w:position w:val="0"/>
                <w:sz w:val="18"/>
                <w:szCs w:val="18"/>
              </w:rPr>
              <w:t>721</w:t>
            </w:r>
            <w:r>
              <w:rPr>
                <w:color w:val="000000"/>
                <w:spacing w:val="0"/>
                <w:w w:val="100"/>
                <w:position w:val="0"/>
              </w:rPr>
              <w:t>天及以上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124,922,221.79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124,922,221.79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7,992,603,420.17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536,379,926.79</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7"/>
          <w:footerReference w:type="default" r:id="rId28"/>
          <w:footnotePr>
            <w:pos w:val="pageBottom"/>
            <w:numFmt w:val="decimal"/>
            <w:numRestart w:val="continuous"/>
          </w:footnotePr>
          <w:pgSz w:w="16840" w:h="11900" w:orient="landscape"/>
          <w:pgMar w:top="1125" w:right="1402" w:bottom="1253" w:left="1407" w:header="0" w:footer="3" w:gutter="0"/>
          <w:cols w:space="720"/>
          <w:noEndnote/>
          <w:rtlGutter w:val="0"/>
          <w:docGrid w:linePitch="360"/>
        </w:sectPr>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58"/>
        <w:gridCol w:w="485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7,644,492,192.05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144,857,275.37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69,524,072.14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133,729,880.61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30,633,017.14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12,251,827.78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90,845,035.69</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7,992,603,420.17</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8"/>
      <w:bookmarkEnd w:id="1059"/>
      <w:bookmarkEnd w:id="1061"/>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92"/>
        <w:gridCol w:w="1387"/>
        <w:gridCol w:w="1382"/>
        <w:gridCol w:w="1382"/>
        <w:gridCol w:w="1387"/>
        <w:gridCol w:w="1382"/>
        <w:gridCol w:w="1397"/>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456,489,805.49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86,483,010.93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6,045,655.64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-547,233.99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536,379,926.79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456,489,805.49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86,483,010.93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6,045,655.64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-547,233.99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536,379,926.79</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140"/>
        <w:jc w:val="left"/>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62"/>
      <w:bookmarkEnd w:id="1063"/>
      <w:bookmarkEnd w:id="1065"/>
    </w:p>
    <w:p>
      <w:pPr>
        <w:pStyle w:val="Style3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6,045,655.64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998"/>
        <w:gridCol w:w="1277"/>
        <w:gridCol w:w="1133"/>
        <w:gridCol w:w="2549"/>
        <w:gridCol w:w="2414"/>
        <w:gridCol w:w="121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1,972,232.00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诉讼案件胜诉，但客户无可执行 财产，应收账款形成实际损失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核销申请由事业部提出，经风 险管理部、财务部审批后进行 账务处理并进行备案登记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1,191,511.68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诉讼案件胜诉，但客户无可执行 财产，应收账款形成实际损失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核销申请由事业部提出，经风 险管理部、财务部审批后进行 账务处理并进行备案登记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1,294,650.00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诉讼案件胜诉，但客户无可执行 财产，应收账款形成实际损失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核销申请由事业部提出，经风 险管理部、财务部审批后进行</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98"/>
        <w:gridCol w:w="1277"/>
        <w:gridCol w:w="1133"/>
        <w:gridCol w:w="2549"/>
        <w:gridCol w:w="2414"/>
        <w:gridCol w:w="121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账务处理并进行备案登记</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4,458,393.68</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7"/>
        <w:keepNext/>
        <w:keepLines/>
        <w:widowControl w:val="0"/>
        <w:numPr>
          <w:ilvl w:val="0"/>
          <w:numId w:val="15"/>
        </w:numPr>
        <w:shd w:val="clear" w:color="auto" w:fill="auto"/>
        <w:bidi w:val="0"/>
        <w:spacing w:before="0" w:line="240" w:lineRule="auto"/>
        <w:ind w:left="0" w:right="0" w:firstLine="14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按欠款方归集的期末余额前五名的应收账款情况</w:t>
      </w:r>
      <w:bookmarkEnd w:id="1066"/>
      <w:bookmarkEnd w:id="1067"/>
      <w:bookmarkEnd w:id="1069"/>
    </w:p>
    <w:p>
      <w:pPr>
        <w:pStyle w:val="Style37"/>
        <w:keepNext w:val="0"/>
        <w:keepLines w:val="0"/>
        <w:widowControl w:val="0"/>
        <w:shd w:val="clear" w:color="auto" w:fill="auto"/>
        <w:bidi w:val="0"/>
        <w:spacing w:before="0" w:after="80" w:line="240" w:lineRule="auto"/>
        <w:ind w:left="8940" w:right="0" w:firstLine="0"/>
        <w:jc w:val="left"/>
      </w:pPr>
      <w:bookmarkStart w:id="1070" w:name="bookmark1070"/>
      <w:r>
        <w:rPr>
          <w:color w:val="000000"/>
          <w:spacing w:val="0"/>
          <w:w w:val="100"/>
          <w:position w:val="0"/>
        </w:rPr>
        <w:t>单</w:t>
      </w:r>
      <w:bookmarkEnd w:id="1070"/>
      <w:r>
        <w:rPr>
          <w:color w:val="000000"/>
          <w:spacing w:val="0"/>
          <w:w w:val="100"/>
          <w:position w:val="0"/>
        </w:rPr>
        <w:t>位：元</w:t>
      </w:r>
    </w:p>
    <w:tbl>
      <w:tblPr>
        <w:tblOverlap w:val="never"/>
        <w:jc w:val="center"/>
        <w:tblLayout w:type="fixed"/>
      </w:tblPr>
      <w:tblGrid>
        <w:gridCol w:w="1987"/>
        <w:gridCol w:w="2530"/>
        <w:gridCol w:w="2525"/>
        <w:gridCol w:w="2539"/>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358,652,727.62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3,586,527.28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260,257,002.29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4,073,717.51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158,092,184.91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1,580,921.85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129,995,836.00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1,299,958.36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113,130,299.47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1,131,302.99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1,020,128,050.29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7"/>
        <w:keepNext/>
        <w:keepLines/>
        <w:widowControl w:val="0"/>
        <w:numPr>
          <w:ilvl w:val="0"/>
          <w:numId w:val="15"/>
        </w:numPr>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因金融资产转移而终止确认的应收账款</w:t>
      </w:r>
      <w:bookmarkEnd w:id="1071"/>
      <w:bookmarkEnd w:id="1072"/>
      <w:bookmarkEnd w:id="1074"/>
    </w:p>
    <w:p>
      <w:pPr>
        <w:pStyle w:val="Style37"/>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日，本集团因无追索权保理服务而终止确认的应收账款金额为</w:t>
      </w:r>
      <w:r>
        <w:rPr>
          <w:rFonts w:ascii="Times New Roman" w:eastAsia="Times New Roman" w:hAnsi="Times New Roman" w:cs="Times New Roman"/>
          <w:color w:val="000000"/>
          <w:spacing w:val="0"/>
          <w:w w:val="100"/>
          <w:position w:val="0"/>
          <w:sz w:val="18"/>
          <w:szCs w:val="18"/>
        </w:rPr>
        <w:t>1,907,481,792.57</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5</w:t>
      </w:r>
      <w:bookmarkEnd w:id="1077"/>
      <w:r>
        <w:rPr>
          <w:color w:val="000000"/>
          <w:spacing w:val="0"/>
          <w:w w:val="100"/>
          <w:position w:val="0"/>
        </w:rPr>
        <w:t>、应收款项融资</w:t>
      </w:r>
      <w:bookmarkEnd w:id="1075"/>
      <w:bookmarkEnd w:id="1076"/>
      <w:bookmarkEnd w:id="107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370,298,196.37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391,954,244.02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370,298,196.37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391,954,244.02</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应收款项融资本期增减变动及公允价值变动情况</w:t>
      </w:r>
    </w:p>
    <w:p>
      <w:pPr>
        <w:pStyle w:val="Style3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应收银行承兑汇票期初票面金额</w:t>
      </w:r>
      <w:r>
        <w:rPr>
          <w:rFonts w:ascii="Times New Roman" w:eastAsia="Times New Roman" w:hAnsi="Times New Roman" w:cs="Times New Roman"/>
          <w:color w:val="000000"/>
          <w:spacing w:val="0"/>
          <w:w w:val="100"/>
          <w:position w:val="0"/>
          <w:sz w:val="18"/>
          <w:szCs w:val="18"/>
        </w:rPr>
        <w:t>396,841,704.81</w:t>
      </w:r>
      <w:r>
        <w:rPr>
          <w:color w:val="000000"/>
          <w:spacing w:val="0"/>
          <w:w w:val="100"/>
          <w:position w:val="0"/>
        </w:rPr>
        <w:t>元，公允价值</w:t>
      </w:r>
      <w:r>
        <w:rPr>
          <w:rFonts w:ascii="Times New Roman" w:eastAsia="Times New Roman" w:hAnsi="Times New Roman" w:cs="Times New Roman"/>
          <w:color w:val="000000"/>
          <w:spacing w:val="0"/>
          <w:w w:val="100"/>
          <w:position w:val="0"/>
          <w:sz w:val="18"/>
          <w:szCs w:val="18"/>
        </w:rPr>
        <w:t>391,954,244.02</w:t>
      </w:r>
      <w:r>
        <w:rPr>
          <w:color w:val="000000"/>
          <w:spacing w:val="0"/>
          <w:w w:val="100"/>
          <w:position w:val="0"/>
        </w:rPr>
        <w:t>元；期末票面金额</w:t>
      </w:r>
      <w:r>
        <w:rPr>
          <w:rFonts w:ascii="Times New Roman" w:eastAsia="Times New Roman" w:hAnsi="Times New Roman" w:cs="Times New Roman"/>
          <w:color w:val="000000"/>
          <w:spacing w:val="0"/>
          <w:w w:val="100"/>
          <w:position w:val="0"/>
          <w:sz w:val="18"/>
          <w:szCs w:val="18"/>
        </w:rPr>
        <w:t>374,339,887.69</w:t>
      </w:r>
      <w:r>
        <w:rPr>
          <w:color w:val="000000"/>
          <w:spacing w:val="0"/>
          <w:w w:val="100"/>
          <w:position w:val="0"/>
        </w:rPr>
        <w:t>元，公允价 值</w:t>
      </w:r>
      <w:r>
        <w:rPr>
          <w:rFonts w:ascii="Times New Roman" w:eastAsia="Times New Roman" w:hAnsi="Times New Roman" w:cs="Times New Roman"/>
          <w:color w:val="000000"/>
          <w:spacing w:val="0"/>
          <w:w w:val="100"/>
          <w:position w:val="0"/>
          <w:sz w:val="18"/>
          <w:szCs w:val="18"/>
        </w:rPr>
        <w:t>370,298,196.37</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6</w:t>
      </w:r>
      <w:bookmarkEnd w:id="1081"/>
      <w:r>
        <w:rPr>
          <w:color w:val="000000"/>
          <w:spacing w:val="0"/>
          <w:w w:val="100"/>
          <w:position w:val="0"/>
        </w:rPr>
        <w:t>、预付款项</w:t>
      </w:r>
      <w:bookmarkEnd w:id="1079"/>
      <w:bookmarkEnd w:id="1080"/>
      <w:bookmarkEnd w:id="1082"/>
    </w:p>
    <w:p>
      <w:pPr>
        <w:pStyle w:val="Style47"/>
        <w:keepNext/>
        <w:keepLines/>
        <w:widowControl w:val="0"/>
        <w:numPr>
          <w:ilvl w:val="0"/>
          <w:numId w:val="19"/>
        </w:numPr>
        <w:shd w:val="clear" w:color="auto" w:fill="auto"/>
        <w:bidi w:val="0"/>
        <w:spacing w:before="0" w:line="240" w:lineRule="auto"/>
        <w:ind w:left="0" w:right="0" w:firstLine="0"/>
        <w:jc w:val="both"/>
      </w:pPr>
      <w:bookmarkStart w:id="1083" w:name="bookmark1083"/>
      <w:bookmarkStart w:id="1084" w:name="bookmark1084"/>
      <w:bookmarkStart w:id="1085" w:name="bookmark1085"/>
      <w:bookmarkStart w:id="1086" w:name="bookmark1086"/>
      <w:bookmarkEnd w:id="1085"/>
      <w:r>
        <w:rPr>
          <w:color w:val="000000"/>
          <w:spacing w:val="0"/>
          <w:w w:val="100"/>
          <w:position w:val="0"/>
        </w:rPr>
        <w:t>预付款项按账龄列示</w:t>
      </w:r>
      <w:bookmarkEnd w:id="1083"/>
      <w:bookmarkEnd w:id="1084"/>
      <w:bookmarkEnd w:id="108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1,755,805,645.37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1,800,126,025.44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12,412,640.84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1,549,962.71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521,104.60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1,768,739,390.81</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1,801,675,988.15</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after="32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7"/>
      <w:bookmarkEnd w:id="1088"/>
      <w:bookmarkEnd w:id="1090"/>
    </w:p>
    <w:p>
      <w:pPr>
        <w:pStyle w:val="Style37"/>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按预付对象归集的期末余额前五名的预付款项汇总金额</w:t>
      </w:r>
      <w:r>
        <w:rPr>
          <w:rFonts w:ascii="Times New Roman" w:eastAsia="Times New Roman" w:hAnsi="Times New Roman" w:cs="Times New Roman"/>
          <w:color w:val="000000"/>
          <w:spacing w:val="0"/>
          <w:w w:val="100"/>
          <w:position w:val="0"/>
          <w:sz w:val="18"/>
          <w:szCs w:val="18"/>
        </w:rPr>
        <w:t>881,198,922.86</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sz w:val="18"/>
          <w:szCs w:val="18"/>
        </w:rPr>
        <w:t>49.82%</w:t>
      </w:r>
      <w:r>
        <w:rPr>
          <w:color w:val="000000"/>
          <w:spacing w:val="0"/>
          <w:w w:val="100"/>
          <w:position w:val="0"/>
        </w:rPr>
        <w:t>。 前五名的预付款项单位均为本公司非关联方公司。</w:t>
      </w:r>
    </w:p>
    <w:p>
      <w:pPr>
        <w:pStyle w:val="Style40"/>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7</w:t>
      </w:r>
      <w:bookmarkEnd w:id="1093"/>
      <w:r>
        <w:rPr>
          <w:color w:val="000000"/>
          <w:spacing w:val="0"/>
          <w:w w:val="100"/>
          <w:position w:val="0"/>
        </w:rPr>
        <w:t>、其他应收款</w:t>
      </w:r>
      <w:bookmarkEnd w:id="1091"/>
      <w:bookmarkEnd w:id="1092"/>
      <w:bookmarkEnd w:id="109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212,031,714.55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183,110,885.61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212,031,714.55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183,110,885.61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95"/>
      <w:bookmarkEnd w:id="1096"/>
      <w:bookmarkEnd w:id="1098"/>
    </w:p>
    <w:p>
      <w:pPr>
        <w:pStyle w:val="Style68"/>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color w:val="000000"/>
          <w:spacing w:val="0"/>
          <w:w w:val="100"/>
          <w:position w:val="0"/>
        </w:rPr>
        <w:t>）其他应收款按款项性质分类情况</w:t>
      </w:r>
      <w:bookmarkEnd w:id="1099"/>
      <w:bookmarkEnd w:id="1100"/>
      <w:bookmarkEnd w:id="1102"/>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89,152,101.16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48,033,438.89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代关联方垫付购买土地款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69,464,643.42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69,464,643.42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49,742,174.08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59,825,925.80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应收广州天酷数码科技有限公司欠款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8,252,215.68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8,252,215.68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w:t>
            </w:r>
            <w:r>
              <w:rPr>
                <w:rFonts w:ascii="Times New Roman" w:eastAsia="Times New Roman" w:hAnsi="Times New Roman" w:cs="Times New Roman"/>
                <w:color w:val="000000"/>
                <w:spacing w:val="0"/>
                <w:w w:val="100"/>
                <w:position w:val="0"/>
                <w:sz w:val="18"/>
                <w:szCs w:val="18"/>
              </w:rPr>
              <w:t>CACHE1O,LLC</w:t>
            </w:r>
            <w:r>
              <w:rPr>
                <w:color w:val="000000"/>
                <w:spacing w:val="0"/>
                <w:w w:val="100"/>
                <w:position w:val="0"/>
              </w:rPr>
              <w:t>投资款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6,546,846.60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6,928,664.40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6,185,991.03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7,841,706.02</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229,343,971.97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200,346,594.21</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color w:val="000000"/>
          <w:spacing w:val="0"/>
          <w:w w:val="100"/>
          <w:position w:val="0"/>
        </w:rPr>
        <w:t>）坏账准备计提情况</w:t>
      </w:r>
      <w:bookmarkEnd w:id="1103"/>
      <w:bookmarkEnd w:id="1104"/>
      <w:bookmarkEnd w:id="110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838"/>
        <w:gridCol w:w="1843"/>
        <w:gridCol w:w="1987"/>
        <w:gridCol w:w="1637"/>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275"/>
        <w:gridCol w:w="1838"/>
        <w:gridCol w:w="1843"/>
        <w:gridCol w:w="1987"/>
        <w:gridCol w:w="1637"/>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1,401,771.44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653,057.08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15,180,880.08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17,235,708.60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333,550.71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126,067.48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459,618.19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-381,817.80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-383,069.37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1,735,322.15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777,872.99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14,799,062.28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17,312,257.42</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84,078,980.12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24,821,686.24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21,042,387.94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99,400,917.67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27,152,416.31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70,380,162.65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1,868,338.71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229,343,971.97</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3</w:t>
      </w:r>
      <w:bookmarkEnd w:id="1109"/>
      <w:r>
        <w:rPr>
          <w:color w:val="000000"/>
          <w:spacing w:val="0"/>
          <w:w w:val="100"/>
          <w:position w:val="0"/>
        </w:rPr>
        <w:t>）本期计提、收回或转回的坏账准备情况</w:t>
      </w:r>
      <w:bookmarkEnd w:id="1107"/>
      <w:bookmarkEnd w:id="1108"/>
      <w:bookmarkEnd w:id="1110"/>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17,235,708.60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459,618.19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-383,069.37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17,312,257.42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17,235,708.60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459,618.19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-383,069.37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17,312,257.42</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4</w:t>
      </w:r>
      <w:bookmarkEnd w:id="1113"/>
      <w:r>
        <w:rPr>
          <w:color w:val="000000"/>
          <w:spacing w:val="0"/>
          <w:w w:val="100"/>
          <w:position w:val="0"/>
        </w:rPr>
        <w:t>）按欠款方归集的期末余额前五名的其他应收款情况</w:t>
      </w:r>
      <w:bookmarkEnd w:id="1111"/>
      <w:bookmarkEnd w:id="1112"/>
      <w:bookmarkEnd w:id="111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2"/>
        <w:gridCol w:w="1699"/>
        <w:gridCol w:w="1416"/>
        <w:gridCol w:w="1272"/>
        <w:gridCol w:w="1598"/>
        <w:gridCol w:w="160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代关联方垫付的购买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158,448,619.58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1,584,486.20</w:t>
            </w:r>
          </w:p>
        </w:tc>
      </w:tr>
    </w:tbl>
    <w:p>
      <w:pPr>
        <w:spacing w:lineRule="exact" w:line="1"/>
        <w:rPr>
          <w:sz w:val="2"/>
          <w:szCs w:val="2"/>
        </w:rPr>
      </w:pPr>
      <w:r>
        <w:br w:type="page"/>
      </w:r>
    </w:p>
    <w:tbl>
      <w:tblPr>
        <w:tblOverlap w:val="never"/>
        <w:jc w:val="center"/>
        <w:tblLayout w:type="fixed"/>
      </w:tblPr>
      <w:tblGrid>
        <w:gridCol w:w="1992"/>
        <w:gridCol w:w="1699"/>
        <w:gridCol w:w="1416"/>
        <w:gridCol w:w="1272"/>
        <w:gridCol w:w="1598"/>
        <w:gridCol w:w="160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土地款及借款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济南顶安企业管理咨询 合伙企业（有限合伙）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广州天酷数码科技有限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应收欠款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8,252,215.68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8,252,215.68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CACHEIO,LLC</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应收投资款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6,546,846.60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6,546,846.60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北京市海淀区人民法院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保全保证金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2,984,965.66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69,613.54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188,232,647.52</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16,813,162.02</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8</w:t>
      </w:r>
      <w:bookmarkEnd w:id="1117"/>
      <w:r>
        <w:rPr>
          <w:color w:val="000000"/>
          <w:spacing w:val="0"/>
          <w:w w:val="100"/>
          <w:position w:val="0"/>
        </w:rPr>
        <w:t>、存货</w:t>
      </w:r>
      <w:bookmarkEnd w:id="1115"/>
      <w:bookmarkEnd w:id="1116"/>
      <w:bookmarkEnd w:id="1118"/>
    </w:p>
    <w:p>
      <w:pPr>
        <w:pStyle w:val="Style3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7"/>
        <w:keepNext/>
        <w:keepLines/>
        <w:widowControl w:val="0"/>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19"/>
      <w:bookmarkEnd w:id="1120"/>
      <w:bookmarkEnd w:id="1122"/>
    </w:p>
    <w:p>
      <w:pPr>
        <w:pStyle w:val="Style3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7,241,446,854.47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259,770,755.38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6,981,676,099.09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6,458,896,457.29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282,105,728.36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6,176,790,728.93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1,116,531,394.36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1,116,531,394.36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1,756,582,620.72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1,756,582,620.72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1,462,231,701.51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1,462,231,701.51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1,265,461,867.01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1,265,461,867.01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9,820,209,950.34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259,770,755.38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9,560,439,194.96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9,480,940,945.02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282,105,728.36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9,198,835,216.66</w:t>
            </w:r>
          </w:p>
        </w:tc>
      </w:tr>
    </w:tbl>
    <w:p>
      <w:pPr>
        <w:pStyle w:val="Style37"/>
        <w:keepNext w:val="0"/>
        <w:keepLines w:val="0"/>
        <w:widowControl w:val="0"/>
        <w:shd w:val="clear" w:color="auto" w:fill="auto"/>
        <w:bidi w:val="0"/>
        <w:spacing w:before="0" w:line="312"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日，本公司参加深圳市南山区深圳湾超级总部基地挂牌竞买事宜，竞得宗地编号为</w:t>
      </w:r>
      <w:r>
        <w:rPr>
          <w:rFonts w:ascii="Times New Roman" w:eastAsia="Times New Roman" w:hAnsi="Times New Roman" w:cs="Times New Roman"/>
          <w:color w:val="000000"/>
          <w:spacing w:val="0"/>
          <w:w w:val="100"/>
          <w:position w:val="0"/>
          <w:sz w:val="18"/>
          <w:szCs w:val="18"/>
        </w:rPr>
        <w:t>T207-005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的土地使 用权。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日，本公司与深圳市规划和国土资源委员会南山管理局签署了《深圳市土地使用权出让合同书》，合同 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土地用途为商业服务业用地，本宗项目建成后部分可按规定销售，本公司将可用于销售部分占用土地成本计入开发成 本。该项目已于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日开工，尚在建设中。</w:t>
      </w:r>
    </w:p>
    <w:p>
      <w:pPr>
        <w:pStyle w:val="Style37"/>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本公司之子公司神州数码（深圳）有限公司（以下简称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）向平安银行股份有限公司深圳分行借款，由本公司 提供最高额抵押担保，本公司与平安银行股份有限公司深圳分行签订了合同编号为平银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综字第</w:t>
      </w:r>
      <w:r>
        <w:rPr>
          <w:rFonts w:ascii="Times New Roman" w:eastAsia="Times New Roman" w:hAnsi="Times New Roman" w:cs="Times New Roman"/>
          <w:color w:val="000000"/>
          <w:spacing w:val="0"/>
          <w:w w:val="100"/>
          <w:position w:val="0"/>
          <w:sz w:val="18"/>
          <w:szCs w:val="18"/>
        </w:rPr>
        <w:t>A004201809060002</w:t>
      </w:r>
      <w:r>
        <w:rPr>
          <w:color w:val="000000"/>
          <w:spacing w:val="0"/>
          <w:w w:val="100"/>
          <w:position w:val="0"/>
        </w:rPr>
        <w:t>（额 抵</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）号的最高额抵押担保合同，本公司以深圳市南山区深圳湾超级总部基地土地使用权作为抵押物进行抵押担保，其中 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土地使用权期末账面价值为</w:t>
      </w:r>
      <w:r>
        <w:rPr>
          <w:rFonts w:ascii="Times New Roman" w:eastAsia="Times New Roman" w:hAnsi="Times New Roman" w:cs="Times New Roman"/>
          <w:color w:val="000000"/>
          <w:spacing w:val="0"/>
          <w:w w:val="100"/>
          <w:position w:val="0"/>
          <w:sz w:val="18"/>
          <w:szCs w:val="18"/>
        </w:rPr>
        <w:t>1,030,615,651.38</w:t>
      </w:r>
      <w:r>
        <w:rPr>
          <w:color w:val="000000"/>
          <w:spacing w:val="0"/>
          <w:w w:val="100"/>
          <w:position w:val="0"/>
        </w:rPr>
        <w:t>元，无形资产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土地使用权期末账面价值为</w:t>
      </w:r>
      <w:r>
        <w:rPr>
          <w:rFonts w:ascii="Times New Roman" w:eastAsia="Times New Roman" w:hAnsi="Times New Roman" w:cs="Times New Roman"/>
          <w:color w:val="000000"/>
          <w:spacing w:val="0"/>
          <w:w w:val="100"/>
          <w:position w:val="0"/>
          <w:sz w:val="18"/>
          <w:szCs w:val="18"/>
        </w:rPr>
        <w:t>2,311,217,845.37</w:t>
      </w:r>
      <w:r>
        <w:rPr>
          <w:color w:val="000000"/>
          <w:spacing w:val="0"/>
          <w:w w:val="100"/>
          <w:position w:val="0"/>
        </w:rPr>
        <w:t>元。本 公司自平安银行股份有限公司深圳分行借入的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年期长期借款亦是以上述土地使用权进行抵押。</w:t>
      </w:r>
      <w:r>
        <w:br w:type="page"/>
      </w:r>
    </w:p>
    <w:p>
      <w:pPr>
        <w:pStyle w:val="Style47"/>
        <w:keepNext/>
        <w:keepLines/>
        <w:widowControl w:val="0"/>
        <w:shd w:val="clear" w:color="auto" w:fill="auto"/>
        <w:bidi w:val="0"/>
        <w:spacing w:before="0" w:line="240" w:lineRule="auto"/>
        <w:ind w:left="0" w:right="0" w:firstLine="14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23"/>
      <w:bookmarkEnd w:id="1124"/>
      <w:bookmarkEnd w:id="112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282,105,728.36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142,733,214.83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-1,159,381.02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163,908,806.79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259,770,755.38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282,105,728.36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142,733,214.83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-1,159,381.02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163,908,806.79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259,770,755.38</w:t>
            </w:r>
          </w:p>
        </w:tc>
      </w:tr>
    </w:tbl>
    <w:p>
      <w:pPr>
        <w:widowControl w:val="0"/>
        <w:spacing w:after="319" w:line="1" w:lineRule="exact"/>
      </w:pPr>
    </w:p>
    <w:p>
      <w:pPr>
        <w:pStyle w:val="Style47"/>
        <w:keepNext/>
        <w:keepLines/>
        <w:widowControl w:val="0"/>
        <w:shd w:val="clear" w:color="auto" w:fill="auto"/>
        <w:bidi w:val="0"/>
        <w:spacing w:before="0" w:after="2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27"/>
      <w:bookmarkEnd w:id="1128"/>
      <w:bookmarkEnd w:id="1130"/>
    </w:p>
    <w:p>
      <w:pPr>
        <w:pStyle w:val="Style37"/>
        <w:keepNext w:val="0"/>
        <w:keepLines w:val="0"/>
        <w:widowControl w:val="0"/>
        <w:shd w:val="clear" w:color="auto" w:fill="auto"/>
        <w:bidi w:val="0"/>
        <w:spacing w:before="0" w:after="380" w:line="307" w:lineRule="exact"/>
        <w:ind w:left="0" w:right="0"/>
        <w:jc w:val="both"/>
      </w:pPr>
      <w:r>
        <w:rPr>
          <w:color w:val="000000"/>
          <w:spacing w:val="0"/>
          <w:w w:val="100"/>
          <w:position w:val="0"/>
        </w:rPr>
        <w:t>本公司深圳湾土地建设项目于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日开工，相关借款利息应予以资本化。存货期末余额含有借款利息资本化金 额 </w:t>
      </w:r>
      <w:r>
        <w:rPr>
          <w:rFonts w:ascii="Times New Roman" w:eastAsia="Times New Roman" w:hAnsi="Times New Roman" w:cs="Times New Roman"/>
          <w:color w:val="000000"/>
          <w:spacing w:val="0"/>
          <w:w w:val="100"/>
          <w:position w:val="0"/>
          <w:sz w:val="18"/>
          <w:szCs w:val="18"/>
        </w:rPr>
        <w:t>190,381,797.67</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9</w:t>
      </w:r>
      <w:bookmarkEnd w:id="1133"/>
      <w:r>
        <w:rPr>
          <w:color w:val="000000"/>
          <w:spacing w:val="0"/>
          <w:w w:val="100"/>
          <w:position w:val="0"/>
        </w:rPr>
        <w:t>、合同资产</w:t>
      </w:r>
      <w:bookmarkEnd w:id="1131"/>
      <w:bookmarkEnd w:id="1132"/>
      <w:bookmarkEnd w:id="113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34,049,450.99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1,294,952.83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32,754,498.16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44,384,635.68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1,212,660.58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34,049,450.99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1,294,952.83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32,754,498.16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44,384,635.68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1,212,660.58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43,171,975.10</w:t>
            </w:r>
          </w:p>
        </w:tc>
      </w:tr>
    </w:tbl>
    <w:p>
      <w:pPr>
        <w:widowControl w:val="0"/>
        <w:spacing w:after="45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82,292.25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82,292.25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135"/>
      <w:bookmarkEnd w:id="1136"/>
      <w:bookmarkEnd w:id="113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16,470.22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203,640.19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16,470.22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203,640.19</w:t>
            </w:r>
          </w:p>
        </w:tc>
      </w:tr>
    </w:tbl>
    <w:p>
      <w:pPr>
        <w:widowControl w:val="0"/>
        <w:spacing w:after="679" w:line="1" w:lineRule="exact"/>
      </w:pPr>
    </w:p>
    <w:p>
      <w:pPr>
        <w:pStyle w:val="Style40"/>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139"/>
      <w:bookmarkEnd w:id="1140"/>
      <w:bookmarkEnd w:id="1142"/>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309,322,202.75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389,940,893.87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927,024.92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1,477,714.67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4,504,974.22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2,373,212.60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314,754,201.89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393,791,821.14</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1143"/>
      <w:bookmarkEnd w:id="1144"/>
      <w:bookmarkEnd w:id="1146"/>
    </w:p>
    <w:p>
      <w:pPr>
        <w:pStyle w:val="Style47"/>
        <w:keepNext/>
        <w:keepLines/>
        <w:widowControl w:val="0"/>
        <w:shd w:val="clear" w:color="auto" w:fill="auto"/>
        <w:bidi w:val="0"/>
        <w:spacing w:before="0" w:after="40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47"/>
      <w:bookmarkEnd w:id="1148"/>
      <w:bookmarkEnd w:id="1150"/>
    </w:p>
    <w:p>
      <w:pPr>
        <w:pStyle w:val="Style3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3,980,675.24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39,806.75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3,940,868.49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3,809,125.04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3,771,033.79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jc w:val="left"/>
            </w:pPr>
            <w:r>
              <w:rPr>
                <w:color w:val="000000"/>
                <w:spacing w:val="0"/>
                <w:w w:val="100"/>
                <w:position w:val="0"/>
              </w:rPr>
              <w:t>其中：未实</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437,598.76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437,598.76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609,148.96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3,980,675.24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39,806.75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3,940,868.49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3,809,125.04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38,091.25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3,771,033.79</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1694"/>
        <w:gridCol w:w="1843"/>
        <w:gridCol w:w="1949"/>
        <w:gridCol w:w="18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38,091.25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38,091.25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39,806.75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39,806.75</w:t>
            </w:r>
          </w:p>
        </w:tc>
      </w:tr>
    </w:tbl>
    <w:p>
      <w:pPr>
        <w:sectPr>
          <w:headerReference w:type="default" r:id="rId29"/>
          <w:footerReference w:type="default" r:id="rId30"/>
          <w:footnotePr>
            <w:pos w:val="pageBottom"/>
            <w:numFmt w:val="decimal"/>
            <w:numRestart w:val="continuous"/>
          </w:footnotePr>
          <w:pgSz w:w="11900" w:h="16840"/>
          <w:pgMar w:top="1441" w:right="1064" w:bottom="1513" w:left="1059" w:header="0" w:footer="3" w:gutter="0"/>
          <w:cols w:space="720"/>
          <w:noEndnote/>
          <w:rtlGutter w:val="0"/>
          <w:docGrid w:linePitch="360"/>
        </w:sectPr>
      </w:pPr>
    </w:p>
    <w:p>
      <w:pPr>
        <w:pStyle w:val="Style40"/>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151"/>
      <w:bookmarkEnd w:id="1152"/>
      <w:bookmarkEnd w:id="1154"/>
    </w:p>
    <w:p>
      <w:pPr>
        <w:pStyle w:val="Style35"/>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142"/>
        <w:gridCol w:w="1315"/>
        <w:gridCol w:w="1138"/>
        <w:gridCol w:w="1138"/>
        <w:gridCol w:w="1138"/>
        <w:gridCol w:w="1142"/>
        <w:gridCol w:w="1147"/>
        <w:gridCol w:w="1128"/>
        <w:gridCol w:w="1138"/>
        <w:gridCol w:w="1152"/>
        <w:gridCol w:w="1315"/>
        <w:gridCol w:w="113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北京神州数码 置业发展有限 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3,927,556.11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1,402,582.69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5,330,138.80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神州云盾信息 安全有限公司</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23,777,985.95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-1,750,198.86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22,027,787.09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27,705,542.06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-347,616.17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27,357,925.89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北京卓越信通 电子股份有限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36,407,435.41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1,362,217.82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36,626,113.23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北京迪信通商 贸股份有限公 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954,987,491.66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30,050,198.29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-7,412,804.81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-43,812,867.81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-32,578,055.36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901,233,961.97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神州顶联科技 有限公司（注</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109,564,256.40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1,576,092.10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111,140,348.50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北京神州慧安 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6,390,368.92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580,736.57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6,971,105.49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42"/>
        <w:gridCol w:w="1315"/>
        <w:gridCol w:w="1138"/>
        <w:gridCol w:w="1138"/>
        <w:gridCol w:w="1138"/>
        <w:gridCol w:w="1142"/>
        <w:gridCol w:w="1147"/>
        <w:gridCol w:w="1128"/>
        <w:gridCol w:w="1138"/>
        <w:gridCol w:w="1152"/>
        <w:gridCol w:w="1315"/>
        <w:gridCol w:w="1138"/>
      </w:tblGrid>
      <w:tr>
        <w:trPr>
          <w:trHeight w:val="437"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其他综合收益 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1,107,349,552.39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33,569,244.78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-7,412,804.81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-43,812,867.81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-32,578,055.36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1,055,971,529.19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1,135,055,094.45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33,221,628.61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-7,412,804.81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-43,812,867.81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-32,578,055.36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1,083,329,455.08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：北京神州数码置业发展有限公司成立于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日，系由本公司之子公司神州数码（中国）有限公与神州数码软件有限公司共同组建的有限责任公司，注册资本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 元，神州数码（中国）有限公司、神州数码软件有限公司各持股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月，神州数码（中国）有限公司、神州数码软件有限公司与北京万科企业有限公司签订了《北京市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 淀北部地区整体开发</w:t>
      </w:r>
      <w:r>
        <w:rPr>
          <w:rFonts w:ascii="Times New Roman" w:eastAsia="Times New Roman" w:hAnsi="Times New Roman" w:cs="Times New Roman"/>
          <w:color w:val="000000"/>
          <w:spacing w:val="0"/>
          <w:w w:val="100"/>
          <w:position w:val="0"/>
          <w:sz w:val="18"/>
          <w:szCs w:val="18"/>
        </w:rPr>
        <w:t>"HD-0303-003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地块股权合作协议》，北京神州数码置业发展有限公司的股权比例变更为神州数码（中国）有限公司、神州数码软件有限公司各持股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，北 京万科企业有限公司持股</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。根据北京神州数码置业发展有限公司章程规定，股东会为公司的权力机构，股东会决议须经全体股东同意生效。截至到报告日，神州数码（中国） 有限公司对北京神州数码置业发展有限公司实际出资</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p>
      <w:pPr>
        <w:pStyle w:val="Style37"/>
        <w:keepNext w:val="0"/>
        <w:keepLines w:val="0"/>
        <w:widowControl w:val="0"/>
        <w:shd w:val="clear" w:color="auto" w:fill="auto"/>
        <w:bidi w:val="0"/>
        <w:spacing w:before="0" w:after="0" w:line="315" w:lineRule="exact"/>
        <w:ind w:left="0" w:right="0" w:firstLine="3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日，本公司之子公司北京神州数码云科信息技术有限公司与深圳神州惠众科技有限公司签订股权转让协议，以</w:t>
      </w:r>
      <w:r>
        <w:rPr>
          <w:rFonts w:ascii="Times New Roman" w:eastAsia="Times New Roman" w:hAnsi="Times New Roman" w:cs="Times New Roman"/>
          <w:color w:val="000000"/>
          <w:spacing w:val="0"/>
          <w:w w:val="100"/>
          <w:position w:val="0"/>
          <w:sz w:val="18"/>
          <w:szCs w:val="18"/>
        </w:rPr>
        <w:t>1,390</w:t>
      </w:r>
      <w:r>
        <w:rPr>
          <w:color w:val="000000"/>
          <w:spacing w:val="0"/>
          <w:w w:val="100"/>
          <w:position w:val="0"/>
        </w:rPr>
        <w:t>万元购买其所持有的神州云盾信息安全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神州云盾</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股权。上述款项已于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日支付完毕。根据神州云盾章程的规定，北京神州数码云科信息技术有限公司、秦皇岛开发区国有资产经营有 限公司、北京中汇智投资管理有限公司对神州云盾共同控制，故对其长期股权投资采用权益法核算。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日，上述股东按持股比例对神州云盾合计增资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 北京神州数码云科信息技术有限公司按持股比例增资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万元，并于当日支付了上述价款。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月补足</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万出资款，全部认缴出资实缴完毕。</w:t>
      </w:r>
    </w:p>
    <w:p>
      <w:pPr>
        <w:pStyle w:val="Style37"/>
        <w:keepNext w:val="0"/>
        <w:keepLines w:val="0"/>
        <w:widowControl w:val="0"/>
        <w:shd w:val="clear" w:color="auto" w:fill="auto"/>
        <w:bidi w:val="0"/>
        <w:spacing w:before="0" w:after="0" w:line="314" w:lineRule="exact"/>
        <w:ind w:left="0" w:right="0" w:firstLine="3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日，本公司之子公司</w:t>
      </w:r>
      <w:r>
        <w:rPr>
          <w:rFonts w:ascii="Times New Roman" w:eastAsia="Times New Roman" w:hAnsi="Times New Roman" w:cs="Times New Roman"/>
          <w:color w:val="000000"/>
          <w:spacing w:val="0"/>
          <w:w w:val="100"/>
          <w:position w:val="0"/>
          <w:sz w:val="18"/>
          <w:szCs w:val="18"/>
        </w:rPr>
        <w:t>Digital China（HK）limited</w:t>
      </w:r>
      <w:r>
        <w:rPr>
          <w:color w:val="000000"/>
          <w:spacing w:val="0"/>
          <w:w w:val="100"/>
          <w:position w:val="0"/>
        </w:rPr>
        <w:t>分别与</w:t>
      </w:r>
      <w:r>
        <w:rPr>
          <w:rFonts w:ascii="Times New Roman" w:eastAsia="Times New Roman" w:hAnsi="Times New Roman" w:cs="Times New Roman"/>
          <w:color w:val="000000"/>
          <w:spacing w:val="0"/>
          <w:w w:val="100"/>
          <w:position w:val="0"/>
          <w:sz w:val="18"/>
          <w:szCs w:val="18"/>
        </w:rPr>
        <w:t>3i Infocomm Limited</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CDH Mobile（HK）Limited</w:t>
      </w:r>
      <w:r>
        <w:rPr>
          <w:color w:val="000000"/>
          <w:spacing w:val="0"/>
          <w:w w:val="100"/>
          <w:position w:val="0"/>
        </w:rPr>
        <w:t>签订股份购买协议，以</w:t>
      </w:r>
      <w:r>
        <w:rPr>
          <w:rFonts w:ascii="Times New Roman" w:eastAsia="Times New Roman" w:hAnsi="Times New Roman" w:cs="Times New Roman"/>
          <w:color w:val="000000"/>
          <w:spacing w:val="0"/>
          <w:w w:val="100"/>
          <w:position w:val="0"/>
          <w:sz w:val="18"/>
          <w:szCs w:val="18"/>
        </w:rPr>
        <w:t>3.10</w:t>
      </w:r>
      <w:r>
        <w:rPr>
          <w:color w:val="000000"/>
          <w:spacing w:val="0"/>
          <w:w w:val="100"/>
          <w:position w:val="0"/>
        </w:rPr>
        <w:t>港币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股购买其所持有的北京迪 信通商贸股份有限公司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迪信通</w:t>
      </w:r>
      <w:r>
        <w:rPr>
          <w:rFonts w:ascii="Times New Roman" w:eastAsia="Times New Roman" w:hAnsi="Times New Roman" w:cs="Times New Roman"/>
          <w:color w:val="000000"/>
          <w:spacing w:val="0"/>
          <w:w w:val="100"/>
          <w:position w:val="0"/>
          <w:sz w:val="18"/>
          <w:szCs w:val="18"/>
        </w:rPr>
        <w:t>”）15,835</w:t>
      </w:r>
      <w:r>
        <w:rPr>
          <w:color w:val="000000"/>
          <w:spacing w:val="0"/>
          <w:w w:val="100"/>
          <w:position w:val="0"/>
        </w:rPr>
        <w:t>万股的股权，价款共计</w:t>
      </w:r>
      <w:r>
        <w:rPr>
          <w:rFonts w:ascii="Times New Roman" w:eastAsia="Times New Roman" w:hAnsi="Times New Roman" w:cs="Times New Roman"/>
          <w:color w:val="000000"/>
          <w:spacing w:val="0"/>
          <w:w w:val="100"/>
          <w:position w:val="0"/>
          <w:sz w:val="18"/>
          <w:szCs w:val="18"/>
        </w:rPr>
        <w:t>4.926</w:t>
      </w:r>
      <w:r>
        <w:rPr>
          <w:color w:val="000000"/>
          <w:spacing w:val="0"/>
          <w:w w:val="100"/>
          <w:position w:val="0"/>
        </w:rPr>
        <w:t>亿港币（含直接相关手续费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4.4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月支付了上述价款。本公司之子公 司</w:t>
      </w:r>
      <w:r>
        <w:rPr>
          <w:rFonts w:ascii="Times New Roman" w:eastAsia="Times New Roman" w:hAnsi="Times New Roman" w:cs="Times New Roman"/>
          <w:color w:val="000000"/>
          <w:spacing w:val="0"/>
          <w:w w:val="100"/>
          <w:position w:val="0"/>
          <w:sz w:val="18"/>
          <w:szCs w:val="18"/>
        </w:rPr>
        <w:t>Digital China（HK）limited</w:t>
      </w:r>
      <w:r>
        <w:rPr>
          <w:color w:val="000000"/>
          <w:spacing w:val="0"/>
          <w:w w:val="100"/>
          <w:position w:val="0"/>
        </w:rPr>
        <w:t>持有迪信通</w:t>
      </w:r>
      <w:r>
        <w:rPr>
          <w:rFonts w:ascii="Times New Roman" w:eastAsia="Times New Roman" w:hAnsi="Times New Roman" w:cs="Times New Roman"/>
          <w:color w:val="000000"/>
          <w:spacing w:val="0"/>
          <w:w w:val="100"/>
          <w:position w:val="0"/>
          <w:sz w:val="18"/>
          <w:szCs w:val="18"/>
        </w:rPr>
        <w:t>23.75%</w:t>
      </w:r>
      <w:r>
        <w:rPr>
          <w:color w:val="000000"/>
          <w:spacing w:val="0"/>
          <w:w w:val="100"/>
          <w:position w:val="0"/>
        </w:rPr>
        <w:t>股权，并向迪信通派驻一名董事。本公司管理层认为本公司之子公司</w:t>
      </w:r>
      <w:r>
        <w:rPr>
          <w:rFonts w:ascii="Times New Roman" w:eastAsia="Times New Roman" w:hAnsi="Times New Roman" w:cs="Times New Roman"/>
          <w:color w:val="000000"/>
          <w:spacing w:val="0"/>
          <w:w w:val="100"/>
          <w:position w:val="0"/>
          <w:sz w:val="18"/>
          <w:szCs w:val="18"/>
        </w:rPr>
        <w:t>DigitalChina（HK）limited</w:t>
      </w:r>
      <w:r>
        <w:rPr>
          <w:color w:val="000000"/>
          <w:spacing w:val="0"/>
          <w:w w:val="100"/>
          <w:position w:val="0"/>
        </w:rPr>
        <w:t>对迪信通有重大影响，故对其长期股权投 资应采用权益法核算。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月，因迪信通增发股份导致本公司之子公司</w:t>
      </w:r>
      <w:r>
        <w:rPr>
          <w:rFonts w:ascii="Times New Roman" w:eastAsia="Times New Roman" w:hAnsi="Times New Roman" w:cs="Times New Roman"/>
          <w:color w:val="000000"/>
          <w:spacing w:val="0"/>
          <w:w w:val="100"/>
          <w:position w:val="0"/>
          <w:sz w:val="18"/>
          <w:szCs w:val="18"/>
        </w:rPr>
        <w:t>Digital China（HK）limited</w:t>
      </w:r>
      <w:r>
        <w:rPr>
          <w:color w:val="000000"/>
          <w:spacing w:val="0"/>
          <w:w w:val="100"/>
          <w:position w:val="0"/>
        </w:rPr>
        <w:t>持有迪信通股权比例下降至</w:t>
      </w:r>
      <w:r>
        <w:rPr>
          <w:rFonts w:ascii="Times New Roman" w:eastAsia="Times New Roman" w:hAnsi="Times New Roman" w:cs="Times New Roman"/>
          <w:color w:val="000000"/>
          <w:spacing w:val="0"/>
          <w:w w:val="100"/>
          <w:position w:val="0"/>
          <w:sz w:val="18"/>
          <w:szCs w:val="18"/>
        </w:rPr>
        <w:t>21.62%</w:t>
      </w:r>
      <w:r>
        <w:rPr>
          <w:color w:val="000000"/>
          <w:spacing w:val="0"/>
          <w:w w:val="100"/>
          <w:position w:val="0"/>
        </w:rPr>
        <w:t>。</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月，本公司与神州顶联科技有限公司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原顶联信息产业股份公司，以下简称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神州顶联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部分股东济南顶安企业管理咨询合伙企业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、刘国梁、上海泉桥资 产管理有限公司、李娜、山东中泰天使创业投资基金企业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、山东南海恒蓝人才创业投资合伙企业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、黄习娣、孙水波、慈昌会、许全槐、杨桂清、王大为签订 股权转让协议，本公司以现金对价</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万元购买上述股东持有的神州顶联</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股权，并向神州顶联派驻两名董事，本公司对其有重大影响，故对其长期股权投资采用权益法核算。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日，神州顶联已完成工商变更登记，并变更公司名称为神州顶联科技有限公司。本公司于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日支付完毕上述价款。</w:t>
      </w:r>
    </w:p>
    <w:p>
      <w:pPr>
        <w:pStyle w:val="Style37"/>
        <w:keepNext w:val="0"/>
        <w:keepLines w:val="0"/>
        <w:widowControl w:val="0"/>
        <w:shd w:val="clear" w:color="auto" w:fill="auto"/>
        <w:bidi w:val="0"/>
        <w:spacing w:before="0" w:after="0" w:line="314" w:lineRule="exact"/>
        <w:ind w:left="0" w:right="0" w:firstLine="320"/>
        <w:jc w:val="both"/>
        <w:sectPr>
          <w:headerReference w:type="default" r:id="rId31"/>
          <w:footerReference w:type="default" r:id="rId32"/>
          <w:footnotePr>
            <w:pos w:val="pageBottom"/>
            <w:numFmt w:val="decimal"/>
            <w:numRestart w:val="continuous"/>
          </w:footnotePr>
          <w:pgSz w:w="16840" w:h="11900" w:orient="landscape"/>
          <w:pgMar w:top="1127" w:right="1332" w:bottom="1316" w:left="1396"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月，本公司之子公司北京神州数码云科信息技术有限公司与北京中汇智投资管理有限公司签订投资合作框架协议，共同出资设立北京神州慧安科技有限公司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 为北京神州金信网安科技有限公司，以下简称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神州慧安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，其中北京神州数码云科信息技术有限公司出资</w:t>
      </w:r>
      <w:r>
        <w:rPr>
          <w:rFonts w:ascii="Times New Roman" w:eastAsia="Times New Roman" w:hAnsi="Times New Roman" w:cs="Times New Roman"/>
          <w:color w:val="000000"/>
          <w:spacing w:val="0"/>
          <w:w w:val="100"/>
          <w:position w:val="0"/>
          <w:sz w:val="18"/>
          <w:szCs w:val="18"/>
        </w:rPr>
        <w:t>1,538,462</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38.46%</w:t>
      </w:r>
      <w:r>
        <w:rPr>
          <w:color w:val="000000"/>
          <w:spacing w:val="0"/>
          <w:w w:val="100"/>
          <w:position w:val="0"/>
        </w:rPr>
        <w:t>，并派驻一名董事。北京神州数码云科信 息技术有限公司对北京神州慧安科技有限公司有重大影响，故对其长期股权投资采用权益法核算。上述投资款项已于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日支付完毕。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月，因其他股东增资导致 </w:t>
      </w:r>
      <w:r>
        <w:rPr>
          <w:color w:val="000000"/>
          <w:spacing w:val="0"/>
          <w:w w:val="100"/>
          <w:position w:val="0"/>
        </w:rPr>
        <w:t>北京神州数码云科信息技术有限公司对其持股比例稀释为</w:t>
      </w:r>
      <w:r>
        <w:rPr>
          <w:rFonts w:ascii="Times New Roman" w:eastAsia="Times New Roman" w:hAnsi="Times New Roman" w:cs="Times New Roman"/>
          <w:color w:val="000000"/>
          <w:spacing w:val="0"/>
          <w:w w:val="100"/>
          <w:position w:val="0"/>
          <w:sz w:val="18"/>
          <w:szCs w:val="18"/>
        </w:rPr>
        <w:t>23.67%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月，北京神州慧安科技有限公司股东签订增资协议，各方一致同意增加公司注册资本人民币</w:t>
      </w:r>
      <w:r>
        <w:rPr>
          <w:rFonts w:ascii="Times New Roman" w:eastAsia="Times New Roman" w:hAnsi="Times New Roman" w:cs="Times New Roman"/>
          <w:color w:val="000000"/>
          <w:spacing w:val="0"/>
          <w:w w:val="100"/>
          <w:position w:val="0"/>
          <w:sz w:val="18"/>
          <w:szCs w:val="18"/>
        </w:rPr>
        <w:t>663,000</w:t>
      </w:r>
      <w:r>
        <w:rPr>
          <w:color w:val="000000"/>
          <w:spacing w:val="0"/>
          <w:w w:val="100"/>
          <w:position w:val="0"/>
        </w:rPr>
        <w:t>元, 注册资本增至</w:t>
      </w:r>
      <w:r>
        <w:rPr>
          <w:rFonts w:ascii="Times New Roman" w:eastAsia="Times New Roman" w:hAnsi="Times New Roman" w:cs="Times New Roman"/>
          <w:color w:val="000000"/>
          <w:spacing w:val="0"/>
          <w:w w:val="100"/>
          <w:position w:val="0"/>
          <w:sz w:val="18"/>
          <w:szCs w:val="18"/>
        </w:rPr>
        <w:t>7,163,000</w:t>
      </w:r>
      <w:r>
        <w:rPr>
          <w:color w:val="000000"/>
          <w:spacing w:val="0"/>
          <w:w w:val="100"/>
          <w:position w:val="0"/>
        </w:rPr>
        <w:t>元，北京神州数码云科信息技术有限公司增资</w:t>
      </w:r>
      <w:r>
        <w:rPr>
          <w:rFonts w:ascii="Times New Roman" w:eastAsia="Times New Roman" w:hAnsi="Times New Roman" w:cs="Times New Roman"/>
          <w:color w:val="000000"/>
          <w:spacing w:val="0"/>
          <w:w w:val="100"/>
          <w:position w:val="0"/>
          <w:sz w:val="18"/>
          <w:szCs w:val="18"/>
        </w:rPr>
        <w:t>2,746,155.00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255,000</w:t>
      </w:r>
      <w:r>
        <w:rPr>
          <w:color w:val="000000"/>
          <w:spacing w:val="0"/>
          <w:w w:val="100"/>
          <w:position w:val="0"/>
        </w:rPr>
        <w:t>元计入注册资本，增资后北京神州数码云科信息技术有限公司持股比例</w:t>
      </w:r>
      <w:r>
        <w:rPr>
          <w:rFonts w:ascii="Times New Roman" w:eastAsia="Times New Roman" w:hAnsi="Times New Roman" w:cs="Times New Roman"/>
          <w:color w:val="000000"/>
          <w:spacing w:val="0"/>
          <w:w w:val="100"/>
          <w:position w:val="0"/>
          <w:sz w:val="18"/>
          <w:szCs w:val="18"/>
        </w:rPr>
        <w:t>25.04%</w:t>
      </w:r>
      <w:r>
        <w:rPr>
          <w:color w:val="000000"/>
          <w:spacing w:val="0"/>
          <w:w w:val="100"/>
          <w:position w:val="0"/>
        </w:rPr>
        <w:t>, 增资款已于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月支付完毕。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月北京神州数码云科信息技术有限公司将其持有神州慧安的</w:t>
      </w:r>
      <w:r>
        <w:rPr>
          <w:rFonts w:ascii="Times New Roman" w:eastAsia="Times New Roman" w:hAnsi="Times New Roman" w:cs="Times New Roman"/>
          <w:color w:val="000000"/>
          <w:spacing w:val="0"/>
          <w:w w:val="100"/>
          <w:position w:val="0"/>
          <w:sz w:val="18"/>
          <w:szCs w:val="18"/>
        </w:rPr>
        <w:t>25.04%</w:t>
      </w:r>
      <w:r>
        <w:rPr>
          <w:color w:val="000000"/>
          <w:spacing w:val="0"/>
          <w:w w:val="100"/>
          <w:position w:val="0"/>
        </w:rPr>
        <w:t>股权转让给神州数码（中国）有限公司。</w:t>
      </w:r>
    </w:p>
    <w:p>
      <w:pPr>
        <w:pStyle w:val="Style40"/>
        <w:keepNext/>
        <w:keepLines/>
        <w:widowControl w:val="0"/>
        <w:shd w:val="clear" w:color="auto" w:fill="auto"/>
        <w:bidi w:val="0"/>
        <w:spacing w:before="340" w:after="40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bookmarkEnd w:id="1155"/>
      <w:bookmarkEnd w:id="1156"/>
      <w:bookmarkEnd w:id="115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45,126,528.90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27,085,995.00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45,126,528.90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27,085,995.00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入留存收益的金</w:t>
            </w:r>
          </w:p>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入留存收益的原 因</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神州数码控股有</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665,445.00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5,935,722.75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预计不会在可预 见的未来出售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、其他非流动金融资产</w:t>
      </w:r>
      <w:bookmarkEnd w:id="1159"/>
      <w:bookmarkEnd w:id="1160"/>
      <w:bookmarkEnd w:id="1162"/>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北京趣云万维信息技术有限公司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深圳数云创想信息技术有限公司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4,440,000.00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日，本公司之子公司北京神州数码云计算有限公司与北京趣云万维信息技术有限公司（原名为济南趣云信 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北京趣云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）及其股东签署投资协议，约定神州云计算出资人民币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股权。 神州云计算于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月支付出资款</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日支付剩余</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万元。虽然神州云计算向北京趣云派驻一名董 事，但根据投资协议约定，神州云计算对北京趣云并无经营表决权，结合管理层持有意图，将其划分为其他非流动金融资产， 按公允价值计量且公允价值变动计入当期损益。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月，因北京趣云与其他股东签订增资协议导致神州云计算对北京趣 云持股比例稀释为</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w:t>
      </w:r>
    </w:p>
    <w:p>
      <w:pPr>
        <w:pStyle w:val="Style37"/>
        <w:keepNext w:val="0"/>
        <w:keepLines w:val="0"/>
        <w:widowControl w:val="0"/>
        <w:shd w:val="clear" w:color="auto" w:fill="auto"/>
        <w:bidi w:val="0"/>
        <w:spacing w:before="0" w:after="100" w:line="313"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w:t>
      </w:r>
      <w:r>
        <w:rPr>
          <w:color w:val="000000"/>
          <w:spacing w:val="0"/>
          <w:w w:val="100"/>
          <w:position w:val="0"/>
        </w:rPr>
        <w:t>深圳数云创想信息技术有限公司（以下简称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深圳数云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）收购北京趣云，神州云计算对北京趣云的股权等额置 换成深圳数云股权。虽然神州云计算向深圳数云派驻一名董事，但管理层认为对其并无重大影响，仍将其划分为其他非流动 金融资产，按公允价值计量且公允价值变动计入当期损益。截至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日，因其他股东增资导致神州云计算对深圳数 云持股比例稀释至</w:t>
      </w:r>
      <w:r>
        <w:rPr>
          <w:rFonts w:ascii="Times New Roman" w:eastAsia="Times New Roman" w:hAnsi="Times New Roman" w:cs="Times New Roman"/>
          <w:color w:val="000000"/>
          <w:spacing w:val="0"/>
          <w:w w:val="100"/>
          <w:position w:val="0"/>
          <w:sz w:val="18"/>
          <w:szCs w:val="18"/>
        </w:rPr>
        <w:t>6.68%</w:t>
      </w:r>
      <w:r>
        <w:rPr>
          <w:color w:val="000000"/>
          <w:spacing w:val="0"/>
          <w:w w:val="100"/>
          <w:position w:val="0"/>
        </w:rPr>
        <w:t>。</w:t>
      </w:r>
      <w:r>
        <w:br w:type="page"/>
      </w:r>
    </w:p>
    <w:p>
      <w:pPr>
        <w:pStyle w:val="Style40"/>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63"/>
      <w:bookmarkEnd w:id="1164"/>
      <w:bookmarkEnd w:id="1166"/>
    </w:p>
    <w:p>
      <w:pPr>
        <w:pStyle w:val="Style47"/>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67"/>
      <w:bookmarkEnd w:id="1168"/>
      <w:bookmarkEnd w:id="1169"/>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193,130,109.61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193,130,109.61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193,130,109.61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193,130,109.61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21,243,903.23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21,243,903.23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5,737,640.85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5,737,640.85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5,737,640.85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5,737,640.85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26,981,544.08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26,981,544.08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166,148,565.53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166,148,565.53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171,886,206.38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171,886,206.38</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70"/>
      <w:bookmarkEnd w:id="1171"/>
      <w:bookmarkEnd w:id="1173"/>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198,811,531.74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152,024,086.54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198,811,531.74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152,024,086.54</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4"/>
      <w:bookmarkEnd w:id="1175"/>
      <w:bookmarkEnd w:id="117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55"/>
        <w:gridCol w:w="1421"/>
        <w:gridCol w:w="1411"/>
        <w:gridCol w:w="1594"/>
        <w:gridCol w:w="160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运输设备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120,924,013.59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131,929,424.18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8,379,912.80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261,233,350.57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87,868,557.07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5,510,070.08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93,378,627.15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87,868,557.07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5,510,070.08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93,378,627.15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1,492,126.17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20,367,269.74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1,360,121.08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23,219,516.99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965,179.04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19,697,592.96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1,147,703.17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21,810,475.17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526,947.13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669,676.78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212,417.91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1,409,041.82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119,431,887.42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199,430,711.51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7,019,791.72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5,510,070.08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331,392,460.73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28,412,856.93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74,678,586.33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3,231,614.38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106,323,057.64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5,830,633.44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35,882,967.01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1,015,410.73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260,439.00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42,989,450.18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5,830,633.44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35,882,967.01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1,015,410.73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260,439.00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42,989,450.18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773,251.38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17,885,856.59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958,677.25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19,617,785.22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678,400.90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17,862,600.21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958,677.25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19,499,678.36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118,106.86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33,470,238.99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92,675,696.75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3,288,347.86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260,439.00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129,694,722.60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2,886,206.39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2,886,206.39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2,886,206.39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2,886,206.39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85,961,648.43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103,868,808.37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3,731,443.86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5,249,631.08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198,811,531.74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92,511,156.66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54,364,631.46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5,148,298.42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152,024,086.54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日，本公司之子公司神州数码中国有限公司自中国进出口银行北京分行借款</w:t>
      </w:r>
      <w:r>
        <w:rPr>
          <w:rFonts w:ascii="Times New Roman" w:eastAsia="Times New Roman" w:hAnsi="Times New Roman" w:cs="Times New Roman"/>
          <w:color w:val="000000"/>
          <w:spacing w:val="0"/>
          <w:w w:val="100"/>
          <w:position w:val="0"/>
          <w:sz w:val="18"/>
          <w:szCs w:val="18"/>
        </w:rPr>
        <w:t>386,000,000.00</w:t>
      </w:r>
      <w:r>
        <w:rPr>
          <w:color w:val="000000"/>
          <w:spacing w:val="0"/>
          <w:w w:val="100"/>
          <w:position w:val="0"/>
        </w:rPr>
        <w:t>元，利率 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日。本公司为神码中国上述借款提供担保，本公司之子公司广州神州数码信息科技有限公司以 其房屋所有权抵押给中国进出口银行北京分行，抵押到期日为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日。上述被抵押之投资性房地产于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日账面价值为</w:t>
      </w:r>
      <w:r>
        <w:rPr>
          <w:rFonts w:ascii="Times New Roman" w:eastAsia="Times New Roman" w:hAnsi="Times New Roman" w:cs="Times New Roman"/>
          <w:color w:val="000000"/>
          <w:spacing w:val="0"/>
          <w:w w:val="100"/>
          <w:position w:val="0"/>
          <w:sz w:val="18"/>
          <w:szCs w:val="18"/>
        </w:rPr>
        <w:t>161,946,565.53</w:t>
      </w:r>
      <w:r>
        <w:rPr>
          <w:color w:val="000000"/>
          <w:spacing w:val="0"/>
          <w:w w:val="100"/>
          <w:position w:val="0"/>
        </w:rPr>
        <w:t>元，被抵押之固定资产于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日账面价值为</w:t>
      </w:r>
      <w:r>
        <w:rPr>
          <w:rFonts w:ascii="Times New Roman" w:eastAsia="Times New Roman" w:hAnsi="Times New Roman" w:cs="Times New Roman"/>
          <w:color w:val="000000"/>
          <w:spacing w:val="0"/>
          <w:w w:val="100"/>
          <w:position w:val="0"/>
          <w:sz w:val="18"/>
          <w:szCs w:val="18"/>
        </w:rPr>
        <w:t>79,837,073.38</w:t>
      </w:r>
      <w:r>
        <w:rPr>
          <w:color w:val="000000"/>
          <w:spacing w:val="0"/>
          <w:w w:val="100"/>
          <w:position w:val="0"/>
        </w:rPr>
        <w:t>元。</w:t>
      </w:r>
      <w:r>
        <w:br w:type="page"/>
      </w:r>
    </w:p>
    <w:p>
      <w:pPr>
        <w:pStyle w:val="Style47"/>
        <w:keepNext/>
        <w:keepLines/>
        <w:widowControl w:val="0"/>
        <w:numPr>
          <w:ilvl w:val="0"/>
          <w:numId w:val="19"/>
        </w:numPr>
        <w:shd w:val="clear" w:color="auto" w:fill="auto"/>
        <w:bidi w:val="0"/>
        <w:spacing w:before="0" w:after="400" w:line="240" w:lineRule="auto"/>
        <w:ind w:left="0" w:right="0" w:firstLine="14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通过融资租赁租入的固定资产情况</w:t>
      </w:r>
      <w:bookmarkEnd w:id="1177"/>
      <w:bookmarkEnd w:id="1178"/>
      <w:bookmarkEnd w:id="1180"/>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日照大学科技园项目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3,463,447.66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577,241.27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2,886,206.39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181"/>
      <w:bookmarkEnd w:id="1182"/>
      <w:bookmarkEnd w:id="118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730,146,171.91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730,146,171.91</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140"/>
        <w:jc w:val="both"/>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85"/>
      <w:bookmarkEnd w:id="1186"/>
      <w:bookmarkEnd w:id="1187"/>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深圳土地项目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730,146,171.91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730,146,171.91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智慧校园项目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10,431,159.81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10,431,159.81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10,431,159.81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10,431,159.81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1,255,118,832.36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10,431,159.81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1,244,687,672.55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740,577,331.72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10,431,159.81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730,146,171.91</w:t>
            </w:r>
          </w:p>
        </w:tc>
      </w:tr>
    </w:tbl>
    <w:p>
      <w:pPr>
        <w:widowControl w:val="0"/>
        <w:spacing w:after="319" w:line="1" w:lineRule="exact"/>
      </w:pPr>
    </w:p>
    <w:p>
      <w:pPr>
        <w:pStyle w:val="Style47"/>
        <w:keepNext/>
        <w:keepLines/>
        <w:widowControl w:val="0"/>
        <w:numPr>
          <w:ilvl w:val="0"/>
          <w:numId w:val="17"/>
        </w:numPr>
        <w:shd w:val="clear" w:color="auto" w:fill="auto"/>
        <w:bidi w:val="0"/>
        <w:spacing w:before="0" w:after="400" w:line="240" w:lineRule="auto"/>
        <w:ind w:left="0" w:right="0" w:firstLine="14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重要在建工程项目本期变动情况</w:t>
      </w:r>
      <w:bookmarkEnd w:id="1188"/>
      <w:bookmarkEnd w:id="1189"/>
      <w:bookmarkEnd w:id="1191"/>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深圳土 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2,138,60</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730,146,</w:t>
            </w:r>
          </w:p>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514,541,</w:t>
            </w:r>
          </w:p>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1,244,68</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开发建 设阶段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444,223,</w:t>
            </w:r>
          </w:p>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914.64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170,828,</w:t>
            </w:r>
          </w:p>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2,138,60</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730,146,</w:t>
            </w:r>
          </w:p>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514,541,</w:t>
            </w:r>
          </w:p>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1,244,68</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7,672.55</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444,223,</w:t>
            </w:r>
          </w:p>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914.64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170,828,</w:t>
            </w:r>
          </w:p>
          <w:p>
            <w:pPr>
              <w:pStyle w:val="Style2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461.20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20" w:line="312"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日，本公司参加深圳市南山区深圳湾超级总部基地挂牌竞买事宜，竞得宗地编号为</w:t>
      </w:r>
      <w:r>
        <w:rPr>
          <w:rFonts w:ascii="Times New Roman" w:eastAsia="Times New Roman" w:hAnsi="Times New Roman" w:cs="Times New Roman"/>
          <w:color w:val="000000"/>
          <w:spacing w:val="0"/>
          <w:w w:val="100"/>
          <w:position w:val="0"/>
          <w:sz w:val="18"/>
          <w:szCs w:val="18"/>
        </w:rPr>
        <w:t>T207-005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的土地使用权。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日，本公司与深圳市规划和国土资源委员会南山管理局签署了《深圳市土地使用权出让合同书》，合同约定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土地用途为商业服务业用地，本宗项目建成后部分可按规定销售，本公司将可用于销售部分占用土地成本计入开发成本。该 项目已于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日开工，尚在建设中。</w:t>
      </w:r>
      <w:r>
        <w:br w:type="page"/>
      </w:r>
    </w:p>
    <w:p>
      <w:pPr>
        <w:pStyle w:val="Style40"/>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192"/>
      <w:bookmarkEnd w:id="1193"/>
      <w:bookmarkEnd w:id="1195"/>
    </w:p>
    <w:p>
      <w:pPr>
        <w:pStyle w:val="Style47"/>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96"/>
      <w:bookmarkEnd w:id="1197"/>
      <w:bookmarkEnd w:id="119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416"/>
        <w:gridCol w:w="1421"/>
        <w:gridCol w:w="1445"/>
        <w:gridCol w:w="160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非专利技术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2,614,346,000.00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58,181,708.00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10,645,128.32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13,329,312.45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2,696,502,148.77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452,688.25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452,688.25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452,688.25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452,688.25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2,614,346,000.00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58,181,708.00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10,645,128.32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13,782,000.70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2,696,954,837.02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215,637,258.28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20,839,369.91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3,764,702.47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5,660,508.29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245,901,838.95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87,490,896.35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5,818,170.76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1,470,872.11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2,674,956.06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97,454,895.28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87,490,896.35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5,818,170.76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1,470,872.11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2,674,956.06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97,454,895.28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303,128,154.63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26,657,540.67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5,235,574.58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8,335,464.35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343,356,734.23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2,311,217,845.37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31,524,167.33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5,409,553.74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5,446,536.35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2,353,598,102.79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2,398,708,741.72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37,342,338.09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6,880,425.85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7,668,804.16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2,450,600,309.82</w:t>
            </w:r>
          </w:p>
        </w:tc>
      </w:tr>
    </w:tbl>
    <w:p>
      <w:pPr>
        <w:widowControl w:val="0"/>
        <w:spacing w:after="79" w:line="1" w:lineRule="exact"/>
      </w:pP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0.38%</w:t>
      </w:r>
      <w:r>
        <w:rPr>
          <w:color w:val="000000"/>
          <w:spacing w:val="0"/>
          <w:w w:val="100"/>
          <w:position w:val="0"/>
        </w:rPr>
        <w:t>。</w:t>
      </w:r>
    </w:p>
    <w:p>
      <w:pPr>
        <w:pStyle w:val="Style40"/>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1199"/>
      <w:bookmarkEnd w:id="1200"/>
      <w:bookmarkEnd w:id="1201"/>
    </w:p>
    <w:p>
      <w:pPr>
        <w:pStyle w:val="Style47"/>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02"/>
      <w:bookmarkEnd w:id="1203"/>
      <w:bookmarkEnd w:id="120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38"/>
        <w:gridCol w:w="1286"/>
        <w:gridCol w:w="1416"/>
        <w:gridCol w:w="1277"/>
        <w:gridCol w:w="1277"/>
        <w:gridCol w:w="1114"/>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收购神州控股下属</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分销业务公司（注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611,728,930.98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611,728,930.98</w:t>
            </w:r>
          </w:p>
        </w:tc>
      </w:tr>
    </w:tbl>
    <w:tbl>
      <w:tblPr>
        <w:tblOverlap w:val="never"/>
        <w:jc w:val="center"/>
        <w:tblLayout w:type="fixed"/>
      </w:tblPr>
      <w:tblGrid>
        <w:gridCol w:w="1838"/>
        <w:gridCol w:w="1286"/>
        <w:gridCol w:w="1416"/>
        <w:gridCol w:w="1277"/>
        <w:gridCol w:w="1277"/>
        <w:gridCol w:w="1114"/>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上海云角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319,557,894.07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319,557,894.07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931,286,825.05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931,286,825.05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rPr>
        <w:t>该商誉为本公司于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月非同一控制收购神码公司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股权产生，合并对价</w:t>
      </w:r>
      <w:r>
        <w:rPr>
          <w:rFonts w:ascii="Times New Roman" w:eastAsia="Times New Roman" w:hAnsi="Times New Roman" w:cs="Times New Roman"/>
          <w:color w:val="000000"/>
          <w:spacing w:val="0"/>
          <w:w w:val="100"/>
          <w:position w:val="0"/>
          <w:sz w:val="18"/>
          <w:szCs w:val="18"/>
        </w:rPr>
        <w:t>4,010,000,000.00</w:t>
      </w:r>
      <w:r>
        <w:rPr>
          <w:color w:val="000000"/>
          <w:spacing w:val="0"/>
          <w:w w:val="100"/>
          <w:position w:val="0"/>
        </w:rPr>
        <w:t>元，合并日本 公司应享有的神码公司可辨认净资产公允价值为</w:t>
      </w:r>
      <w:r>
        <w:rPr>
          <w:rFonts w:ascii="Times New Roman" w:eastAsia="Times New Roman" w:hAnsi="Times New Roman" w:cs="Times New Roman"/>
          <w:color w:val="000000"/>
          <w:spacing w:val="0"/>
          <w:w w:val="100"/>
          <w:position w:val="0"/>
          <w:sz w:val="18"/>
          <w:szCs w:val="18"/>
        </w:rPr>
        <w:t>3,398,271,069.02</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611,728,930.98</w:t>
      </w:r>
      <w:r>
        <w:rPr>
          <w:color w:val="000000"/>
          <w:spacing w:val="0"/>
          <w:w w:val="100"/>
          <w:position w:val="0"/>
        </w:rPr>
        <w:t>元计入商誉。</w:t>
      </w:r>
    </w:p>
    <w:p>
      <w:pPr>
        <w:pStyle w:val="Style37"/>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该商誉为本公司于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年非同一控制下收购上海云角</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股权产生，合并对价</w:t>
      </w:r>
      <w:r>
        <w:rPr>
          <w:rFonts w:ascii="Times New Roman" w:eastAsia="Times New Roman" w:hAnsi="Times New Roman" w:cs="Times New Roman"/>
          <w:color w:val="000000"/>
          <w:spacing w:val="0"/>
          <w:w w:val="100"/>
          <w:position w:val="0"/>
          <w:sz w:val="18"/>
          <w:szCs w:val="18"/>
        </w:rPr>
        <w:t>360,000,000.00</w:t>
      </w:r>
      <w:r>
        <w:rPr>
          <w:color w:val="000000"/>
          <w:spacing w:val="0"/>
          <w:w w:val="100"/>
          <w:position w:val="0"/>
        </w:rPr>
        <w:t>元，公司应享有的上海 云角可辨认净资产公允价值为</w:t>
      </w:r>
      <w:r>
        <w:rPr>
          <w:rFonts w:ascii="Times New Roman" w:eastAsia="Times New Roman" w:hAnsi="Times New Roman" w:cs="Times New Roman"/>
          <w:color w:val="000000"/>
          <w:spacing w:val="0"/>
          <w:w w:val="100"/>
          <w:position w:val="0"/>
          <w:sz w:val="18"/>
          <w:szCs w:val="18"/>
        </w:rPr>
        <w:t>40,442,105.93</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319,557,894.07</w:t>
      </w:r>
      <w:r>
        <w:rPr>
          <w:color w:val="000000"/>
          <w:spacing w:val="0"/>
          <w:w w:val="100"/>
          <w:position w:val="0"/>
        </w:rPr>
        <w:t>元计入商誉。</w:t>
      </w:r>
    </w:p>
    <w:p>
      <w:pPr>
        <w:pStyle w:val="Style47"/>
        <w:keepNext/>
        <w:keepLines/>
        <w:widowControl w:val="0"/>
        <w:shd w:val="clear" w:color="auto" w:fill="auto"/>
        <w:bidi w:val="0"/>
        <w:spacing w:before="0" w:after="400" w:line="240" w:lineRule="auto"/>
        <w:ind w:left="0" w:right="0" w:firstLine="0"/>
        <w:jc w:val="both"/>
      </w:pPr>
      <w:bookmarkStart w:id="1205" w:name="bookmark1205"/>
      <w:bookmarkStart w:id="1206" w:name="bookmark1206"/>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05"/>
      <w:bookmarkEnd w:id="1206"/>
      <w:bookmarkEnd w:id="1207"/>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133"/>
        <w:gridCol w:w="994"/>
        <w:gridCol w:w="994"/>
        <w:gridCol w:w="1133"/>
        <w:gridCol w:w="974"/>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收购神州控股下属</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7"/>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本公司管理层对因收购神州控股下属</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分销业务公司产生的商誉进行减值测试，考虑神州控股下属</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分销业务公司主营 业务明确并且单一，同时其主营业务或产品直接与市场衔接，由市场定价，符合资产组的相关要件，同时企业内不再存在其 他与神州控股下属</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分销业务公司相同条件的经营业务，因此将神州控股下属</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分销业务公司认定为一个资产组，并以该资 产组为基础进行商誉的减值测试。</w:t>
      </w:r>
    </w:p>
    <w:p>
      <w:pPr>
        <w:pStyle w:val="Style37"/>
        <w:keepNext w:val="0"/>
        <w:keepLines w:val="0"/>
        <w:widowControl w:val="0"/>
        <w:shd w:val="clear" w:color="auto" w:fill="auto"/>
        <w:bidi w:val="0"/>
        <w:spacing w:before="0" w:after="340" w:line="315" w:lineRule="exact"/>
        <w:ind w:left="0" w:right="0" w:firstLine="360"/>
        <w:jc w:val="both"/>
      </w:pPr>
      <w:r>
        <w:rPr>
          <w:color w:val="000000"/>
          <w:spacing w:val="0"/>
          <w:w w:val="100"/>
          <w:position w:val="0"/>
        </w:rPr>
        <w:t>本公司管理层对因收购上海云角产生的商誉进行减值测试，考虑上海云角主营业务明确并且单一，同时其主营业务或产 品直接与市场衔接，由市场定价，符合资产组的相关要件，因此将上海云角认定为一个资产组，并以该资产组为基础进行商 誉的减值测试。</w:t>
      </w:r>
    </w:p>
    <w:p>
      <w:pPr>
        <w:pStyle w:val="Style37"/>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7"/>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本公司采用收益法对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日资产组未来预计产生的现金流量现值进行估算，依据神码公司管理层制定的未 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年财务预算及</w:t>
      </w:r>
      <w:r>
        <w:rPr>
          <w:rFonts w:ascii="Times New Roman" w:eastAsia="Times New Roman" w:hAnsi="Times New Roman" w:cs="Times New Roman"/>
          <w:color w:val="000000"/>
          <w:spacing w:val="0"/>
          <w:w w:val="100"/>
          <w:position w:val="0"/>
          <w:sz w:val="18"/>
          <w:szCs w:val="18"/>
        </w:rPr>
        <w:t>15.21%</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年财务预算之后年份的现金流量均保持稳定。对神码 公司预计未来现金流量现值的计算采用了 </w:t>
      </w:r>
      <w:r>
        <w:rPr>
          <w:rFonts w:ascii="Times New Roman" w:eastAsia="Times New Roman" w:hAnsi="Times New Roman" w:cs="Times New Roman"/>
          <w:color w:val="000000"/>
          <w:spacing w:val="0"/>
          <w:w w:val="100"/>
          <w:position w:val="0"/>
          <w:sz w:val="18"/>
          <w:szCs w:val="18"/>
        </w:rPr>
        <w:t>3.87%-4.00%</w:t>
      </w:r>
      <w:r>
        <w:rPr>
          <w:color w:val="000000"/>
          <w:spacing w:val="0"/>
          <w:w w:val="100"/>
          <w:position w:val="0"/>
        </w:rPr>
        <w:t>的毛利率及</w:t>
      </w:r>
      <w:r>
        <w:rPr>
          <w:rFonts w:ascii="Times New Roman" w:eastAsia="Times New Roman" w:hAnsi="Times New Roman" w:cs="Times New Roman"/>
          <w:color w:val="000000"/>
          <w:spacing w:val="0"/>
          <w:w w:val="100"/>
          <w:position w:val="0"/>
          <w:sz w:val="18"/>
          <w:szCs w:val="18"/>
        </w:rPr>
        <w:t>2.40%-8.92%</w:t>
      </w:r>
      <w:r>
        <w:rPr>
          <w:color w:val="000000"/>
          <w:spacing w:val="0"/>
          <w:w w:val="100"/>
          <w:position w:val="0"/>
        </w:rPr>
        <w:t>的营业收入增长率作为关键假设，确定依据 是预算期间之前的历史情况及对市场发展的预测。</w:t>
      </w:r>
    </w:p>
    <w:p>
      <w:pPr>
        <w:pStyle w:val="Style37"/>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本公司采用收益法对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日资产组未来预计产生的现金流量现值进行估算，依据上海云角管理层制定的未来</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年财务预算及</w:t>
      </w:r>
      <w:r>
        <w:rPr>
          <w:rFonts w:ascii="Times New Roman" w:eastAsia="Times New Roman" w:hAnsi="Times New Roman" w:cs="Times New Roman"/>
          <w:color w:val="000000"/>
          <w:spacing w:val="0"/>
          <w:w w:val="100"/>
          <w:position w:val="0"/>
          <w:sz w:val="18"/>
          <w:szCs w:val="18"/>
        </w:rPr>
        <w:t>12.40%</w:t>
      </w:r>
      <w:r>
        <w:rPr>
          <w:color w:val="000000"/>
          <w:spacing w:val="0"/>
          <w:w w:val="100"/>
          <w:position w:val="0"/>
        </w:rPr>
        <w:t>税前折现率预计未来现金流量现值，超过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年财务预算之后年份的现金流量均保持稳定。对上海云角预 计未来现金流量现值的计算采用了</w:t>
      </w:r>
      <w:r>
        <w:rPr>
          <w:rFonts w:ascii="Times New Roman" w:eastAsia="Times New Roman" w:hAnsi="Times New Roman" w:cs="Times New Roman"/>
          <w:color w:val="000000"/>
          <w:spacing w:val="0"/>
          <w:w w:val="100"/>
          <w:position w:val="0"/>
          <w:sz w:val="18"/>
          <w:szCs w:val="18"/>
        </w:rPr>
        <w:t>21.29%-24.42%</w:t>
      </w:r>
      <w:r>
        <w:rPr>
          <w:color w:val="000000"/>
          <w:spacing w:val="0"/>
          <w:w w:val="100"/>
          <w:position w:val="0"/>
        </w:rPr>
        <w:t>的毛利率及</w:t>
      </w:r>
      <w:r>
        <w:rPr>
          <w:rFonts w:ascii="Times New Roman" w:eastAsia="Times New Roman" w:hAnsi="Times New Roman" w:cs="Times New Roman"/>
          <w:color w:val="000000"/>
          <w:spacing w:val="0"/>
          <w:w w:val="100"/>
          <w:position w:val="0"/>
          <w:sz w:val="18"/>
          <w:szCs w:val="18"/>
        </w:rPr>
        <w:t>0.00%-26.01%</w:t>
      </w:r>
      <w:r>
        <w:rPr>
          <w:color w:val="000000"/>
          <w:spacing w:val="0"/>
          <w:w w:val="100"/>
          <w:position w:val="0"/>
        </w:rPr>
        <w:t>的营业收入增长率作为关键假设，确定依据是预 算期间之前的历史情况及对市场发展的预测。减值测试后，未发现商誉需要计提减值的情况。</w:t>
      </w:r>
    </w:p>
    <w:p>
      <w:pPr>
        <w:pStyle w:val="Style37"/>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37"/>
        <w:keepNext w:val="0"/>
        <w:keepLines w:val="0"/>
        <w:widowControl w:val="0"/>
        <w:shd w:val="clear" w:color="auto" w:fill="auto"/>
        <w:bidi w:val="0"/>
        <w:spacing w:before="0" w:line="317" w:lineRule="exact"/>
        <w:ind w:left="0" w:right="0" w:firstLine="320"/>
        <w:jc w:val="both"/>
      </w:pPr>
      <w:r>
        <w:rPr>
          <w:color w:val="000000"/>
          <w:spacing w:val="0"/>
          <w:w w:val="100"/>
          <w:position w:val="0"/>
        </w:rPr>
        <w:t>减值测试后，未发现商誉需要计提减值的情况。</w:t>
      </w:r>
      <w:r>
        <w:br w:type="page"/>
      </w:r>
    </w:p>
    <w:p>
      <w:pPr>
        <w:pStyle w:val="Style40"/>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208"/>
      <w:bookmarkEnd w:id="1209"/>
      <w:bookmarkEnd w:id="1211"/>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8,082,529.24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5,150,761.02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5,155,187.62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8,078,102.64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2,962,486.36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3,712,154.60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2,097,606.03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4,577,034.93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11,045,015.60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8,862,915.62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7,252,793.65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12,655,137.57</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12"/>
      <w:bookmarkEnd w:id="1213"/>
      <w:bookmarkEnd w:id="1215"/>
    </w:p>
    <w:p>
      <w:pPr>
        <w:pStyle w:val="Style47"/>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16"/>
      <w:bookmarkEnd w:id="1217"/>
      <w:bookmarkEnd w:id="121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481,423,753.40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118,501,551.90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497,429,081.11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122,311,746.32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8,523,506.96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2,130,876.75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162,261.48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40,565.37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154,078,772.74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38,519,693.18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33,171,651.22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8,292,912.80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预提销售折扣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1,136,430,991.03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284,012,387.98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1,057,690,795.21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264,261,150.72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83,938,676.26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20,984,669.06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53,034,031.04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13,258,507.76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22,788,005.80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金融工具公允价值变动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9,866,668.62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2,466,667.16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16,932,151.81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4,233,037.96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1,972,014,392.22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491,053,851.83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1,673,819,971.87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416,247,920.93</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19"/>
      <w:bookmarkEnd w:id="1220"/>
      <w:bookmarkEnd w:id="1221"/>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97,738,245.36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24,434,561.34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109,865,726.00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27,466,431.50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预扣税金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271,544,839.12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67,886,209.78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259,504,351.80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64,876,087.95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采购折扣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210,902,670.20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52,274,978.22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238,846,720.25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59,176,480.50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68,230,892.88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17,057,723.22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57,207,271.69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14,301,817.92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648,416,647.56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161,653,472.56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665,424,069.74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165,820,817.87</w:t>
            </w:r>
          </w:p>
        </w:tc>
      </w:tr>
    </w:tbl>
    <w:p>
      <w:pPr>
        <w:spacing w:lineRule="exact" w:line="1"/>
        <w:rPr>
          <w:sz w:val="2"/>
          <w:szCs w:val="2"/>
        </w:rPr>
      </w:pPr>
      <w:r>
        <w:br w:type="page"/>
      </w:r>
    </w:p>
    <w:p>
      <w:pPr>
        <w:pStyle w:val="Style47"/>
        <w:keepNext/>
        <w:keepLines/>
        <w:widowControl w:val="0"/>
        <w:numPr>
          <w:ilvl w:val="0"/>
          <w:numId w:val="21"/>
        </w:numPr>
        <w:shd w:val="clear" w:color="auto" w:fill="auto"/>
        <w:bidi w:val="0"/>
        <w:spacing w:before="0" w:after="40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以抵销后净额列示的递延所得税资产或负债</w:t>
      </w:r>
      <w:bookmarkEnd w:id="1222"/>
      <w:bookmarkEnd w:id="1223"/>
      <w:bookmarkEnd w:id="1225"/>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51,598,944.22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439,454,907.61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58,499,447.25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357,748,473.68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51,598,944.22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110,054,528.34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58,499,447.25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107,321,370.62</w:t>
            </w:r>
          </w:p>
        </w:tc>
      </w:tr>
    </w:tbl>
    <w:p>
      <w:pPr>
        <w:widowControl w:val="0"/>
        <w:spacing w:after="319" w:line="1" w:lineRule="exact"/>
      </w:pPr>
    </w:p>
    <w:p>
      <w:pPr>
        <w:pStyle w:val="Style47"/>
        <w:keepNext/>
        <w:keepLines/>
        <w:widowControl w:val="0"/>
        <w:numPr>
          <w:ilvl w:val="0"/>
          <w:numId w:val="21"/>
        </w:numPr>
        <w:shd w:val="clear" w:color="auto" w:fill="auto"/>
        <w:bidi w:val="0"/>
        <w:spacing w:before="0" w:after="40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未确认递延所得税资产明细</w:t>
      </w:r>
      <w:bookmarkEnd w:id="1226"/>
      <w:bookmarkEnd w:id="1227"/>
      <w:bookmarkEnd w:id="1229"/>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431,995,589.62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350,753,231.83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775,634,641.64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617,232,617.49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1,207,630,231.26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967,985,849.32</w:t>
            </w:r>
          </w:p>
        </w:tc>
      </w:tr>
    </w:tbl>
    <w:p>
      <w:pPr>
        <w:widowControl w:val="0"/>
        <w:spacing w:after="319" w:line="1" w:lineRule="exact"/>
      </w:pPr>
    </w:p>
    <w:p>
      <w:pPr>
        <w:pStyle w:val="Style47"/>
        <w:keepNext/>
        <w:keepLines/>
        <w:widowControl w:val="0"/>
        <w:numPr>
          <w:ilvl w:val="0"/>
          <w:numId w:val="21"/>
        </w:numPr>
        <w:shd w:val="clear" w:color="auto" w:fill="auto"/>
        <w:bidi w:val="0"/>
        <w:spacing w:before="0" w:after="40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未确认递延所得税资产的可抵扣亏损将于以下年度到期</w:t>
      </w:r>
      <w:bookmarkEnd w:id="1230"/>
      <w:bookmarkEnd w:id="1231"/>
      <w:bookmarkEnd w:id="1233"/>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8,312,055.51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111,939,028.79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120,066,513.74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181,833,860.46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198,126,041.45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135,134,089.38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147,501,191.89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186,563,837.91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143,226,814.90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160,163,825.10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775,634,641.64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617,232,617.49</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234"/>
      <w:bookmarkEnd w:id="1235"/>
      <w:bookmarkEnd w:id="1237"/>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65"/>
        <w:gridCol w:w="1560"/>
        <w:gridCol w:w="1277"/>
        <w:gridCol w:w="1272"/>
        <w:gridCol w:w="1560"/>
        <w:gridCol w:w="994"/>
        <w:gridCol w:w="135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90,146,901.95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90,146,901.95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90,317,630.76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90,317,630.76</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90,146,901.95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90,146,901.95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90,317,630.76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90,317,630.76</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238"/>
      <w:bookmarkEnd w:id="1239"/>
      <w:bookmarkEnd w:id="1241"/>
    </w:p>
    <w:p>
      <w:pPr>
        <w:pStyle w:val="Style47"/>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42"/>
      <w:bookmarkEnd w:id="1243"/>
      <w:bookmarkEnd w:id="124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7,511,224,587.19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5,989,896,267.76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2,372,513.96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1,545,154,479.05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2,680,845,128.35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16,738,263.84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21,011,768.04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9,461,489,844.04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9,691,753,164.15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5</w:t>
      </w:r>
      <w:r>
        <w:rPr>
          <w:color w:val="000000"/>
          <w:spacing w:val="0"/>
          <w:w w:val="100"/>
          <w:position w:val="0"/>
        </w:rPr>
        <w:t>、交易性金融负债</w:t>
      </w:r>
      <w:bookmarkEnd w:id="1245"/>
      <w:bookmarkEnd w:id="1246"/>
      <w:bookmarkEnd w:id="124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22,085,412.30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22,085,412.30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22,085,412.30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249"/>
      <w:bookmarkEnd w:id="1250"/>
      <w:bookmarkEnd w:id="1252"/>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247,783,600.03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357,239,591.14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3,556,802,576.90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3,201,447,492.54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3,804,586,176.93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3,558,687,083.68</w:t>
            </w:r>
          </w:p>
        </w:tc>
      </w:tr>
    </w:tbl>
    <w:p>
      <w:pPr>
        <w:widowControl w:val="0"/>
        <w:spacing w:after="79" w:line="1" w:lineRule="exact"/>
      </w:pP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253"/>
      <w:bookmarkEnd w:id="1254"/>
      <w:bookmarkEnd w:id="1256"/>
    </w:p>
    <w:p>
      <w:pPr>
        <w:pStyle w:val="Style47"/>
        <w:keepNext/>
        <w:keepLines/>
        <w:widowControl w:val="0"/>
        <w:shd w:val="clear" w:color="auto" w:fill="auto"/>
        <w:bidi w:val="0"/>
        <w:spacing w:before="0" w:line="240" w:lineRule="auto"/>
        <w:ind w:left="0" w:right="0" w:firstLine="14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7"/>
      <w:bookmarkEnd w:id="1258"/>
      <w:bookmarkEnd w:id="1259"/>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6,312,788,897.91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5,825,871,423.34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6,312,788,897.91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5,825,871,423.34</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260"/>
      <w:bookmarkEnd w:id="1261"/>
      <w:bookmarkEnd w:id="1263"/>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1,292,836,253.61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1,165,483,889.52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5,432,640.28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6,031,375.35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1,298,268,893.89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1,171,515,264.87</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264"/>
      <w:bookmarkEnd w:id="1265"/>
      <w:bookmarkEnd w:id="1267"/>
    </w:p>
    <w:p>
      <w:pPr>
        <w:pStyle w:val="Style47"/>
        <w:keepNext/>
        <w:keepLines/>
        <w:widowControl w:val="0"/>
        <w:shd w:val="clear" w:color="auto" w:fill="auto"/>
        <w:bidi w:val="0"/>
        <w:spacing w:before="0" w:after="400" w:line="240" w:lineRule="auto"/>
        <w:ind w:left="0" w:right="0" w:firstLine="0"/>
        <w:jc w:val="left"/>
      </w:pPr>
      <w:bookmarkStart w:id="1268" w:name="bookmark1268"/>
      <w:bookmarkStart w:id="1269" w:name="bookmark1269"/>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68"/>
      <w:bookmarkEnd w:id="1269"/>
      <w:bookmarkEnd w:id="127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25"/>
        <w:gridCol w:w="1915"/>
        <w:gridCol w:w="1910"/>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423,411,266.95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1,009,440,703.45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957,814,170.77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475,037,799.63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4,284,360.46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45,828,253.40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45,781,781.75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4,330,832.11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2,946,784.12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2,946,784.12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427,695,627.41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1,058,215,740.97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1,006,542,736.64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479,368,631.74</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14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1"/>
      <w:bookmarkEnd w:id="1272"/>
      <w:bookmarkEnd w:id="1273"/>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419,960,703.17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875,997,325.51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826,479,163.37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469,478,865.31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12,219,637.73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12,219,637.73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2,424,384.89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42,455,574.90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41,821,807.90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3,058,151.89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2,219,258.93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39,237,655.96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38,655,661.45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2,801,253.44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495,670.53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511,949.38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34,021.24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154,825.87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2,722,248.41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2,654,197.07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222,877.21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141,835.90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60,557,925.87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60,134,719.27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565,042.50</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884,342.99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18,210,239.44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17,158,842.50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1,935,739.93</w:t>
            </w:r>
          </w:p>
        </w:tc>
      </w:tr>
    </w:tbl>
    <w:p>
      <w:pPr>
        <w:spacing w:lineRule="exact" w:line="1"/>
        <w:rPr>
          <w:sz w:val="2"/>
          <w:szCs w:val="2"/>
        </w:rPr>
      </w:pPr>
      <w:r>
        <w:br w:type="page"/>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423,411,266.95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1,009,440,703.45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957,814,170.77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475,037,799.63</w:t>
            </w:r>
          </w:p>
        </w:tc>
      </w:tr>
    </w:tbl>
    <w:p>
      <w:pPr>
        <w:widowControl w:val="0"/>
        <w:spacing w:after="339" w:line="1" w:lineRule="exact"/>
      </w:pPr>
    </w:p>
    <w:p>
      <w:pPr>
        <w:pStyle w:val="Style47"/>
        <w:keepNext/>
        <w:keepLines/>
        <w:widowControl w:val="0"/>
        <w:shd w:val="clear" w:color="auto" w:fill="auto"/>
        <w:bidi w:val="0"/>
        <w:spacing w:before="0" w:after="40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74"/>
      <w:bookmarkEnd w:id="1275"/>
      <w:bookmarkEnd w:id="1277"/>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4,105,365.76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44,084,135.47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44,027,628.25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4,161,872.98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178,994.70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1,744,117.93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1,754,153.50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168,959.13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4,284,360.46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45,828,253.40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45,781,781.75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4,330,832.11</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278"/>
      <w:bookmarkEnd w:id="1279"/>
      <w:bookmarkEnd w:id="1281"/>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214,277,062.86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223,247,997.42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194,594,879.83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222,094,923.52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3,324,740.07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2,790,733.66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3,262,533.05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4,955,764.47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26,792,757.10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17,049,282.59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1,398,228.45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2,123,899.06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964,125.64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1,297,350.31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62,854.33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38,150.15</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444,677,181.33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473,598,101.18</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82"/>
      <w:bookmarkEnd w:id="1283"/>
      <w:bookmarkEnd w:id="1285"/>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877,218,246.70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794,739,812.80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877,218,246.70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794,739,812.80</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86"/>
      <w:bookmarkEnd w:id="1287"/>
      <w:bookmarkEnd w:id="1288"/>
    </w:p>
    <w:p>
      <w:pPr>
        <w:pStyle w:val="Style68"/>
        <w:keepNext/>
        <w:keepLines/>
        <w:widowControl w:val="0"/>
        <w:shd w:val="clear" w:color="auto" w:fill="auto"/>
        <w:bidi w:val="0"/>
        <w:spacing w:before="0" w:after="40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color w:val="000000"/>
          <w:spacing w:val="0"/>
          <w:w w:val="100"/>
          <w:position w:val="0"/>
        </w:rPr>
        <w:t>）按款项性质列示其他应付款</w:t>
      </w:r>
      <w:bookmarkEnd w:id="1289"/>
      <w:bookmarkEnd w:id="1290"/>
      <w:bookmarkEnd w:id="1292"/>
    </w:p>
    <w:p>
      <w:pPr>
        <w:pStyle w:val="Style3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待付合同款项及代收代付款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389,229,950.58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326,943,176.90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301,100,564.54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282,072,639.86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待支付的渠道推广费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61,753,991.40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69,638,286.57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21,759,150.10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31,084,500.10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39,071,319.89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19,645,070.42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待支付中介机构款项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16,995,393.24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15,852,051.93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待支付员工报销款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14,787,407.74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11,959,276.36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32,520,469.21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37,544,810.66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877,218,246.70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794,739,812.80</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93"/>
      <w:bookmarkEnd w:id="1294"/>
      <w:bookmarkEnd w:id="129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卓越置业集团有限公司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299,062,499.94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299,062,499.94</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310" w:lineRule="exact"/>
        <w:ind w:left="0" w:right="0"/>
        <w:jc w:val="left"/>
      </w:pPr>
      <w:r>
        <w:rPr>
          <w:color w:val="000000"/>
          <w:spacing w:val="0"/>
          <w:w w:val="100"/>
          <w:position w:val="0"/>
        </w:rPr>
        <w:t>其他应付款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保证金中包括收到卓越置业集团有限公司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卓越置业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万元及计提利息</w:t>
      </w:r>
      <w:r>
        <w:rPr>
          <w:rFonts w:ascii="Times New Roman" w:eastAsia="Times New Roman" w:hAnsi="Times New Roman" w:cs="Times New Roman"/>
          <w:color w:val="000000"/>
          <w:spacing w:val="0"/>
          <w:w w:val="100"/>
          <w:position w:val="0"/>
          <w:sz w:val="18"/>
          <w:szCs w:val="18"/>
        </w:rPr>
        <w:t xml:space="preserve">4,906.25 </w:t>
      </w:r>
      <w:r>
        <w:rPr>
          <w:color w:val="000000"/>
          <w:spacing w:val="0"/>
          <w:w w:val="100"/>
          <w:position w:val="0"/>
        </w:rPr>
        <w:t>万元。该笔款项系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日，本公司与卓越置业签署了《深圳湾神州数码国际总部项目策划营销综合管理服务协议》， 协议约定</w:t>
      </w:r>
      <w:r>
        <w:rPr>
          <w:color w:val="000000"/>
          <w:spacing w:val="0"/>
          <w:w w:val="100"/>
          <w:position w:val="0"/>
          <w:sz w:val="18"/>
          <w:szCs w:val="18"/>
        </w:rPr>
        <w:t>：</w:t>
      </w:r>
      <w:r>
        <w:rPr>
          <w:color w:val="000000"/>
          <w:spacing w:val="0"/>
          <w:w w:val="100"/>
          <w:position w:val="0"/>
        </w:rPr>
        <w:t>卓越置业应分别于合同生效后及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日前，分次支付给公司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亿元履约保证金，在协议服务期限内，若完 成销售收入，本公司需按照年利率的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，将卓越置业支付的履约保证金本息一次性退还给卓越置业。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日，卓 越置业已支付履约保证金</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万元。截止本报告期末，本公司计提利息</w:t>
      </w:r>
      <w:r>
        <w:rPr>
          <w:rFonts w:ascii="Times New Roman" w:eastAsia="Times New Roman" w:hAnsi="Times New Roman" w:cs="Times New Roman"/>
          <w:color w:val="000000"/>
          <w:spacing w:val="0"/>
          <w:w w:val="100"/>
          <w:position w:val="0"/>
          <w:sz w:val="18"/>
          <w:szCs w:val="18"/>
        </w:rPr>
        <w:t>4,906.25</w:t>
      </w:r>
      <w:r>
        <w:rPr>
          <w:color w:val="000000"/>
          <w:spacing w:val="0"/>
          <w:w w:val="100"/>
          <w:position w:val="0"/>
        </w:rPr>
        <w:t>万元。</w:t>
      </w:r>
    </w:p>
    <w:p>
      <w:pPr>
        <w:pStyle w:val="Style40"/>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1297"/>
      <w:bookmarkEnd w:id="1298"/>
      <w:bookmarkEnd w:id="130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670,100,000.00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542,000,000.00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143,111.55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1,770,050.53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670,243,111.55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543,770,050.53</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301"/>
      <w:bookmarkEnd w:id="1302"/>
      <w:bookmarkEnd w:id="130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1,212,125.60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1,212,125.60</w:t>
            </w:r>
          </w:p>
        </w:tc>
      </w:tr>
    </w:tbl>
    <w:p>
      <w:pPr>
        <w:spacing w:lineRule="exact" w:line="1"/>
        <w:rPr>
          <w:sz w:val="2"/>
          <w:szCs w:val="2"/>
        </w:rPr>
      </w:pPr>
      <w:r>
        <w:br w:type="page"/>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政府补助详细说明:</w:t>
      </w:r>
    </w:p>
    <w:tbl>
      <w:tblPr>
        <w:tblOverlap w:val="never"/>
        <w:jc w:val="center"/>
        <w:tblLayout w:type="fixed"/>
      </w:tblPr>
      <w:tblGrid>
        <w:gridCol w:w="2290"/>
        <w:gridCol w:w="989"/>
        <w:gridCol w:w="1138"/>
        <w:gridCol w:w="1133"/>
        <w:gridCol w:w="1133"/>
        <w:gridCol w:w="1022"/>
        <w:gridCol w:w="965"/>
        <w:gridCol w:w="1013"/>
      </w:tblGrid>
      <w:tr>
        <w:trPr>
          <w:trHeight w:val="46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政府补助项目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新增补助金额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计入营业外收</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计入其他收益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计入财务费</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28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入金额</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360" w:firstLine="0"/>
              <w:jc w:val="right"/>
            </w:pPr>
            <w:r>
              <w:rPr>
                <w:color w:val="000000"/>
                <w:spacing w:val="0"/>
                <w:w w:val="100"/>
                <w:position w:val="0"/>
              </w:rPr>
              <w:t>金额</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用金额</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3,378,892.81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3,378,892.81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上海市长宁财政局奖励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个税手续费返还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2,023,263.03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2,023,263.03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智慧融合的新型路由交换设 备研究与验证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上海紫竹高新技术产业开发 区专项资金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上海市闵行区科学技术委员 会小巨人培训企业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上海市产业转型升级发展（品</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牌经济发展）扶持款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以工代训补贴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武汉东湖新技术开发区关于 东湖综合保税区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自贸十条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深圳市南山区工业和信息化 局商贸流通业资助项目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上海市长宁区地方教育附加 专项资金补助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深圳市南山区关于疫情期间 贷款贴息补助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4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深圳市南山区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年度人才 安居住房补助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5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深圳市应对新型冠状病毒肺 炎疫情中小微企业贷款贴息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1, 000,000.00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高新企业认定奖励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武汉市培育企业补贴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1,212,125.60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281,246.95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263,622.55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1,204,750.00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1,212,125.60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25,272,986.79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425,000.00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23,355,362.39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1,204,750.00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r>
    </w:tbl>
    <w:p>
      <w:pPr>
        <w:pStyle w:val="Style40"/>
        <w:keepNext/>
        <w:keepLines/>
        <w:widowControl w:val="0"/>
        <w:shd w:val="clear" w:color="auto" w:fill="auto"/>
        <w:bidi w:val="0"/>
        <w:spacing w:before="0" w:after="36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4</w:t>
      </w:r>
      <w:r>
        <w:rPr>
          <w:color w:val="000000"/>
          <w:spacing w:val="0"/>
          <w:w w:val="100"/>
          <w:position w:val="0"/>
        </w:rPr>
        <w:t>、长期借款</w:t>
      </w:r>
      <w:bookmarkEnd w:id="1305"/>
      <w:bookmarkEnd w:id="1306"/>
      <w:bookmarkEnd w:id="1308"/>
    </w:p>
    <w:p>
      <w:pPr>
        <w:pStyle w:val="Style47"/>
        <w:keepNext/>
        <w:keepLines/>
        <w:widowControl w:val="0"/>
        <w:shd w:val="clear" w:color="auto" w:fill="auto"/>
        <w:bidi w:val="0"/>
        <w:spacing w:before="0" w:after="400" w:line="240" w:lineRule="auto"/>
        <w:ind w:left="0" w:right="0" w:firstLine="0"/>
        <w:jc w:val="both"/>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9"/>
      <w:bookmarkEnd w:id="1310"/>
      <w:bookmarkEnd w:id="1311"/>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518,000,000.00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1,755,064,254.90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1,566,522,052.07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239,973,000.00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18,803,179.53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17,856,192.47</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2,013,840,434.43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2,102,378,244.54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日，抵押借款包括本公司自平安银行股份有限公司深圳分行借入的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年期长期借款</w:t>
      </w:r>
      <w:r>
        <w:rPr>
          <w:rFonts w:ascii="Times New Roman" w:eastAsia="Times New Roman" w:hAnsi="Times New Roman" w:cs="Times New Roman"/>
          <w:color w:val="000000"/>
          <w:spacing w:val="0"/>
          <w:w w:val="100"/>
          <w:position w:val="0"/>
          <w:sz w:val="18"/>
          <w:szCs w:val="18"/>
        </w:rPr>
        <w:t>515,064,254.9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 利率为</w:t>
      </w:r>
      <w:r>
        <w:rPr>
          <w:rFonts w:ascii="Times New Roman" w:eastAsia="Times New Roman" w:hAnsi="Times New Roman" w:cs="Times New Roman"/>
          <w:color w:val="000000"/>
          <w:spacing w:val="0"/>
          <w:w w:val="100"/>
          <w:position w:val="0"/>
          <w:sz w:val="18"/>
          <w:szCs w:val="18"/>
        </w:rPr>
        <w:t>5.9375%</w:t>
      </w:r>
      <w:r>
        <w:rPr>
          <w:color w:val="000000"/>
          <w:spacing w:val="0"/>
          <w:w w:val="100"/>
          <w:position w:val="0"/>
        </w:rPr>
        <w:t>,以深圳市南山区深圳湾超级总部基地土地使用权进行抵押；本公司之子公司神码深圳自平安银行股份有限 公司深圳分行借入的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年期长期借款余额</w:t>
      </w:r>
      <w:r>
        <w:rPr>
          <w:rFonts w:ascii="Times New Roman" w:eastAsia="Times New Roman" w:hAnsi="Times New Roman" w:cs="Times New Roman"/>
          <w:color w:val="000000"/>
          <w:spacing w:val="0"/>
          <w:w w:val="100"/>
          <w:position w:val="0"/>
          <w:sz w:val="18"/>
          <w:szCs w:val="18"/>
        </w:rPr>
        <w:t>680,000,000.00</w:t>
      </w:r>
      <w:r>
        <w:rPr>
          <w:color w:val="000000"/>
          <w:spacing w:val="0"/>
          <w:w w:val="100"/>
          <w:position w:val="0"/>
        </w:rPr>
        <w:t>元，利率为</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，以深圳市南山区深圳湾超级总部基地土地使用权 进行抵押；本公司之子公司神码深圳自平安银行股份有限公司深圳分行借入的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年期长期借款余额</w:t>
      </w:r>
      <w:r>
        <w:rPr>
          <w:rFonts w:ascii="Times New Roman" w:eastAsia="Times New Roman" w:hAnsi="Times New Roman" w:cs="Times New Roman"/>
          <w:color w:val="000000"/>
          <w:spacing w:val="0"/>
          <w:w w:val="100"/>
          <w:position w:val="0"/>
          <w:sz w:val="18"/>
          <w:szCs w:val="18"/>
        </w:rPr>
        <w:t>400,000,000.00</w:t>
      </w:r>
      <w:r>
        <w:rPr>
          <w:color w:val="000000"/>
          <w:spacing w:val="0"/>
          <w:w w:val="100"/>
          <w:position w:val="0"/>
        </w:rPr>
        <w:t xml:space="preserve">元，利率为 </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，以深圳市南山区深圳湾超级总部基地土地使用权进行抵押；本公司之子公司神码深圳自平安银行股份有限公司深圳 分行借入的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年期长期借款余额</w:t>
      </w:r>
      <w:r>
        <w:rPr>
          <w:rFonts w:ascii="Times New Roman" w:eastAsia="Times New Roman" w:hAnsi="Times New Roman" w:cs="Times New Roman"/>
          <w:color w:val="000000"/>
          <w:spacing w:val="0"/>
          <w:w w:val="100"/>
          <w:position w:val="0"/>
          <w:sz w:val="18"/>
          <w:szCs w:val="18"/>
        </w:rPr>
        <w:t>160,000,000.00</w:t>
      </w:r>
      <w:r>
        <w:rPr>
          <w:color w:val="000000"/>
          <w:spacing w:val="0"/>
          <w:w w:val="100"/>
          <w:position w:val="0"/>
        </w:rPr>
        <w:t>元，利率为</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，以深圳市南山区深圳湾超级总部基地土地使用权进行抵押。</w:t>
      </w:r>
    </w:p>
    <w:p>
      <w:pPr>
        <w:pStyle w:val="Style37"/>
        <w:keepNext w:val="0"/>
        <w:keepLines w:val="0"/>
        <w:widowControl w:val="0"/>
        <w:shd w:val="clear" w:color="auto" w:fill="auto"/>
        <w:bidi w:val="0"/>
        <w:spacing w:before="0" w:after="0" w:line="31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日，保证借款包括本公司之子公司北京神州数码有限公司自锦州银行北京分行借入的一年半期长期借 款</w:t>
      </w:r>
      <w:r>
        <w:rPr>
          <w:rFonts w:ascii="Times New Roman" w:eastAsia="Times New Roman" w:hAnsi="Times New Roman" w:cs="Times New Roman"/>
          <w:color w:val="000000"/>
          <w:spacing w:val="0"/>
          <w:w w:val="100"/>
          <w:position w:val="0"/>
          <w:sz w:val="18"/>
          <w:szCs w:val="18"/>
        </w:rPr>
        <w:t>98,000,000.00</w:t>
      </w:r>
      <w:r>
        <w:rPr>
          <w:color w:val="000000"/>
          <w:spacing w:val="0"/>
          <w:w w:val="100"/>
          <w:position w:val="0"/>
        </w:rPr>
        <w:t>元，利率为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,由本公司提供保证；本公司之子公司神州鲲泰（厦门）信息技术有限公司自厦门银行科技 支行借入的一年半期长期借款</w:t>
      </w:r>
      <w:r>
        <w:rPr>
          <w:rFonts w:ascii="Times New Roman" w:eastAsia="Times New Roman" w:hAnsi="Times New Roman" w:cs="Times New Roman"/>
          <w:color w:val="000000"/>
          <w:spacing w:val="0"/>
          <w:w w:val="100"/>
          <w:position w:val="0"/>
          <w:sz w:val="18"/>
          <w:szCs w:val="18"/>
        </w:rPr>
        <w:t>49,900,000.00</w:t>
      </w:r>
      <w:r>
        <w:rPr>
          <w:color w:val="000000"/>
          <w:spacing w:val="0"/>
          <w:w w:val="100"/>
          <w:position w:val="0"/>
        </w:rPr>
        <w:t>元，利率为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，由本公司、神码中国提供保证。本公司自澳门银行借入的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年期 长期借款</w:t>
      </w:r>
      <w:r>
        <w:rPr>
          <w:rFonts w:ascii="Times New Roman" w:eastAsia="Times New Roman" w:hAnsi="Times New Roman" w:cs="Times New Roman"/>
          <w:color w:val="000000"/>
          <w:spacing w:val="0"/>
          <w:w w:val="100"/>
          <w:position w:val="0"/>
          <w:sz w:val="18"/>
          <w:szCs w:val="18"/>
        </w:rPr>
        <w:t>92,073,000.00</w:t>
      </w:r>
      <w:r>
        <w:rPr>
          <w:color w:val="000000"/>
          <w:spacing w:val="0"/>
          <w:w w:val="100"/>
          <w:position w:val="0"/>
        </w:rPr>
        <w:t>元，利率为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w:t>
      </w:r>
      <w:r>
        <w:rPr>
          <w:rFonts w:ascii="Times New Roman" w:eastAsia="Times New Roman" w:hAnsi="Times New Roman" w:cs="Times New Roman"/>
          <w:color w:val="000000"/>
          <w:spacing w:val="0"/>
          <w:w w:val="100"/>
          <w:position w:val="0"/>
          <w:sz w:val="18"/>
          <w:szCs w:val="18"/>
        </w:rPr>
        <w:t>LIBOR+2.05%</w:t>
      </w:r>
      <w:r>
        <w:rPr>
          <w:color w:val="000000"/>
          <w:spacing w:val="0"/>
          <w:w w:val="100"/>
          <w:position w:val="0"/>
        </w:rPr>
        <w:t>，以珠海华润银行股份有限公司开出的备用信用证提供担保。</w:t>
      </w:r>
    </w:p>
    <w:p>
      <w:pPr>
        <w:pStyle w:val="Style37"/>
        <w:keepNext w:val="0"/>
        <w:keepLines w:val="0"/>
        <w:widowControl w:val="0"/>
        <w:shd w:val="clear" w:color="auto" w:fill="auto"/>
        <w:bidi w:val="0"/>
        <w:spacing w:before="0" w:after="360" w:line="314" w:lineRule="exact"/>
        <w:ind w:left="0" w:right="0"/>
        <w:jc w:val="left"/>
      </w:pPr>
      <w:r>
        <w:rPr>
          <w:color w:val="000000"/>
          <w:spacing w:val="0"/>
          <w:w w:val="100"/>
          <w:position w:val="0"/>
        </w:rPr>
        <w:t>年末按照还款计划预计于未来一年内到期的款项已结转至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w:t>
      </w:r>
    </w:p>
    <w:p>
      <w:pPr>
        <w:pStyle w:val="Style40"/>
        <w:keepNext/>
        <w:keepLines/>
        <w:widowControl w:val="0"/>
        <w:shd w:val="clear" w:color="auto" w:fill="auto"/>
        <w:bidi w:val="0"/>
        <w:spacing w:before="0" w:after="40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3</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、长期应付款</w:t>
      </w:r>
      <w:bookmarkEnd w:id="1312"/>
      <w:bookmarkEnd w:id="1313"/>
      <w:bookmarkEnd w:id="1315"/>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378,187,968.30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310,007,671.47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378,187,968.30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310,007,671.47</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both"/>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16"/>
      <w:bookmarkEnd w:id="1317"/>
      <w:bookmarkEnd w:id="131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资产证券化业务（注）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375,768,341.28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306,471,780.82</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设备融资租赁费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2,419,627.02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3,535,890.65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日，本公司之子公司神码中国发行资产支持证券，以特定应收账款回款作为还款来源，其中向外部 投资者发行的优先级资产支持证券总面值</w:t>
      </w:r>
      <w:r>
        <w:rPr>
          <w:rFonts w:ascii="Times New Roman" w:eastAsia="Times New Roman" w:hAnsi="Times New Roman" w:cs="Times New Roman"/>
          <w:color w:val="000000"/>
          <w:spacing w:val="0"/>
          <w:w w:val="100"/>
          <w:position w:val="0"/>
          <w:sz w:val="18"/>
          <w:szCs w:val="18"/>
        </w:rPr>
        <w:t>300,000,000.00</w:t>
      </w:r>
      <w:r>
        <w:rPr>
          <w:color w:val="000000"/>
          <w:spacing w:val="0"/>
          <w:w w:val="100"/>
          <w:position w:val="0"/>
        </w:rPr>
        <w:t>元计入长期应付款。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年，本集团将自持部分优先级资产支持证</w:t>
        <w:br w:type="page"/>
      </w:r>
      <w:r>
        <w:rPr>
          <w:color w:val="000000"/>
          <w:spacing w:val="0"/>
          <w:w w:val="100"/>
          <w:position w:val="0"/>
        </w:rPr>
        <w:t>券对外出售，合计金额</w:t>
      </w:r>
      <w:r>
        <w:rPr>
          <w:rFonts w:ascii="Times New Roman" w:eastAsia="Times New Roman" w:hAnsi="Times New Roman" w:cs="Times New Roman"/>
          <w:color w:val="000000"/>
          <w:spacing w:val="0"/>
          <w:w w:val="100"/>
          <w:position w:val="0"/>
          <w:sz w:val="18"/>
          <w:szCs w:val="18"/>
        </w:rPr>
        <w:t>6,900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日，计提利息</w:t>
      </w:r>
      <w:r>
        <w:rPr>
          <w:rFonts w:ascii="Times New Roman" w:eastAsia="Times New Roman" w:hAnsi="Times New Roman" w:cs="Times New Roman"/>
          <w:color w:val="000000"/>
          <w:spacing w:val="0"/>
          <w:w w:val="100"/>
          <w:position w:val="0"/>
          <w:sz w:val="18"/>
          <w:szCs w:val="18"/>
        </w:rPr>
        <w:t>6,768,341.28</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319"/>
      <w:bookmarkEnd w:id="1320"/>
      <w:bookmarkEnd w:id="1322"/>
    </w:p>
    <w:p>
      <w:pPr>
        <w:pStyle w:val="Style3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37"/>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月，江西银行股份有限公司南昌洪城支行以借款合同纠纷为由起诉南昌凯良科技有限公司、神码上海、陈斐、 肖珣、吉安市天际房地产开发有限公司。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月，江西省高级人民法院作出（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）赣民初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号《民事判决书》判决, 南昌凯良科技有限公司应向江西银行偿还银行承兑汇票垫款本金、逾期付款利息及后续利息。要求神码上海承担差额退款责 任，并向江西银行股份有限公司南昌洪城支行违约金。截至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日，神码上海已提起上诉，法院尚未开庭审理。神 码上海依据此判决计提预计负债</w:t>
      </w:r>
      <w:r>
        <w:rPr>
          <w:rFonts w:ascii="Times New Roman" w:eastAsia="Times New Roman" w:hAnsi="Times New Roman" w:cs="Times New Roman"/>
          <w:color w:val="000000"/>
          <w:spacing w:val="0"/>
          <w:w w:val="100"/>
          <w:position w:val="0"/>
          <w:sz w:val="18"/>
          <w:szCs w:val="18"/>
        </w:rPr>
        <w:t>91,152,023.21</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23"/>
      <w:bookmarkEnd w:id="1324"/>
      <w:bookmarkEnd w:id="1326"/>
    </w:p>
    <w:p>
      <w:pPr>
        <w:pStyle w:val="Style3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138"/>
        <w:gridCol w:w="1277"/>
        <w:gridCol w:w="1421"/>
        <w:gridCol w:w="1555"/>
        <w:gridCol w:w="1277"/>
        <w:gridCol w:w="29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15,205,000.00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15,976,475.78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14,628,524.22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关于给予神州数码有限公司华南地 区总部扶持的函及项目补助；</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年工业互联网创新发展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边缘协议解 析及管理项目；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年工业互联网创 新发展工程</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15,205,000.00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15,976,475.78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14,628,524.22</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7"/>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854"/>
        <w:gridCol w:w="1133"/>
        <w:gridCol w:w="994"/>
        <w:gridCol w:w="1133"/>
        <w:gridCol w:w="994"/>
        <w:gridCol w:w="989"/>
        <w:gridCol w:w="1046"/>
        <w:gridCol w:w="1022"/>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本期计入营 业外收入金</w:t>
            </w:r>
          </w:p>
          <w:p>
            <w:pPr>
              <w:pStyle w:val="Style28"/>
              <w:keepNext w:val="0"/>
              <w:keepLines w:val="0"/>
              <w:widowControl w:val="0"/>
              <w:shd w:val="clear" w:color="auto" w:fill="auto"/>
              <w:bidi w:val="0"/>
              <w:spacing w:before="0" w:after="0" w:line="307" w:lineRule="exact"/>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广州市萝岗开发 区财政国库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华南 地区总部项目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工业互联网创新 发展项目补贴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2,274,999.30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北京市经济和信 息化局财政补助 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4,901,476.48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7,973,523.52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pStyle w:val="Style40"/>
        <w:keepNext/>
        <w:keepLines/>
        <w:widowControl w:val="0"/>
        <w:shd w:val="clear" w:color="auto" w:fill="auto"/>
        <w:bidi w:val="0"/>
        <w:spacing w:before="0" w:line="240" w:lineRule="auto"/>
        <w:ind w:left="0" w:right="0" w:firstLine="26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38</w:t>
      </w:r>
      <w:r>
        <w:rPr>
          <w:color w:val="000000"/>
          <w:spacing w:val="0"/>
          <w:w w:val="100"/>
          <w:position w:val="0"/>
        </w:rPr>
        <w:t>、股本</w:t>
      </w:r>
      <w:bookmarkEnd w:id="1327"/>
      <w:bookmarkEnd w:id="1328"/>
      <w:bookmarkEnd w:id="1329"/>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654,070,434.00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5,490,293.00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659,560,727.00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311" w:lineRule="exact"/>
        <w:ind w:left="260" w:right="0" w:firstLine="32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日召开的第九届董事会第二十六次会议和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年第一次临时股东大会决议的规 定，公司回购注销因个人实际业绩完成率未达标的激励对象持有的限制性股票</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股。上述回购注销限制性股票导致减少 股本人民币</w:t>
      </w:r>
      <w:r>
        <w:rPr>
          <w:rFonts w:ascii="Times New Roman" w:eastAsia="Times New Roman" w:hAnsi="Times New Roman" w:cs="Times New Roman"/>
          <w:color w:val="000000"/>
          <w:spacing w:val="0"/>
          <w:w w:val="100"/>
          <w:position w:val="0"/>
          <w:sz w:val="18"/>
          <w:szCs w:val="18"/>
        </w:rPr>
        <w:t>10,500.00</w:t>
      </w:r>
      <w:r>
        <w:rPr>
          <w:color w:val="000000"/>
          <w:spacing w:val="0"/>
          <w:w w:val="100"/>
          <w:position w:val="0"/>
        </w:rPr>
        <w:t>元，减少资本公积人民币</w:t>
      </w:r>
      <w:r>
        <w:rPr>
          <w:rFonts w:ascii="Times New Roman" w:eastAsia="Times New Roman" w:hAnsi="Times New Roman" w:cs="Times New Roman"/>
          <w:color w:val="000000"/>
          <w:spacing w:val="0"/>
          <w:w w:val="100"/>
          <w:position w:val="0"/>
          <w:sz w:val="18"/>
          <w:szCs w:val="18"/>
        </w:rPr>
        <w:t>71,610.00</w:t>
      </w:r>
      <w:r>
        <w:rPr>
          <w:color w:val="000000"/>
          <w:spacing w:val="0"/>
          <w:w w:val="100"/>
          <w:position w:val="0"/>
        </w:rPr>
        <w:t>元。</w:t>
      </w:r>
    </w:p>
    <w:p>
      <w:pPr>
        <w:pStyle w:val="Style37"/>
        <w:keepNext w:val="0"/>
        <w:keepLines w:val="0"/>
        <w:widowControl w:val="0"/>
        <w:shd w:val="clear" w:color="auto" w:fill="auto"/>
        <w:bidi w:val="0"/>
        <w:spacing w:before="0" w:after="380" w:line="311" w:lineRule="exact"/>
        <w:ind w:left="260" w:right="0" w:firstLine="320"/>
        <w:jc w:val="left"/>
      </w:pPr>
      <w:r>
        <w:rPr>
          <w:color w:val="000000"/>
          <w:spacing w:val="0"/>
          <w:w w:val="100"/>
          <w:position w:val="0"/>
        </w:rPr>
        <w:t xml:space="preserve">根据公司股权激励计划的相关规定，公司股票期权第一个行权期激励对象中部分员工行权，合计行权股票期权数量为 </w:t>
      </w:r>
      <w:r>
        <w:rPr>
          <w:rFonts w:ascii="Times New Roman" w:eastAsia="Times New Roman" w:hAnsi="Times New Roman" w:cs="Times New Roman"/>
          <w:color w:val="000000"/>
          <w:spacing w:val="0"/>
          <w:w w:val="100"/>
          <w:position w:val="0"/>
          <w:sz w:val="18"/>
          <w:szCs w:val="18"/>
        </w:rPr>
        <w:t>5,500,793</w:t>
      </w:r>
      <w:r>
        <w:rPr>
          <w:color w:val="000000"/>
          <w:spacing w:val="0"/>
          <w:w w:val="100"/>
          <w:position w:val="0"/>
        </w:rPr>
        <w:t>份。上述股票期权行权导致增加股本人民币</w:t>
      </w:r>
      <w:r>
        <w:rPr>
          <w:rFonts w:ascii="Times New Roman" w:eastAsia="Times New Roman" w:hAnsi="Times New Roman" w:cs="Times New Roman"/>
          <w:color w:val="000000"/>
          <w:spacing w:val="0"/>
          <w:w w:val="100"/>
          <w:position w:val="0"/>
          <w:sz w:val="18"/>
          <w:szCs w:val="18"/>
        </w:rPr>
        <w:t>5,500,793.00</w:t>
      </w:r>
      <w:r>
        <w:rPr>
          <w:color w:val="000000"/>
          <w:spacing w:val="0"/>
          <w:w w:val="100"/>
          <w:position w:val="0"/>
        </w:rPr>
        <w:t>元，减少资本公积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3,151,920.45</w:t>
      </w:r>
      <w:r>
        <w:rPr>
          <w:color w:val="000000"/>
          <w:spacing w:val="0"/>
          <w:w w:val="100"/>
          <w:position w:val="0"/>
        </w:rPr>
        <w:t>元，增加资本 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82,033,292.10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26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39</w:t>
      </w:r>
      <w:r>
        <w:rPr>
          <w:color w:val="000000"/>
          <w:spacing w:val="0"/>
          <w:w w:val="100"/>
          <w:position w:val="0"/>
        </w:rPr>
        <w:t>、资本公积</w:t>
      </w:r>
      <w:bookmarkEnd w:id="1330"/>
      <w:bookmarkEnd w:id="1331"/>
      <w:bookmarkEnd w:id="1332"/>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2,118,315,596.81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85,899,150.74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2,204,143,137.55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257,809,156.99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11,767,509.60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50,830,646.90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218,746,019.69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2,376,124,753.80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97,666,660.34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50,902,256.90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2,422,889,157.24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7"/>
        <w:keepNext w:val="0"/>
        <w:keepLines w:val="0"/>
        <w:widowControl w:val="0"/>
        <w:shd w:val="clear" w:color="auto" w:fill="auto"/>
        <w:bidi w:val="0"/>
        <w:spacing w:before="0" w:after="0" w:line="311" w:lineRule="exact"/>
        <w:ind w:left="260" w:right="0" w:firstLine="320"/>
        <w:jc w:val="left"/>
      </w:pPr>
      <w:r>
        <w:rPr>
          <w:color w:val="000000"/>
          <w:spacing w:val="0"/>
          <w:w w:val="100"/>
          <w:position w:val="0"/>
        </w:rPr>
        <w:t>根据公司股权激励计划的相关规定，本年股票期权第一个行权期员工行权购买本公司股份</w:t>
      </w:r>
      <w:r>
        <w:rPr>
          <w:rFonts w:ascii="Times New Roman" w:eastAsia="Times New Roman" w:hAnsi="Times New Roman" w:cs="Times New Roman"/>
          <w:color w:val="000000"/>
          <w:spacing w:val="0"/>
          <w:w w:val="100"/>
          <w:position w:val="0"/>
          <w:sz w:val="18"/>
          <w:szCs w:val="18"/>
        </w:rPr>
        <w:t>5,500,793</w:t>
      </w:r>
      <w:r>
        <w:rPr>
          <w:color w:val="000000"/>
          <w:spacing w:val="0"/>
          <w:w w:val="100"/>
          <w:position w:val="0"/>
        </w:rPr>
        <w:t>份，增加资本公积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82,033,292.10</w:t>
      </w:r>
      <w:r>
        <w:rPr>
          <w:color w:val="000000"/>
          <w:spacing w:val="0"/>
          <w:w w:val="100"/>
          <w:position w:val="0"/>
        </w:rPr>
        <w:t>元，减少其他资本公积人民币</w:t>
      </w:r>
      <w:r>
        <w:rPr>
          <w:rFonts w:ascii="Times New Roman" w:eastAsia="Times New Roman" w:hAnsi="Times New Roman" w:cs="Times New Roman"/>
          <w:color w:val="000000"/>
          <w:spacing w:val="0"/>
          <w:w w:val="100"/>
          <w:position w:val="0"/>
          <w:sz w:val="18"/>
          <w:szCs w:val="18"/>
        </w:rPr>
        <w:t>3,151,920.45</w:t>
      </w:r>
      <w:r>
        <w:rPr>
          <w:color w:val="000000"/>
          <w:spacing w:val="0"/>
          <w:w w:val="100"/>
          <w:position w:val="0"/>
        </w:rPr>
        <w:t>元。本公司于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年授予激励对象的限制性股票，于 本年解锁</w:t>
      </w:r>
      <w:r>
        <w:rPr>
          <w:rFonts w:ascii="Times New Roman" w:eastAsia="Times New Roman" w:hAnsi="Times New Roman" w:cs="Times New Roman"/>
          <w:color w:val="000000"/>
          <w:spacing w:val="0"/>
          <w:w w:val="100"/>
          <w:position w:val="0"/>
          <w:sz w:val="18"/>
          <w:szCs w:val="18"/>
        </w:rPr>
        <w:t>1,182,000</w:t>
      </w:r>
      <w:r>
        <w:rPr>
          <w:color w:val="000000"/>
          <w:spacing w:val="0"/>
          <w:w w:val="100"/>
          <w:position w:val="0"/>
        </w:rPr>
        <w:t>股，相应结转其他资本公积</w:t>
      </w:r>
      <w:r>
        <w:rPr>
          <w:rFonts w:ascii="Times New Roman" w:eastAsia="Times New Roman" w:hAnsi="Times New Roman" w:cs="Times New Roman"/>
          <w:color w:val="000000"/>
          <w:spacing w:val="0"/>
          <w:w w:val="100"/>
          <w:position w:val="0"/>
          <w:sz w:val="18"/>
          <w:szCs w:val="18"/>
        </w:rPr>
        <w:t>3,865,858.64</w:t>
      </w:r>
      <w:r>
        <w:rPr>
          <w:color w:val="000000"/>
          <w:spacing w:val="0"/>
          <w:w w:val="100"/>
          <w:position w:val="0"/>
        </w:rPr>
        <w:t>元至股本溢价。另外，本公司回购注销因个人实际业绩完成率未 达标的激励对象持有的限制性股票</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股。上述回购注销限制性股票导致减少股本人民币</w:t>
      </w:r>
      <w:r>
        <w:rPr>
          <w:rFonts w:ascii="Times New Roman" w:eastAsia="Times New Roman" w:hAnsi="Times New Roman" w:cs="Times New Roman"/>
          <w:color w:val="000000"/>
          <w:spacing w:val="0"/>
          <w:w w:val="100"/>
          <w:position w:val="0"/>
          <w:sz w:val="18"/>
          <w:szCs w:val="18"/>
        </w:rPr>
        <w:t>10,500.00</w:t>
      </w:r>
      <w:r>
        <w:rPr>
          <w:color w:val="000000"/>
          <w:spacing w:val="0"/>
          <w:w w:val="100"/>
          <w:position w:val="0"/>
        </w:rPr>
        <w:t xml:space="preserve">元，减少股本溢价人民 币 </w:t>
      </w:r>
      <w:r>
        <w:rPr>
          <w:rFonts w:ascii="Times New Roman" w:eastAsia="Times New Roman" w:hAnsi="Times New Roman" w:cs="Times New Roman"/>
          <w:color w:val="000000"/>
          <w:spacing w:val="0"/>
          <w:w w:val="100"/>
          <w:position w:val="0"/>
          <w:sz w:val="18"/>
          <w:szCs w:val="18"/>
        </w:rPr>
        <w:t xml:space="preserve">71,610.00 </w:t>
      </w:r>
      <w:r>
        <w:rPr>
          <w:color w:val="000000"/>
          <w:spacing w:val="0"/>
          <w:w w:val="100"/>
          <w:position w:val="0"/>
        </w:rPr>
        <w:t>元。</w:t>
      </w:r>
    </w:p>
    <w:p>
      <w:pPr>
        <w:pStyle w:val="Style37"/>
        <w:keepNext w:val="0"/>
        <w:keepLines w:val="0"/>
        <w:widowControl w:val="0"/>
        <w:shd w:val="clear" w:color="auto" w:fill="auto"/>
        <w:bidi w:val="0"/>
        <w:spacing w:before="0" w:after="0" w:line="311" w:lineRule="exact"/>
        <w:ind w:left="0" w:right="0" w:firstLine="580"/>
        <w:jc w:val="left"/>
      </w:pPr>
      <w:r>
        <w:rPr>
          <w:color w:val="000000"/>
          <w:spacing w:val="0"/>
          <w:w w:val="100"/>
          <w:position w:val="0"/>
        </w:rPr>
        <w:t>本集团向激励对象授予股票期权与限制性股票确认的股份支付费用</w:t>
      </w:r>
      <w:r>
        <w:rPr>
          <w:rFonts w:ascii="Times New Roman" w:eastAsia="Times New Roman" w:hAnsi="Times New Roman" w:cs="Times New Roman"/>
          <w:color w:val="000000"/>
          <w:spacing w:val="0"/>
          <w:w w:val="100"/>
          <w:position w:val="0"/>
          <w:sz w:val="18"/>
          <w:szCs w:val="18"/>
        </w:rPr>
        <w:t>11,767,509.6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7"/>
        <w:keepNext w:val="0"/>
        <w:keepLines w:val="0"/>
        <w:widowControl w:val="0"/>
        <w:shd w:val="clear" w:color="auto" w:fill="auto"/>
        <w:bidi w:val="0"/>
        <w:spacing w:before="0" w:after="380" w:line="311" w:lineRule="exact"/>
        <w:ind w:left="260" w:right="0" w:firstLine="320"/>
        <w:jc w:val="both"/>
      </w:pPr>
      <w:r>
        <w:rPr>
          <w:color w:val="000000"/>
          <w:spacing w:val="0"/>
          <w:w w:val="100"/>
          <w:position w:val="0"/>
        </w:rPr>
        <w:t>联营企业迪信通增发股份导致本公司之子公司</w:t>
      </w:r>
      <w:r>
        <w:rPr>
          <w:rFonts w:ascii="Times New Roman" w:eastAsia="Times New Roman" w:hAnsi="Times New Roman" w:cs="Times New Roman"/>
          <w:color w:val="000000"/>
          <w:spacing w:val="0"/>
          <w:w w:val="100"/>
          <w:position w:val="0"/>
          <w:sz w:val="18"/>
          <w:szCs w:val="18"/>
        </w:rPr>
        <w:t>DigitalChina （HK） Limited</w:t>
      </w:r>
      <w:r>
        <w:rPr>
          <w:color w:val="000000"/>
          <w:spacing w:val="0"/>
          <w:w w:val="100"/>
          <w:position w:val="0"/>
        </w:rPr>
        <w:t>对迪信通的持股比例发生变动，相应调减长期股 权投资及其他资本公积</w:t>
      </w:r>
      <w:r>
        <w:rPr>
          <w:rFonts w:ascii="Times New Roman" w:eastAsia="Times New Roman" w:hAnsi="Times New Roman" w:cs="Times New Roman"/>
          <w:color w:val="000000"/>
          <w:spacing w:val="0"/>
          <w:w w:val="100"/>
          <w:position w:val="0"/>
          <w:sz w:val="18"/>
          <w:szCs w:val="18"/>
        </w:rPr>
        <w:t>43,402,178.50</w:t>
      </w:r>
      <w:r>
        <w:rPr>
          <w:color w:val="000000"/>
          <w:spacing w:val="0"/>
          <w:w w:val="100"/>
          <w:position w:val="0"/>
        </w:rPr>
        <w:t>元；因联营企业迪信通资本公积减少导致其他资本公积减少</w:t>
      </w:r>
      <w:r>
        <w:rPr>
          <w:rFonts w:ascii="Times New Roman" w:eastAsia="Times New Roman" w:hAnsi="Times New Roman" w:cs="Times New Roman"/>
          <w:color w:val="000000"/>
          <w:spacing w:val="0"/>
          <w:w w:val="100"/>
          <w:position w:val="0"/>
          <w:sz w:val="18"/>
          <w:szCs w:val="18"/>
        </w:rPr>
        <w:t>410,689.3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26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4</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333"/>
      <w:bookmarkEnd w:id="1334"/>
      <w:bookmarkEnd w:id="1336"/>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回购流通股股票及授予 员工限制性股票（注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6,005,816.93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185,468,156.63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191,473,973.56</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限制性股票回购义务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31,084,500.10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9,325,350.00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21,759,150.10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37,090,317.03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185,468,156.63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9,325,350.00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213,233,123.66</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其他说明，包括本期增减变动情况、变动原因说明：</w:t>
      </w:r>
    </w:p>
    <w:p>
      <w:pPr>
        <w:pStyle w:val="Style37"/>
        <w:keepNext w:val="0"/>
        <w:keepLines w:val="0"/>
        <w:widowControl w:val="0"/>
        <w:shd w:val="clear" w:color="auto" w:fill="auto"/>
        <w:bidi w:val="0"/>
        <w:spacing w:before="0" w:after="0" w:line="317" w:lineRule="exact"/>
        <w:ind w:left="0" w:right="0" w:firstLine="5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本年增加系本公司从二级市场回购股份用于股权激励计划总耗资</w:t>
      </w:r>
      <w:r>
        <w:rPr>
          <w:rFonts w:ascii="Times New Roman" w:eastAsia="Times New Roman" w:hAnsi="Times New Roman" w:cs="Times New Roman"/>
          <w:color w:val="000000"/>
          <w:spacing w:val="0"/>
          <w:w w:val="100"/>
          <w:position w:val="0"/>
          <w:sz w:val="18"/>
          <w:szCs w:val="18"/>
        </w:rPr>
        <w:t>185,468,156.63</w:t>
      </w:r>
      <w:r>
        <w:rPr>
          <w:color w:val="000000"/>
          <w:spacing w:val="0"/>
          <w:w w:val="100"/>
          <w:position w:val="0"/>
        </w:rPr>
        <w:t>元。</w:t>
      </w:r>
    </w:p>
    <w:p>
      <w:pPr>
        <w:pStyle w:val="Style37"/>
        <w:keepNext w:val="0"/>
        <w:keepLines w:val="0"/>
        <w:widowControl w:val="0"/>
        <w:shd w:val="clear" w:color="auto" w:fill="auto"/>
        <w:bidi w:val="0"/>
        <w:spacing w:before="0" w:after="0" w:line="317" w:lineRule="exact"/>
        <w:ind w:left="0" w:right="0" w:firstLine="5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：本年减少系本公司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年授予激励对象的限制性股票于本年解锁</w:t>
      </w:r>
      <w:r>
        <w:rPr>
          <w:rFonts w:ascii="Times New Roman" w:eastAsia="Times New Roman" w:hAnsi="Times New Roman" w:cs="Times New Roman"/>
          <w:color w:val="000000"/>
          <w:spacing w:val="0"/>
          <w:w w:val="100"/>
          <w:position w:val="0"/>
          <w:sz w:val="18"/>
          <w:szCs w:val="18"/>
        </w:rPr>
        <w:t>1,182,000</w:t>
      </w:r>
      <w:r>
        <w:rPr>
          <w:color w:val="000000"/>
          <w:spacing w:val="0"/>
          <w:w w:val="100"/>
          <w:position w:val="0"/>
        </w:rPr>
        <w:t>股，相应减少限制性股票回购义务。</w:t>
      </w:r>
    </w:p>
    <w:p>
      <w:pPr>
        <w:pStyle w:val="Style37"/>
        <w:keepNext w:val="0"/>
        <w:keepLines w:val="0"/>
        <w:widowControl w:val="0"/>
        <w:shd w:val="clear" w:color="auto" w:fill="auto"/>
        <w:bidi w:val="0"/>
        <w:spacing w:before="0" w:after="400" w:line="317" w:lineRule="exact"/>
        <w:ind w:left="280" w:right="0" w:firstLine="0"/>
        <w:jc w:val="left"/>
      </w:pPr>
      <w:r>
        <w:rPr>
          <w:rFonts w:ascii="Times New Roman" w:eastAsia="Times New Roman" w:hAnsi="Times New Roman" w:cs="Times New Roman"/>
          <w:color w:val="000000"/>
          <w:spacing w:val="0"/>
          <w:w w:val="100"/>
          <w:position w:val="0"/>
          <w:sz w:val="18"/>
          <w:szCs w:val="18"/>
        </w:rPr>
        <w:t>9,243,240.00</w:t>
      </w:r>
      <w:r>
        <w:rPr>
          <w:color w:val="000000"/>
          <w:spacing w:val="0"/>
          <w:w w:val="100"/>
          <w:position w:val="0"/>
        </w:rPr>
        <w:t>元。另外，公司回购注销因个人实际业绩完成率未达标的激励对象持有的限制性股票</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股，相应减少限制性 股票回购义务</w:t>
      </w:r>
      <w:r>
        <w:rPr>
          <w:rFonts w:ascii="Times New Roman" w:eastAsia="Times New Roman" w:hAnsi="Times New Roman" w:cs="Times New Roman"/>
          <w:color w:val="000000"/>
          <w:spacing w:val="0"/>
          <w:w w:val="100"/>
          <w:position w:val="0"/>
          <w:sz w:val="18"/>
          <w:szCs w:val="18"/>
        </w:rPr>
        <w:t>82,110.00</w:t>
      </w:r>
      <w:r>
        <w:rPr>
          <w:color w:val="000000"/>
          <w:spacing w:val="0"/>
          <w:w w:val="100"/>
          <w:position w:val="0"/>
        </w:rPr>
        <w:t>元。</w:t>
      </w:r>
    </w:p>
    <w:p>
      <w:pPr>
        <w:pStyle w:val="Style40"/>
        <w:keepNext/>
        <w:keepLines/>
        <w:widowControl w:val="0"/>
        <w:shd w:val="clear" w:color="auto" w:fill="auto"/>
        <w:bidi w:val="0"/>
        <w:spacing w:before="0" w:after="400" w:line="240" w:lineRule="auto"/>
        <w:ind w:left="0" w:right="0" w:firstLine="28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37"/>
      <w:bookmarkEnd w:id="1338"/>
      <w:bookmarkEnd w:id="134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0"/>
        <w:gridCol w:w="1138"/>
        <w:gridCol w:w="1277"/>
        <w:gridCol w:w="994"/>
        <w:gridCol w:w="989"/>
        <w:gridCol w:w="994"/>
        <w:gridCol w:w="1277"/>
        <w:gridCol w:w="706"/>
        <w:gridCol w:w="128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属于少</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一、不能重分类进 损益的其他综合收 </w:t>
            </w:r>
            <w:r>
              <w:rPr>
                <w:color w:val="000000"/>
                <w:spacing w:val="0"/>
                <w:w w:val="100"/>
                <w:position w:val="0"/>
                <w:u w:val="single"/>
              </w:rPr>
              <w:t>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-8,637,353.09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7,738,537.92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-898,815.17</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580"/>
              <w:jc w:val="left"/>
            </w:pPr>
            <w:r>
              <w:rPr>
                <w:color w:val="000000"/>
                <w:spacing w:val="0"/>
                <w:w w:val="100"/>
                <w:position w:val="0"/>
              </w:rPr>
              <w:t>权益法下不 能转损益的其他综 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-1,083,618.52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-5,750,919.40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-5,750,919.40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-6,834,537.92</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 具投资公允价值变 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-7,553,734.57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13,489,457.32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13,489,457.32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5,935,722.75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 益的其他综合收益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26,245,026.43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-42,577,838.88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211,237.05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-42,789,075.93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-16,544,049.50</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其中：权益法下可 转损益的其他综合 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703,820.76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-1,661,885.41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-1,661,885.41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-958,064.65</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其他债权投 资公允价值变动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-3,665,800.91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845,769.46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211,237.05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-3,031,268.50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外币财务报</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29,207,006.58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-41,761,722.93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-41,761,722.93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-12,554,716.35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17,607,673.34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-34,839,300.96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211,237.05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-35,050,538.01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-17,442,864.67</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41"/>
      <w:bookmarkEnd w:id="1342"/>
      <w:bookmarkEnd w:id="1344"/>
    </w:p>
    <w:p>
      <w:pPr>
        <w:pStyle w:val="Style37"/>
        <w:keepNext w:val="0"/>
        <w:keepLines w:val="0"/>
        <w:widowControl w:val="0"/>
        <w:shd w:val="clear" w:color="auto" w:fill="auto"/>
        <w:bidi w:val="0"/>
        <w:spacing w:before="0" w:after="60" w:line="240" w:lineRule="auto"/>
        <w:ind w:left="0" w:right="28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113,161,337.33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99,533,275.62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113,161,337.33</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28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45"/>
      <w:bookmarkEnd w:id="1346"/>
      <w:bookmarkEnd w:id="1348"/>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1,261,899,895.70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716,563,287.65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23,593,058.49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1,261,899,895.70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740,156,346.14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624,091,822.04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701,410,697.57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13,628,061.71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15,330,325.76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137,238,911.29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164,336,822.25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1,735,124,744.74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1,261,899,895.70</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调整期初未分配利润明细：</w:t>
      </w:r>
    </w:p>
    <w:p>
      <w:pPr>
        <w:pStyle w:val="Style37"/>
        <w:keepNext w:val="0"/>
        <w:keepLines w:val="0"/>
        <w:widowControl w:val="0"/>
        <w:shd w:val="clear" w:color="auto" w:fill="auto"/>
        <w:tabs>
          <w:tab w:pos="610" w:val="left"/>
        </w:tabs>
        <w:bidi w:val="0"/>
        <w:spacing w:before="0" w:after="140" w:line="240" w:lineRule="auto"/>
        <w:ind w:left="0" w:right="0" w:firstLine="280"/>
        <w:jc w:val="left"/>
      </w:pPr>
      <w:bookmarkStart w:id="1349" w:name="bookmark1349"/>
      <w:r>
        <w:rPr>
          <w:rFonts w:ascii="Times New Roman" w:eastAsia="Times New Roman" w:hAnsi="Times New Roman" w:cs="Times New Roman"/>
          <w:color w:val="000000"/>
          <w:spacing w:val="0"/>
          <w:w w:val="100"/>
          <w:position w:val="0"/>
          <w:sz w:val="18"/>
          <w:szCs w:val="18"/>
        </w:rPr>
        <w:t>1</w:t>
      </w:r>
      <w:bookmarkEnd w:id="13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29" w:val="left"/>
        </w:tabs>
        <w:bidi w:val="0"/>
        <w:spacing w:before="0" w:after="140" w:line="240" w:lineRule="auto"/>
        <w:ind w:left="0" w:right="0" w:firstLine="280"/>
        <w:jc w:val="left"/>
      </w:pPr>
      <w:bookmarkStart w:id="1350" w:name="bookmark1350"/>
      <w:r>
        <w:rPr>
          <w:rFonts w:ascii="Times New Roman" w:eastAsia="Times New Roman" w:hAnsi="Times New Roman" w:cs="Times New Roman"/>
          <w:color w:val="000000"/>
          <w:spacing w:val="0"/>
          <w:w w:val="100"/>
          <w:position w:val="0"/>
          <w:sz w:val="18"/>
          <w:szCs w:val="18"/>
        </w:rPr>
        <w:t>2</w:t>
      </w:r>
      <w:bookmarkEnd w:id="13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29" w:val="left"/>
        </w:tabs>
        <w:bidi w:val="0"/>
        <w:spacing w:before="0" w:after="140" w:line="240" w:lineRule="auto"/>
        <w:ind w:left="0" w:right="0" w:firstLine="280"/>
        <w:jc w:val="left"/>
      </w:pPr>
      <w:bookmarkStart w:id="1351" w:name="bookmark1351"/>
      <w:r>
        <w:rPr>
          <w:rFonts w:ascii="Times New Roman" w:eastAsia="Times New Roman" w:hAnsi="Times New Roman" w:cs="Times New Roman"/>
          <w:color w:val="000000"/>
          <w:spacing w:val="0"/>
          <w:w w:val="100"/>
          <w:position w:val="0"/>
          <w:sz w:val="18"/>
          <w:szCs w:val="18"/>
        </w:rPr>
        <w:t>3</w:t>
      </w:r>
      <w:bookmarkEnd w:id="13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29" w:val="left"/>
        </w:tabs>
        <w:bidi w:val="0"/>
        <w:spacing w:before="0" w:after="140" w:line="240" w:lineRule="auto"/>
        <w:ind w:left="0" w:right="0" w:firstLine="280"/>
        <w:jc w:val="left"/>
      </w:pPr>
      <w:bookmarkStart w:id="1352" w:name="bookmark1352"/>
      <w:r>
        <w:rPr>
          <w:rFonts w:ascii="Times New Roman" w:eastAsia="Times New Roman" w:hAnsi="Times New Roman" w:cs="Times New Roman"/>
          <w:color w:val="000000"/>
          <w:spacing w:val="0"/>
          <w:w w:val="100"/>
          <w:position w:val="0"/>
          <w:sz w:val="18"/>
          <w:szCs w:val="18"/>
        </w:rPr>
        <w:t>4</w:t>
      </w:r>
      <w:bookmarkEnd w:id="13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29" w:val="left"/>
        </w:tabs>
        <w:bidi w:val="0"/>
        <w:spacing w:before="0" w:after="380" w:line="240" w:lineRule="auto"/>
        <w:ind w:left="0" w:right="0" w:firstLine="280"/>
        <w:jc w:val="left"/>
      </w:pPr>
      <w:bookmarkStart w:id="1353" w:name="bookmark1353"/>
      <w:r>
        <w:rPr>
          <w:rFonts w:ascii="Times New Roman" w:eastAsia="Times New Roman" w:hAnsi="Times New Roman" w:cs="Times New Roman"/>
          <w:color w:val="000000"/>
          <w:spacing w:val="0"/>
          <w:w w:val="100"/>
          <w:position w:val="0"/>
          <w:sz w:val="18"/>
          <w:szCs w:val="18"/>
        </w:rPr>
        <w:t>5</w:t>
      </w:r>
      <w:bookmarkEnd w:id="13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28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4</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54"/>
      <w:bookmarkEnd w:id="1355"/>
      <w:bookmarkEnd w:id="1357"/>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92,047,083,002.53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88,459,924,990.86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86,789,846,776.64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83,311,012,221.67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13,360,403.69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5,750,198.38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13,529,613.49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5,638,640.87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92,060,443,406.22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88,465,675,189.24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86,803,376,390.13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83,316,650,862.54</w:t>
            </w:r>
          </w:p>
        </w:tc>
      </w:tr>
    </w:tbl>
    <w:p>
      <w:pPr>
        <w:pStyle w:val="Style37"/>
        <w:keepNext w:val="0"/>
        <w:keepLines w:val="0"/>
        <w:widowControl w:val="0"/>
        <w:shd w:val="clear" w:color="auto" w:fill="auto"/>
        <w:bidi w:val="0"/>
        <w:spacing w:before="0" w:after="140" w:line="312" w:lineRule="exact"/>
        <w:ind w:left="280" w:right="0" w:firstLine="0"/>
        <w:jc w:val="left"/>
      </w:pPr>
      <w:r>
        <w:rPr>
          <w:color w:val="000000"/>
          <w:spacing w:val="0"/>
          <w:w w:val="100"/>
          <w:position w:val="0"/>
        </w:rPr>
        <w:t>经审计扣除非经常损益前后净利润孰低是否为负值</w:t>
      </w:r>
    </w:p>
    <w:p>
      <w:pPr>
        <w:pStyle w:val="Style37"/>
        <w:keepNext w:val="0"/>
        <w:keepLines w:val="0"/>
        <w:widowControl w:val="0"/>
        <w:shd w:val="clear" w:color="auto" w:fill="auto"/>
        <w:bidi w:val="0"/>
        <w:spacing w:before="0" w:after="0" w:line="360" w:lineRule="auto"/>
        <w:ind w:left="28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312" w:lineRule="exact"/>
        <w:ind w:left="280" w:right="0" w:firstLine="0"/>
        <w:jc w:val="left"/>
      </w:pPr>
      <w:r>
        <w:rPr>
          <w:color w:val="000000"/>
          <w:spacing w:val="0"/>
          <w:w w:val="100"/>
          <w:position w:val="0"/>
        </w:rPr>
        <w:t>与分摊至剩余履约义务的交易价格相关的信息：</w:t>
      </w:r>
    </w:p>
    <w:p>
      <w:pPr>
        <w:pStyle w:val="Style37"/>
        <w:keepNext w:val="0"/>
        <w:keepLines w:val="0"/>
        <w:widowControl w:val="0"/>
        <w:shd w:val="clear" w:color="auto" w:fill="auto"/>
        <w:bidi w:val="0"/>
        <w:spacing w:before="0" w:after="380" w:line="312" w:lineRule="exact"/>
        <w:ind w:left="28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9,363,090,846.94</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9,363,090,846.94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p>
    <w:p>
      <w:pPr>
        <w:pStyle w:val="Style40"/>
        <w:keepNext/>
        <w:keepLines/>
        <w:widowControl w:val="0"/>
        <w:shd w:val="clear" w:color="auto" w:fill="auto"/>
        <w:bidi w:val="0"/>
        <w:spacing w:before="0" w:line="240" w:lineRule="auto"/>
        <w:ind w:left="28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58"/>
      <w:bookmarkEnd w:id="1359"/>
      <w:bookmarkEnd w:id="1361"/>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22,634,536.60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23,877,430.90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9,700,515.69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10,251,075.27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1,627,878.77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1,952,260.46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43,776,237.60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39,502,232.33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6,666,738.81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6,794,794.40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367,549.36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105,396.75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84,773,456.83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82,483,190.11</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62"/>
      <w:bookmarkEnd w:id="1363"/>
      <w:bookmarkEnd w:id="1365"/>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801,028,773.35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818,890,889.89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314,086,811.13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283,139,365.92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市场及其推广费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246,158,875.31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218,544,034.44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125,276,838.36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125,779,774.14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74,777,576.82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68,364,164.00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67,963,345.20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91,009,199.24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海关申报费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24,107,185.02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18,385,166.44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法律及业务咨询费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21,539,542.28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11,468,338.64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21,161,813.52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5,900,270.85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9,201,476.64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11,180,280.24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8,108,760.58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7,976,921.37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3,860,347.80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11,266,866.47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52,075,237.67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26,309,931.88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1,769,346,583.68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1,698,215,203.52</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66"/>
      <w:bookmarkEnd w:id="1367"/>
      <w:bookmarkEnd w:id="1369"/>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144,268,925.73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157,394,069.64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22,909,490.66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24,692,436.39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法律及业务咨询费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15,732,413.11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11,688,880.84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12,226,542.44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13,293,073.33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市场及其推广费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9,787,888.58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14,837,852.43</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8,378,329.78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13,587,499.14</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7,822,252.85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10,786,908.57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3,357,618.05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3,814,345.24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1,523,214.34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1,483,145.80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672,119.83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307,323.24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11,830,571.58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12,568,544.53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238,509,366.95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264,454,079.15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28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370"/>
      <w:bookmarkEnd w:id="1371"/>
      <w:bookmarkEnd w:id="1373"/>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124,685,551.45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91,039,307.16</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13,257,726.19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9,599,162.97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12,957,790.84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8,619,461.74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12,780,437.95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10,499,273.99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8,744,800.75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16,766,088.54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3,273,482.91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3,715,797.16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办公室供应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1,496,112.02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242,342.86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689,317.64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1,079,552.65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3,882,036.20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3,944,064.78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181,767,255.95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145,505,051.85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28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74"/>
      <w:bookmarkEnd w:id="1375"/>
      <w:bookmarkEnd w:id="1377"/>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422,841,970.56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438,197,857.53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47,321,284.44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22,485,348.94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加：汇兑损失（收益以填列）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-213,736,429.49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24,354,014.73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34,027,584.94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50,220,483.77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195,811,841.57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490,287,007.09</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28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5</w:t>
      </w:r>
      <w:bookmarkEnd w:id="1380"/>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378"/>
      <w:bookmarkEnd w:id="1379"/>
      <w:bookmarkEnd w:id="1381"/>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4114"/>
        <w:gridCol w:w="2837"/>
        <w:gridCol w:w="263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上海市长宁财政局奖励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9,724,000.00</w:t>
            </w:r>
          </w:p>
        </w:tc>
      </w:tr>
    </w:tbl>
    <w:p>
      <w:pPr>
        <w:spacing w:lineRule="exact" w:line="1"/>
        <w:rPr>
          <w:sz w:val="2"/>
          <w:szCs w:val="2"/>
        </w:rPr>
      </w:pPr>
      <w:r>
        <w:br w:type="page"/>
      </w:r>
    </w:p>
    <w:tbl>
      <w:tblPr>
        <w:tblOverlap w:val="never"/>
        <w:jc w:val="center"/>
        <w:tblLayout w:type="fixed"/>
      </w:tblPr>
      <w:tblGrid>
        <w:gridCol w:w="4114"/>
        <w:gridCol w:w="2837"/>
        <w:gridCol w:w="263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3,378,892.81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1,403,974.59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4,027,577.22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4,678,695.84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9,037,877.57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2,023,263.03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227,343.98</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智慧融合的新型路由交换设备研究与验证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工业互联网创新发展项目补贴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2,274,999.30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上海紫竹高新技术产业开发区专项资金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上海市闵行区科学技术委员会小巨人培训企业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北京市经济和信息化局财政补助专项资金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4,901,476.48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上海市产业转型升级发展（品牌经济发展）扶持款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武汉东湖新技术开发区关于东湖综合保税区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自贸十 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2,928,200.00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深圳市南山区工业和信息化局商贸流通业资助项目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上海市长宁区地方教育附加专项资金补助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年度人才安居住房补助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武汉云科总部项目投资建设兑换补贴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4,618,800.00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深圳市商务局关于中央服务业发展专项资金项目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3,385,414.00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商贸流通业资助补贴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职工教育培训经费补贴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535,484.80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高峰论坛补贴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广州开发区促进现代服务业发展奖励金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3,590,000.00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下一代基于</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的高性能路由交换设备研发及产业 化项目补贴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4,929,504.85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深圳市稳增长资助项目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2,444,200.00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上海市闵行区发展和改革委员会服务业引导资金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杭州滨江区楼宇经济产业扶持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北京中关村国际创新资源支持资金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武汉市知识产权局培育项目补贴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263,622.55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150,577.93</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39,238,111.23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56,868,577.72</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28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5</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82"/>
      <w:bookmarkEnd w:id="1383"/>
      <w:bookmarkEnd w:id="1385"/>
    </w:p>
    <w:p>
      <w:pPr>
        <w:pStyle w:val="Style37"/>
        <w:keepNext w:val="0"/>
        <w:keepLines w:val="0"/>
        <w:widowControl w:val="0"/>
        <w:shd w:val="clear" w:color="auto" w:fill="auto"/>
        <w:bidi w:val="0"/>
        <w:spacing w:before="0" w:after="360" w:line="240" w:lineRule="auto"/>
        <w:ind w:left="0" w:right="280" w:firstLine="0"/>
        <w:jc w:val="right"/>
      </w:pPr>
      <w:r>
        <w:rPr>
          <w:color w:val="000000"/>
          <w:spacing w:val="0"/>
          <w:w w:val="100"/>
          <w:position w:val="0"/>
        </w:rPr>
        <w:t>单位：元</w:t>
      </w:r>
      <w:r>
        <w:br w:type="page"/>
      </w:r>
    </w:p>
    <w:tbl>
      <w:tblPr>
        <w:tblOverlap w:val="never"/>
        <w:jc w:val="center"/>
        <w:tblLayout w:type="fixed"/>
      </w:tblPr>
      <w:tblGrid>
        <w:gridCol w:w="3691"/>
        <w:gridCol w:w="3120"/>
        <w:gridCol w:w="277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25,964,362.78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59,517,314.09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-79,614,553.50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-1,701,868.38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665,445.00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210,831.00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-6,322,893.23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-26,273,051.87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-50,089,180.69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-72,193,825.52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99,957,757.00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-109,396,819.64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59,517,156.32</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5</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386"/>
      <w:bookmarkEnd w:id="1387"/>
      <w:bookmarkEnd w:id="1389"/>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974"/>
        <w:gridCol w:w="2837"/>
        <w:gridCol w:w="277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7,717,771.78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50,146,978.14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7,717,771.78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50,146,978.14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-93,502,904.89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-14,341,923.94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1,576,000.00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-84,209,133.11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37,245,054.20</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5</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390"/>
      <w:bookmarkEnd w:id="1391"/>
      <w:bookmarkEnd w:id="1393"/>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-459,618.19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631,466.50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-2,349.79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417,860.50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5,565,983.34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-86,483,010.93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-69,924,005.43</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-86,526,484.12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-63,728,905.38</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5</w:t>
      </w:r>
      <w:bookmarkEnd w:id="1396"/>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394"/>
      <w:bookmarkEnd w:id="1395"/>
      <w:bookmarkEnd w:id="1397"/>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408"/>
        <w:gridCol w:w="3259"/>
        <w:gridCol w:w="29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21,175,591.96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25,288,932.01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-5,353,979.35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-82,292.25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21,093,299.71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19,934,952.66</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26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5</w:t>
      </w:r>
      <w:bookmarkEnd w:id="1400"/>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398"/>
      <w:bookmarkEnd w:id="1399"/>
      <w:bookmarkEnd w:id="1401"/>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12,001,122.16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2,546,957.87</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未划分为持有待售的非流动资产处 置收益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12,001,122.16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2,546,957.87</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12,001,122.16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2,546,957.87</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26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5</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02"/>
      <w:bookmarkEnd w:id="1403"/>
      <w:bookmarkEnd w:id="1405"/>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2395"/>
        <w:gridCol w:w="2395"/>
        <w:gridCol w:w="2304"/>
        <w:gridCol w:w="248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9,225,000.00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13,061,675.79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9,225,000.00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5,520,429.25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3,379,848.77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5,520,429.25</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14,745,429.25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16,441,524.56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14,745,429.25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7"/>
        <w:keepNext w:val="0"/>
        <w:keepLines w:val="0"/>
        <w:widowControl w:val="0"/>
        <w:shd w:val="clear" w:color="auto" w:fill="auto"/>
        <w:bidi w:val="0"/>
        <w:spacing w:before="0" w:after="80" w:line="240" w:lineRule="auto"/>
        <w:ind w:left="9200" w:right="0" w:firstLine="0"/>
        <w:jc w:val="left"/>
      </w:pPr>
      <w:r>
        <w:rPr>
          <w:color w:val="000000"/>
          <w:spacing w:val="0"/>
          <w:w w:val="100"/>
          <w:position w:val="0"/>
        </w:rPr>
        <w:t>单位：元</w:t>
      </w:r>
    </w:p>
    <w:tbl>
      <w:tblPr>
        <w:tblOverlap w:val="never"/>
        <w:jc w:val="center"/>
        <w:tblLayout w:type="fixed"/>
      </w:tblPr>
      <w:tblGrid>
        <w:gridCol w:w="1282"/>
        <w:gridCol w:w="1277"/>
        <w:gridCol w:w="566"/>
        <w:gridCol w:w="1560"/>
        <w:gridCol w:w="989"/>
        <w:gridCol w:w="710"/>
        <w:gridCol w:w="1066"/>
        <w:gridCol w:w="1061"/>
        <w:gridCol w:w="107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广州市萝岗开 发区财政国库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华南地区总部 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广州市萝岗开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发区财政国库</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高新企业认定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武汉市东湖新 技术开发区管 理委员会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武汉市培育企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武汉市科学技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 商务委总部奖 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北京市海淀区</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商务委员会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武汉云科总部 项目投资建设 兑换补贴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武汉东湖综合 保税区建设管 理办公室</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82"/>
        <w:gridCol w:w="1277"/>
        <w:gridCol w:w="566"/>
        <w:gridCol w:w="1560"/>
        <w:gridCol w:w="989"/>
        <w:gridCol w:w="710"/>
        <w:gridCol w:w="1066"/>
        <w:gridCol w:w="1061"/>
        <w:gridCol w:w="107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武汉东湖新技 术开发区第十 一批</w:t>
            </w:r>
            <w:r>
              <w:rPr>
                <w:rFonts w:ascii="Times New Roman" w:eastAsia="Times New Roman" w:hAnsi="Times New Roman" w:cs="Times New Roman"/>
                <w:color w:val="000000"/>
                <w:spacing w:val="0"/>
                <w:w w:val="100"/>
                <w:position w:val="0"/>
                <w:sz w:val="18"/>
                <w:szCs w:val="18"/>
              </w:rPr>
              <w:t>"3551</w:t>
            </w:r>
            <w:r>
              <w:rPr>
                <w:color w:val="000000"/>
                <w:spacing w:val="0"/>
                <w:w w:val="100"/>
                <w:position w:val="0"/>
              </w:rPr>
              <w:t>光谷 人才计划''无偿 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武汉东湖新技</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术开发区管理</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委员会财政局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61,675.79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5</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06"/>
      <w:bookmarkEnd w:id="1407"/>
      <w:bookmarkEnd w:id="1409"/>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1,571,208.00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1,571,208.00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91,152,023.21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1,562,047.73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2,111,753.57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1,562,047.73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190,650.53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625,003.43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190,650.53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3,018,177.85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131,094.68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3,018,177.85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1,099,980.13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636,585.31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1,099,980.13</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98,594,087.45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5,204,436.99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98,594,087.45</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5</w:t>
      </w:r>
      <w:bookmarkEnd w:id="1412"/>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10"/>
      <w:bookmarkEnd w:id="1411"/>
      <w:bookmarkEnd w:id="1413"/>
    </w:p>
    <w:p>
      <w:pPr>
        <w:pStyle w:val="Style47"/>
        <w:keepNext/>
        <w:keepLines/>
        <w:widowControl w:val="0"/>
        <w:shd w:val="clear" w:color="auto" w:fill="auto"/>
        <w:bidi w:val="0"/>
        <w:spacing w:before="0" w:after="400" w:line="240" w:lineRule="auto"/>
        <w:ind w:left="0" w:right="0" w:firstLine="280"/>
        <w:jc w:val="both"/>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14"/>
      <w:bookmarkEnd w:id="1415"/>
      <w:bookmarkEnd w:id="1416"/>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287,995,642.70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272,325,038.86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-79,184,513.26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-42,493,369.11</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208,811,129.44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229,831,669.75</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400"/>
        <w:jc w:val="left"/>
      </w:pPr>
      <w:bookmarkStart w:id="1417" w:name="bookmark1417"/>
      <w:bookmarkStart w:id="1418" w:name="bookmark1418"/>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7"/>
      <w:bookmarkEnd w:id="1418"/>
      <w:bookmarkEnd w:id="1419"/>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832,911,150.03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208,227,787.51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-23,636,299.67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3,640,887.19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-3,817,158.05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1,997,052.84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-16,122.39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2,711,935.54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19,703,046.47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208,811,129.44</w:t>
            </w:r>
          </w:p>
        </w:tc>
      </w:tr>
    </w:tbl>
    <w:p>
      <w:pPr>
        <w:widowControl w:val="0"/>
        <w:spacing w:after="319" w:line="1" w:lineRule="exact"/>
      </w:pPr>
    </w:p>
    <w:p>
      <w:pPr>
        <w:pStyle w:val="Style40"/>
        <w:keepNext/>
        <w:keepLines/>
        <w:widowControl w:val="0"/>
        <w:shd w:val="clear" w:color="auto" w:fill="auto"/>
        <w:tabs>
          <w:tab w:pos="763" w:val="left"/>
        </w:tabs>
        <w:bidi w:val="0"/>
        <w:spacing w:before="0" w:line="240" w:lineRule="auto"/>
        <w:ind w:left="0" w:right="0" w:firstLine="28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5</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420"/>
      <w:bookmarkEnd w:id="1421"/>
      <w:bookmarkEnd w:id="1423"/>
    </w:p>
    <w:p>
      <w:pPr>
        <w:pStyle w:val="Style37"/>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40"/>
        <w:keepNext/>
        <w:keepLines/>
        <w:widowControl w:val="0"/>
        <w:shd w:val="clear" w:color="auto" w:fill="auto"/>
        <w:tabs>
          <w:tab w:pos="763" w:val="left"/>
        </w:tabs>
        <w:bidi w:val="0"/>
        <w:spacing w:before="0" w:line="240" w:lineRule="auto"/>
        <w:ind w:left="0" w:right="0" w:firstLine="280"/>
        <w:jc w:val="both"/>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6</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424"/>
      <w:bookmarkEnd w:id="1425"/>
      <w:bookmarkEnd w:id="1427"/>
    </w:p>
    <w:p>
      <w:pPr>
        <w:pStyle w:val="Style47"/>
        <w:keepNext/>
        <w:keepLines/>
        <w:widowControl w:val="0"/>
        <w:shd w:val="clear" w:color="auto" w:fill="auto"/>
        <w:bidi w:val="0"/>
        <w:spacing w:before="0" w:line="240" w:lineRule="auto"/>
        <w:ind w:left="0" w:right="0" w:firstLine="280"/>
        <w:jc w:val="both"/>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8"/>
      <w:bookmarkEnd w:id="1429"/>
      <w:bookmarkEnd w:id="1430"/>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38,977,986.79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46,228,380.93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31,966,951.09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18,843,895.82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28,592,797.08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365,550.41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560,785.97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71,310,488.29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94,225,859.80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40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31"/>
      <w:bookmarkEnd w:id="1432"/>
      <w:bookmarkEnd w:id="1433"/>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1,189,192,527.50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1,132,586,463.97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支付受限资金净额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34,783,301.63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166,223,454.24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7,950,823.54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预付卓越置业集团有限公司销售佣金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5,880,016.51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3,092,683.42</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1,237,806,669.18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1,311,902,601.63</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40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34"/>
      <w:bookmarkEnd w:id="1435"/>
      <w:bookmarkEnd w:id="1437"/>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4541"/>
        <w:gridCol w:w="2693"/>
        <w:gridCol w:w="235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收到济南顶安企业管理咨询合伙企业（有限合伙）保证金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20,528,405.27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20,528,405.27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40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8"/>
      <w:bookmarkEnd w:id="1439"/>
      <w:bookmarkEnd w:id="1441"/>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4541"/>
        <w:gridCol w:w="2693"/>
        <w:gridCol w:w="235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支付济南顶安企业管理咨询合伙企业（有限合伙）保证金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40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442"/>
      <w:bookmarkEnd w:id="1443"/>
      <w:bookmarkEnd w:id="1445"/>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回购流通股股票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185,550,266.63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50,009,066.93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融资租赁的租金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3,110,966.36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16,812,347.30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子公司注销退回少数股东投资款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2,545,660.81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188,661,232.99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69,367,075.04</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28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6</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6"/>
      <w:bookmarkEnd w:id="1447"/>
      <w:bookmarkEnd w:id="1449"/>
    </w:p>
    <w:p>
      <w:pPr>
        <w:pStyle w:val="Style47"/>
        <w:keepNext/>
        <w:keepLines/>
        <w:widowControl w:val="0"/>
        <w:shd w:val="clear" w:color="auto" w:fill="auto"/>
        <w:bidi w:val="0"/>
        <w:spacing w:before="0" w:after="400" w:line="240" w:lineRule="auto"/>
        <w:ind w:left="0" w:right="0" w:firstLine="28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0"/>
      <w:bookmarkEnd w:id="1451"/>
      <w:bookmarkEnd w:id="1452"/>
    </w:p>
    <w:p>
      <w:pPr>
        <w:pStyle w:val="Style37"/>
        <w:keepNext w:val="0"/>
        <w:keepLines w:val="0"/>
        <w:widowControl w:val="0"/>
        <w:shd w:val="clear" w:color="auto" w:fill="auto"/>
        <w:bidi w:val="0"/>
        <w:spacing w:before="0" w:after="60" w:line="240" w:lineRule="auto"/>
        <w:ind w:left="920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624,100,020.59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701,657,307.51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-21,093,299.71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-19,934,952.66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86,526,484.12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63,728,905.38</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48,727,091.03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33,987,880.39</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9,963,998.93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9,725,988.34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7,252,793.65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5,808,527.96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-12,001,122.16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-2,546,957.87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1,562,047.73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2,111,753.57</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84,209,133.11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-37,245,054.20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193,751,207.69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459,505,264.80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109,396,819.64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-59,517,156.32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-81,917,670.98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-80,439,303.02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2,733,157.72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37,945,933.91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-266,056,807.66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-2,596,076,196.29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-403,608,604.54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1,796,201,827.78</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982,222,871.19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1,184,714,931.04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1,456,920,143.56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1,499,628,700.32</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3,338,050,903.08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3,075,275,681.51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3,075,275,681.51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968,621,437.86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262,775,221.57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2,096,654,243.65</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400"/>
        <w:jc w:val="left"/>
      </w:pPr>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53"/>
      <w:bookmarkEnd w:id="1454"/>
      <w:bookmarkEnd w:id="1455"/>
    </w:p>
    <w:p>
      <w:pPr>
        <w:pStyle w:val="Style37"/>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3,338,050,903.08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3,075,275,681.51</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13,647.61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24,577.31</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3,337,870,225.29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3,074,961,778.24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167,030.18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289,325.96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3,338,050,903.08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3,075,275,681.51</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759,541,529.50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924,758,227.87</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26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6</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、所有者权益变动表项目注释</w:t>
      </w:r>
      <w:bookmarkEnd w:id="1456"/>
      <w:bookmarkEnd w:id="1457"/>
      <w:bookmarkEnd w:id="1459"/>
    </w:p>
    <w:p>
      <w:pPr>
        <w:pStyle w:val="Style37"/>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7"/>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无</w:t>
      </w:r>
    </w:p>
    <w:p>
      <w:pPr>
        <w:pStyle w:val="Style40"/>
        <w:keepNext/>
        <w:keepLines/>
        <w:widowControl w:val="0"/>
        <w:shd w:val="clear" w:color="auto" w:fill="auto"/>
        <w:bidi w:val="0"/>
        <w:spacing w:before="0" w:after="400" w:line="240" w:lineRule="auto"/>
        <w:ind w:left="0" w:right="0" w:firstLine="26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6</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460"/>
      <w:bookmarkEnd w:id="1461"/>
      <w:bookmarkEnd w:id="1463"/>
    </w:p>
    <w:p>
      <w:pPr>
        <w:pStyle w:val="Style37"/>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275"/>
        <w:gridCol w:w="3398"/>
        <w:gridCol w:w="390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759,541,529.50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未决诉讼被冻结的资金、信贷资金监管账户存款 余额受限、因开立信用证受限制定期存款、保函 保证金、信用证保证金及银行承兑汇票保证金</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1,030,615,651.38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2,311,217,845.37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长期借款抵押</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241,783,638.91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短期借款抵押</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4,343,158,665.16</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60" w:line="317" w:lineRule="exact"/>
        <w:ind w:left="260" w:right="0"/>
        <w:jc w:val="both"/>
      </w:pPr>
      <w:r>
        <w:rPr>
          <w:color w:val="000000"/>
          <w:spacing w:val="0"/>
          <w:w w:val="100"/>
          <w:position w:val="0"/>
        </w:rPr>
        <w:t>本公司除上述受限资产外，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年为购买神码公司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股权自北京银行股份有限公司中关村科技园支行借入的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年期长 期借款，本公司以持有的神码中国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股权、神码上海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股权、神码广州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股权进行质押；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年自中国民生银行股 份有限公司北京中关村分行借入的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年期长期借款，本公司以持有的上海云角</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股权进行质押。上述长期借款按照还款计 划预计于未来一年内到期，已结转至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一年内到期的非流动负债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w:t>
      </w:r>
    </w:p>
    <w:p>
      <w:pPr>
        <w:pStyle w:val="Style40"/>
        <w:keepNext/>
        <w:keepLines/>
        <w:widowControl w:val="0"/>
        <w:shd w:val="clear" w:color="auto" w:fill="auto"/>
        <w:bidi w:val="0"/>
        <w:spacing w:before="0" w:after="360" w:line="240" w:lineRule="auto"/>
        <w:ind w:left="0" w:right="0" w:firstLine="26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6</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464"/>
      <w:bookmarkEnd w:id="1465"/>
      <w:bookmarkEnd w:id="1467"/>
    </w:p>
    <w:p>
      <w:pPr>
        <w:pStyle w:val="Style47"/>
        <w:keepNext/>
        <w:keepLines/>
        <w:widowControl w:val="0"/>
        <w:shd w:val="clear" w:color="auto" w:fill="auto"/>
        <w:bidi w:val="0"/>
        <w:spacing w:before="0" w:after="360" w:line="240" w:lineRule="auto"/>
        <w:ind w:left="0" w:right="0" w:firstLine="260"/>
        <w:jc w:val="both"/>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68"/>
      <w:bookmarkEnd w:id="1469"/>
      <w:bookmarkEnd w:id="1470"/>
    </w:p>
    <w:p>
      <w:pPr>
        <w:pStyle w:val="Style37"/>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59,319,421.47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387,355,822.20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812,908.05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6,523,587.10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89,139,555.51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0.84258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75,107,206.68</w:t>
            </w: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366,808.34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0.81371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298,475.61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440,604.96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4.93949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2,176,363.79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10,424,471.82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16,849,490.78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29,808,637.34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194,650,401.83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406,635.35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3,263,248.68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21,206,423.02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17,868,107.91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516,321.81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834,551.59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14,100,000.00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92,073,000.00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114,120.00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96,155.23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0.81371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2,735,760.28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1.61634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4,421,918.77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330,736,555.90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2,159,709,710.03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290,701,004.35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244,938,852.25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204,847,896.97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1,337,656,767.21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499,407.30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4,007,743.58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2,289,269.18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0.84258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1,928,892.43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0.81371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7,597.66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4.93949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37,528.57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508,343.00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3,319,479.79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291,549.44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1,903,817.84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5,432,176.12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4,577,042.96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澳门元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0.81371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3,002.59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林吉特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7,513.81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12,144.87</w:t>
            </w:r>
          </w:p>
        </w:tc>
      </w:tr>
    </w:tbl>
    <w:p>
      <w:pPr>
        <w:pStyle w:val="Style40"/>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6</w:t>
      </w:r>
      <w:bookmarkEnd w:id="1473"/>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1471"/>
      <w:bookmarkEnd w:id="1472"/>
      <w:bookmarkEnd w:id="1474"/>
    </w:p>
    <w:p>
      <w:pPr>
        <w:pStyle w:val="Style47"/>
        <w:keepNext/>
        <w:keepLines/>
        <w:widowControl w:val="0"/>
        <w:shd w:val="clear" w:color="auto" w:fill="auto"/>
        <w:bidi w:val="0"/>
        <w:spacing w:before="0" w:line="240" w:lineRule="auto"/>
        <w:ind w:left="0" w:right="0" w:firstLine="0"/>
        <w:jc w:val="both"/>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75"/>
      <w:bookmarkEnd w:id="1476"/>
      <w:bookmarkEnd w:id="1477"/>
    </w:p>
    <w:p>
      <w:pPr>
        <w:pStyle w:val="Style3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587"/>
        <w:gridCol w:w="22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15,976,475.78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29,959,058.23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29,959,058.23</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45,935,534.01</w:t>
            </w:r>
          </w:p>
        </w:tc>
      </w:tr>
    </w:tbl>
    <w:p>
      <w:pPr>
        <w:widowControl w:val="0"/>
        <w:spacing w:after="299" w:line="1" w:lineRule="exact"/>
      </w:pPr>
    </w:p>
    <w:p>
      <w:pPr>
        <w:pStyle w:val="Style47"/>
        <w:keepNext/>
        <w:keepLines/>
        <w:widowControl w:val="0"/>
        <w:shd w:val="clear" w:color="auto" w:fill="auto"/>
        <w:bidi w:val="0"/>
        <w:spacing w:before="0" w:after="300" w:line="240" w:lineRule="auto"/>
        <w:ind w:left="0" w:right="0" w:firstLine="0"/>
        <w:jc w:val="both"/>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78"/>
      <w:bookmarkEnd w:id="1479"/>
      <w:bookmarkEnd w:id="1480"/>
    </w:p>
    <w:p>
      <w:pPr>
        <w:pStyle w:val="Style37"/>
        <w:keepNext w:val="0"/>
        <w:keepLines w:val="0"/>
        <w:widowControl w:val="0"/>
        <w:shd w:val="clear" w:color="auto" w:fill="auto"/>
        <w:bidi w:val="0"/>
        <w:spacing w:before="0" w:after="38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517" w:val="left"/>
        </w:tabs>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color w:val="000000"/>
          <w:spacing w:val="0"/>
          <w:w w:val="100"/>
          <w:position w:val="0"/>
        </w:rPr>
        <w:t>八</w:t>
      </w:r>
      <w:bookmarkEnd w:id="1483"/>
      <w:r>
        <w:rPr>
          <w:color w:val="000000"/>
          <w:spacing w:val="0"/>
          <w:w w:val="100"/>
          <w:position w:val="0"/>
        </w:rPr>
        <w:t>、</w:t>
        <w:tab/>
        <w:t>合并范围的变更</w:t>
      </w:r>
      <w:bookmarkEnd w:id="1481"/>
      <w:bookmarkEnd w:id="1482"/>
      <w:bookmarkEnd w:id="1484"/>
    </w:p>
    <w:p>
      <w:pPr>
        <w:pStyle w:val="Style40"/>
        <w:keepNext/>
        <w:keepLines/>
        <w:widowControl w:val="0"/>
        <w:shd w:val="clear" w:color="auto" w:fill="auto"/>
        <w:bidi w:val="0"/>
        <w:spacing w:before="0" w:after="300" w:line="240" w:lineRule="auto"/>
        <w:ind w:left="0" w:right="0" w:firstLine="0"/>
        <w:jc w:val="both"/>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85"/>
      <w:bookmarkEnd w:id="1486"/>
      <w:bookmarkEnd w:id="1487"/>
    </w:p>
    <w:p>
      <w:pPr>
        <w:pStyle w:val="Style37"/>
        <w:keepNext w:val="0"/>
        <w:keepLines w:val="0"/>
        <w:widowControl w:val="0"/>
        <w:shd w:val="clear" w:color="auto" w:fill="auto"/>
        <w:bidi w:val="0"/>
        <w:spacing w:before="0" w:after="60" w:line="307" w:lineRule="exact"/>
        <w:ind w:left="0" w:right="0" w:firstLine="0"/>
        <w:jc w:val="both"/>
      </w:pPr>
      <w:r>
        <w:rPr>
          <w:color w:val="000000"/>
          <w:spacing w:val="0"/>
          <w:w w:val="100"/>
          <w:position w:val="0"/>
        </w:rPr>
        <w:t>说明其他原因导致的合并范围变动（如，新设子公司、清算子公司等）及其相关情况：</w:t>
      </w:r>
    </w:p>
    <w:p>
      <w:pPr>
        <w:pStyle w:val="Style37"/>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本年因设立新增神州鲲泰（厦门）信息技术有限公司、神州信创（北京）集团有限公司、神州信创（厦门）研究院有限 公司、武汉神州数码云创新科技有限公司、重庆神州智享信息技术有限公司、厦门神州数码云计算有限公司、</w:t>
      </w:r>
      <w:r>
        <w:rPr>
          <w:rFonts w:ascii="Times New Roman" w:eastAsia="Times New Roman" w:hAnsi="Times New Roman" w:cs="Times New Roman"/>
          <w:color w:val="000000"/>
          <w:spacing w:val="0"/>
          <w:w w:val="100"/>
          <w:position w:val="0"/>
          <w:sz w:val="18"/>
          <w:szCs w:val="18"/>
        </w:rPr>
        <w:t>Digital China Cloud Singapore Pte.Ltd</w:t>
      </w:r>
      <w:r>
        <w:rPr>
          <w:color w:val="000000"/>
          <w:spacing w:val="0"/>
          <w:w w:val="100"/>
          <w:position w:val="0"/>
        </w:rPr>
        <w:t>。</w:t>
      </w:r>
    </w:p>
    <w:p>
      <w:pPr>
        <w:pStyle w:val="Style32"/>
        <w:keepNext/>
        <w:keepLines/>
        <w:widowControl w:val="0"/>
        <w:shd w:val="clear" w:color="auto" w:fill="auto"/>
        <w:tabs>
          <w:tab w:pos="517" w:val="left"/>
        </w:tabs>
        <w:bidi w:val="0"/>
        <w:spacing w:before="0" w:after="380" w:line="240" w:lineRule="auto"/>
        <w:ind w:left="0" w:right="0" w:firstLine="0"/>
        <w:jc w:val="both"/>
      </w:pPr>
      <w:bookmarkStart w:id="1488" w:name="bookmark1488"/>
      <w:bookmarkStart w:id="1489" w:name="bookmark1489"/>
      <w:bookmarkStart w:id="1490" w:name="bookmark1490"/>
      <w:bookmarkStart w:id="1491" w:name="bookmark1491"/>
      <w:r>
        <w:rPr>
          <w:color w:val="000000"/>
          <w:spacing w:val="0"/>
          <w:w w:val="100"/>
          <w:position w:val="0"/>
        </w:rPr>
        <w:t>九</w:t>
      </w:r>
      <w:bookmarkEnd w:id="1490"/>
      <w:r>
        <w:rPr>
          <w:color w:val="000000"/>
          <w:spacing w:val="0"/>
          <w:w w:val="100"/>
          <w:position w:val="0"/>
        </w:rPr>
        <w:t>、</w:t>
        <w:tab/>
        <w:t>在其他主体中的权益</w:t>
      </w:r>
      <w:bookmarkEnd w:id="1488"/>
      <w:bookmarkEnd w:id="1489"/>
      <w:bookmarkEnd w:id="1491"/>
    </w:p>
    <w:p>
      <w:pPr>
        <w:pStyle w:val="Style40"/>
        <w:keepNext/>
        <w:keepLines/>
        <w:widowControl w:val="0"/>
        <w:shd w:val="clear" w:color="auto" w:fill="auto"/>
        <w:bidi w:val="0"/>
        <w:spacing w:before="0" w:line="240" w:lineRule="auto"/>
        <w:ind w:left="0" w:right="0" w:firstLine="0"/>
        <w:jc w:val="both"/>
      </w:pPr>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2"/>
      <w:bookmarkEnd w:id="1493"/>
      <w:bookmarkEnd w:id="1494"/>
    </w:p>
    <w:p>
      <w:pPr>
        <w:pStyle w:val="Style47"/>
        <w:keepNext/>
        <w:keepLines/>
        <w:widowControl w:val="0"/>
        <w:shd w:val="clear" w:color="auto" w:fill="auto"/>
        <w:bidi w:val="0"/>
        <w:spacing w:before="0" w:after="300" w:line="240" w:lineRule="auto"/>
        <w:ind w:left="0" w:right="0" w:firstLine="14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95"/>
      <w:bookmarkEnd w:id="1496"/>
      <w:bookmarkEnd w:id="1497"/>
    </w:p>
    <w:tbl>
      <w:tblPr>
        <w:tblOverlap w:val="never"/>
        <w:jc w:val="center"/>
        <w:tblLayout w:type="fixed"/>
      </w:tblPr>
      <w:tblGrid>
        <w:gridCol w:w="2131"/>
        <w:gridCol w:w="994"/>
        <w:gridCol w:w="984"/>
        <w:gridCol w:w="2275"/>
        <w:gridCol w:w="994"/>
        <w:gridCol w:w="994"/>
        <w:gridCol w:w="12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福州神州数码有限公司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9</w:t>
            </w:r>
          </w:p>
        </w:tc>
      </w:tr>
    </w:tbl>
    <w:p>
      <w:pPr>
        <w:spacing w:lineRule="exact" w:line="1"/>
        <w:rPr>
          <w:sz w:val="2"/>
          <w:szCs w:val="2"/>
        </w:rPr>
      </w:pPr>
      <w:r>
        <w:br w:type="page"/>
      </w:r>
    </w:p>
    <w:tbl>
      <w:tblPr>
        <w:tblOverlap w:val="never"/>
        <w:jc w:val="center"/>
        <w:tblLayout w:type="fixed"/>
      </w:tblPr>
      <w:tblGrid>
        <w:gridCol w:w="2131"/>
        <w:gridCol w:w="994"/>
        <w:gridCol w:w="984"/>
        <w:gridCol w:w="2275"/>
        <w:gridCol w:w="994"/>
        <w:gridCol w:w="994"/>
        <w:gridCol w:w="12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广州神州数码信息科技有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12</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北京神州数码供应链有限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神州数码（郑州）有限公司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北京神州数码云科信息技</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上海神州数码通信技术有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16</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Digital China Marketing </w:t>
            </w:r>
            <w:r>
              <w:rPr>
                <w:rFonts w:ascii="Times New Roman" w:eastAsia="Times New Roman" w:hAnsi="Times New Roman" w:cs="Times New Roman"/>
                <w:i/>
                <w:iCs/>
                <w:color w:val="000000"/>
                <w:spacing w:val="0"/>
                <w:w w:val="100"/>
                <w:position w:val="0"/>
                <w:sz w:val="18"/>
                <w:szCs w:val="18"/>
              </w:rPr>
              <w:t>&amp;</w:t>
            </w:r>
          </w:p>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Services 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神州数码科技发展有限公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神州数码（香港）有限公司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神州数码数据服务（香港）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神州数码澳门有限公司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系统信息科技（香港）有限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22</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神州数码网络（香港）有限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北京神州数码智慧生活科</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24</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神州数码澳门离岸商业服 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北京神州数码电商科技有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27</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北京神州数码云计算有限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28</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贵州神州数码云计算有限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29</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深圳神州数码云科数据技 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存储、虚拟化、超融合产品 的研发、生产及销售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30</w:t>
            </w:r>
          </w:p>
        </w:tc>
      </w:tr>
    </w:tbl>
    <w:p>
      <w:pPr>
        <w:spacing w:lineRule="exact" w:line="1"/>
        <w:rPr>
          <w:sz w:val="2"/>
          <w:szCs w:val="2"/>
        </w:rPr>
      </w:pPr>
      <w:r>
        <w:br w:type="page"/>
      </w:r>
    </w:p>
    <w:tbl>
      <w:tblPr>
        <w:tblOverlap w:val="never"/>
        <w:jc w:val="center"/>
        <w:tblLayout w:type="fixed"/>
      </w:tblPr>
      <w:tblGrid>
        <w:gridCol w:w="2131"/>
        <w:gridCol w:w="994"/>
        <w:gridCol w:w="984"/>
        <w:gridCol w:w="2275"/>
        <w:gridCol w:w="994"/>
        <w:gridCol w:w="994"/>
        <w:gridCol w:w="121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武汉神州数码云科网络技 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Technology</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(Sin) PTE 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上海云角信息技术有限公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计算机科技领域技术开发、 咨询、服务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33</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北京神州数码云角信息技</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信息技术开发与服务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上海云角信息技术（美国）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信息技术开发与服务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上海云角信息技术（香港）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信息技术开发与服务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深圳神州数码电商服务有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电子商务运营管理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37</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Technology</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(Malaysia) Sdn. Bhd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智慧神州（北京）投资管理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39</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武汉神州数码有限公司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计算机软硬件及辅助设备的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制造及技术咨询服务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神州数码应收账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款资产支持专项计划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证券公司资产支持专项计划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41</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神州信创（厦门）研究院有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厦门神州数码云计算有限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数据处理服务及软件开发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神州鲲泰（厦门）信息技术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计算机软硬件及外围设备制 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神州信创（北京）集团有限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集成电路设计、软件开发、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武汉神州数码云创新科技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软件开发、信息系统集成服 务、信息咨询服务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Cloud</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Singapore Pte.Ltd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47</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重庆神州智享信息技术有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工业控制计算机及系统制造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48</w:t>
            </w:r>
          </w:p>
        </w:tc>
      </w:tr>
    </w:tbl>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在子公司的持股比例不同于表决权比例的说明：</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不适用</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不适用</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对于纳入合并范围的重要的结构化主体，控制的依据：</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详见重要会计政策与会计估计</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确定公司是代理人还是委托人的依据：</w:t>
      </w:r>
    </w:p>
    <w:p>
      <w:pPr>
        <w:pStyle w:val="Style3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详见重要会计政策与会计估计</w:t>
      </w:r>
    </w:p>
    <w:p>
      <w:pPr>
        <w:pStyle w:val="Style3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其他说明：</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神码中国系由神码有限于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日出资设立的台港澳法人独资有限责任公司，公司注册资本港币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日，神码有限将其持有的神码中国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股权转让给本公司，转让后，神码中国成为本公司全资子公司，公司类 型由台港澳法人独资有限责任公司变更为法人独资有限责任公司，公司注册资本变更为人民币</w:t>
      </w:r>
      <w:r>
        <w:rPr>
          <w:rFonts w:ascii="Times New Roman" w:eastAsia="Times New Roman" w:hAnsi="Times New Roman" w:cs="Times New Roman"/>
          <w:color w:val="000000"/>
          <w:spacing w:val="0"/>
          <w:w w:val="100"/>
          <w:position w:val="0"/>
          <w:sz w:val="18"/>
          <w:szCs w:val="18"/>
        </w:rPr>
        <w:t>104,272.225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月，经股东会决议通过，本公司向神码中国增资</w:t>
      </w:r>
      <w:r>
        <w:rPr>
          <w:rFonts w:ascii="Times New Roman" w:eastAsia="Times New Roman" w:hAnsi="Times New Roman" w:cs="Times New Roman"/>
          <w:color w:val="000000"/>
          <w:spacing w:val="0"/>
          <w:w w:val="100"/>
          <w:position w:val="0"/>
          <w:sz w:val="18"/>
          <w:szCs w:val="18"/>
        </w:rPr>
        <w:t>12.05</w:t>
      </w:r>
      <w:r>
        <w:rPr>
          <w:color w:val="000000"/>
          <w:spacing w:val="0"/>
          <w:w w:val="100"/>
          <w:position w:val="0"/>
        </w:rPr>
        <w:t>亿元，神码中国全部计入资本公积。</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神码上海系由神码有限于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日出资港币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万元设立的台港澳法人独资有限责任公司。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神码有限对神码上海增资港币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万元，增资后，神码上海的注册资本及实收资本变更为港币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神码有限对神码上海增资港币</w:t>
      </w:r>
      <w:r>
        <w:rPr>
          <w:rFonts w:ascii="Times New Roman" w:eastAsia="Times New Roman" w:hAnsi="Times New Roman" w:cs="Times New Roman"/>
          <w:color w:val="000000"/>
          <w:spacing w:val="0"/>
          <w:w w:val="100"/>
          <w:position w:val="0"/>
          <w:sz w:val="18"/>
          <w:szCs w:val="18"/>
        </w:rPr>
        <w:t>25,500</w:t>
      </w:r>
      <w:r>
        <w:rPr>
          <w:color w:val="000000"/>
          <w:spacing w:val="0"/>
          <w:w w:val="100"/>
          <w:position w:val="0"/>
        </w:rPr>
        <w:t>万元，增资后，神码上海的注册资本及实收资本变更为港币</w:t>
      </w:r>
      <w:r>
        <w:rPr>
          <w:rFonts w:ascii="Times New Roman" w:eastAsia="Times New Roman" w:hAnsi="Times New Roman" w:cs="Times New Roman"/>
          <w:color w:val="000000"/>
          <w:spacing w:val="0"/>
          <w:w w:val="100"/>
          <w:position w:val="0"/>
          <w:sz w:val="18"/>
          <w:szCs w:val="18"/>
        </w:rPr>
        <w:t>28,500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神码有限将其持有的神码上海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股权转让给本公司，转让后，神码上海成为本公司全资子公司，公司类型由台港澳法人 独资有限责任公司变更为法人独资有限责任公司，公司注册资本变更为人民币</w:t>
      </w:r>
      <w:r>
        <w:rPr>
          <w:rFonts w:ascii="Times New Roman" w:eastAsia="Times New Roman" w:hAnsi="Times New Roman" w:cs="Times New Roman"/>
          <w:color w:val="000000"/>
          <w:spacing w:val="0"/>
          <w:w w:val="100"/>
          <w:position w:val="0"/>
          <w:sz w:val="18"/>
          <w:szCs w:val="18"/>
        </w:rPr>
        <w:t>23,105.115</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广州神州数码有限公司由神码有限及神码北京于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日共同出资设立。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日，神码有限将其持 有的广州神州数码有限公司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股权转让给神码中国，注册资本由港币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1,274.04</w:t>
      </w:r>
      <w:r>
        <w:rPr>
          <w:color w:val="000000"/>
          <w:spacing w:val="0"/>
          <w:w w:val="100"/>
          <w:position w:val="0"/>
        </w:rPr>
        <w:t>万元，转让后，神码 中国持有广州神州数码有限公司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股权，神码北京持有广州神州数码有限公司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沈阳神州数码有限公司（以下简称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神码沈阳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月由神码有限设立的台港澳法人独资有限责任公司。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日，神码有限将其持有的神码沈阳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股权转让给神码中国，转让后，神码沈阳成为神码中国全资子公司，公 司类型由台港澳法人独资有限责任公司变更为自然人投资或控股的法人独资有限责任公司，公司注册资本由港币</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万元 变更为人民币</w:t>
      </w:r>
      <w:r>
        <w:rPr>
          <w:rFonts w:ascii="Times New Roman" w:eastAsia="Times New Roman" w:hAnsi="Times New Roman" w:cs="Times New Roman"/>
          <w:color w:val="000000"/>
          <w:spacing w:val="0"/>
          <w:w w:val="100"/>
          <w:position w:val="0"/>
          <w:sz w:val="18"/>
          <w:szCs w:val="18"/>
        </w:rPr>
        <w:t>3,370</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神码深圳系于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日由神码有限设立的台港澳法人独资有限责任公司。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日，神码有限将其持有 的神码深圳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股权转让给神码中国，转让后，神码深圳成为神码中国全资子公司，公司类型由台港澳法人独资有限责任 公司变更为法人独资有限责任公司，注册资本由港币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1,273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日，神码中国对神码深 圳增资人民币</w:t>
      </w:r>
      <w:r>
        <w:rPr>
          <w:rFonts w:ascii="Times New Roman" w:eastAsia="Times New Roman" w:hAnsi="Times New Roman" w:cs="Times New Roman"/>
          <w:color w:val="000000"/>
          <w:spacing w:val="0"/>
          <w:w w:val="100"/>
          <w:position w:val="0"/>
          <w:sz w:val="18"/>
          <w:szCs w:val="18"/>
        </w:rPr>
        <w:t>8,727</w:t>
      </w:r>
      <w:r>
        <w:rPr>
          <w:color w:val="000000"/>
          <w:spacing w:val="0"/>
          <w:w w:val="100"/>
          <w:position w:val="0"/>
        </w:rPr>
        <w:t>万</w:t>
      </w:r>
      <w:r>
        <w:rPr>
          <w:color w:val="000000"/>
          <w:spacing w:val="0"/>
          <w:w w:val="100"/>
          <w:position w:val="0"/>
          <w:sz w:val="18"/>
          <w:szCs w:val="18"/>
        </w:rPr>
        <w:t>，</w:t>
      </w:r>
      <w:r>
        <w:rPr>
          <w:color w:val="000000"/>
          <w:spacing w:val="0"/>
          <w:w w:val="100"/>
          <w:position w:val="0"/>
        </w:rPr>
        <w:t>增资后，神码深圳的注册资本由人民币</w:t>
      </w:r>
      <w:r>
        <w:rPr>
          <w:rFonts w:ascii="Times New Roman" w:eastAsia="Times New Roman" w:hAnsi="Times New Roman" w:cs="Times New Roman"/>
          <w:color w:val="000000"/>
          <w:spacing w:val="0"/>
          <w:w w:val="100"/>
          <w:position w:val="0"/>
          <w:sz w:val="18"/>
          <w:szCs w:val="18"/>
        </w:rPr>
        <w:t>1,273</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日，神码中国对神 码深圳增资人民币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亿元，增资后，神码深圳的注册资本由人民币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亿元变更为人民币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南京神州数码有限公司（以下简称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日由神码有限设立的台港澳法人独资有限责任公 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日，神码有限将其持有的神码南京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股权转让给神码中国，转让后，神码南京成为神码中国全资子公司， 公司类型由台港澳法人独资有限责任公司变更为自然人投资或控股的法人独资有限责任公司，注册资本由港币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万元变更 为人民币</w:t>
      </w:r>
      <w:r>
        <w:rPr>
          <w:rFonts w:ascii="Times New Roman" w:eastAsia="Times New Roman" w:hAnsi="Times New Roman" w:cs="Times New Roman"/>
          <w:color w:val="000000"/>
          <w:spacing w:val="0"/>
          <w:w w:val="100"/>
          <w:position w:val="0"/>
          <w:sz w:val="18"/>
          <w:szCs w:val="18"/>
        </w:rPr>
        <w:t>318.51</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杭州神州数码有限公司（以下简称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神码杭州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日由神码有限设立的台港澳法人独资有限责任公 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日，神码有限将其持有的神码杭州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股权转让给神码中国，转让后，神码济南成为神码中国全资子公司， 公司类型由台港澳法人独资有限责任公司变更为一人有限责任公司（私营法人独资），注册资本由港币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万元变更为人 民币</w:t>
      </w:r>
      <w:r>
        <w:rPr>
          <w:rFonts w:ascii="Times New Roman" w:eastAsia="Times New Roman" w:hAnsi="Times New Roman" w:cs="Times New Roman"/>
          <w:color w:val="000000"/>
          <w:spacing w:val="0"/>
          <w:w w:val="100"/>
          <w:position w:val="0"/>
          <w:sz w:val="18"/>
          <w:szCs w:val="18"/>
        </w:rPr>
        <w:t>318.00</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神码西安系于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日由神码有限设立的台港澳法人独资有限责任公司。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日，神码有限将其持有 的神码西安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股权转让给神码中国，转让后，神码西安成为神码中国全资子公司，注册资本</w:t>
      </w:r>
      <w:r>
        <w:rPr>
          <w:rFonts w:ascii="Times New Roman" w:eastAsia="Times New Roman" w:hAnsi="Times New Roman" w:cs="Times New Roman"/>
          <w:color w:val="000000"/>
          <w:spacing w:val="0"/>
          <w:w w:val="100"/>
          <w:position w:val="0"/>
          <w:sz w:val="18"/>
          <w:szCs w:val="18"/>
        </w:rPr>
        <w:t>973.65</w:t>
      </w:r>
      <w:r>
        <w:rPr>
          <w:color w:val="000000"/>
          <w:spacing w:val="0"/>
          <w:w w:val="100"/>
          <w:position w:val="0"/>
        </w:rPr>
        <w:t>万人民币。</w:t>
      </w:r>
    </w:p>
    <w:p>
      <w:pPr>
        <w:pStyle w:val="Style37"/>
        <w:keepNext w:val="0"/>
        <w:keepLines w:val="0"/>
        <w:widowControl w:val="0"/>
        <w:shd w:val="clear" w:color="auto" w:fill="auto"/>
        <w:bidi w:val="0"/>
        <w:spacing w:before="0" w:after="0" w:line="313"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福州神州数码有限公司（以下简称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日由神码有限设立的台港澳法人独资有限责任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日，神码有限将其持有的神码福州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股权转让给神码中国，转让后，神码福州成为神码中国全资子公 </w:t>
      </w:r>
      <w:r>
        <w:rPr>
          <w:color w:val="000000"/>
          <w:spacing w:val="0"/>
          <w:w w:val="100"/>
          <w:position w:val="0"/>
        </w:rPr>
        <w:t>司，公司类型由台港澳法人独资有限责任公司变更为自然人投资或控股的法人独资有限责任公司，注册资本由港币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元变更为人民币</w:t>
      </w:r>
      <w:r>
        <w:rPr>
          <w:rFonts w:ascii="Times New Roman" w:eastAsia="Times New Roman" w:hAnsi="Times New Roman" w:cs="Times New Roman"/>
          <w:color w:val="000000"/>
          <w:spacing w:val="0"/>
          <w:w w:val="100"/>
          <w:position w:val="0"/>
          <w:sz w:val="18"/>
          <w:szCs w:val="18"/>
        </w:rPr>
        <w:t>991.387</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神码广州于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日由神码有限设立的台港澳法人独资有限责任公司。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日，神码有限将其持有 的神码广州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股权转让给本公司，转让后，神码广州成为本公司全资子公司，公司类型由台港澳法人独资有限责任公司 变更为法人独资有限责任公司，注册资本由美元</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32,559.50</w:t>
      </w:r>
      <w:r>
        <w:rPr>
          <w:color w:val="000000"/>
          <w:spacing w:val="0"/>
          <w:w w:val="100"/>
          <w:position w:val="0"/>
        </w:rPr>
        <w:t>万。</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成都神州数码有限公司（以下简称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神码成都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日由神码有限设立的台港澳法人独资有限责任公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日，神码有限对神码成都增资港币</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万元，增资后，神码成都的注册资本及实收资本变更为港币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日，神码有限将其持有的神码成都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股权转让给神码中国，转让后，神码成都成为神码中国全资子公司， 公司类型由台港澳法人独资有限责任公司变更为外商投资企业法人独资有限责任公司，注册资本由港币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万元变更为人 民币</w:t>
      </w:r>
      <w:r>
        <w:rPr>
          <w:rFonts w:ascii="Times New Roman" w:eastAsia="Times New Roman" w:hAnsi="Times New Roman" w:cs="Times New Roman"/>
          <w:color w:val="000000"/>
          <w:spacing w:val="0"/>
          <w:w w:val="100"/>
          <w:position w:val="0"/>
          <w:sz w:val="18"/>
          <w:szCs w:val="18"/>
        </w:rPr>
        <w:t>2,540.1625</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神码北京系于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日由神码中国和神码上海共同设立的外商投资企业与内资合资有限责任公司。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日，公司类型由外商投资企业与内资合资有限责任公司变更为有限责任公司。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月，经股东会决议通过，神码中 国及神码上海按持股比例共向神码北京增资</w:t>
      </w:r>
      <w:r>
        <w:rPr>
          <w:rFonts w:ascii="Times New Roman" w:eastAsia="Times New Roman" w:hAnsi="Times New Roman" w:cs="Times New Roman"/>
          <w:color w:val="000000"/>
          <w:spacing w:val="0"/>
          <w:w w:val="100"/>
          <w:position w:val="0"/>
          <w:sz w:val="18"/>
          <w:szCs w:val="18"/>
        </w:rPr>
        <w:t>42,105.26</w:t>
      </w:r>
      <w:r>
        <w:rPr>
          <w:color w:val="000000"/>
          <w:spacing w:val="0"/>
          <w:w w:val="100"/>
          <w:position w:val="0"/>
        </w:rPr>
        <w:t>万元，神码北京全部计入资本公积。</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:北京神州数码供应链有限公司系于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日由神码北京设立的法人独资有限责任公司。于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神码北京对北京神州数码供应链有限公司增资人民币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 xml:space="preserve">万元，增资后北京神州数码供应链有限公司的注册资本变更为 </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神州数码（郑州）有限公司（以下简称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神码郑州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日由神码北京和北京天明国际投资管理有限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北京天明国际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）设立的有限责任公司。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日，北京天明国际将其持有的神码郑州的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股权转让给神码 北京，转让完成后，神码郑州成为神码北京的全资子公司。</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北京云科信息技术系于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日由神码网络香港设立的法人独资有限责任公司。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月，北京云科信息 技术增资引入新股东，神码网络香港对北京云科信息技术的持股比例由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稀释为</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月，神码网络香港以港币 </w:t>
      </w:r>
      <w:r>
        <w:rPr>
          <w:rFonts w:ascii="Times New Roman" w:eastAsia="Times New Roman" w:hAnsi="Times New Roman" w:cs="Times New Roman"/>
          <w:color w:val="000000"/>
          <w:spacing w:val="0"/>
          <w:w w:val="100"/>
          <w:position w:val="0"/>
          <w:sz w:val="18"/>
          <w:szCs w:val="18"/>
        </w:rPr>
        <w:t>27,500</w:t>
      </w:r>
      <w:r>
        <w:rPr>
          <w:color w:val="000000"/>
          <w:spacing w:val="0"/>
          <w:w w:val="100"/>
          <w:position w:val="0"/>
        </w:rPr>
        <w:t>千元购回该新股东持有的北京云科信息技术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股权，北京云科信息技术成为神码网络香港的全资子公司。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日，注册资本由港币</w:t>
      </w:r>
      <w:r>
        <w:rPr>
          <w:rFonts w:ascii="Times New Roman" w:eastAsia="Times New Roman" w:hAnsi="Times New Roman" w:cs="Times New Roman"/>
          <w:color w:val="000000"/>
          <w:spacing w:val="0"/>
          <w:w w:val="100"/>
          <w:position w:val="0"/>
          <w:sz w:val="18"/>
          <w:szCs w:val="18"/>
        </w:rPr>
        <w:t>340.909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日，神码北京购买了北京云科信息技术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权，转让后，北京云科信息技术成为神码北京的全资子公司。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月，神码北京已实缴</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万元注册资本。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神码北京向北京云科信息技术增资</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万元，增资后北京云科信息技术的注册资本变更为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上海神州数码通信技术有限公司（以下简称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上海通信技术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日由北京云科信息技术设立的法 人独资有限责任公司。</w:t>
      </w:r>
    </w:p>
    <w:p>
      <w:pPr>
        <w:pStyle w:val="Style71"/>
        <w:keepNext w:val="0"/>
        <w:keepLines w:val="0"/>
        <w:widowControl w:val="0"/>
        <w:shd w:val="clear" w:color="auto" w:fill="auto"/>
        <w:bidi w:val="0"/>
        <w:spacing w:before="0" w:after="0" w:line="313" w:lineRule="exact"/>
        <w:ind w:left="0" w:right="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 xml:space="preserve">17: </w:t>
      </w:r>
      <w:r>
        <w:rPr>
          <w:color w:val="000000"/>
          <w:spacing w:val="0"/>
          <w:w w:val="100"/>
          <w:position w:val="0"/>
          <w:sz w:val="18"/>
          <w:szCs w:val="18"/>
        </w:rPr>
        <w:t xml:space="preserve">Digital China Marketing </w:t>
      </w:r>
      <w:r>
        <w:rPr>
          <w:color w:val="000000"/>
          <w:spacing w:val="0"/>
          <w:w w:val="100"/>
          <w:position w:val="0"/>
          <w:sz w:val="18"/>
          <w:szCs w:val="18"/>
        </w:rPr>
        <w:t xml:space="preserve">&amp; </w:t>
      </w:r>
      <w:r>
        <w:rPr>
          <w:color w:val="000000"/>
          <w:spacing w:val="0"/>
          <w:w w:val="100"/>
          <w:position w:val="0"/>
          <w:sz w:val="18"/>
          <w:szCs w:val="18"/>
        </w:rPr>
        <w:t>Services Ltd.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以下简称</w:t>
      </w:r>
      <w:r>
        <w:rPr>
          <w:color w:val="000000"/>
          <w:spacing w:val="0"/>
          <w:w w:val="100"/>
          <w:position w:val="0"/>
          <w:sz w:val="18"/>
          <w:szCs w:val="18"/>
        </w:rPr>
        <w:t>“DCMS”</w:t>
      </w:r>
      <w:r>
        <w:rPr>
          <w:rFonts w:ascii="SimSun" w:eastAsia="SimSun" w:hAnsi="SimSun" w:cs="SimSun"/>
          <w:color w:val="000000"/>
          <w:spacing w:val="0"/>
          <w:w w:val="100"/>
          <w:position w:val="0"/>
          <w:sz w:val="17"/>
          <w:szCs w:val="17"/>
        </w:rPr>
        <w:t>）系于</w:t>
      </w: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日由</w:t>
      </w:r>
      <w:r>
        <w:rPr>
          <w:color w:val="000000"/>
          <w:spacing w:val="0"/>
          <w:w w:val="100"/>
          <w:position w:val="0"/>
          <w:sz w:val="18"/>
          <w:szCs w:val="18"/>
        </w:rPr>
        <w:t>DCL（BVI</w:t>
      </w:r>
      <w:r>
        <w:rPr>
          <w:color w:val="000000"/>
          <w:spacing w:val="0"/>
          <w:w w:val="100"/>
          <w:position w:val="0"/>
          <w:sz w:val="18"/>
          <w:szCs w:val="18"/>
        </w:rPr>
        <w:t>）</w:t>
      </w:r>
      <w:r>
        <w:rPr>
          <w:rFonts w:ascii="SimSun" w:eastAsia="SimSun" w:hAnsi="SimSun" w:cs="SimSun"/>
          <w:color w:val="000000"/>
          <w:spacing w:val="0"/>
          <w:w w:val="100"/>
          <w:position w:val="0"/>
          <w:sz w:val="17"/>
          <w:szCs w:val="17"/>
        </w:rPr>
        <w:t>在香港设立的私人股 份有限公司。根据</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日签订的股权转让协议，</w:t>
      </w:r>
      <w:r>
        <w:rPr>
          <w:color w:val="000000"/>
          <w:spacing w:val="0"/>
          <w:w w:val="100"/>
          <w:position w:val="0"/>
          <w:sz w:val="18"/>
          <w:szCs w:val="18"/>
        </w:rPr>
        <w:t>DCL（BVI）</w:t>
      </w:r>
      <w:r>
        <w:rPr>
          <w:rFonts w:ascii="SimSun" w:eastAsia="SimSun" w:hAnsi="SimSun" w:cs="SimSun"/>
          <w:color w:val="000000"/>
          <w:spacing w:val="0"/>
          <w:w w:val="100"/>
          <w:position w:val="0"/>
          <w:sz w:val="17"/>
          <w:szCs w:val="17"/>
        </w:rPr>
        <w:t>将其持有的</w:t>
      </w:r>
      <w:r>
        <w:rPr>
          <w:color w:val="000000"/>
          <w:spacing w:val="0"/>
          <w:w w:val="100"/>
          <w:position w:val="0"/>
          <w:sz w:val="18"/>
          <w:szCs w:val="18"/>
        </w:rPr>
        <w:t>DCMS100%</w:t>
      </w:r>
      <w:r>
        <w:rPr>
          <w:rFonts w:ascii="SimSun" w:eastAsia="SimSun" w:hAnsi="SimSun" w:cs="SimSun"/>
          <w:color w:val="000000"/>
          <w:spacing w:val="0"/>
          <w:w w:val="100"/>
          <w:position w:val="0"/>
          <w:sz w:val="17"/>
          <w:szCs w:val="17"/>
        </w:rPr>
        <w:t>的股权转让给神码中国。</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神码科技发展系于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DCMS</w:t>
      </w:r>
      <w:r>
        <w:rPr>
          <w:color w:val="000000"/>
          <w:spacing w:val="0"/>
          <w:w w:val="100"/>
          <w:position w:val="0"/>
        </w:rPr>
        <w:t>在香港设立的私人股份有限公司。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DCMS</w:t>
      </w:r>
      <w:r>
        <w:rPr>
          <w:color w:val="000000"/>
          <w:spacing w:val="0"/>
          <w:w w:val="100"/>
          <w:position w:val="0"/>
        </w:rPr>
        <w:t>对神码科技发 展注资港币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万元，注资后神码科技发展的注册资本及实收资本由港币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万元变更为港币</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神码香港系于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DCMS</w:t>
      </w:r>
      <w:r>
        <w:rPr>
          <w:color w:val="000000"/>
          <w:spacing w:val="0"/>
          <w:w w:val="100"/>
          <w:position w:val="0"/>
        </w:rPr>
        <w:t>在香港设立的私人股份有限公司。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DCMS</w:t>
      </w:r>
      <w:r>
        <w:rPr>
          <w:color w:val="000000"/>
          <w:spacing w:val="0"/>
          <w:w w:val="100"/>
          <w:position w:val="0"/>
        </w:rPr>
        <w:t xml:space="preserve">将其持有的神码香港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的股权转让给神码中国。</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神码数据服务系于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日由神码香港在香港设立的私人股份有限公司。</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神码澳门系于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DCMS</w:t>
      </w:r>
      <w:r>
        <w:rPr>
          <w:color w:val="000000"/>
          <w:spacing w:val="0"/>
          <w:w w:val="100"/>
          <w:position w:val="0"/>
        </w:rPr>
        <w:t>在澳门设立的私人股份有限公司。</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系统信息香港系于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DCMS</w:t>
      </w:r>
      <w:r>
        <w:rPr>
          <w:color w:val="000000"/>
          <w:spacing w:val="0"/>
          <w:w w:val="100"/>
          <w:position w:val="0"/>
        </w:rPr>
        <w:t>在香港设立的私人股份有限公司。</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神码网络香港系于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w:t>
      </w:r>
      <w:r>
        <w:rPr>
          <w:rFonts w:ascii="Times New Roman" w:eastAsia="Times New Roman" w:hAnsi="Times New Roman" w:cs="Times New Roman"/>
          <w:color w:val="000000"/>
          <w:spacing w:val="0"/>
          <w:w w:val="100"/>
          <w:position w:val="0"/>
          <w:sz w:val="18"/>
          <w:szCs w:val="18"/>
        </w:rPr>
        <w:t>DCL（BVI）</w:t>
      </w:r>
      <w:r>
        <w:rPr>
          <w:color w:val="000000"/>
          <w:spacing w:val="0"/>
          <w:w w:val="100"/>
          <w:position w:val="0"/>
        </w:rPr>
        <w:t>的子公司</w:t>
      </w:r>
      <w:r>
        <w:rPr>
          <w:rFonts w:ascii="Times New Roman" w:eastAsia="Times New Roman" w:hAnsi="Times New Roman" w:cs="Times New Roman"/>
          <w:color w:val="000000"/>
          <w:spacing w:val="0"/>
          <w:w w:val="100"/>
          <w:position w:val="0"/>
          <w:sz w:val="18"/>
          <w:szCs w:val="18"/>
        </w:rPr>
        <w:t>DCN（BVI</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在香港设立的私人股份有限公司。根据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日签订的股权转让协议，</w:t>
      </w:r>
      <w:r>
        <w:rPr>
          <w:rFonts w:ascii="Times New Roman" w:eastAsia="Times New Roman" w:hAnsi="Times New Roman" w:cs="Times New Roman"/>
          <w:color w:val="000000"/>
          <w:spacing w:val="0"/>
          <w:w w:val="100"/>
          <w:position w:val="0"/>
          <w:sz w:val="18"/>
          <w:szCs w:val="18"/>
        </w:rPr>
        <w:t>DCN（BVI</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将其持有的神码网络香港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的股权转让给</w:t>
      </w:r>
      <w:r>
        <w:rPr>
          <w:rFonts w:ascii="Times New Roman" w:eastAsia="Times New Roman" w:hAnsi="Times New Roman" w:cs="Times New Roman"/>
          <w:color w:val="000000"/>
          <w:spacing w:val="0"/>
          <w:w w:val="100"/>
          <w:position w:val="0"/>
          <w:sz w:val="18"/>
          <w:szCs w:val="18"/>
        </w:rPr>
        <w:t>DCMS</w:t>
      </w:r>
      <w:r>
        <w:rPr>
          <w:color w:val="000000"/>
          <w:spacing w:val="0"/>
          <w:w w:val="100"/>
          <w:position w:val="0"/>
        </w:rPr>
        <w:t>。</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北京神州数码智慧生活科技有限公司（以下简称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北京智慧生活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日由神码北京设立的法人独 资有限责任公司。</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神码澳门离岸系于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日由神码中国收购而纳入汇总范围。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日，神码中国对神码澳门离岸注 资澳门元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万元，注资后神码澳门离岸的注册资本及实收资本由澳门元</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万元变更为澳门元</w:t>
      </w:r>
      <w:r>
        <w:rPr>
          <w:rFonts w:ascii="Times New Roman" w:eastAsia="Times New Roman" w:hAnsi="Times New Roman" w:cs="Times New Roman"/>
          <w:color w:val="000000"/>
          <w:spacing w:val="0"/>
          <w:w w:val="100"/>
          <w:position w:val="0"/>
          <w:sz w:val="18"/>
          <w:szCs w:val="18"/>
        </w:rPr>
        <w:t>102.5</w:t>
      </w:r>
      <w:r>
        <w:rPr>
          <w:color w:val="000000"/>
          <w:spacing w:val="0"/>
          <w:w w:val="100"/>
          <w:position w:val="0"/>
        </w:rPr>
        <w:t>万元。</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神州数码云系于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日由神码中国在香港设立的私人股份有限公司。</w:t>
      </w:r>
    </w:p>
    <w:p>
      <w:pPr>
        <w:pStyle w:val="Style37"/>
        <w:keepNext w:val="0"/>
        <w:keepLines w:val="0"/>
        <w:widowControl w:val="0"/>
        <w:shd w:val="clear" w:color="auto" w:fill="auto"/>
        <w:bidi w:val="0"/>
        <w:spacing w:before="0" w:after="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：北京神州数码电商科技有限公司（以下简称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日由神码中国设立的法人独资有限责 </w:t>
      </w:r>
      <w:r>
        <w:rPr>
          <w:color w:val="000000"/>
          <w:spacing w:val="0"/>
          <w:w w:val="100"/>
          <w:position w:val="0"/>
        </w:rPr>
        <w:t>任公司。</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：神州云计算原名北京神州云科信息服务有限公司，系于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日由北京神州云科信息技术有限公司出资人 民币</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万元设立的有限责任公司，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月，本公司与郭为先生分别与北京神州云科信息技术有限公司签订股权转让协 议受让北京神州云科信息服务有限公司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日，完成工商变更登记。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日，更名为北京 神州数码云计算有限公司。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月，本公司以人民币</w:t>
      </w:r>
      <w:r>
        <w:rPr>
          <w:rFonts w:ascii="Times New Roman" w:eastAsia="Times New Roman" w:hAnsi="Times New Roman" w:cs="Times New Roman"/>
          <w:color w:val="000000"/>
          <w:spacing w:val="0"/>
          <w:w w:val="100"/>
          <w:position w:val="0"/>
          <w:sz w:val="18"/>
          <w:szCs w:val="18"/>
        </w:rPr>
        <w:t>6,694,627.04</w:t>
      </w:r>
      <w:r>
        <w:rPr>
          <w:color w:val="000000"/>
          <w:spacing w:val="0"/>
          <w:w w:val="100"/>
          <w:position w:val="0"/>
        </w:rPr>
        <w:t>元受让郭为先生持有的神州云计算</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的股权，本次 受让完成后，本公司持有神州云计算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月，本公司向神州云计算增资</w:t>
      </w:r>
      <w:r>
        <w:rPr>
          <w:rFonts w:ascii="Times New Roman" w:eastAsia="Times New Roman" w:hAnsi="Times New Roman" w:cs="Times New Roman"/>
          <w:color w:val="000000"/>
          <w:spacing w:val="0"/>
          <w:w w:val="100"/>
          <w:position w:val="0"/>
          <w:sz w:val="18"/>
          <w:szCs w:val="18"/>
        </w:rPr>
        <w:t>8,900</w:t>
      </w:r>
      <w:r>
        <w:rPr>
          <w:color w:val="000000"/>
          <w:spacing w:val="0"/>
          <w:w w:val="100"/>
          <w:position w:val="0"/>
        </w:rPr>
        <w:t>万元，增资后神州云计算的注 册资本变更为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：贵州神州数码云计算有限公司（以下简称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）原名贵州神州云科信息服务有限公司，系于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日由北京神州云科信息服务有限公司出资人民币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万元设立的有限责任公司。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日，本公司更名为贵州神州 数码云计算有限公司。</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:深圳神州数码云科数据技术有限公司（以下简称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深圳云科数据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日由北京神州数码云科信息 技术有限公司与北京安昊科技中心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共同设立的有限责任公司，注册资本人民币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万元，北京神州数码云科 信息技术有限公司持股比例为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：武汉云科网络系于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日由北京神州数码云科信息技术有限公司设立的其他有限责任公司，注册资本人 民币</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w:t>
      </w:r>
    </w:p>
    <w:p>
      <w:pPr>
        <w:pStyle w:val="Style71"/>
        <w:keepNext w:val="0"/>
        <w:keepLines w:val="0"/>
        <w:widowControl w:val="0"/>
        <w:shd w:val="clear" w:color="auto" w:fill="auto"/>
        <w:bidi w:val="0"/>
        <w:spacing w:before="0" w:after="0" w:line="314" w:lineRule="exact"/>
        <w:ind w:left="0" w:right="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 xml:space="preserve">32: </w:t>
      </w:r>
      <w:r>
        <w:rPr>
          <w:color w:val="000000"/>
          <w:spacing w:val="0"/>
          <w:w w:val="100"/>
          <w:position w:val="0"/>
          <w:sz w:val="18"/>
          <w:szCs w:val="18"/>
        </w:rPr>
        <w:t>Digital China Technology International （Sin） PTE LTD</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系于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日由神码香港出资</w:t>
      </w:r>
      <w:r>
        <w:rPr>
          <w:color w:val="000000"/>
          <w:spacing w:val="0"/>
          <w:w w:val="100"/>
          <w:position w:val="0"/>
          <w:sz w:val="18"/>
          <w:szCs w:val="18"/>
        </w:rPr>
        <w:t>10</w:t>
      </w:r>
      <w:r>
        <w:rPr>
          <w:rFonts w:ascii="SimSun" w:eastAsia="SimSun" w:hAnsi="SimSun" w:cs="SimSun"/>
          <w:color w:val="000000"/>
          <w:spacing w:val="0"/>
          <w:w w:val="100"/>
          <w:position w:val="0"/>
          <w:sz w:val="17"/>
          <w:szCs w:val="17"/>
        </w:rPr>
        <w:t>万美元设立的私人股 份有限公司。</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上海云角系于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日由冯春萍、朱琦、刘冬梅、郝峻晟出资共同设立的有限责任公司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非自然人投资或控 股的法人独资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日，上海云角股东将其持有的上海云角</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股权转让给本公司，转让后，上海云角为本 公司全资子公司，注册资本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万人民币。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日，经股东会决议，上海云角注册资本增至人民币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 其中资本公积转增注册资本</w:t>
      </w:r>
      <w:r>
        <w:rPr>
          <w:rFonts w:ascii="Times New Roman" w:eastAsia="Times New Roman" w:hAnsi="Times New Roman" w:cs="Times New Roman"/>
          <w:color w:val="000000"/>
          <w:spacing w:val="0"/>
          <w:w w:val="100"/>
          <w:position w:val="0"/>
          <w:sz w:val="18"/>
          <w:szCs w:val="18"/>
        </w:rPr>
        <w:t>1,330.00</w:t>
      </w:r>
      <w:r>
        <w:rPr>
          <w:color w:val="000000"/>
          <w:spacing w:val="0"/>
          <w:w w:val="100"/>
          <w:position w:val="0"/>
        </w:rPr>
        <w:t>万元，未分配利润转增注册资本</w:t>
      </w:r>
      <w:r>
        <w:rPr>
          <w:rFonts w:ascii="Times New Roman" w:eastAsia="Times New Roman" w:hAnsi="Times New Roman" w:cs="Times New Roman"/>
          <w:color w:val="000000"/>
          <w:spacing w:val="0"/>
          <w:w w:val="100"/>
          <w:position w:val="0"/>
          <w:sz w:val="18"/>
          <w:szCs w:val="18"/>
        </w:rPr>
        <w:t>2,180.00</w:t>
      </w:r>
      <w:r>
        <w:rPr>
          <w:color w:val="000000"/>
          <w:spacing w:val="0"/>
          <w:w w:val="100"/>
          <w:position w:val="0"/>
        </w:rPr>
        <w:t>万元，本公司认缴</w:t>
      </w:r>
      <w:r>
        <w:rPr>
          <w:rFonts w:ascii="Times New Roman" w:eastAsia="Times New Roman" w:hAnsi="Times New Roman" w:cs="Times New Roman"/>
          <w:color w:val="000000"/>
          <w:spacing w:val="0"/>
          <w:w w:val="100"/>
          <w:position w:val="0"/>
          <w:sz w:val="18"/>
          <w:szCs w:val="18"/>
        </w:rPr>
        <w:t>490.00</w:t>
      </w:r>
      <w:r>
        <w:rPr>
          <w:color w:val="000000"/>
          <w:spacing w:val="0"/>
          <w:w w:val="100"/>
          <w:position w:val="0"/>
        </w:rPr>
        <w:t>万元。</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北京神州数码云角信息技术有限公司（原云角（北京）信息技术有限公司，以下简称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北京云角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）系由上海云角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日出资设立的全资子公司，设立时注册资本人民币</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日，上海云角股东会决议对 其增资人民币</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元，增资后，北京神州数码云角信息技术有限公司的注册资本为人民币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元，实收资本为 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日上海云角对北京云角增资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万元，增资后的注册资本为人民币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,000,000.00 </w:t>
      </w:r>
      <w:r>
        <w:rPr>
          <w:color w:val="000000"/>
          <w:spacing w:val="0"/>
          <w:w w:val="100"/>
          <w:position w:val="0"/>
        </w:rPr>
        <w:t>万元，并更名为北京神州数码云角信息技术有限公司。</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上海云角信息技术（美国）有限公司系由上海云角于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日出资设立的全资子公司，设立时注册资本</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美元。于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日，上海云角股东会决议对其增资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美元，增资后，上海云角信息技术（美国）有限公司的 注册资本为</w:t>
      </w:r>
      <w:r>
        <w:rPr>
          <w:rFonts w:ascii="Times New Roman" w:eastAsia="Times New Roman" w:hAnsi="Times New Roman" w:cs="Times New Roman"/>
          <w:color w:val="000000"/>
          <w:spacing w:val="0"/>
          <w:w w:val="100"/>
          <w:position w:val="0"/>
          <w:sz w:val="18"/>
          <w:szCs w:val="18"/>
        </w:rPr>
        <w:t>1,000,100.00</w:t>
      </w: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年上海云角对上海云角信息技术（美国）有限公司增加投资款，实缴总额为</w:t>
      </w:r>
      <w:r>
        <w:rPr>
          <w:rFonts w:ascii="Times New Roman" w:eastAsia="Times New Roman" w:hAnsi="Times New Roman" w:cs="Times New Roman"/>
          <w:color w:val="000000"/>
          <w:spacing w:val="0"/>
          <w:w w:val="100"/>
          <w:position w:val="0"/>
          <w:sz w:val="18"/>
          <w:szCs w:val="18"/>
        </w:rPr>
        <w:t>679,905.42</w:t>
      </w:r>
      <w:r>
        <w:rPr>
          <w:color w:val="000000"/>
          <w:spacing w:val="0"/>
          <w:w w:val="100"/>
          <w:position w:val="0"/>
        </w:rPr>
        <w:t>美 元，增资后，上海云角信息技术（美国）有限公司实收资本为</w:t>
      </w:r>
      <w:r>
        <w:rPr>
          <w:rFonts w:ascii="Times New Roman" w:eastAsia="Times New Roman" w:hAnsi="Times New Roman" w:cs="Times New Roman"/>
          <w:color w:val="000000"/>
          <w:spacing w:val="0"/>
          <w:w w:val="100"/>
          <w:position w:val="0"/>
          <w:sz w:val="18"/>
          <w:szCs w:val="18"/>
        </w:rPr>
        <w:t>980,005.4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美元。</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上海云角信息技术（香港）有限公司系由上海云角于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日出资设立的全资子公司，注册资本及实收资本 为</w:t>
      </w:r>
      <w:r>
        <w:rPr>
          <w:rFonts w:ascii="Times New Roman" w:eastAsia="Times New Roman" w:hAnsi="Times New Roman" w:cs="Times New Roman"/>
          <w:color w:val="000000"/>
          <w:spacing w:val="0"/>
          <w:w w:val="100"/>
          <w:position w:val="0"/>
          <w:sz w:val="18"/>
          <w:szCs w:val="18"/>
        </w:rPr>
        <w:t>9,363.97</w:t>
      </w:r>
      <w:r>
        <w:rPr>
          <w:color w:val="000000"/>
          <w:spacing w:val="0"/>
          <w:w w:val="100"/>
          <w:position w:val="0"/>
        </w:rPr>
        <w:t>港币。</w:t>
      </w:r>
    </w:p>
    <w:p>
      <w:pPr>
        <w:pStyle w:val="Style37"/>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:深圳电商服务系由神州数码（中国）有限公司于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日出资设立的全资子公司，注册资本人民币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71"/>
        <w:keepNext w:val="0"/>
        <w:keepLines w:val="0"/>
        <w:widowControl w:val="0"/>
        <w:shd w:val="clear" w:color="auto" w:fill="auto"/>
        <w:bidi w:val="0"/>
        <w:spacing w:before="0" w:after="0" w:line="315" w:lineRule="exact"/>
        <w:ind w:left="0" w:right="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38</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Digital China Technology （Malaysia） Sdn.Bhd.</w:t>
      </w:r>
      <w:r>
        <w:rPr>
          <w:rFonts w:ascii="SimSun" w:eastAsia="SimSun" w:hAnsi="SimSun" w:cs="SimSun"/>
          <w:color w:val="000000"/>
          <w:spacing w:val="0"/>
          <w:w w:val="100"/>
          <w:position w:val="0"/>
          <w:sz w:val="17"/>
          <w:szCs w:val="17"/>
        </w:rPr>
        <w:t>系由</w:t>
      </w:r>
      <w:r>
        <w:rPr>
          <w:color w:val="000000"/>
          <w:spacing w:val="0"/>
          <w:w w:val="100"/>
          <w:position w:val="0"/>
          <w:sz w:val="18"/>
          <w:szCs w:val="18"/>
        </w:rPr>
        <w:t>Digital China Technology International （Sin） PTE LTD.</w:t>
      </w:r>
      <w:r>
        <w:rPr>
          <w:rFonts w:ascii="SimSun" w:eastAsia="SimSun" w:hAnsi="SimSun" w:cs="SimSun"/>
          <w:color w:val="000000"/>
          <w:spacing w:val="0"/>
          <w:w w:val="100"/>
          <w:position w:val="0"/>
          <w:sz w:val="17"/>
          <w:szCs w:val="17"/>
        </w:rPr>
        <w:t>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日设立的全资子公司，实收资本为</w:t>
      </w:r>
      <w:r>
        <w:rPr>
          <w:color w:val="000000"/>
          <w:spacing w:val="0"/>
          <w:w w:val="100"/>
          <w:position w:val="0"/>
          <w:sz w:val="18"/>
          <w:szCs w:val="18"/>
        </w:rPr>
        <w:t>100.00</w:t>
      </w:r>
      <w:r>
        <w:rPr>
          <w:rFonts w:ascii="SimSun" w:eastAsia="SimSun" w:hAnsi="SimSun" w:cs="SimSun"/>
          <w:color w:val="000000"/>
          <w:spacing w:val="0"/>
          <w:w w:val="100"/>
          <w:position w:val="0"/>
          <w:sz w:val="17"/>
          <w:szCs w:val="17"/>
        </w:rPr>
        <w:t>万林吉特。</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：智慧神州系由深圳神州普惠信息有限公司、神州数码金融服务（深圳）有限公司于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日成立的有限责 任公司，设立时注册资本为人民币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月，神码中国以人民币</w:t>
      </w:r>
      <w:r>
        <w:rPr>
          <w:rFonts w:ascii="Times New Roman" w:eastAsia="Times New Roman" w:hAnsi="Times New Roman" w:cs="Times New Roman"/>
          <w:color w:val="000000"/>
          <w:spacing w:val="0"/>
          <w:w w:val="100"/>
          <w:position w:val="0"/>
          <w:sz w:val="18"/>
          <w:szCs w:val="18"/>
        </w:rPr>
        <w:t>1,644,277.96</w:t>
      </w:r>
      <w:r>
        <w:rPr>
          <w:color w:val="000000"/>
          <w:spacing w:val="0"/>
          <w:w w:val="100"/>
          <w:position w:val="0"/>
        </w:rPr>
        <w:t>元取得智慧神州</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 上述款项已于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日支付完毕。</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：武汉神州数码有限公司（以下简称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神码武汉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）系由神码中国于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日设立的全资子公司，注册资本</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万人民币，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日已实缴全部注资资本。</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针对广州证券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神州数码应收账款资产支持证券专项计划，神码中国持有全部次级资产支持证券，在专项计划费用、 优先级资产支持证券的预期收益及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或本金未能得到足额偿付时履行差额支付义务。神码中国对广州证券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神州数码应收账款 资产支持证券专项计划具有实际控制权，将其纳入合并财务报表范围。</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神州信创（厦门）研究院有限公司系由北京云科信息技术于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日出资设立的全资子公司，注册资本人 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:厦门神州数码云计算有限公司系由神州云计算于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日出资设立的全资子公司，注册资本人民币</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神州鲲泰（厦门）信息技术有限公司（以下简称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神州鲲泰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）系由北京云科信息技术于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日出资设立 的全资子公司，注册资本人民币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月，北京云科信息技术向神州鲲泰增资</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万元，增资后神州鲲泰的注 册资本变更为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月，北京云科信息技术已实缴注册资本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神州信创（北京）集团有限公司（以下简称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神州信创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日出资设立的全资子公司，注 册资本人民币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37"/>
        <w:keepNext w:val="0"/>
        <w:keepLines w:val="0"/>
        <w:widowControl w:val="0"/>
        <w:shd w:val="clear" w:color="auto" w:fill="auto"/>
        <w:bidi w:val="0"/>
        <w:spacing w:before="0" w:after="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:武汉神州数码云创新科技有限公司系由神州云计算于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日出资设立的全资子公司，注册资本人民币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71"/>
        <w:keepNext w:val="0"/>
        <w:keepLines w:val="0"/>
        <w:widowControl w:val="0"/>
        <w:shd w:val="clear" w:color="auto" w:fill="auto"/>
        <w:bidi w:val="0"/>
        <w:spacing w:before="0" w:after="0" w:line="315" w:lineRule="exact"/>
        <w:ind w:left="0" w:right="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47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Digital China Cloud Singapore Pte.Ltd</w:t>
      </w:r>
      <w:r>
        <w:rPr>
          <w:rFonts w:ascii="SimSun" w:eastAsia="SimSun" w:hAnsi="SimSun" w:cs="SimSun"/>
          <w:color w:val="000000"/>
          <w:spacing w:val="0"/>
          <w:w w:val="100"/>
          <w:position w:val="0"/>
          <w:sz w:val="17"/>
          <w:szCs w:val="17"/>
        </w:rPr>
        <w:t>系由神州云计算于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日出资成立，注册资本美元</w:t>
      </w:r>
      <w:r>
        <w:rPr>
          <w:color w:val="000000"/>
          <w:spacing w:val="0"/>
          <w:w w:val="100"/>
          <w:position w:val="0"/>
          <w:sz w:val="18"/>
          <w:szCs w:val="18"/>
        </w:rPr>
        <w:t>1,000</w:t>
      </w:r>
      <w:r>
        <w:rPr>
          <w:rFonts w:ascii="SimSun" w:eastAsia="SimSun" w:hAnsi="SimSun" w:cs="SimSun"/>
          <w:color w:val="000000"/>
          <w:spacing w:val="0"/>
          <w:w w:val="100"/>
          <w:position w:val="0"/>
          <w:sz w:val="17"/>
          <w:szCs w:val="17"/>
        </w:rPr>
        <w:t>元。</w:t>
      </w:r>
    </w:p>
    <w:p>
      <w:pPr>
        <w:pStyle w:val="Style37"/>
        <w:keepNext w:val="0"/>
        <w:keepLines w:val="0"/>
        <w:widowControl w:val="0"/>
        <w:shd w:val="clear" w:color="auto" w:fill="auto"/>
        <w:bidi w:val="0"/>
        <w:spacing w:before="0" w:after="720" w:line="31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：重庆神州智享信息技术有限公司系由神码中国于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日出资设立的全资子公司，注册资本人民币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40"/>
        <w:keepNext/>
        <w:keepLines/>
        <w:widowControl w:val="0"/>
        <w:shd w:val="clear" w:color="auto" w:fill="auto"/>
        <w:bidi w:val="0"/>
        <w:spacing w:before="0" w:after="40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98"/>
      <w:bookmarkEnd w:id="1499"/>
      <w:bookmarkEnd w:id="1500"/>
    </w:p>
    <w:p>
      <w:pPr>
        <w:pStyle w:val="Style47"/>
        <w:keepNext/>
        <w:keepLines/>
        <w:widowControl w:val="0"/>
        <w:shd w:val="clear" w:color="auto" w:fill="auto"/>
        <w:bidi w:val="0"/>
        <w:spacing w:before="0" w:after="320" w:line="240" w:lineRule="auto"/>
        <w:ind w:left="0" w:right="0" w:firstLine="140"/>
        <w:jc w:val="left"/>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01"/>
      <w:bookmarkEnd w:id="1502"/>
      <w:bookmarkEnd w:id="1503"/>
    </w:p>
    <w:tbl>
      <w:tblPr>
        <w:tblOverlap w:val="never"/>
        <w:jc w:val="center"/>
        <w:tblLayout w:type="fixed"/>
      </w:tblPr>
      <w:tblGrid>
        <w:gridCol w:w="1378"/>
        <w:gridCol w:w="1363"/>
        <w:gridCol w:w="1094"/>
        <w:gridCol w:w="1642"/>
        <w:gridCol w:w="1051"/>
        <w:gridCol w:w="1142"/>
        <w:gridCol w:w="191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对合营企业或联营企业 投资的会计处理方法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迪信通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批发、零售通讯设备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47"/>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04"/>
      <w:bookmarkEnd w:id="1505"/>
      <w:bookmarkEnd w:id="150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8,491,001,930.73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9,735,492,350.95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882,096,317.10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1,130,395,298.07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9,373,098,247.83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10,865,887,649.02</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4,712,440,065.40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6,424,757,389.02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252,440,165.27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301,346,642.51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4,964,880,230.67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6,726,104,031.53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159,394,230.69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183,465,589.00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4,248,823,786.47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3,956,318,028.49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918,548,965.57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939,724,439.92</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-17,315,003.60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15,263,051.74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901,233,961.97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954,987,491.66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290,861,143.74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297,940,148.82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13,562,243,373.57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15,373,340,869.54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120,803,342.98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271,542,248.95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-34,285,937.69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-4,210,124.10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86,517,405.29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267,332,124.85</w:t>
            </w:r>
          </w:p>
        </w:tc>
      </w:tr>
    </w:tbl>
    <w:p>
      <w:pPr>
        <w:widowControl w:val="0"/>
        <w:spacing w:after="319" w:line="1" w:lineRule="exact"/>
      </w:pPr>
    </w:p>
    <w:p>
      <w:pPr>
        <w:pStyle w:val="Style47"/>
        <w:keepNext/>
        <w:keepLines/>
        <w:widowControl w:val="0"/>
        <w:numPr>
          <w:ilvl w:val="0"/>
          <w:numId w:val="23"/>
        </w:numPr>
        <w:shd w:val="clear" w:color="auto" w:fill="auto"/>
        <w:bidi w:val="0"/>
        <w:spacing w:before="0" w:after="40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不重要的合营企业和联营企业的汇总财务信息</w:t>
      </w:r>
      <w:bookmarkEnd w:id="1507"/>
      <w:bookmarkEnd w:id="1508"/>
      <w:bookmarkEnd w:id="1510"/>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27,357,925.89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27,705,542.06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-7,604,882.01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-173,766.98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-7,604,882.01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-173,766.98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154,737,567.22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152,362,060.73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3,519,046.49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3,422,031.96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3,519,046.49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3,422,031.96</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both"/>
      </w:pPr>
      <w:bookmarkStart w:id="1511" w:name="bookmark1511"/>
      <w:bookmarkStart w:id="1512" w:name="bookmark1512"/>
      <w:bookmarkStart w:id="1513" w:name="bookmark1513"/>
      <w:r>
        <w:rPr>
          <w:color w:val="000000"/>
          <w:spacing w:val="0"/>
          <w:w w:val="100"/>
          <w:position w:val="0"/>
        </w:rPr>
        <w:t>十、与金融工具相关的风险</w:t>
      </w:r>
      <w:bookmarkEnd w:id="1511"/>
      <w:bookmarkEnd w:id="1512"/>
      <w:bookmarkEnd w:id="1513"/>
    </w:p>
    <w:p>
      <w:pPr>
        <w:pStyle w:val="Style37"/>
        <w:keepNext w:val="0"/>
        <w:keepLines w:val="0"/>
        <w:widowControl w:val="0"/>
        <w:shd w:val="clear" w:color="auto" w:fill="auto"/>
        <w:bidi w:val="0"/>
        <w:spacing w:before="0" w:after="100" w:line="312" w:lineRule="exact"/>
        <w:ind w:left="0" w:right="0"/>
        <w:jc w:val="both"/>
      </w:pPr>
      <w:r>
        <w:rPr>
          <w:color w:val="000000"/>
          <w:spacing w:val="0"/>
          <w:w w:val="100"/>
          <w:position w:val="0"/>
        </w:rPr>
        <w:t>本集团的主要金融工具包括货币资金、交易性金融资产、应收票据、应收账款、应收款项融资、其他应收款、长期应收 款、其他权益工具投资、其他非流动金融资产、短期借款、交易性金融负债、应付票据、应付账款、其他应付款、一年内到 期的非流动负债、长期借款、长期应付款等，各项金融工具的详细情况说明见本附注六。本集团亦开展衍生交易，主要是远 期外汇合同，目的在于管理本集团的运营及其融资渠道的汇率风险。于整个报告期，本集团采取了不进行衍生工具投机交易 的政策。本集团的金融工具导致的主要风险是信用风险、流动性风险及市场风险，本集团为降低这些风险所采取的风险管理 政策如下所述。本集团管理层对这些风险敞口进行管理和监控以确保将上述风险控制在限定的范围之内。</w:t>
      </w:r>
    </w:p>
    <w:p>
      <w:pPr>
        <w:pStyle w:val="Style3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各类风险管理目标和政策</w:t>
      </w:r>
    </w:p>
    <w:p>
      <w:pPr>
        <w:pStyle w:val="Style37"/>
        <w:keepNext w:val="0"/>
        <w:keepLines w:val="0"/>
        <w:widowControl w:val="0"/>
        <w:shd w:val="clear" w:color="auto" w:fill="auto"/>
        <w:bidi w:val="0"/>
        <w:spacing w:before="0" w:after="100" w:line="312" w:lineRule="exact"/>
        <w:ind w:left="0" w:right="0"/>
        <w:jc w:val="both"/>
      </w:pPr>
      <w:r>
        <w:rPr>
          <w:color w:val="000000"/>
          <w:spacing w:val="0"/>
          <w:w w:val="100"/>
          <w:position w:val="0"/>
        </w:rPr>
        <w:t>本集团从事风险管理的目标是在风险和收益之间取得适当的平衡，将风险对本集团经营业绩的负面影响降低到最低水 平，使股东及其他权益投资者的利益最大化。基于该风险管理目标，本集团风险管理的基本策略是确定和分析本集团所面临 的各种风险，建立适当的风险承受底线并进行风险管理，并及时可靠地对各种风险进行监督，将风险控制在限定的范围之内。</w:t>
      </w:r>
    </w:p>
    <w:p>
      <w:pPr>
        <w:pStyle w:val="Style37"/>
        <w:keepNext w:val="0"/>
        <w:keepLines w:val="0"/>
        <w:widowControl w:val="0"/>
        <w:numPr>
          <w:ilvl w:val="0"/>
          <w:numId w:val="25"/>
        </w:numPr>
        <w:shd w:val="clear" w:color="auto" w:fill="auto"/>
        <w:bidi w:val="0"/>
        <w:spacing w:before="0" w:after="100" w:line="240" w:lineRule="auto"/>
        <w:ind w:left="0" w:right="0"/>
        <w:jc w:val="both"/>
      </w:pPr>
      <w:bookmarkStart w:id="1514" w:name="bookmark1514"/>
      <w:bookmarkEnd w:id="1514"/>
      <w:r>
        <w:rPr>
          <w:color w:val="000000"/>
          <w:spacing w:val="0"/>
          <w:w w:val="100"/>
          <w:position w:val="0"/>
        </w:rPr>
        <w:t>市场风险</w:t>
      </w:r>
    </w:p>
    <w:p>
      <w:pPr>
        <w:pStyle w:val="Style37"/>
        <w:keepNext w:val="0"/>
        <w:keepLines w:val="0"/>
        <w:widowControl w:val="0"/>
        <w:shd w:val="clear" w:color="auto" w:fill="auto"/>
        <w:bidi w:val="0"/>
        <w:spacing w:before="0" w:after="180" w:line="24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汇率风险</w:t>
      </w:r>
    </w:p>
    <w:p>
      <w:pPr>
        <w:pStyle w:val="Style35"/>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本集团承受汇率风险主要与美元、港币、欧元、澳门元、新加坡元和林吉特有关，除个别下属子公司以美元、港币、欧 元、澳门元、新加坡元和林吉特进行采购和销售外，本集团的其它主要业务活动以人民币计价结算。于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 下表所述资产及负债的外币余额外，本集团的资产及负债均为人民币余额。该等外币余额的资产和负债产生的汇率风险可能 对本集团的经营业绩产生影响。</w:t>
      </w:r>
    </w:p>
    <w:tbl>
      <w:tblPr>
        <w:tblOverlap w:val="never"/>
        <w:jc w:val="center"/>
        <w:tblLayout w:type="fixed"/>
      </w:tblPr>
      <w:tblGrid>
        <w:gridCol w:w="1330"/>
        <w:gridCol w:w="2093"/>
        <w:gridCol w:w="2155"/>
        <w:gridCol w:w="1925"/>
        <w:gridCol w:w="2174"/>
      </w:tblGrid>
      <w:tr>
        <w:trPr>
          <w:trHeight w:val="437"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负债类项目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负债类项目</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90,128,058.81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550,484,345.31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80,875,471.50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354,720,673.71</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1,219,543.40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499,407.30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270,754.61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279,972.53</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110,460,098.53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298,422,449.65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291,266,524.21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1,167,423,482.33</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澳门元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366,848.34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3,690.01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738,118.27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77,504.50</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440,604.96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7,597.66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20,403.38</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林吉特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13,676,553.91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7,513.81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3,201,291.21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7,513.81</w:t>
            </w:r>
          </w:p>
        </w:tc>
      </w:tr>
    </w:tbl>
    <w:p>
      <w:pPr>
        <w:widowControl w:val="0"/>
        <w:spacing w:after="239" w:line="1" w:lineRule="exact"/>
      </w:pPr>
    </w:p>
    <w:p>
      <w:pPr>
        <w:pStyle w:val="Style37"/>
        <w:keepNext w:val="0"/>
        <w:keepLines w:val="0"/>
        <w:widowControl w:val="0"/>
        <w:shd w:val="clear" w:color="auto" w:fill="auto"/>
        <w:bidi w:val="0"/>
        <w:spacing w:before="0" w:after="100" w:line="312" w:lineRule="exact"/>
        <w:ind w:left="0" w:right="0"/>
        <w:jc w:val="both"/>
      </w:pPr>
      <w:r>
        <w:rPr>
          <w:color w:val="000000"/>
          <w:spacing w:val="0"/>
          <w:w w:val="100"/>
          <w:position w:val="0"/>
        </w:rPr>
        <w:t>本集团密切关注汇率变动对本公司的影响。本集团已与可信赖的银行订立远期外汇合同以管理其汇率风险。</w:t>
      </w:r>
    </w:p>
    <w:p>
      <w:pPr>
        <w:pStyle w:val="Style37"/>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w:t>
      </w:r>
    </w:p>
    <w:p>
      <w:pPr>
        <w:pStyle w:val="Style37"/>
        <w:keepNext w:val="0"/>
        <w:keepLines w:val="0"/>
        <w:widowControl w:val="0"/>
        <w:shd w:val="clear" w:color="auto" w:fill="auto"/>
        <w:bidi w:val="0"/>
        <w:spacing w:before="0" w:after="300" w:line="312" w:lineRule="exact"/>
        <w:ind w:left="0" w:right="0"/>
        <w:jc w:val="both"/>
      </w:pPr>
      <w:r>
        <w:rPr>
          <w:color w:val="000000"/>
          <w:spacing w:val="0"/>
          <w:w w:val="100"/>
          <w:position w:val="0"/>
        </w:rPr>
        <w:t>本集团的利率风险主要与本集团以浮动利率计息的负债有关。于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日，本集团按浮动利率计息的付息贷款为 人民币 </w:t>
      </w:r>
      <w:r>
        <w:rPr>
          <w:rFonts w:ascii="Times New Roman" w:eastAsia="Times New Roman" w:hAnsi="Times New Roman" w:cs="Times New Roman"/>
          <w:color w:val="000000"/>
          <w:spacing w:val="0"/>
          <w:w w:val="100"/>
          <w:position w:val="0"/>
          <w:sz w:val="18"/>
          <w:szCs w:val="18"/>
        </w:rPr>
        <w:t>3,059,067,303.17</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460"/>
        <w:jc w:val="both"/>
      </w:pPr>
      <w:bookmarkStart w:id="1515" w:name="bookmark1515"/>
      <w:r>
        <w:rPr>
          <w:color w:val="000000"/>
          <w:spacing w:val="0"/>
          <w:w w:val="100"/>
          <w:position w:val="0"/>
        </w:rPr>
        <w:t>（</w:t>
      </w:r>
      <w:bookmarkEnd w:id="15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）信用风险</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日，可能引起本集团财务损失的最大信用风险敞口主要来自于合同另一方未能履行义务而导致本集团金 融资产产生的损失。</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本集团仅与经认可的、信誉良好的第三方进行交易。按照本集团政策，需对所有要求采用信用方式进行交易的客户进行 信用审核。另外，本集团对应收账款余额进行持续监控，以确保本集团不致面临重大坏账风险。对于未采用相关经营单位的 记账本位币结算的交易，除非本集团信用控制部门特别批准，否则本集团不提供信用交易条件。</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本集团其他金融资产包括货币资金、交易性金融资产、应收票据、应收款项融资、其他应收款、长期应收款、其他权益 工具投资及其他非流动金融资产，这些金融资产的信用风险源自交易对手违约，最大风险敞口等于这些工具的账面金额。本 集团还因给予关联方财务担保而面临信用风险，详见附注十一、（二）、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关联方担保中披露。</w:t>
      </w:r>
    </w:p>
    <w:p>
      <w:pPr>
        <w:pStyle w:val="Style37"/>
        <w:keepNext w:val="0"/>
        <w:keepLines w:val="0"/>
        <w:widowControl w:val="0"/>
        <w:shd w:val="clear" w:color="auto" w:fill="auto"/>
        <w:bidi w:val="0"/>
        <w:spacing w:before="0" w:after="0" w:line="312" w:lineRule="exact"/>
        <w:ind w:left="0" w:right="0"/>
        <w:jc w:val="both"/>
      </w:pPr>
      <w:r>
        <w:rPr>
          <w:color w:val="000000"/>
          <w:spacing w:val="0"/>
          <w:w w:val="100"/>
          <w:position w:val="0"/>
        </w:rPr>
        <w:t>由于本集团仅与经认可的且信誉良好的第三方进行交易，所以无需担保物。信用风险集中按照客户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交易对手、地理区 域和行业进行管理。由于本集团的应收账款客户群广泛地分散于不同的部门和行业中，因此在本集团内部不存在重大信用风 险集中。本集团对应收账款余额未持有其他信用增级。</w:t>
      </w:r>
    </w:p>
    <w:p>
      <w:pPr>
        <w:pStyle w:val="Style37"/>
        <w:keepNext w:val="0"/>
        <w:keepLines w:val="0"/>
        <w:widowControl w:val="0"/>
        <w:shd w:val="clear" w:color="auto" w:fill="auto"/>
        <w:bidi w:val="0"/>
        <w:spacing w:before="0" w:after="0" w:line="312" w:lineRule="exact"/>
        <w:ind w:left="0" w:right="0"/>
        <w:jc w:val="both"/>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）流动风险</w:t>
      </w:r>
    </w:p>
    <w:p>
      <w:pPr>
        <w:pStyle w:val="Style37"/>
        <w:keepNext w:val="0"/>
        <w:keepLines w:val="0"/>
        <w:widowControl w:val="0"/>
        <w:shd w:val="clear" w:color="auto" w:fill="auto"/>
        <w:bidi w:val="0"/>
        <w:spacing w:before="0" w:after="400" w:line="312" w:lineRule="exact"/>
        <w:ind w:left="0" w:right="0"/>
        <w:jc w:val="both"/>
      </w:pPr>
      <w:r>
        <w:rPr>
          <w:color w:val="000000"/>
          <w:spacing w:val="0"/>
          <w:w w:val="100"/>
          <w:position w:val="0"/>
        </w:rPr>
        <w:t>流动风险为本集团在到期日无法履行其财务义务的风险。本集团管理流动性风险的方法是采用循环流动性资金计划工具 监控资金短缺的风险。该工具考虑其涉及金融工具与金融资产（如应收账款及应收票据）的到期日以及来自营运业务的预期 营运现金流量。本集团的目标是透过使用附息银行贷款以及其他可取得的资金来源，维持资金延续性与灵活性的平衡。此外， 本集团还取得银行额度以供应急之用。</w:t>
      </w:r>
    </w:p>
    <w:p>
      <w:pPr>
        <w:pStyle w:val="Style35"/>
        <w:keepNext w:val="0"/>
        <w:keepLines w:val="0"/>
        <w:widowControl w:val="0"/>
        <w:shd w:val="clear" w:color="auto" w:fill="auto"/>
        <w:bidi w:val="0"/>
        <w:spacing w:before="0" w:after="0" w:line="240" w:lineRule="auto"/>
        <w:ind w:left="355"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日，本集团持有的金融负债按未折现剩余合同义务的到期期限分析如下:</w:t>
      </w:r>
    </w:p>
    <w:tbl>
      <w:tblPr>
        <w:tblOverlap w:val="never"/>
        <w:jc w:val="center"/>
        <w:tblLayout w:type="fixed"/>
      </w:tblPr>
      <w:tblGrid>
        <w:gridCol w:w="2894"/>
        <w:gridCol w:w="2285"/>
        <w:gridCol w:w="2242"/>
        <w:gridCol w:w="2256"/>
      </w:tblGrid>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一至五年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9,461,489,844.04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9,461,489,844.04</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29,104,469.29</w:t>
            </w:r>
          </w:p>
        </w:tc>
      </w:tr>
    </w:tbl>
    <w:p>
      <w:pPr>
        <w:spacing w:lineRule="exact" w:line="1"/>
        <w:rPr>
          <w:sz w:val="2"/>
          <w:szCs w:val="2"/>
        </w:rPr>
      </w:pPr>
      <w:r>
        <w:br w:type="page"/>
      </w:r>
    </w:p>
    <w:tbl>
      <w:tblPr>
        <w:tblOverlap w:val="never"/>
        <w:jc w:val="center"/>
        <w:tblLayout w:type="fixed"/>
      </w:tblPr>
      <w:tblGrid>
        <w:gridCol w:w="2894"/>
        <w:gridCol w:w="2285"/>
        <w:gridCol w:w="2237"/>
        <w:gridCol w:w="2261"/>
      </w:tblGrid>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一至五年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3,804,586,176.93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3,804,586,176.93</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6,312,788,897.91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6,312,788,897.91</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877,218,246.70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877,218,246.70</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670,243,111.55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670,243,111.55</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2,013,840,434.43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2,013,840,434.43</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378,187,968.30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378,187,968.30</w:t>
            </w:r>
          </w:p>
        </w:tc>
      </w:tr>
    </w:tbl>
    <w:p>
      <w:pPr>
        <w:widowControl w:val="0"/>
        <w:spacing w:after="259" w:line="1" w:lineRule="exact"/>
      </w:pPr>
    </w:p>
    <w:p>
      <w:pPr>
        <w:pStyle w:val="Style37"/>
        <w:keepNext w:val="0"/>
        <w:keepLines w:val="0"/>
        <w:widowControl w:val="0"/>
        <w:shd w:val="clear" w:color="auto" w:fill="auto"/>
        <w:bidi w:val="0"/>
        <w:spacing w:before="0" w:after="0" w:line="300"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敏感性分析</w:t>
      </w:r>
    </w:p>
    <w:p>
      <w:pPr>
        <w:pStyle w:val="Style37"/>
        <w:keepNext w:val="0"/>
        <w:keepLines w:val="0"/>
        <w:widowControl w:val="0"/>
        <w:shd w:val="clear" w:color="auto" w:fill="auto"/>
        <w:bidi w:val="0"/>
        <w:spacing w:before="0" w:after="0" w:line="300" w:lineRule="exact"/>
        <w:ind w:left="0" w:right="0" w:firstLine="360"/>
        <w:jc w:val="both"/>
      </w:pPr>
      <w:r>
        <w:rPr>
          <w:color w:val="000000"/>
          <w:spacing w:val="0"/>
          <w:w w:val="100"/>
          <w:position w:val="0"/>
        </w:rPr>
        <w:t>本集团采用敏感性分析技术分析风险变量的合理、可能变化对当期损益或股东权益可能产生的影响。由于任何风险变量 很少孤立的发生变化，而变量之间存在的相关性对某一风险变量变化的最终影响金额将产生重大作用，因此下述内容是在假 设每一变量的变化是独立的情况下进行的。</w:t>
      </w:r>
    </w:p>
    <w:p>
      <w:pPr>
        <w:pStyle w:val="Style37"/>
        <w:keepNext w:val="0"/>
        <w:keepLines w:val="0"/>
        <w:widowControl w:val="0"/>
        <w:shd w:val="clear" w:color="auto" w:fill="auto"/>
        <w:bidi w:val="0"/>
        <w:spacing w:before="0" w:after="0" w:line="300"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）外汇风险敏感性分析</w:t>
      </w:r>
    </w:p>
    <w:p>
      <w:pPr>
        <w:pStyle w:val="Style37"/>
        <w:keepNext w:val="0"/>
        <w:keepLines w:val="0"/>
        <w:widowControl w:val="0"/>
        <w:shd w:val="clear" w:color="auto" w:fill="auto"/>
        <w:bidi w:val="0"/>
        <w:spacing w:before="0" w:after="100" w:line="300" w:lineRule="exact"/>
        <w:ind w:left="0" w:right="0" w:firstLine="360"/>
        <w:jc w:val="both"/>
      </w:pPr>
      <w:r>
        <w:rPr>
          <w:color w:val="000000"/>
          <w:spacing w:val="0"/>
          <w:w w:val="100"/>
          <w:position w:val="0"/>
        </w:rPr>
        <w:t>下表为汇率风险的敏感性分析，反映了在其它变量不变的假设下，美元、港币、澳门元、欧元新加坡元及林吉特汇率发</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生合理、可能的变动时，将对利润总额的影响如下:</w:t>
      </w:r>
    </w:p>
    <w:tbl>
      <w:tblPr>
        <w:tblOverlap w:val="never"/>
        <w:jc w:val="center"/>
        <w:tblLayout w:type="fixed"/>
      </w:tblPr>
      <w:tblGrid>
        <w:gridCol w:w="1742"/>
        <w:gridCol w:w="2414"/>
        <w:gridCol w:w="2573"/>
        <w:gridCol w:w="2947"/>
      </w:tblGrid>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汇率变动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人民币升值</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25,969,425.99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32,880,485.37</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所有外币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人民币贬值</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-25,969,425.99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-32,880,485.37</w:t>
            </w:r>
          </w:p>
        </w:tc>
      </w:tr>
    </w:tbl>
    <w:p>
      <w:pPr>
        <w:widowControl w:val="0"/>
        <w:spacing w:after="359" w:line="1" w:lineRule="exact"/>
      </w:pPr>
    </w:p>
    <w:p>
      <w:pPr>
        <w:pStyle w:val="Style3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）利率风险敏感性分析</w:t>
      </w:r>
    </w:p>
    <w:p>
      <w:pPr>
        <w:pStyle w:val="Style3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下表为利率风险的敏感性分析，反映了在其它变量不变的假设下，利率发生合理、可能的变动时，将对利润总额的影响</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如下:</w:t>
      </w:r>
    </w:p>
    <w:tbl>
      <w:tblPr>
        <w:tblOverlap w:val="never"/>
        <w:jc w:val="center"/>
        <w:tblLayout w:type="fixed"/>
      </w:tblPr>
      <w:tblGrid>
        <w:gridCol w:w="2198"/>
        <w:gridCol w:w="2064"/>
        <w:gridCol w:w="2544"/>
        <w:gridCol w:w="2870"/>
      </w:tblGrid>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利率变动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2019</w:t>
            </w:r>
            <w:r>
              <w:rPr>
                <w:b/>
                <w:bCs/>
                <w:color w:val="000000"/>
                <w:spacing w:val="0"/>
                <w:w w:val="100"/>
                <w:position w:val="0"/>
              </w:rPr>
              <w:t>年度</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增加</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-26,081,675.07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-35,523,188.63</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减少</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26,081,675.07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35,523,188.63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r>
        <w:rPr>
          <w:color w:val="000000"/>
          <w:spacing w:val="0"/>
          <w:w w:val="100"/>
          <w:position w:val="0"/>
        </w:rPr>
        <w:t>十一、公允价值的披露</w:t>
      </w:r>
      <w:bookmarkEnd w:id="1517"/>
      <w:bookmarkEnd w:id="1518"/>
      <w:bookmarkEnd w:id="1519"/>
    </w:p>
    <w:p>
      <w:pPr>
        <w:pStyle w:val="Style40"/>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20"/>
      <w:bookmarkEnd w:id="1521"/>
      <w:bookmarkEnd w:id="1522"/>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686"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6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45,126,528.90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45,126,528.90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370,298,196.37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370,298,196.37</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（四）其他非流动金融资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45,126,528.90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370,398,196.37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423,540,725.27</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29,104,469.29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29,104,469.29</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29,104,469.29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29,104,469.29</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40"/>
        <w:keepNext/>
        <w:keepLines/>
        <w:widowControl w:val="0"/>
        <w:shd w:val="clear" w:color="auto" w:fill="auto"/>
        <w:tabs>
          <w:tab w:pos="337" w:val="left"/>
        </w:tabs>
        <w:bidi w:val="0"/>
        <w:spacing w:before="0" w:after="2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2</w:t>
      </w:r>
      <w:bookmarkEnd w:id="1525"/>
      <w:r>
        <w:rPr>
          <w:color w:val="000000"/>
          <w:spacing w:val="0"/>
          <w:w w:val="100"/>
          <w:position w:val="0"/>
        </w:rPr>
        <w:t>、</w:t>
        <w:tab/>
        <w:t>持续和非持续第一层次公允价值计量项目市价的确定依据</w:t>
      </w:r>
      <w:bookmarkEnd w:id="1523"/>
      <w:bookmarkEnd w:id="1524"/>
      <w:bookmarkEnd w:id="1526"/>
    </w:p>
    <w:p>
      <w:pPr>
        <w:pStyle w:val="Style37"/>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本公司以第一层次公允价值计量的项目系本公司持有的神州控股的股票,年末公允价值以其在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月最后一个交易日的 收盘价确定。</w:t>
      </w:r>
    </w:p>
    <w:p>
      <w:pPr>
        <w:pStyle w:val="Style40"/>
        <w:keepNext/>
        <w:keepLines/>
        <w:widowControl w:val="0"/>
        <w:shd w:val="clear" w:color="auto" w:fill="auto"/>
        <w:tabs>
          <w:tab w:pos="337" w:val="left"/>
        </w:tabs>
        <w:bidi w:val="0"/>
        <w:spacing w:before="0" w:after="2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color w:val="000000"/>
          <w:spacing w:val="0"/>
          <w:w w:val="100"/>
          <w:position w:val="0"/>
        </w:rPr>
        <w:t>、</w:t>
        <w:tab/>
        <w:t>持续和非持续第二层次公允价值计量项目，采用的估值技术和重要参数的定性及定量信息</w:t>
      </w:r>
      <w:bookmarkEnd w:id="1527"/>
      <w:bookmarkEnd w:id="1528"/>
      <w:bookmarkEnd w:id="1530"/>
    </w:p>
    <w:p>
      <w:pPr>
        <w:pStyle w:val="Style37"/>
        <w:keepNext w:val="0"/>
        <w:keepLines w:val="0"/>
        <w:widowControl w:val="0"/>
        <w:shd w:val="clear" w:color="auto" w:fill="auto"/>
        <w:bidi w:val="0"/>
        <w:spacing w:before="0" w:after="0" w:line="311" w:lineRule="exact"/>
        <w:ind w:left="0" w:right="0"/>
        <w:jc w:val="left"/>
      </w:pPr>
      <w:r>
        <w:rPr>
          <w:color w:val="000000"/>
          <w:spacing w:val="0"/>
          <w:w w:val="100"/>
          <w:position w:val="0"/>
        </w:rPr>
        <w:t>本公司的财务部门由主管财务工作的总经理领导，负责制定金融工具公允价值计量的政策和程序。每个资产负债表日， 财务部门从金融机构或第三方机构取得金融工具的公允价值，经财务部总经理审核批准，按照金融机构或第三方机构出具的 公允值确认。出于年度财务报表目的，每年一次与审计委员会讨论估值流程和结果。</w:t>
      </w:r>
    </w:p>
    <w:p>
      <w:pPr>
        <w:pStyle w:val="Style37"/>
        <w:keepNext w:val="0"/>
        <w:keepLines w:val="0"/>
        <w:widowControl w:val="0"/>
        <w:shd w:val="clear" w:color="auto" w:fill="auto"/>
        <w:bidi w:val="0"/>
        <w:spacing w:before="0" w:after="0" w:line="311" w:lineRule="exact"/>
        <w:ind w:left="0" w:right="0"/>
        <w:jc w:val="left"/>
      </w:pPr>
      <w:r>
        <w:rPr>
          <w:color w:val="000000"/>
          <w:spacing w:val="0"/>
          <w:w w:val="100"/>
          <w:position w:val="0"/>
        </w:rPr>
        <w:t>金融资产和金融负债的公允价值，以在公平交易中，熟悉情况的交易双方自愿进行资产交换或者债务清偿的金额确定， 而不是被迫出售或清算情况下的金额。</w:t>
      </w:r>
    </w:p>
    <w:p>
      <w:pPr>
        <w:pStyle w:val="Style37"/>
        <w:keepNext w:val="0"/>
        <w:keepLines w:val="0"/>
        <w:widowControl w:val="0"/>
        <w:shd w:val="clear" w:color="auto" w:fill="auto"/>
        <w:bidi w:val="0"/>
        <w:spacing w:before="0" w:after="360" w:line="311" w:lineRule="exact"/>
        <w:ind w:left="0" w:right="0"/>
        <w:jc w:val="left"/>
      </w:pPr>
      <w:r>
        <w:rPr>
          <w:color w:val="000000"/>
          <w:spacing w:val="0"/>
          <w:w w:val="100"/>
          <w:position w:val="0"/>
        </w:rPr>
        <w:t>本公司与多个交易对手（主要是有着较高信用评级的金融机构）订立了衍生金融工具合约。衍生金融工具，为远期外汇 合同，采用类似于远期定价模型的估值技术进行计量。模型涵盖了多个市场可观察到的输入值，包括交易对手的信用等级、 即期和远期汇率和利率曲线。远期外汇合同的账面价值，与公允价值相同。于各报告期内，衍生金融资产的盯市价值，是抵 销了归属于衍生工具交易对手违约风险的信用估值调整之后的净值。交易对手信用风险的变化，对于套期关系中指定衍生工 具的套期有效性的评价和其他以公允价值计量的金融工具，均无重大影响。</w:t>
      </w:r>
    </w:p>
    <w:p>
      <w:pPr>
        <w:pStyle w:val="Style40"/>
        <w:keepNext/>
        <w:keepLines/>
        <w:widowControl w:val="0"/>
        <w:shd w:val="clear" w:color="auto" w:fill="auto"/>
        <w:tabs>
          <w:tab w:pos="337" w:val="left"/>
        </w:tabs>
        <w:bidi w:val="0"/>
        <w:spacing w:before="0" w:after="2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color w:val="000000"/>
          <w:spacing w:val="0"/>
          <w:w w:val="100"/>
          <w:position w:val="0"/>
        </w:rPr>
        <w:t>、</w:t>
        <w:tab/>
        <w:t>持续和非持续第三层次公允价值计量项目，采用的估值技术和重要参数的定性及定量信息</w:t>
      </w:r>
      <w:bookmarkEnd w:id="1531"/>
      <w:bookmarkEnd w:id="1532"/>
      <w:bookmarkEnd w:id="1534"/>
    </w:p>
    <w:p>
      <w:pPr>
        <w:pStyle w:val="Style37"/>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本公司以第三层次公允价值计量的项目系本公司持有的深圳数云创想信息技术有限公司的</w:t>
      </w:r>
      <w:r>
        <w:rPr>
          <w:rFonts w:ascii="Times New Roman" w:eastAsia="Times New Roman" w:hAnsi="Times New Roman" w:cs="Times New Roman"/>
          <w:color w:val="000000"/>
          <w:spacing w:val="0"/>
          <w:w w:val="100"/>
          <w:position w:val="0"/>
          <w:sz w:val="18"/>
          <w:szCs w:val="18"/>
        </w:rPr>
        <w:t>6.68%</w:t>
      </w:r>
      <w:r>
        <w:rPr>
          <w:color w:val="000000"/>
          <w:spacing w:val="0"/>
          <w:w w:val="100"/>
          <w:position w:val="0"/>
        </w:rPr>
        <w:t>股权，年末公允价值系参考 深圳数云创想信息技术有限公司其他方股东增资作价金额确定。</w:t>
      </w:r>
      <w:r>
        <w:br w:type="page"/>
      </w:r>
    </w:p>
    <w:p>
      <w:pPr>
        <w:pStyle w:val="Style32"/>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r>
        <w:rPr>
          <w:color w:val="000000"/>
          <w:spacing w:val="0"/>
          <w:w w:val="100"/>
          <w:position w:val="0"/>
        </w:rPr>
        <w:t>十二、关联方及关联交易</w:t>
      </w:r>
      <w:bookmarkEnd w:id="1535"/>
      <w:bookmarkEnd w:id="1536"/>
      <w:bookmarkEnd w:id="1537"/>
    </w:p>
    <w:p>
      <w:pPr>
        <w:pStyle w:val="Style40"/>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38"/>
      <w:bookmarkEnd w:id="1539"/>
      <w:bookmarkEnd w:id="1540"/>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本企业最终控制方是郭为先生。</w:t>
      </w:r>
    </w:p>
    <w:tbl>
      <w:tblPr>
        <w:tblOverlap w:val="never"/>
        <w:jc w:val="center"/>
        <w:tblLayout w:type="fixed"/>
      </w:tblPr>
      <w:tblGrid>
        <w:gridCol w:w="3298"/>
        <w:gridCol w:w="3010"/>
        <w:gridCol w:w="3331"/>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154,777,803.00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w:t>
            </w:r>
          </w:p>
        </w:tc>
      </w:tr>
    </w:tbl>
    <w:p>
      <w:pPr>
        <w:widowControl w:val="0"/>
        <w:spacing w:after="319" w:line="1" w:lineRule="exact"/>
      </w:pPr>
    </w:p>
    <w:p>
      <w:pPr>
        <w:pStyle w:val="Style40"/>
        <w:keepNext/>
        <w:keepLines/>
        <w:widowControl w:val="0"/>
        <w:shd w:val="clear" w:color="auto" w:fill="auto"/>
        <w:tabs>
          <w:tab w:pos="378" w:val="left"/>
        </w:tabs>
        <w:bidi w:val="0"/>
        <w:spacing w:before="0" w:after="26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color w:val="000000"/>
          <w:spacing w:val="0"/>
          <w:w w:val="100"/>
          <w:position w:val="0"/>
        </w:rPr>
        <w:t>、</w:t>
        <w:tab/>
        <w:t>本企业的子公司情况</w:t>
      </w:r>
      <w:bookmarkEnd w:id="1541"/>
      <w:bookmarkEnd w:id="1542"/>
      <w:bookmarkEnd w:id="1544"/>
    </w:p>
    <w:p>
      <w:pPr>
        <w:pStyle w:val="Style37"/>
        <w:keepNext w:val="0"/>
        <w:keepLines w:val="0"/>
        <w:widowControl w:val="0"/>
        <w:shd w:val="clear" w:color="auto" w:fill="auto"/>
        <w:bidi w:val="0"/>
        <w:spacing w:before="0" w:after="380" w:line="331"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0"/>
        <w:keepNext/>
        <w:keepLines/>
        <w:widowControl w:val="0"/>
        <w:shd w:val="clear" w:color="auto" w:fill="auto"/>
        <w:tabs>
          <w:tab w:pos="378" w:val="left"/>
        </w:tabs>
        <w:bidi w:val="0"/>
        <w:spacing w:before="0" w:after="26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color w:val="000000"/>
          <w:spacing w:val="0"/>
          <w:w w:val="100"/>
          <w:position w:val="0"/>
        </w:rPr>
        <w:t>、</w:t>
        <w:tab/>
        <w:t>本企业合营和联营企业情况</w:t>
      </w:r>
      <w:bookmarkEnd w:id="1545"/>
      <w:bookmarkEnd w:id="1546"/>
      <w:bookmarkEnd w:id="1548"/>
    </w:p>
    <w:p>
      <w:pPr>
        <w:pStyle w:val="Style37"/>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）重要合营企 业或联营企业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val="0"/>
        <w:keepLines w:val="0"/>
        <w:widowControl w:val="0"/>
        <w:shd w:val="clear" w:color="auto" w:fill="auto"/>
        <w:bidi w:val="0"/>
        <w:spacing w:before="0" w:after="80" w:line="331"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上海昱申科技有限责任公司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联营企业的子公司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北京卓越信通电子股份有限公司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color w:val="000000"/>
          <w:spacing w:val="0"/>
          <w:w w:val="100"/>
          <w:position w:val="0"/>
        </w:rPr>
        <w:t>、其他关联方情况</w:t>
      </w:r>
      <w:bookmarkEnd w:id="1549"/>
      <w:bookmarkEnd w:id="1550"/>
      <w:bookmarkEnd w:id="1552"/>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北京科小弟信息技术有限公司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北京神州数码锐行快捷信息技术服务有限公司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北京神州众腾科技发展有限公司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北京因特睿软件有限公司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06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广东慧捷通供应链有限公司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贵州筑民生运营服务有限公司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红板凳科技股份有限公司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科捷进出口有限公司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昆山神州数码实业有限公司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荣联科技集团股份有限公司（原名为北京荣之联科技股份有限公司）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神州国信（北京）量子科技有限公司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神州数码（上海）资产管理有限公司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科技园有限公司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重庆三峡银行股份有限公司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威海智慧北洋信息技术有限公司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系统信息科技（香港）有限公司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5390"/>
        <w:gridCol w:w="41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智慧神州（福建）信息技术有限公司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CHARTER BASE DEVELOPMENT LIMITED</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Financial Service Holding Limited</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Holdings Ltd</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Instant Technology Supply Chain Hong Kong Limited</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月之后，北京神州邦邦技术服务有限公司不再为本公司的关联方。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月之后，神州灵云（北京）科技有限公司不再为本公司的关联方。</w:t>
      </w:r>
    </w:p>
    <w:p>
      <w:pPr>
        <w:pStyle w:val="Style40"/>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5</w:t>
      </w:r>
      <w:bookmarkEnd w:id="1555"/>
      <w:r>
        <w:rPr>
          <w:color w:val="000000"/>
          <w:spacing w:val="0"/>
          <w:w w:val="100"/>
          <w:position w:val="0"/>
        </w:rPr>
        <w:t>、关联交易情况</w:t>
      </w:r>
      <w:bookmarkEnd w:id="1553"/>
      <w:bookmarkEnd w:id="1554"/>
      <w:bookmarkEnd w:id="1556"/>
    </w:p>
    <w:p>
      <w:pPr>
        <w:pStyle w:val="Style47"/>
        <w:keepNext/>
        <w:keepLines/>
        <w:widowControl w:val="0"/>
        <w:shd w:val="clear" w:color="auto" w:fill="auto"/>
        <w:bidi w:val="0"/>
        <w:spacing w:before="0" w:after="26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7"/>
      <w:bookmarkEnd w:id="1558"/>
      <w:bookmarkEnd w:id="1559"/>
    </w:p>
    <w:p>
      <w:pPr>
        <w:pStyle w:val="Style37"/>
        <w:keepNext w:val="0"/>
        <w:keepLines w:val="0"/>
        <w:widowControl w:val="0"/>
        <w:shd w:val="clear" w:color="auto" w:fill="auto"/>
        <w:bidi w:val="0"/>
        <w:spacing w:before="0" w:after="160" w:line="31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843"/>
        <w:gridCol w:w="1416"/>
        <w:gridCol w:w="1358"/>
        <w:gridCol w:w="1560"/>
        <w:gridCol w:w="12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139,409,759.28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189,485,320.00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150,414,252.87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127,759,312.95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北京神州数码科捷技术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9,674,326.26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2,090,545.44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北京科捷智云技术服务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50,954,299.19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Instant Technology</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Supply Chain Hong Kong</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21,626,820.01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7,024,046.83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15,496,319.17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23,330,397.42</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科捷进出口有限公司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7,083,287.00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2,792,791.81</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CHARTER BASE</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DEVELOPMENT</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2,417,308.44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深圳科捷电商供应链有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930,545.81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559,329.28</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昆山神州数码实业有限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522,467.93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860,143.81</w:t>
            </w:r>
          </w:p>
        </w:tc>
      </w:tr>
    </w:tbl>
    <w:p>
      <w:pPr>
        <w:spacing w:lineRule="exact" w:line="1"/>
        <w:rPr>
          <w:sz w:val="2"/>
          <w:szCs w:val="2"/>
        </w:rPr>
      </w:pPr>
      <w:r>
        <w:br w:type="page"/>
      </w:r>
    </w:p>
    <w:tbl>
      <w:tblPr>
        <w:tblOverlap w:val="never"/>
        <w:jc w:val="center"/>
        <w:tblLayout w:type="fixed"/>
      </w:tblPr>
      <w:tblGrid>
        <w:gridCol w:w="1992"/>
        <w:gridCol w:w="1843"/>
        <w:gridCol w:w="1416"/>
        <w:gridCol w:w="1358"/>
        <w:gridCol w:w="1560"/>
        <w:gridCol w:w="12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北京神州数码一诺技术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305,336.28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北京科小弟信息技术有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Holdings</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系统信息科技（香港）有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1,311.65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智慧神州（北京）科技有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采购行政办公服务、货</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43,056.08</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北京神州数码科捷技术</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52,065,398.72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8,409,014.43</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北京科捷智云技术服务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221,698.11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神州灵云（北京）科技有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247,787.61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185,840.71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神州数码系统集成服务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采购技术服务或劳务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1,301,430.90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359,062.26</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北京神州邦邦技术服务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采购技术服务或劳务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165,274.52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162,735.85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北京神州数码锐行快捷 信息技术服务有限公司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采购技术服务或劳务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15,486.73</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神州数码信息系统有限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采购技术服务或劳务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神州国信（北京）量子科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采购技术服务或劳务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61,946.90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采购技术服务或劳务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283,018.87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982"/>
        <w:gridCol w:w="1843"/>
        <w:gridCol w:w="20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13,160,068.71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6,759,107.49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6,432,174.53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6,235,594.49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5,921,405.48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4,241,826.37</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4,841,610.03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4,292,776.24</w:t>
            </w:r>
          </w:p>
        </w:tc>
      </w:tr>
    </w:tbl>
    <w:p>
      <w:pPr>
        <w:spacing w:lineRule="exact" w:line="1"/>
        <w:rPr>
          <w:sz w:val="2"/>
          <w:szCs w:val="2"/>
        </w:rPr>
      </w:pPr>
      <w:r>
        <w:br w:type="page"/>
      </w:r>
    </w:p>
    <w:tbl>
      <w:tblPr>
        <w:tblOverlap w:val="never"/>
        <w:jc w:val="center"/>
        <w:tblLayout w:type="fixed"/>
      </w:tblPr>
      <w:tblGrid>
        <w:gridCol w:w="3691"/>
        <w:gridCol w:w="1982"/>
        <w:gridCol w:w="1843"/>
        <w:gridCol w:w="20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2,731,996.71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2,357,865.77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1,704,056.61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957,358.49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1,136,125.00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511,875.47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853,621.34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821,032.58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1,662,450.28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771,599.62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780,239.35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北京因特睿软件有限公司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419,407.61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7,471.70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322,685.53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316,703.12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268,576.92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388,698.04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259,080.18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福建智慧海西信息技术有限公司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230,709.38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智慧神州（福建）信息技术有限公司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162,414.13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188,711.84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146,292.42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289,817.18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142,437.30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207,848.28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北京神州数码锐行快捷信息技术服务有限公司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140,015.29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173,465.82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73,955.01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15,321.34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58,104.72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1,025,293.80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辽宁智慧山水城科技发展有限公司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34,355.66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33,584.91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贵州筑民生运营服务有限公司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32,686.90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神州数码（武汉）科技园有限公司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15,223.52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127,374.09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1,708.64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2,782.80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4,888.20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威海智慧北洋信息技术有限公司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北京神州众腾科技发展有限公司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809,810.33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神州数码（上海）资产管理有限公司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104,668.20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Instant Technology Supply Chain Hong Kong</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15,085.05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Financial Service Holding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71,688,035.04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45,420,189.62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59,360,107.57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180,333,087.28</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40,786,971.69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2,107,637.15</w:t>
            </w:r>
          </w:p>
        </w:tc>
      </w:tr>
    </w:tbl>
    <w:p>
      <w:pPr>
        <w:spacing w:lineRule="exact" w:line="1"/>
        <w:rPr>
          <w:sz w:val="2"/>
          <w:szCs w:val="2"/>
        </w:rPr>
      </w:pPr>
      <w:r>
        <w:br w:type="page"/>
      </w:r>
    </w:p>
    <w:tbl>
      <w:tblPr>
        <w:tblOverlap w:val="never"/>
        <w:jc w:val="center"/>
        <w:tblLayout w:type="fixed"/>
      </w:tblPr>
      <w:tblGrid>
        <w:gridCol w:w="3691"/>
        <w:gridCol w:w="1982"/>
        <w:gridCol w:w="1843"/>
        <w:gridCol w:w="20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28,058,309.59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11,353,477.85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16,946,150.66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9,552,163.33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9,125,162.05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762,661.52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2,906,019.72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-421,133.20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重庆三峡银行股份有限公司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750,265.49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585,369.69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6,934,459.68</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30,259.20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16,105.31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北京神州众腾科技发展有限公司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1,017,359.63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565,896.23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北京卓越信通电子股份有限公司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411,532.75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169,811.32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上海昱申科技有限责任公司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6,178.15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销售行政办公服务、货运 服务及其它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409,480.92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广东慧捷通供应链有限公司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销售行政办公服务、货运 服务及其它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3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：报告期内，本公司合并范围内公司均以市场价自关联公司购入</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产品或自关联公司购入技术服务及货运服务。</w:t>
      </w:r>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：报告期内，本公司合并范围内公司均以市场价向关联公司销售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w:t>
      </w:r>
    </w:p>
    <w:p>
      <w:pPr>
        <w:pStyle w:val="Style47"/>
        <w:keepNext/>
        <w:keepLines/>
        <w:widowControl w:val="0"/>
        <w:shd w:val="clear" w:color="auto" w:fill="auto"/>
        <w:bidi w:val="0"/>
        <w:spacing w:before="0" w:after="40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60"/>
      <w:bookmarkEnd w:id="1561"/>
      <w:bookmarkEnd w:id="1562"/>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529,639.60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759,156.86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10,956.06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81"/>
        <w:gridCol w:w="1805"/>
        <w:gridCol w:w="239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37,383,011.57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37,238,420.39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2,062,902.53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1,878,413.00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神州数码（武汉）科技园有限公司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1,286,911.03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1,166,848.74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神州数码（重庆）信息科技有限公司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81,706.92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86,670.85</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998,432.00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897,900.00</w:t>
            </w:r>
          </w:p>
        </w:tc>
      </w:tr>
    </w:tbl>
    <w:p>
      <w:pPr>
        <w:widowControl w:val="0"/>
        <w:spacing w:after="31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w:t>
        <w:tab/>
        <w:t>关联担保情况</w:t>
      </w:r>
      <w:bookmarkEnd w:id="1563"/>
      <w:bookmarkEnd w:id="1564"/>
      <w:bookmarkEnd w:id="156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详见第五节、重要事项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十七、重大合同及其履行情况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、重大担保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7"/>
        <w:keepNext/>
        <w:keepLines/>
        <w:widowControl w:val="0"/>
        <w:shd w:val="clear" w:color="auto" w:fill="auto"/>
        <w:tabs>
          <w:tab w:pos="493" w:val="left"/>
        </w:tabs>
        <w:bidi w:val="0"/>
        <w:spacing w:before="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w:t>
        <w:tab/>
        <w:t>关联方资金拆借</w:t>
      </w:r>
      <w:bookmarkEnd w:id="1567"/>
      <w:bookmarkEnd w:id="1568"/>
      <w:bookmarkEnd w:id="1570"/>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560"/>
        <w:gridCol w:w="1838"/>
        <w:gridCol w:w="1843"/>
        <w:gridCol w:w="15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69,464,643.42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北京神州数码置业发展有限公司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571"/>
      <w:bookmarkEnd w:id="1572"/>
      <w:bookmarkEnd w:id="1574"/>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根据神码中国与神州控股订立的若干商标许可使用协议，神码中国授权神州控股使用若干商标。自授权神州控股使用该等商</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标以来，相关许可使用费用获神码中国豁免。</w:t>
      </w:r>
    </w:p>
    <w:p>
      <w:pPr>
        <w:pStyle w:val="Style40"/>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color w:val="000000"/>
          <w:spacing w:val="0"/>
          <w:w w:val="100"/>
          <w:position w:val="0"/>
        </w:rPr>
        <w:t>、关联方应收应付款项</w:t>
      </w:r>
      <w:bookmarkEnd w:id="1575"/>
      <w:bookmarkEnd w:id="1576"/>
      <w:bookmarkEnd w:id="1578"/>
    </w:p>
    <w:p>
      <w:pPr>
        <w:pStyle w:val="Style47"/>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79"/>
      <w:bookmarkEnd w:id="1580"/>
      <w:bookmarkEnd w:id="1581"/>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2693"/>
        <w:gridCol w:w="1560"/>
        <w:gridCol w:w="1416"/>
        <w:gridCol w:w="1421"/>
        <w:gridCol w:w="121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21,388,586.28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8,079,838.00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54,578,432.58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545,784.33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5,914,906.39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59,149.06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109,104.00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1,091.04</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17,580,930.17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1,199,728.45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589,890.00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589,890.00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13,272,433.70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北京神州数码科捷技术服务有限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9,585,161.34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95,851.61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988,393.59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10,874.94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9,073,096.64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1,531,504.91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2,303,361.84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1,431,157.81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4,127,611.97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485,642.61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3,815,555.82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450,465.43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1,676,795.08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18,301.05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1,374,341.06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13,743.41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深圳市赞融电子技术有限公司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16,240.62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39,184.62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29,532.32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3,929.85</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辽宁智慧山水城科技发展有限公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贵州筑民生运营服务有限公司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34,648.11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20,270.60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20,165.01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北京神州数码一诺技术服务有限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广州智慧神州科技有限公司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北京神州邦邦技术服务有限公司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869,200.00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11,028.00</w:t>
            </w:r>
          </w:p>
        </w:tc>
      </w:tr>
    </w:tbl>
    <w:p>
      <w:pPr>
        <w:spacing w:lineRule="exact" w:line="1"/>
        <w:rPr>
          <w:sz w:val="2"/>
          <w:szCs w:val="2"/>
        </w:rPr>
      </w:pPr>
      <w:r>
        <w:br w:type="page"/>
      </w:r>
    </w:p>
    <w:tbl>
      <w:tblPr>
        <w:tblOverlap w:val="never"/>
        <w:jc w:val="center"/>
        <w:tblLayout w:type="fixed"/>
      </w:tblPr>
      <w:tblGrid>
        <w:gridCol w:w="1282"/>
        <w:gridCol w:w="2693"/>
        <w:gridCol w:w="1560"/>
        <w:gridCol w:w="1416"/>
        <w:gridCol w:w="1421"/>
        <w:gridCol w:w="121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重庆三峡银行股份有限公司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575,333.72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5,753.34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北京神州数码锐行快捷信息技术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42,744.67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Financial Service</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12,522,587.94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北京神州数码置业发展有限公司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158,448,619.58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1,584,486.20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117,329,957.31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1,173,299.57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科技园有限公司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168,125.00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168,125.00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5,043.75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北京神州数码科捷技术服务有限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1,488,130.22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1,610,508.00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551,900.35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1,559,110.49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辽宁智慧山水城科技发展有限公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521,104.60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521,104.60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科捷进出口有限公司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2,239,248.56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667,298.14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3,980,675.24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39,806.75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3,809,125.04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38,091.25</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82"/>
      <w:bookmarkEnd w:id="1583"/>
      <w:bookmarkEnd w:id="158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4109"/>
        <w:gridCol w:w="227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红板凳科技股份有限公司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692,904.34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137,523.07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219,346.99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823,429.58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210,000.02</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荣联科技集团股份有限公司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1,599,288.90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3,077,964.94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95,725.52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23,261.79</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85,937.56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85,937.56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上海昱申科技有限责任公司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570,973.45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上海云简软件科技有限公司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12,590.53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12,590.53</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4,109,146.89</w:t>
            </w:r>
          </w:p>
        </w:tc>
      </w:tr>
    </w:tbl>
    <w:p>
      <w:pPr>
        <w:spacing w:lineRule="exact" w:line="1"/>
        <w:rPr>
          <w:sz w:val="2"/>
          <w:szCs w:val="2"/>
        </w:rPr>
      </w:pPr>
      <w:r>
        <w:br w:type="page"/>
      </w:r>
    </w:p>
    <w:tbl>
      <w:tblPr>
        <w:tblOverlap w:val="never"/>
        <w:jc w:val="center"/>
        <w:tblLayout w:type="fixed"/>
      </w:tblPr>
      <w:tblGrid>
        <w:gridCol w:w="1282"/>
        <w:gridCol w:w="4109"/>
        <w:gridCol w:w="2270"/>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24,074,608.90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4,883,219.72</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4,899,920.20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5,323,070.36</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北京科捷智云技术服务有限公司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3,768,637.60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Instant Technology Supply Chain Hong Kong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3,497,324.03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552,762.21</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西安科捷物流有限公司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1,601,371.88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6,213,742.93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科捷进出口有限公司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591,102.13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2,210,072.95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333,018.87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58,451.47</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北京神州数码一诺技术服务有限公司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305,336.28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神州顶联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180,606.00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Holdings Ltd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23,144.78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r>
        <w:rPr>
          <w:color w:val="000000"/>
          <w:spacing w:val="0"/>
          <w:w w:val="100"/>
          <w:position w:val="0"/>
        </w:rPr>
        <w:t>十三、股份支付</w:t>
      </w:r>
      <w:bookmarkEnd w:id="1585"/>
      <w:bookmarkEnd w:id="1586"/>
      <w:bookmarkEnd w:id="1587"/>
    </w:p>
    <w:p>
      <w:pPr>
        <w:pStyle w:val="Style40"/>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88"/>
      <w:bookmarkEnd w:id="1589"/>
      <w:bookmarkEnd w:id="1590"/>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84,382,164.62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16,669,148.58</w:t>
            </w:r>
          </w:p>
        </w:tc>
      </w:tr>
      <w:tr>
        <w:trPr>
          <w:trHeight w:val="1661"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行权价格</w:t>
            </w:r>
            <w:r>
              <w:rPr>
                <w:rFonts w:ascii="Times New Roman" w:eastAsia="Times New Roman" w:hAnsi="Times New Roman" w:cs="Times New Roman"/>
                <w:color w:val="000000"/>
                <w:spacing w:val="0"/>
                <w:w w:val="100"/>
                <w:position w:val="0"/>
                <w:sz w:val="18"/>
                <w:szCs w:val="18"/>
              </w:rPr>
              <w:t>15.34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股，授予登 记完成之日起至所有股票期权行权或注销之日止最长不超 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授予价格</w:t>
            </w:r>
            <w:r>
              <w:rPr>
                <w:rFonts w:ascii="Times New Roman" w:eastAsia="Times New Roman" w:hAnsi="Times New Roman" w:cs="Times New Roman"/>
                <w:color w:val="000000"/>
                <w:spacing w:val="0"/>
                <w:w w:val="100"/>
                <w:position w:val="0"/>
                <w:sz w:val="18"/>
                <w:szCs w:val="18"/>
              </w:rPr>
              <w:t xml:space="preserve">7.82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股，授予登记完成之日起至限制性股票解除限售或回购 注销完毕之日止最长不超过</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91"/>
      <w:bookmarkEnd w:id="1592"/>
      <w:bookmarkEnd w:id="1593"/>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详见本附注其他说明</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详见本附注其他说明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110,434,617.06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11,767,509.60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311" w:lineRule="exact"/>
        <w:ind w:left="0" w:right="0" w:firstLine="360"/>
        <w:jc w:val="both"/>
        <w:rPr>
          <w:sz w:val="18"/>
          <w:szCs w:val="18"/>
        </w:rPr>
      </w:pPr>
      <w:r>
        <w:rPr>
          <w:color w:val="000000"/>
          <w:spacing w:val="0"/>
          <w:w w:val="100"/>
          <w:position w:val="0"/>
          <w:sz w:val="17"/>
          <w:szCs w:val="17"/>
        </w:rPr>
        <w:t>股期权激励计划</w:t>
      </w:r>
      <w:r>
        <w:rPr>
          <w:color w:val="000000"/>
          <w:spacing w:val="0"/>
          <w:w w:val="100"/>
          <w:position w:val="0"/>
          <w:sz w:val="18"/>
          <w:szCs w:val="18"/>
        </w:rPr>
        <w:t>：</w:t>
      </w:r>
    </w:p>
    <w:p>
      <w:pPr>
        <w:pStyle w:val="Style37"/>
        <w:keepNext w:val="0"/>
        <w:keepLines w:val="0"/>
        <w:widowControl w:val="0"/>
        <w:shd w:val="clear" w:color="auto" w:fill="auto"/>
        <w:tabs>
          <w:tab w:pos="805" w:val="left"/>
        </w:tabs>
        <w:bidi w:val="0"/>
        <w:spacing w:before="0" w:after="0" w:line="311" w:lineRule="exact"/>
        <w:ind w:left="0" w:right="0" w:firstLine="360"/>
        <w:jc w:val="both"/>
      </w:pPr>
      <w:bookmarkStart w:id="1594" w:name="bookmark1594"/>
      <w:r>
        <w:rPr>
          <w:color w:val="000000"/>
          <w:spacing w:val="0"/>
          <w:w w:val="100"/>
          <w:position w:val="0"/>
        </w:rPr>
        <w:t>（</w:t>
      </w:r>
      <w:bookmarkEnd w:id="15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股票来源</w:t>
      </w:r>
    </w:p>
    <w:p>
      <w:pPr>
        <w:pStyle w:val="Style3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本公司向激励对象定向发行本公司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37"/>
        <w:keepNext w:val="0"/>
        <w:keepLines w:val="0"/>
        <w:widowControl w:val="0"/>
        <w:shd w:val="clear" w:color="auto" w:fill="auto"/>
        <w:tabs>
          <w:tab w:pos="805" w:val="left"/>
        </w:tabs>
        <w:bidi w:val="0"/>
        <w:spacing w:before="0" w:after="0" w:line="311" w:lineRule="exact"/>
        <w:ind w:left="0" w:right="0" w:firstLine="360"/>
        <w:jc w:val="both"/>
      </w:pPr>
      <w:bookmarkStart w:id="1595" w:name="bookmark1595"/>
      <w:r>
        <w:rPr>
          <w:color w:val="000000"/>
          <w:spacing w:val="0"/>
          <w:w w:val="100"/>
          <w:position w:val="0"/>
        </w:rPr>
        <w:t>（</w:t>
      </w:r>
      <w:bookmarkEnd w:id="15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股票期权的行权价格及确定方法</w:t>
      </w:r>
    </w:p>
    <w:p>
      <w:pPr>
        <w:pStyle w:val="Style37"/>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首次授予股票期权的行权价格为每股</w:t>
      </w:r>
      <w:r>
        <w:rPr>
          <w:rFonts w:ascii="Times New Roman" w:eastAsia="Times New Roman" w:hAnsi="Times New Roman" w:cs="Times New Roman"/>
          <w:color w:val="000000"/>
          <w:spacing w:val="0"/>
          <w:w w:val="100"/>
          <w:position w:val="0"/>
          <w:sz w:val="18"/>
          <w:szCs w:val="18"/>
        </w:rPr>
        <w:t>15.55</w:t>
      </w:r>
      <w:r>
        <w:rPr>
          <w:color w:val="000000"/>
          <w:spacing w:val="0"/>
          <w:w w:val="100"/>
          <w:position w:val="0"/>
        </w:rPr>
        <w:t>元。</w:t>
      </w:r>
    </w:p>
    <w:p>
      <w:pPr>
        <w:pStyle w:val="Style37"/>
        <w:keepNext w:val="0"/>
        <w:keepLines w:val="0"/>
        <w:widowControl w:val="0"/>
        <w:shd w:val="clear" w:color="auto" w:fill="auto"/>
        <w:bidi w:val="0"/>
        <w:spacing w:before="0" w:after="0" w:line="311" w:lineRule="exact"/>
        <w:ind w:left="0" w:right="0" w:firstLine="360"/>
        <w:jc w:val="both"/>
        <w:rPr>
          <w:sz w:val="18"/>
          <w:szCs w:val="18"/>
        </w:rPr>
      </w:pPr>
      <w:r>
        <w:rPr>
          <w:color w:val="000000"/>
          <w:spacing w:val="0"/>
          <w:w w:val="100"/>
          <w:position w:val="0"/>
          <w:sz w:val="17"/>
          <w:szCs w:val="17"/>
        </w:rPr>
        <w:t>首次股票期权行权价格不低于股票票面金额，且不低于下列价格较高者</w:t>
      </w:r>
      <w:r>
        <w:rPr>
          <w:color w:val="000000"/>
          <w:spacing w:val="0"/>
          <w:w w:val="100"/>
          <w:position w:val="0"/>
          <w:sz w:val="18"/>
          <w:szCs w:val="18"/>
        </w:rPr>
        <w:t>：</w:t>
      </w:r>
    </w:p>
    <w:p>
      <w:pPr>
        <w:pStyle w:val="Style37"/>
        <w:keepNext w:val="0"/>
        <w:keepLines w:val="0"/>
        <w:widowControl w:val="0"/>
        <w:shd w:val="clear" w:color="auto" w:fill="auto"/>
        <w:tabs>
          <w:tab w:pos="690" w:val="left"/>
        </w:tabs>
        <w:bidi w:val="0"/>
        <w:spacing w:before="0" w:after="0" w:line="311" w:lineRule="exact"/>
        <w:ind w:left="0" w:right="0" w:firstLine="360"/>
        <w:jc w:val="both"/>
      </w:pPr>
      <w:bookmarkStart w:id="1596" w:name="bookmark1596"/>
      <w:r>
        <w:rPr>
          <w:rFonts w:ascii="Times New Roman" w:eastAsia="Times New Roman" w:hAnsi="Times New Roman" w:cs="Times New Roman"/>
          <w:color w:val="000000"/>
          <w:spacing w:val="0"/>
          <w:w w:val="100"/>
          <w:position w:val="0"/>
          <w:sz w:val="18"/>
          <w:szCs w:val="18"/>
        </w:rPr>
        <w:t>1</w:t>
      </w:r>
      <w:bookmarkEnd w:id="15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本激励计划草案公告前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个交易日公司股票交易均价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个交易日股票交易总量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，为每股 </w:t>
      </w:r>
      <w:r>
        <w:rPr>
          <w:rFonts w:ascii="Times New Roman" w:eastAsia="Times New Roman" w:hAnsi="Times New Roman" w:cs="Times New Roman"/>
          <w:color w:val="000000"/>
          <w:spacing w:val="0"/>
          <w:w w:val="100"/>
          <w:position w:val="0"/>
          <w:sz w:val="18"/>
          <w:szCs w:val="18"/>
        </w:rPr>
        <w:t xml:space="preserve">15.55 </w:t>
      </w:r>
      <w:r>
        <w:rPr>
          <w:color w:val="000000"/>
          <w:spacing w:val="0"/>
          <w:w w:val="100"/>
          <w:position w:val="0"/>
        </w:rPr>
        <w:t>元。</w:t>
      </w:r>
    </w:p>
    <w:p>
      <w:pPr>
        <w:pStyle w:val="Style37"/>
        <w:keepNext w:val="0"/>
        <w:keepLines w:val="0"/>
        <w:widowControl w:val="0"/>
        <w:shd w:val="clear" w:color="auto" w:fill="auto"/>
        <w:tabs>
          <w:tab w:pos="699" w:val="left"/>
        </w:tabs>
        <w:bidi w:val="0"/>
        <w:spacing w:before="0" w:after="0" w:line="311" w:lineRule="exact"/>
        <w:ind w:left="0" w:right="0" w:firstLine="360"/>
        <w:jc w:val="both"/>
      </w:pPr>
      <w:bookmarkStart w:id="1597" w:name="bookmark1597"/>
      <w:r>
        <w:rPr>
          <w:rFonts w:ascii="Times New Roman" w:eastAsia="Times New Roman" w:hAnsi="Times New Roman" w:cs="Times New Roman"/>
          <w:color w:val="000000"/>
          <w:spacing w:val="0"/>
          <w:w w:val="100"/>
          <w:position w:val="0"/>
          <w:sz w:val="18"/>
          <w:szCs w:val="18"/>
        </w:rPr>
        <w:t>2</w:t>
      </w:r>
      <w:bookmarkEnd w:id="15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本激励计划草案公告前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个交易日的本公司股票交易均价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个交易日股票交易总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，为每股</w:t>
      </w:r>
      <w:r>
        <w:rPr>
          <w:rFonts w:ascii="Times New Roman" w:eastAsia="Times New Roman" w:hAnsi="Times New Roman" w:cs="Times New Roman"/>
          <w:color w:val="000000"/>
          <w:spacing w:val="0"/>
          <w:w w:val="100"/>
          <w:position w:val="0"/>
          <w:sz w:val="18"/>
          <w:szCs w:val="18"/>
        </w:rPr>
        <w:t>14.18</w:t>
      </w:r>
      <w:r>
        <w:rPr>
          <w:color w:val="000000"/>
          <w:spacing w:val="0"/>
          <w:w w:val="100"/>
          <w:position w:val="0"/>
        </w:rPr>
        <w:t>元。</w:t>
      </w:r>
    </w:p>
    <w:p>
      <w:pPr>
        <w:pStyle w:val="Style37"/>
        <w:keepNext w:val="0"/>
        <w:keepLines w:val="0"/>
        <w:widowControl w:val="0"/>
        <w:shd w:val="clear" w:color="auto" w:fill="auto"/>
        <w:bidi w:val="0"/>
        <w:spacing w:before="0" w:after="80" w:line="311"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日，本公司第九届董事会第二十六次会议和第九届监事会第十九次会议审议通过了《关于调整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票期权与限制性股票激励计划回购价格及行权价格的议案》。根据公司《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年股票期权与限制性股票激励计划》的规定， 公司需在董事会决议通过权益分派方案后对本次限制性股票的回购价格及股票期权的行权价格进行相应调整。授予股票期权 的行权价格由每股</w:t>
      </w:r>
      <w:r>
        <w:rPr>
          <w:rFonts w:ascii="Times New Roman" w:eastAsia="Times New Roman" w:hAnsi="Times New Roman" w:cs="Times New Roman"/>
          <w:color w:val="000000"/>
          <w:spacing w:val="0"/>
          <w:w w:val="100"/>
          <w:position w:val="0"/>
          <w:sz w:val="18"/>
          <w:szCs w:val="18"/>
        </w:rPr>
        <w:t>15.55</w:t>
      </w:r>
      <w:r>
        <w:rPr>
          <w:color w:val="000000"/>
          <w:spacing w:val="0"/>
          <w:w w:val="100"/>
          <w:position w:val="0"/>
        </w:rPr>
        <w:t>元变更为为每股</w:t>
      </w:r>
      <w:r>
        <w:rPr>
          <w:rFonts w:ascii="Times New Roman" w:eastAsia="Times New Roman" w:hAnsi="Times New Roman" w:cs="Times New Roman"/>
          <w:color w:val="000000"/>
          <w:spacing w:val="0"/>
          <w:w w:val="100"/>
          <w:position w:val="0"/>
          <w:sz w:val="18"/>
          <w:szCs w:val="18"/>
        </w:rPr>
        <w:t>15.34</w:t>
      </w:r>
      <w:r>
        <w:rPr>
          <w:color w:val="000000"/>
          <w:spacing w:val="0"/>
          <w:w w:val="100"/>
          <w:position w:val="0"/>
        </w:rPr>
        <w:t>元。</w:t>
      </w: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）首次授予股票期权行权期与各期行权时间</w:t>
      </w:r>
    </w:p>
    <w:tbl>
      <w:tblPr>
        <w:tblOverlap w:val="never"/>
        <w:jc w:val="center"/>
        <w:tblLayout w:type="fixed"/>
      </w:tblPr>
      <w:tblGrid>
        <w:gridCol w:w="2395"/>
        <w:gridCol w:w="6408"/>
        <w:gridCol w:w="874"/>
      </w:tblGrid>
      <w:tr>
        <w:trPr>
          <w:trHeight w:val="34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行权安排</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行权时间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首次授予股票期权 第一个行权期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个月后的首个交易日起至首次授予登记完成之日起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首次授予股票期权 第二个行权期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个月后的首个交易日起至首次授予登记完成之日起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7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首次授予股票期权 第三个行权期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个月后的首个交易日起至首次授予登记完成之日起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35"/>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）股票期权价值的计算方法及参数合理性</w:t>
      </w:r>
    </w:p>
    <w:p>
      <w:pPr>
        <w:widowControl w:val="0"/>
        <w:spacing w:after="159" w:line="1" w:lineRule="exact"/>
      </w:pPr>
    </w:p>
    <w:p>
      <w:pPr>
        <w:pStyle w:val="Style37"/>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本公司选择</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模型来计算期权的公允价值，并于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日使用该模型对首次授予的</w:t>
      </w:r>
      <w:r>
        <w:rPr>
          <w:rFonts w:ascii="Times New Roman" w:eastAsia="Times New Roman" w:hAnsi="Times New Roman" w:cs="Times New Roman"/>
          <w:color w:val="000000"/>
          <w:spacing w:val="0"/>
          <w:w w:val="100"/>
          <w:position w:val="0"/>
          <w:sz w:val="18"/>
          <w:szCs w:val="18"/>
        </w:rPr>
        <w:t>2,206.5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万份股票期 </w:t>
      </w:r>
      <w:r>
        <w:rPr>
          <w:color w:val="000000"/>
          <w:spacing w:val="0"/>
          <w:w w:val="100"/>
          <w:position w:val="0"/>
        </w:rPr>
        <w:t>权作出估计。具体参数选取如下：</w:t>
      </w:r>
    </w:p>
    <w:p>
      <w:pPr>
        <w:pStyle w:val="Style37"/>
        <w:keepNext w:val="0"/>
        <w:keepLines w:val="0"/>
        <w:widowControl w:val="0"/>
        <w:numPr>
          <w:ilvl w:val="0"/>
          <w:numId w:val="27"/>
        </w:numPr>
        <w:shd w:val="clear" w:color="auto" w:fill="auto"/>
        <w:tabs>
          <w:tab w:pos="733" w:val="left"/>
        </w:tabs>
        <w:bidi w:val="0"/>
        <w:spacing w:before="0" w:after="0" w:line="312" w:lineRule="exact"/>
        <w:ind w:left="0" w:right="0" w:firstLine="360"/>
        <w:jc w:val="left"/>
      </w:pPr>
      <w:bookmarkStart w:id="1598" w:name="bookmark1598"/>
      <w:bookmarkEnd w:id="1598"/>
      <w:r>
        <w:rPr>
          <w:color w:val="000000"/>
          <w:spacing w:val="0"/>
          <w:w w:val="100"/>
          <w:position w:val="0"/>
        </w:rPr>
        <w:t>标的股价：</w:t>
      </w:r>
      <w:r>
        <w:rPr>
          <w:rFonts w:ascii="Times New Roman" w:eastAsia="Times New Roman" w:hAnsi="Times New Roman" w:cs="Times New Roman"/>
          <w:color w:val="000000"/>
          <w:spacing w:val="0"/>
          <w:w w:val="100"/>
          <w:position w:val="0"/>
          <w:sz w:val="18"/>
          <w:szCs w:val="18"/>
        </w:rPr>
        <w:t>12.92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股（授予日公司收盘价为</w:t>
      </w:r>
      <w:r>
        <w:rPr>
          <w:rFonts w:ascii="Times New Roman" w:eastAsia="Times New Roman" w:hAnsi="Times New Roman" w:cs="Times New Roman"/>
          <w:color w:val="000000"/>
          <w:spacing w:val="0"/>
          <w:w w:val="100"/>
          <w:position w:val="0"/>
          <w:sz w:val="18"/>
          <w:szCs w:val="18"/>
        </w:rPr>
        <w:t>12.92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7"/>
        <w:keepNext w:val="0"/>
        <w:keepLines w:val="0"/>
        <w:widowControl w:val="0"/>
        <w:numPr>
          <w:ilvl w:val="0"/>
          <w:numId w:val="27"/>
        </w:numPr>
        <w:shd w:val="clear" w:color="auto" w:fill="auto"/>
        <w:tabs>
          <w:tab w:pos="733" w:val="left"/>
        </w:tabs>
        <w:bidi w:val="0"/>
        <w:spacing w:before="0" w:after="0" w:line="312" w:lineRule="exact"/>
        <w:ind w:left="0" w:right="0" w:firstLine="360"/>
        <w:jc w:val="left"/>
      </w:pPr>
      <w:bookmarkStart w:id="1599" w:name="bookmark1599"/>
      <w:bookmarkEnd w:id="1599"/>
      <w:r>
        <w:rPr>
          <w:color w:val="000000"/>
          <w:spacing w:val="0"/>
          <w:w w:val="100"/>
          <w:position w:val="0"/>
        </w:rPr>
        <w:t>有效期分别为：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年（授予登记完成日至每期首个行权日的期限）</w:t>
      </w:r>
    </w:p>
    <w:p>
      <w:pPr>
        <w:pStyle w:val="Style37"/>
        <w:keepNext w:val="0"/>
        <w:keepLines w:val="0"/>
        <w:widowControl w:val="0"/>
        <w:numPr>
          <w:ilvl w:val="0"/>
          <w:numId w:val="27"/>
        </w:numPr>
        <w:shd w:val="clear" w:color="auto" w:fill="auto"/>
        <w:tabs>
          <w:tab w:pos="733" w:val="left"/>
        </w:tabs>
        <w:bidi w:val="0"/>
        <w:spacing w:before="0" w:after="0" w:line="312" w:lineRule="exact"/>
        <w:ind w:left="0" w:right="0" w:firstLine="360"/>
        <w:jc w:val="left"/>
      </w:pPr>
      <w:bookmarkStart w:id="1600" w:name="bookmark1600"/>
      <w:bookmarkEnd w:id="1600"/>
      <w:r>
        <w:rPr>
          <w:color w:val="000000"/>
          <w:spacing w:val="0"/>
          <w:w w:val="100"/>
          <w:position w:val="0"/>
        </w:rPr>
        <w:t>波动率分别为：</w:t>
      </w:r>
      <w:r>
        <w:rPr>
          <w:rFonts w:ascii="Times New Roman" w:eastAsia="Times New Roman" w:hAnsi="Times New Roman" w:cs="Times New Roman"/>
          <w:color w:val="000000"/>
          <w:spacing w:val="0"/>
          <w:w w:val="100"/>
          <w:position w:val="0"/>
          <w:sz w:val="18"/>
          <w:szCs w:val="18"/>
        </w:rPr>
        <w:t>27.6463%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23.2481%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20.6737% </w:t>
      </w:r>
      <w:r>
        <w:rPr>
          <w:color w:val="000000"/>
          <w:spacing w:val="0"/>
          <w:w w:val="100"/>
          <w:position w:val="0"/>
        </w:rPr>
        <w:t>（采用深证成指最近一年、两年、三年的波动率）</w:t>
      </w:r>
    </w:p>
    <w:p>
      <w:pPr>
        <w:pStyle w:val="Style37"/>
        <w:keepNext w:val="0"/>
        <w:keepLines w:val="0"/>
        <w:widowControl w:val="0"/>
        <w:numPr>
          <w:ilvl w:val="0"/>
          <w:numId w:val="27"/>
        </w:numPr>
        <w:shd w:val="clear" w:color="auto" w:fill="auto"/>
        <w:tabs>
          <w:tab w:pos="733" w:val="left"/>
        </w:tabs>
        <w:bidi w:val="0"/>
        <w:spacing w:before="0" w:after="0" w:line="312" w:lineRule="exact"/>
        <w:ind w:left="0" w:right="0" w:firstLine="360"/>
        <w:jc w:val="left"/>
      </w:pPr>
      <w:bookmarkStart w:id="1601" w:name="bookmark1601"/>
      <w:bookmarkEnd w:id="1601"/>
      <w:r>
        <w:rPr>
          <w:color w:val="000000"/>
          <w:spacing w:val="0"/>
          <w:w w:val="100"/>
          <w:position w:val="0"/>
        </w:rPr>
        <w:t>无风险利率：</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2.75% </w:t>
      </w:r>
      <w:r>
        <w:rPr>
          <w:color w:val="000000"/>
          <w:spacing w:val="0"/>
          <w:w w:val="100"/>
          <w:position w:val="0"/>
        </w:rPr>
        <w:t>（分别采用中国人民银行制定的金融机构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年期存款基准利率）</w:t>
      </w:r>
    </w:p>
    <w:p>
      <w:pPr>
        <w:pStyle w:val="Style37"/>
        <w:keepNext w:val="0"/>
        <w:keepLines w:val="0"/>
        <w:widowControl w:val="0"/>
        <w:numPr>
          <w:ilvl w:val="0"/>
          <w:numId w:val="27"/>
        </w:numPr>
        <w:shd w:val="clear" w:color="auto" w:fill="auto"/>
        <w:tabs>
          <w:tab w:pos="733" w:val="left"/>
        </w:tabs>
        <w:bidi w:val="0"/>
        <w:spacing w:before="0" w:after="320" w:line="312" w:lineRule="exact"/>
        <w:ind w:left="0" w:right="0" w:firstLine="360"/>
        <w:jc w:val="left"/>
      </w:pPr>
      <w:bookmarkStart w:id="1602" w:name="bookmark1602"/>
      <w:bookmarkEnd w:id="1602"/>
      <w:r>
        <w:rPr>
          <w:color w:val="000000"/>
          <w:spacing w:val="0"/>
          <w:w w:val="100"/>
          <w:position w:val="0"/>
        </w:rPr>
        <w:t>股息率：</w:t>
      </w:r>
      <w:r>
        <w:rPr>
          <w:rFonts w:ascii="Times New Roman" w:eastAsia="Times New Roman" w:hAnsi="Times New Roman" w:cs="Times New Roman"/>
          <w:color w:val="000000"/>
          <w:spacing w:val="0"/>
          <w:w w:val="100"/>
          <w:position w:val="0"/>
          <w:sz w:val="18"/>
          <w:szCs w:val="18"/>
        </w:rPr>
        <w:t>1.6023%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0.8946%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0.6587% </w:t>
      </w:r>
      <w:r>
        <w:rPr>
          <w:color w:val="000000"/>
          <w:spacing w:val="0"/>
          <w:w w:val="100"/>
          <w:position w:val="0"/>
        </w:rPr>
        <w:t>（取本激励计划授予前公司最近一年、两年、三年的平均股息率）</w:t>
      </w:r>
    </w:p>
    <w:p>
      <w:pPr>
        <w:pStyle w:val="Style3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限制性股票激励计划</w:t>
      </w:r>
    </w:p>
    <w:p>
      <w:pPr>
        <w:pStyle w:val="Style37"/>
        <w:keepNext w:val="0"/>
        <w:keepLines w:val="0"/>
        <w:widowControl w:val="0"/>
        <w:shd w:val="clear" w:color="auto" w:fill="auto"/>
        <w:tabs>
          <w:tab w:pos="805" w:val="left"/>
        </w:tabs>
        <w:bidi w:val="0"/>
        <w:spacing w:before="0" w:after="0" w:line="312" w:lineRule="exact"/>
        <w:ind w:left="0" w:right="0" w:firstLine="360"/>
        <w:jc w:val="left"/>
      </w:pPr>
      <w:bookmarkStart w:id="1603" w:name="bookmark1603"/>
      <w:r>
        <w:rPr>
          <w:color w:val="000000"/>
          <w:spacing w:val="0"/>
          <w:w w:val="100"/>
          <w:position w:val="0"/>
        </w:rPr>
        <w:t>（</w:t>
      </w:r>
      <w:bookmarkEnd w:id="16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股票来源</w:t>
      </w:r>
    </w:p>
    <w:p>
      <w:pPr>
        <w:pStyle w:val="Style3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本公司自二级市场回购的本公司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股普通股和向激励对象定向发行的本公司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37"/>
        <w:keepNext w:val="0"/>
        <w:keepLines w:val="0"/>
        <w:widowControl w:val="0"/>
        <w:shd w:val="clear" w:color="auto" w:fill="auto"/>
        <w:tabs>
          <w:tab w:pos="805" w:val="left"/>
        </w:tabs>
        <w:bidi w:val="0"/>
        <w:spacing w:before="0" w:after="0" w:line="312" w:lineRule="exact"/>
        <w:ind w:left="0" w:right="0" w:firstLine="360"/>
        <w:jc w:val="left"/>
      </w:pPr>
      <w:bookmarkStart w:id="1604" w:name="bookmark1604"/>
      <w:r>
        <w:rPr>
          <w:color w:val="000000"/>
          <w:spacing w:val="0"/>
          <w:w w:val="100"/>
          <w:position w:val="0"/>
        </w:rPr>
        <w:t>（</w:t>
      </w:r>
      <w:bookmarkEnd w:id="16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限制性股票的授予价格及确定方法</w:t>
      </w:r>
    </w:p>
    <w:p>
      <w:pPr>
        <w:pStyle w:val="Style37"/>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首次授予限制性股票的授予价格为每股</w:t>
      </w:r>
      <w:r>
        <w:rPr>
          <w:rFonts w:ascii="Times New Roman" w:eastAsia="Times New Roman" w:hAnsi="Times New Roman" w:cs="Times New Roman"/>
          <w:color w:val="000000"/>
          <w:spacing w:val="0"/>
          <w:w w:val="100"/>
          <w:position w:val="0"/>
          <w:sz w:val="18"/>
          <w:szCs w:val="18"/>
        </w:rPr>
        <w:t xml:space="preserve">7.8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360"/>
        <w:jc w:val="left"/>
        <w:rPr>
          <w:sz w:val="18"/>
          <w:szCs w:val="18"/>
        </w:rPr>
      </w:pPr>
      <w:r>
        <w:rPr>
          <w:color w:val="000000"/>
          <w:spacing w:val="0"/>
          <w:w w:val="100"/>
          <w:position w:val="0"/>
          <w:sz w:val="17"/>
          <w:szCs w:val="17"/>
        </w:rPr>
        <w:t>首次授予部分限制性股票的授予价格不低于股票票面金额，且不低于下列价格较高者</w:t>
      </w:r>
      <w:r>
        <w:rPr>
          <w:color w:val="000000"/>
          <w:spacing w:val="0"/>
          <w:w w:val="100"/>
          <w:position w:val="0"/>
          <w:sz w:val="18"/>
          <w:szCs w:val="18"/>
        </w:rPr>
        <w:t>：</w:t>
      </w:r>
    </w:p>
    <w:p>
      <w:pPr>
        <w:pStyle w:val="Style37"/>
        <w:keepNext w:val="0"/>
        <w:keepLines w:val="0"/>
        <w:widowControl w:val="0"/>
        <w:shd w:val="clear" w:color="auto" w:fill="auto"/>
        <w:tabs>
          <w:tab w:pos="699" w:val="left"/>
        </w:tabs>
        <w:bidi w:val="0"/>
        <w:spacing w:before="0" w:after="0" w:line="312" w:lineRule="exact"/>
        <w:ind w:left="0" w:right="0" w:firstLine="360"/>
        <w:jc w:val="left"/>
      </w:pPr>
      <w:bookmarkStart w:id="1605" w:name="bookmark1605"/>
      <w:r>
        <w:rPr>
          <w:rFonts w:ascii="Times New Roman" w:eastAsia="Times New Roman" w:hAnsi="Times New Roman" w:cs="Times New Roman"/>
          <w:color w:val="000000"/>
          <w:spacing w:val="0"/>
          <w:w w:val="100"/>
          <w:position w:val="0"/>
          <w:sz w:val="18"/>
          <w:szCs w:val="18"/>
        </w:rPr>
        <w:t>1</w:t>
      </w:r>
      <w:bookmarkEnd w:id="16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本激励计划草案公告前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个交易日公司股票交易均价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个交易日股票交易总量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w:t>
      </w:r>
      <w:r>
        <w:rPr>
          <w:rFonts w:ascii="Times New Roman" w:eastAsia="Times New Roman" w:hAnsi="Times New Roman" w:cs="Times New Roman"/>
          <w:color w:val="000000"/>
          <w:spacing w:val="0"/>
          <w:w w:val="100"/>
          <w:position w:val="0"/>
          <w:sz w:val="18"/>
          <w:szCs w:val="18"/>
        </w:rPr>
        <w:t xml:space="preserve">15.55 </w:t>
      </w:r>
      <w:r>
        <w:rPr>
          <w:color w:val="000000"/>
          <w:spacing w:val="0"/>
          <w:w w:val="100"/>
          <w:position w:val="0"/>
        </w:rPr>
        <w:t>元的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，为每股</w:t>
      </w:r>
      <w:r>
        <w:rPr>
          <w:rFonts w:ascii="Times New Roman" w:eastAsia="Times New Roman" w:hAnsi="Times New Roman" w:cs="Times New Roman"/>
          <w:color w:val="000000"/>
          <w:spacing w:val="0"/>
          <w:w w:val="100"/>
          <w:position w:val="0"/>
          <w:sz w:val="18"/>
          <w:szCs w:val="18"/>
        </w:rPr>
        <w:t>7.78</w:t>
      </w:r>
      <w:r>
        <w:rPr>
          <w:color w:val="000000"/>
          <w:spacing w:val="0"/>
          <w:w w:val="100"/>
          <w:position w:val="0"/>
        </w:rPr>
        <w:t>元。</w:t>
      </w:r>
    </w:p>
    <w:p>
      <w:pPr>
        <w:pStyle w:val="Style37"/>
        <w:keepNext w:val="0"/>
        <w:keepLines w:val="0"/>
        <w:widowControl w:val="0"/>
        <w:shd w:val="clear" w:color="auto" w:fill="auto"/>
        <w:tabs>
          <w:tab w:pos="699" w:val="left"/>
        </w:tabs>
        <w:bidi w:val="0"/>
        <w:spacing w:before="0" w:after="0" w:line="312" w:lineRule="exact"/>
        <w:ind w:left="0" w:right="0" w:firstLine="360"/>
        <w:jc w:val="left"/>
      </w:pPr>
      <w:bookmarkStart w:id="1606" w:name="bookmark1606"/>
      <w:r>
        <w:rPr>
          <w:rFonts w:ascii="Times New Roman" w:eastAsia="Times New Roman" w:hAnsi="Times New Roman" w:cs="Times New Roman"/>
          <w:color w:val="000000"/>
          <w:spacing w:val="0"/>
          <w:w w:val="100"/>
          <w:position w:val="0"/>
          <w:sz w:val="18"/>
          <w:szCs w:val="18"/>
        </w:rPr>
        <w:t>2</w:t>
      </w:r>
      <w:bookmarkEnd w:id="16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本激励计划草案公告前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个交易日的本公司股票交易均价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个交易日股票交易总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w:t>
      </w:r>
      <w:r>
        <w:rPr>
          <w:rFonts w:ascii="Times New Roman" w:eastAsia="Times New Roman" w:hAnsi="Times New Roman" w:cs="Times New Roman"/>
          <w:color w:val="000000"/>
          <w:spacing w:val="0"/>
          <w:w w:val="100"/>
          <w:position w:val="0"/>
          <w:sz w:val="18"/>
          <w:szCs w:val="18"/>
        </w:rPr>
        <w:t>14.18</w:t>
      </w:r>
      <w:r>
        <w:rPr>
          <w:color w:val="000000"/>
          <w:spacing w:val="0"/>
          <w:w w:val="100"/>
          <w:position w:val="0"/>
        </w:rPr>
        <w:t>元的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，为每股</w:t>
      </w:r>
      <w:r>
        <w:rPr>
          <w:rFonts w:ascii="Times New Roman" w:eastAsia="Times New Roman" w:hAnsi="Times New Roman" w:cs="Times New Roman"/>
          <w:color w:val="000000"/>
          <w:spacing w:val="0"/>
          <w:w w:val="100"/>
          <w:position w:val="0"/>
          <w:sz w:val="18"/>
          <w:szCs w:val="18"/>
        </w:rPr>
        <w:t>7.09</w:t>
      </w:r>
      <w:r>
        <w:rPr>
          <w:color w:val="000000"/>
          <w:spacing w:val="0"/>
          <w:w w:val="100"/>
          <w:position w:val="0"/>
        </w:rPr>
        <w:t>元。</w:t>
      </w:r>
    </w:p>
    <w:p>
      <w:pPr>
        <w:pStyle w:val="Style37"/>
        <w:keepNext w:val="0"/>
        <w:keepLines w:val="0"/>
        <w:widowControl w:val="0"/>
        <w:shd w:val="clear" w:color="auto" w:fill="auto"/>
        <w:bidi w:val="0"/>
        <w:spacing w:before="0" w:after="140" w:line="312" w:lineRule="exact"/>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日，本公司第九届董事会第二十六次会议和第九届监事会第十九次会议审议通过了《关于调整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票期权与限制性股票激励计划回购价格及行权价格的议案》。根据公司《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年股票期权与限制性股票激励计划》的规定， </w:t>
      </w:r>
      <w:r>
        <w:rPr>
          <w:color w:val="000000"/>
          <w:spacing w:val="0"/>
          <w:w w:val="100"/>
          <w:position w:val="0"/>
        </w:rPr>
        <w:t>公司需在董事会决议通过权益分派方案后对本次限制性股票的回购价格及股票期权的行权价格进行相应调整。授予股票期权 的回购价格由每股</w:t>
      </w:r>
      <w:r>
        <w:rPr>
          <w:rFonts w:ascii="Times New Roman" w:eastAsia="Times New Roman" w:hAnsi="Times New Roman" w:cs="Times New Roman"/>
          <w:color w:val="000000"/>
          <w:spacing w:val="0"/>
          <w:w w:val="100"/>
          <w:position w:val="0"/>
          <w:sz w:val="18"/>
          <w:szCs w:val="18"/>
        </w:rPr>
        <w:t xml:space="preserve">7.8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元变更为为每股</w:t>
      </w:r>
      <w:r>
        <w:rPr>
          <w:rFonts w:ascii="Times New Roman" w:eastAsia="Times New Roman" w:hAnsi="Times New Roman" w:cs="Times New Roman"/>
          <w:color w:val="000000"/>
          <w:spacing w:val="0"/>
          <w:w w:val="100"/>
          <w:position w:val="0"/>
          <w:sz w:val="18"/>
          <w:szCs w:val="18"/>
        </w:rPr>
        <w:t>7.61</w:t>
      </w:r>
      <w:r>
        <w:rPr>
          <w:color w:val="000000"/>
          <w:spacing w:val="0"/>
          <w:w w:val="100"/>
          <w:position w:val="0"/>
        </w:rPr>
        <w:t>元。</w:t>
      </w:r>
    </w:p>
    <w:p>
      <w:pPr>
        <w:pStyle w:val="Style35"/>
        <w:keepNext w:val="0"/>
        <w:keepLines w:val="0"/>
        <w:widowControl w:val="0"/>
        <w:shd w:val="clear" w:color="auto" w:fill="auto"/>
        <w:bidi w:val="0"/>
        <w:spacing w:before="0" w:after="0" w:line="240" w:lineRule="auto"/>
        <w:ind w:left="437"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）首次授予的限制性股票的解除限售期及各期解除限售时间</w:t>
      </w:r>
    </w:p>
    <w:tbl>
      <w:tblPr>
        <w:tblOverlap w:val="never"/>
        <w:jc w:val="center"/>
        <w:tblLayout w:type="fixed"/>
      </w:tblPr>
      <w:tblGrid>
        <w:gridCol w:w="2386"/>
        <w:gridCol w:w="6384"/>
        <w:gridCol w:w="869"/>
      </w:tblGrid>
      <w:tr>
        <w:trPr>
          <w:trHeight w:val="34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行权比例</w:t>
            </w:r>
          </w:p>
        </w:tc>
      </w:tr>
      <w:tr>
        <w:trPr>
          <w:trHeight w:val="67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首次授予的限制性股票 第一个解除限售期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个月后的首个交易日起至首次授予登记完成之日起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首次授予的限制性股票 第二个解除限售期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个月后的首个交易日起至首次授予登记完成之日起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7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首次授予的限制性股票 第三个解除限售期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自首次授予登记完成之日起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个月后的首个交易日起至首次授予登记完成之日起</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35"/>
        <w:keepNext w:val="0"/>
        <w:keepLines w:val="0"/>
        <w:widowControl w:val="0"/>
        <w:shd w:val="clear" w:color="auto" w:fill="auto"/>
        <w:bidi w:val="0"/>
        <w:spacing w:before="0" w:after="0" w:line="240" w:lineRule="auto"/>
        <w:ind w:left="77"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）限制性股票价值的计算方法及参数合理性</w:t>
      </w:r>
    </w:p>
    <w:p>
      <w:pPr>
        <w:widowControl w:val="0"/>
        <w:spacing w:after="139" w:line="1" w:lineRule="exact"/>
      </w:pPr>
    </w:p>
    <w:p>
      <w:pPr>
        <w:pStyle w:val="Style37"/>
        <w:keepNext w:val="0"/>
        <w:keepLines w:val="0"/>
        <w:widowControl w:val="0"/>
        <w:shd w:val="clear" w:color="auto" w:fill="auto"/>
        <w:bidi w:val="0"/>
        <w:spacing w:before="0" w:after="140" w:line="240" w:lineRule="auto"/>
        <w:ind w:left="0" w:right="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 xml:space="preserve">模型作为定价模型，扣除限制性因素带来的成本后作为限制性股票的公允价值。本公司运用该模 </w:t>
      </w:r>
      <w:r>
        <w:rPr>
          <w:color w:val="000000"/>
          <w:spacing w:val="0"/>
          <w:w w:val="100"/>
          <w:position w:val="0"/>
        </w:rPr>
        <w:t>型以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日为计算的基准日，对首次授予的限制性股票的公允价值进行了计算。具体参数选取如下：</w:t>
      </w:r>
    </w:p>
    <w:p>
      <w:pPr>
        <w:pStyle w:val="Style37"/>
        <w:keepNext w:val="0"/>
        <w:keepLines w:val="0"/>
        <w:widowControl w:val="0"/>
        <w:numPr>
          <w:ilvl w:val="0"/>
          <w:numId w:val="29"/>
        </w:numPr>
        <w:shd w:val="clear" w:color="auto" w:fill="auto"/>
        <w:tabs>
          <w:tab w:pos="753" w:val="left"/>
        </w:tabs>
        <w:bidi w:val="0"/>
        <w:spacing w:before="0" w:after="140" w:line="240" w:lineRule="auto"/>
        <w:ind w:left="0" w:right="0"/>
        <w:jc w:val="left"/>
      </w:pPr>
      <w:bookmarkStart w:id="1607" w:name="bookmark1607"/>
      <w:bookmarkEnd w:id="1607"/>
      <w:r>
        <w:rPr>
          <w:color w:val="000000"/>
          <w:spacing w:val="0"/>
          <w:w w:val="100"/>
          <w:position w:val="0"/>
        </w:rPr>
        <w:t>标的股价：</w:t>
      </w:r>
      <w:r>
        <w:rPr>
          <w:rFonts w:ascii="Times New Roman" w:eastAsia="Times New Roman" w:hAnsi="Times New Roman" w:cs="Times New Roman"/>
          <w:color w:val="000000"/>
          <w:spacing w:val="0"/>
          <w:w w:val="100"/>
          <w:position w:val="0"/>
          <w:sz w:val="18"/>
          <w:szCs w:val="18"/>
        </w:rPr>
        <w:t>12.92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股（授予日公司收盘价为</w:t>
      </w:r>
      <w:r>
        <w:rPr>
          <w:rFonts w:ascii="Times New Roman" w:eastAsia="Times New Roman" w:hAnsi="Times New Roman" w:cs="Times New Roman"/>
          <w:color w:val="000000"/>
          <w:spacing w:val="0"/>
          <w:w w:val="100"/>
          <w:position w:val="0"/>
          <w:sz w:val="18"/>
          <w:szCs w:val="18"/>
        </w:rPr>
        <w:t>12.92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7"/>
        <w:keepNext w:val="0"/>
        <w:keepLines w:val="0"/>
        <w:widowControl w:val="0"/>
        <w:numPr>
          <w:ilvl w:val="0"/>
          <w:numId w:val="29"/>
        </w:numPr>
        <w:shd w:val="clear" w:color="auto" w:fill="auto"/>
        <w:tabs>
          <w:tab w:pos="753" w:val="left"/>
        </w:tabs>
        <w:bidi w:val="0"/>
        <w:spacing w:before="0" w:after="140" w:line="240" w:lineRule="auto"/>
        <w:ind w:left="0" w:right="0"/>
        <w:jc w:val="left"/>
      </w:pPr>
      <w:bookmarkStart w:id="1608" w:name="bookmark1608"/>
      <w:bookmarkEnd w:id="1608"/>
      <w:r>
        <w:rPr>
          <w:color w:val="000000"/>
          <w:spacing w:val="0"/>
          <w:w w:val="100"/>
          <w:position w:val="0"/>
        </w:rPr>
        <w:t>有效期分别为：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年（授予登记完成日至每期首个行权日的期限）</w:t>
      </w:r>
    </w:p>
    <w:p>
      <w:pPr>
        <w:pStyle w:val="Style37"/>
        <w:keepNext w:val="0"/>
        <w:keepLines w:val="0"/>
        <w:widowControl w:val="0"/>
        <w:numPr>
          <w:ilvl w:val="0"/>
          <w:numId w:val="29"/>
        </w:numPr>
        <w:shd w:val="clear" w:color="auto" w:fill="auto"/>
        <w:tabs>
          <w:tab w:pos="753" w:val="left"/>
        </w:tabs>
        <w:bidi w:val="0"/>
        <w:spacing w:before="0" w:after="140" w:line="240" w:lineRule="auto"/>
        <w:ind w:left="0" w:right="0"/>
        <w:jc w:val="left"/>
      </w:pPr>
      <w:bookmarkStart w:id="1609" w:name="bookmark1609"/>
      <w:bookmarkEnd w:id="1609"/>
      <w:r>
        <w:rPr>
          <w:color w:val="000000"/>
          <w:spacing w:val="0"/>
          <w:w w:val="100"/>
          <w:position w:val="0"/>
        </w:rPr>
        <w:t>波动率分别为：</w:t>
      </w:r>
      <w:r>
        <w:rPr>
          <w:rFonts w:ascii="Times New Roman" w:eastAsia="Times New Roman" w:hAnsi="Times New Roman" w:cs="Times New Roman"/>
          <w:color w:val="000000"/>
          <w:spacing w:val="0"/>
          <w:w w:val="100"/>
          <w:position w:val="0"/>
          <w:sz w:val="18"/>
          <w:szCs w:val="18"/>
        </w:rPr>
        <w:t>27.6463%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23.2481%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20.6737% </w:t>
      </w:r>
      <w:r>
        <w:rPr>
          <w:color w:val="000000"/>
          <w:spacing w:val="0"/>
          <w:w w:val="100"/>
          <w:position w:val="0"/>
        </w:rPr>
        <w:t>（采用深证成指最近一年、两年、三年的波动率）</w:t>
      </w:r>
    </w:p>
    <w:p>
      <w:pPr>
        <w:pStyle w:val="Style37"/>
        <w:keepNext w:val="0"/>
        <w:keepLines w:val="0"/>
        <w:widowControl w:val="0"/>
        <w:numPr>
          <w:ilvl w:val="0"/>
          <w:numId w:val="29"/>
        </w:numPr>
        <w:shd w:val="clear" w:color="auto" w:fill="auto"/>
        <w:tabs>
          <w:tab w:pos="753" w:val="left"/>
        </w:tabs>
        <w:bidi w:val="0"/>
        <w:spacing w:before="0" w:after="140" w:line="240" w:lineRule="auto"/>
        <w:ind w:left="0" w:right="0"/>
        <w:jc w:val="left"/>
      </w:pPr>
      <w:bookmarkStart w:id="1610" w:name="bookmark1610"/>
      <w:bookmarkEnd w:id="1610"/>
      <w:r>
        <w:rPr>
          <w:color w:val="000000"/>
          <w:spacing w:val="0"/>
          <w:w w:val="100"/>
          <w:position w:val="0"/>
        </w:rPr>
        <w:t>无风险利率：</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2.75% </w:t>
      </w:r>
      <w:r>
        <w:rPr>
          <w:color w:val="000000"/>
          <w:spacing w:val="0"/>
          <w:w w:val="100"/>
          <w:position w:val="0"/>
        </w:rPr>
        <w:t>（分别采用中国人民银行制定的金融机构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年期存款基准利率）</w:t>
      </w:r>
    </w:p>
    <w:p>
      <w:pPr>
        <w:pStyle w:val="Style37"/>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⑤股息率：</w:t>
      </w:r>
      <w:r>
        <w:rPr>
          <w:rFonts w:ascii="Times New Roman" w:eastAsia="Times New Roman" w:hAnsi="Times New Roman" w:cs="Times New Roman"/>
          <w:color w:val="000000"/>
          <w:spacing w:val="0"/>
          <w:w w:val="100"/>
          <w:position w:val="0"/>
          <w:sz w:val="18"/>
          <w:szCs w:val="18"/>
        </w:rPr>
        <w:t>1.6023%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0.8946%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0.6587% </w:t>
      </w:r>
      <w:r>
        <w:rPr>
          <w:color w:val="000000"/>
          <w:spacing w:val="0"/>
          <w:w w:val="100"/>
          <w:position w:val="0"/>
        </w:rPr>
        <w:t>（取本激励计划授予前公司最近一年、两年、三年的平均股息率）</w:t>
      </w:r>
    </w:p>
    <w:p>
      <w:pPr>
        <w:pStyle w:val="Style32"/>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r>
        <w:rPr>
          <w:color w:val="000000"/>
          <w:spacing w:val="0"/>
          <w:w w:val="100"/>
          <w:position w:val="0"/>
        </w:rPr>
        <w:t>十四、承诺及或有事项</w:t>
      </w:r>
      <w:bookmarkEnd w:id="1611"/>
      <w:bookmarkEnd w:id="1612"/>
      <w:bookmarkEnd w:id="1613"/>
    </w:p>
    <w:p>
      <w:pPr>
        <w:pStyle w:val="Style40"/>
        <w:keepNext/>
        <w:keepLines/>
        <w:widowControl w:val="0"/>
        <w:shd w:val="clear" w:color="auto" w:fill="auto"/>
        <w:bidi w:val="0"/>
        <w:spacing w:before="0" w:after="36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14"/>
      <w:bookmarkEnd w:id="1615"/>
      <w:bookmarkEnd w:id="1616"/>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经营租赁承诺：根据与出租人签订的租赁合同，不可撤销租赁的最低租赁付款如下:</w:t>
      </w:r>
    </w:p>
    <w:tbl>
      <w:tblPr>
        <w:tblOverlap w:val="never"/>
        <w:jc w:val="center"/>
        <w:tblLayout w:type="fixed"/>
      </w:tblPr>
      <w:tblGrid>
        <w:gridCol w:w="5400"/>
        <w:gridCol w:w="4277"/>
      </w:tblGrid>
      <w:tr>
        <w:trPr>
          <w:trHeight w:val="35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32,914,675.76</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20,293,983.42</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10,301,389.27</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63,510,048.45</w:t>
            </w:r>
          </w:p>
        </w:tc>
      </w:tr>
    </w:tbl>
    <w:p>
      <w:pPr>
        <w:widowControl w:val="0"/>
        <w:spacing w:after="639" w:line="1" w:lineRule="exact"/>
      </w:pPr>
    </w:p>
    <w:p>
      <w:pPr>
        <w:pStyle w:val="Style40"/>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17"/>
      <w:bookmarkEnd w:id="1618"/>
      <w:bookmarkEnd w:id="1619"/>
    </w:p>
    <w:p>
      <w:pPr>
        <w:pStyle w:val="Style47"/>
        <w:keepNext/>
        <w:keepLines/>
        <w:widowControl w:val="0"/>
        <w:shd w:val="clear" w:color="auto" w:fill="auto"/>
        <w:bidi w:val="0"/>
        <w:spacing w:before="0" w:after="260" w:line="240" w:lineRule="auto"/>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20"/>
      <w:bookmarkEnd w:id="1621"/>
      <w:bookmarkEnd w:id="1622"/>
    </w:p>
    <w:p>
      <w:pPr>
        <w:pStyle w:val="Style3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月，江西银行股份有限公司南昌洪城支行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江西银行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以借款合同纠纷为由起诉南昌凯良科技有限公 司、神码上海、陈斐、肖珣、吉安市天际房地产开发有限公司，请求判令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、南昌凯良科技有限公司偿还银行承兑垫款 </w:t>
      </w:r>
      <w:r>
        <w:rPr>
          <w:rFonts w:ascii="Times New Roman" w:eastAsia="Times New Roman" w:hAnsi="Times New Roman" w:cs="Times New Roman"/>
          <w:color w:val="000000"/>
          <w:spacing w:val="0"/>
          <w:w w:val="100"/>
          <w:position w:val="0"/>
          <w:sz w:val="18"/>
          <w:szCs w:val="18"/>
        </w:rPr>
        <w:t>84,402,787.4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元及利息、罚息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利息、罚息暂算至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w:t>
      </w:r>
      <w:r>
        <w:rPr>
          <w:rFonts w:ascii="Times New Roman" w:eastAsia="Times New Roman" w:hAnsi="Times New Roman" w:cs="Times New Roman"/>
          <w:color w:val="000000"/>
          <w:spacing w:val="0"/>
          <w:w w:val="100"/>
          <w:position w:val="0"/>
          <w:sz w:val="18"/>
          <w:szCs w:val="18"/>
        </w:rPr>
        <w:t>9,791,589.98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、神码上海对前述第一被告南昌凯良科 技有限公司应付银行承兑垫款</w:t>
      </w:r>
      <w:r>
        <w:rPr>
          <w:rFonts w:ascii="Times New Roman" w:eastAsia="Times New Roman" w:hAnsi="Times New Roman" w:cs="Times New Roman"/>
          <w:color w:val="000000"/>
          <w:spacing w:val="0"/>
          <w:w w:val="100"/>
          <w:position w:val="0"/>
          <w:sz w:val="18"/>
          <w:szCs w:val="18"/>
        </w:rPr>
        <w:t>84,402,787.4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元承担差额退款责任，并支付违约金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违约金暂算至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日为</w:t>
      </w:r>
      <w:r>
        <w:rPr>
          <w:rFonts w:ascii="Times New Roman" w:eastAsia="Times New Roman" w:hAnsi="Times New Roman" w:cs="Times New Roman"/>
          <w:color w:val="000000"/>
          <w:spacing w:val="0"/>
          <w:w w:val="100"/>
          <w:position w:val="0"/>
          <w:sz w:val="18"/>
          <w:szCs w:val="18"/>
        </w:rPr>
        <w:t xml:space="preserve">3,916,635.99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、陈斐、肖珣、吉安市天际房地产开发有限公司对南昌凯良科技有限公司应付银行承兑垫款本息承担连带清偿责任；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、南昌凯良科技有限公司、神码上海、陈斐、肖珣、吉安市天际房地产开发有限公司承担江西银行为实现本案债权发生的 </w:t>
      </w:r>
      <w:r>
        <w:rPr>
          <w:color w:val="000000"/>
          <w:spacing w:val="0"/>
          <w:w w:val="100"/>
          <w:position w:val="0"/>
        </w:rPr>
        <w:t>费用；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、本案诉讼费、保全费由南昌凯良科技有限公司、神码上海、陈斐、肖珣、吉安市天际房地产开发有限公司承担。</w:t>
      </w:r>
    </w:p>
    <w:p>
      <w:pPr>
        <w:pStyle w:val="Style37"/>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月，江西省高级人民法院作出（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）赣民初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号《民事判决书》判决：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、南昌凯良科技有限公司在本判决生 效之日起十日内向江西银行偿还银行承兑汇票垫款本金</w:t>
      </w:r>
      <w:r>
        <w:rPr>
          <w:rFonts w:ascii="Times New Roman" w:eastAsia="Times New Roman" w:hAnsi="Times New Roman" w:cs="Times New Roman"/>
          <w:color w:val="000000"/>
          <w:spacing w:val="0"/>
          <w:w w:val="100"/>
          <w:position w:val="0"/>
          <w:sz w:val="18"/>
          <w:szCs w:val="18"/>
        </w:rPr>
        <w:t>84,402,787.42</w:t>
      </w:r>
      <w:r>
        <w:rPr>
          <w:color w:val="000000"/>
          <w:spacing w:val="0"/>
          <w:w w:val="100"/>
          <w:position w:val="0"/>
        </w:rPr>
        <w:t>元和逾期付款利息</w:t>
      </w:r>
      <w:r>
        <w:rPr>
          <w:rFonts w:ascii="Times New Roman" w:eastAsia="Times New Roman" w:hAnsi="Times New Roman" w:cs="Times New Roman"/>
          <w:color w:val="000000"/>
          <w:spacing w:val="0"/>
          <w:w w:val="100"/>
          <w:position w:val="0"/>
          <w:sz w:val="18"/>
          <w:szCs w:val="18"/>
        </w:rPr>
        <w:t>9,791,589.98</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并自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日起至付清全部款项之日止按每日万分之五的标准支付后续利息；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、神码上海对上述第一项南昌凯良科技 有限公司应付银行承兑汇票垫款</w:t>
      </w:r>
      <w:r>
        <w:rPr>
          <w:rFonts w:ascii="Times New Roman" w:eastAsia="Times New Roman" w:hAnsi="Times New Roman" w:cs="Times New Roman"/>
          <w:color w:val="000000"/>
          <w:spacing w:val="0"/>
          <w:w w:val="100"/>
          <w:position w:val="0"/>
          <w:sz w:val="18"/>
          <w:szCs w:val="18"/>
        </w:rPr>
        <w:t>84,402,787.42</w:t>
      </w:r>
      <w:r>
        <w:rPr>
          <w:color w:val="000000"/>
          <w:spacing w:val="0"/>
          <w:w w:val="100"/>
          <w:position w:val="0"/>
        </w:rPr>
        <w:t>元向江西银行承担差额退款责任，并向江西银行支付违约金</w:t>
      </w:r>
      <w:r>
        <w:rPr>
          <w:rFonts w:ascii="Times New Roman" w:eastAsia="Times New Roman" w:hAnsi="Times New Roman" w:cs="Times New Roman"/>
          <w:color w:val="000000"/>
          <w:spacing w:val="0"/>
          <w:w w:val="100"/>
          <w:position w:val="0"/>
          <w:sz w:val="18"/>
          <w:szCs w:val="18"/>
        </w:rPr>
        <w:t>3,916,635.99</w:t>
      </w:r>
      <w:r>
        <w:rPr>
          <w:color w:val="000000"/>
          <w:spacing w:val="0"/>
          <w:w w:val="100"/>
          <w:position w:val="0"/>
        </w:rPr>
        <w:t>元（截 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日起至债务清偿之日止按每日万分之二点一计算违约金；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、陈斐、肖珣、吉安市天际 房地产开发有限公司对前述第一项南昌凯良科技有限公司应付银行承兑垫款本息承担连带清偿责任，在承担保证责任后有权 向南昌凯良科技有限公司追偿；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、南昌凯良科技有限公司在判决生效之日起十日内向江西银行支付律师代理费</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、案件受理费</w:t>
      </w:r>
      <w:r>
        <w:rPr>
          <w:rFonts w:ascii="Times New Roman" w:eastAsia="Times New Roman" w:hAnsi="Times New Roman" w:cs="Times New Roman"/>
          <w:color w:val="000000"/>
          <w:spacing w:val="0"/>
          <w:w w:val="100"/>
          <w:position w:val="0"/>
          <w:sz w:val="18"/>
          <w:szCs w:val="18"/>
        </w:rPr>
        <w:t>532,355.07</w:t>
      </w:r>
      <w:r>
        <w:rPr>
          <w:color w:val="000000"/>
          <w:spacing w:val="0"/>
          <w:w w:val="100"/>
          <w:position w:val="0"/>
        </w:rPr>
        <w:t>元，保全费</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元，鉴定费</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577,355.07</w:t>
      </w:r>
      <w:r>
        <w:rPr>
          <w:color w:val="000000"/>
          <w:spacing w:val="0"/>
          <w:w w:val="100"/>
          <w:position w:val="0"/>
        </w:rPr>
        <w:t>元，由江西银行负担</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元，神码上海、南 昌凯良科技有限公司、陈斐、肖珣、吉安市天际房地产开发有限公司共同负担</w:t>
      </w:r>
      <w:r>
        <w:rPr>
          <w:rFonts w:ascii="Times New Roman" w:eastAsia="Times New Roman" w:hAnsi="Times New Roman" w:cs="Times New Roman"/>
          <w:color w:val="000000"/>
          <w:spacing w:val="0"/>
          <w:w w:val="100"/>
          <w:position w:val="0"/>
          <w:sz w:val="18"/>
          <w:szCs w:val="18"/>
        </w:rPr>
        <w:t>571,355.07</w:t>
      </w:r>
      <w:r>
        <w:rPr>
          <w:color w:val="000000"/>
          <w:spacing w:val="0"/>
          <w:w w:val="100"/>
          <w:position w:val="0"/>
        </w:rPr>
        <w:t>元。</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日，神码上海按照应付银行承兑垫款本金、违约金、违约金利息的三项合计金额计提预计负债 </w:t>
      </w:r>
      <w:r>
        <w:rPr>
          <w:rFonts w:ascii="Times New Roman" w:eastAsia="Times New Roman" w:hAnsi="Times New Roman" w:cs="Times New Roman"/>
          <w:color w:val="000000"/>
          <w:spacing w:val="0"/>
          <w:w w:val="100"/>
          <w:position w:val="0"/>
          <w:sz w:val="18"/>
          <w:szCs w:val="18"/>
        </w:rPr>
        <w:t>91,152,023.21</w:t>
      </w:r>
      <w:r>
        <w:rPr>
          <w:color w:val="000000"/>
          <w:spacing w:val="0"/>
          <w:w w:val="100"/>
          <w:position w:val="0"/>
        </w:rPr>
        <w:t>元。神码上海对此案重新向江西省高级人民法院提起上诉，已在法院立案，但尚未开庭。</w:t>
      </w:r>
    </w:p>
    <w:p>
      <w:pPr>
        <w:pStyle w:val="Style37"/>
        <w:keepNext w:val="0"/>
        <w:keepLines w:val="0"/>
        <w:widowControl w:val="0"/>
        <w:shd w:val="clear" w:color="auto" w:fill="auto"/>
        <w:bidi w:val="0"/>
        <w:spacing w:before="0" w:after="360" w:line="314" w:lineRule="exact"/>
        <w:ind w:left="0" w:right="0" w:firstLine="320"/>
        <w:jc w:val="both"/>
      </w:pPr>
      <w:r>
        <w:rPr>
          <w:color w:val="000000"/>
          <w:spacing w:val="0"/>
          <w:w w:val="100"/>
          <w:position w:val="0"/>
        </w:rPr>
        <w:t>除上述事项外，本公司无须作披露的其他或有事项。</w:t>
      </w:r>
    </w:p>
    <w:p>
      <w:pPr>
        <w:pStyle w:val="Style32"/>
        <w:keepNext/>
        <w:keepLines/>
        <w:widowControl w:val="0"/>
        <w:shd w:val="clear" w:color="auto" w:fill="auto"/>
        <w:bidi w:val="0"/>
        <w:spacing w:before="0" w:line="240" w:lineRule="auto"/>
        <w:ind w:left="0" w:right="0" w:firstLine="0"/>
        <w:jc w:val="both"/>
      </w:pPr>
      <w:bookmarkStart w:id="1623" w:name="bookmark1623"/>
      <w:bookmarkStart w:id="1624" w:name="bookmark1624"/>
      <w:bookmarkStart w:id="1625" w:name="bookmark1625"/>
      <w:r>
        <w:rPr>
          <w:color w:val="000000"/>
          <w:spacing w:val="0"/>
          <w:w w:val="100"/>
          <w:position w:val="0"/>
        </w:rPr>
        <w:t>十五、资产负债表日后事项</w:t>
      </w:r>
      <w:bookmarkEnd w:id="1623"/>
      <w:bookmarkEnd w:id="1624"/>
      <w:bookmarkEnd w:id="1625"/>
    </w:p>
    <w:p>
      <w:pPr>
        <w:pStyle w:val="Style40"/>
        <w:keepNext/>
        <w:keepLines/>
        <w:widowControl w:val="0"/>
        <w:shd w:val="clear" w:color="auto" w:fill="auto"/>
        <w:bidi w:val="0"/>
        <w:spacing w:before="0" w:after="360" w:line="240" w:lineRule="auto"/>
        <w:ind w:left="0" w:right="0" w:firstLine="0"/>
        <w:jc w:val="both"/>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26"/>
      <w:bookmarkEnd w:id="1627"/>
      <w:bookmarkEnd w:id="162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122,378,601.69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122,378,601.69</w:t>
            </w:r>
          </w:p>
        </w:tc>
      </w:tr>
    </w:tbl>
    <w:p>
      <w:pPr>
        <w:widowControl w:val="0"/>
        <w:spacing w:after="359" w:line="1" w:lineRule="exact"/>
      </w:pPr>
    </w:p>
    <w:p>
      <w:pPr>
        <w:pStyle w:val="Style40"/>
        <w:keepNext/>
        <w:keepLines/>
        <w:widowControl w:val="0"/>
        <w:shd w:val="clear" w:color="auto" w:fill="auto"/>
        <w:bidi w:val="0"/>
        <w:spacing w:before="0" w:after="26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29"/>
      <w:bookmarkEnd w:id="1630"/>
      <w:bookmarkEnd w:id="1631"/>
    </w:p>
    <w:p>
      <w:pPr>
        <w:pStyle w:val="Style37"/>
        <w:keepNext w:val="0"/>
        <w:keepLines w:val="0"/>
        <w:widowControl w:val="0"/>
        <w:shd w:val="clear" w:color="auto" w:fill="auto"/>
        <w:bidi w:val="0"/>
        <w:spacing w:before="0" w:after="80" w:line="314" w:lineRule="exact"/>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日，本公司召开第九届董事会第二十三次会议、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 了《关于预计担保额度的议案》，会议审议通过了本公司或控股子公司向业务相关方（包括但不限于银行、金融机构及供应 商等）申请授信或签署其他履约义务，并同意就上述授信和其他事项授权董事长和相关业务负责人决定，担保总额不超过等 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亿人民币，担保方式为保证担保、抵押担保、质押担保等。</w:t>
      </w:r>
    </w:p>
    <w:p>
      <w:pPr>
        <w:pStyle w:val="Style37"/>
        <w:keepNext w:val="0"/>
        <w:keepLines w:val="0"/>
        <w:widowControl w:val="0"/>
        <w:shd w:val="clear" w:color="auto" w:fill="auto"/>
        <w:tabs>
          <w:tab w:pos="801" w:val="left"/>
        </w:tabs>
        <w:bidi w:val="0"/>
        <w:spacing w:before="0" w:after="0" w:line="312" w:lineRule="exact"/>
        <w:ind w:left="0" w:right="0" w:firstLine="320"/>
        <w:jc w:val="both"/>
      </w:pPr>
      <w:bookmarkStart w:id="1632" w:name="bookmark1632"/>
      <w:r>
        <w:rPr>
          <w:color w:val="000000"/>
          <w:spacing w:val="0"/>
          <w:w w:val="100"/>
          <w:position w:val="0"/>
        </w:rPr>
        <w:t>（</w:t>
      </w:r>
      <w:bookmarkEnd w:id="16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月，本公司为神码中国、神码深圳与中国民生银行股份有限公司北京分行的融资贷款事项签署了《最高额 保证合同》，担保金额为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亿元人民币，保证期间为债务履行期限届满之日起三年，提供连带责任保证担保；</w:t>
      </w:r>
    </w:p>
    <w:p>
      <w:pPr>
        <w:pStyle w:val="Style37"/>
        <w:keepNext w:val="0"/>
        <w:keepLines w:val="0"/>
        <w:widowControl w:val="0"/>
        <w:shd w:val="clear" w:color="auto" w:fill="auto"/>
        <w:bidi w:val="0"/>
        <w:spacing w:before="0" w:after="0" w:line="324" w:lineRule="exact"/>
        <w:ind w:left="0" w:right="0" w:firstLine="320"/>
        <w:jc w:val="both"/>
      </w:pPr>
      <w:r>
        <w:rPr>
          <w:color w:val="000000"/>
          <w:spacing w:val="0"/>
          <w:w w:val="100"/>
          <w:position w:val="0"/>
        </w:rPr>
        <w:t>本公司为广州神码与就渤海银行股份有限公司的融资贷款事项签署了《最高额保证合同》，担保金额为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亿元人民币， 保证期间为债务履行期限届满之日起两年，提供连带责任保证担保；</w:t>
      </w:r>
    </w:p>
    <w:p>
      <w:pPr>
        <w:pStyle w:val="Style37"/>
        <w:keepNext w:val="0"/>
        <w:keepLines w:val="0"/>
        <w:widowControl w:val="0"/>
        <w:shd w:val="clear" w:color="auto" w:fill="auto"/>
        <w:tabs>
          <w:tab w:pos="801" w:val="left"/>
        </w:tabs>
        <w:bidi w:val="0"/>
        <w:spacing w:before="0" w:after="0" w:line="324" w:lineRule="exact"/>
        <w:ind w:left="0" w:right="0" w:firstLine="320"/>
        <w:jc w:val="both"/>
      </w:pPr>
      <w:bookmarkStart w:id="1633" w:name="bookmark1633"/>
      <w:r>
        <w:rPr>
          <w:color w:val="000000"/>
          <w:spacing w:val="0"/>
          <w:w w:val="100"/>
          <w:position w:val="0"/>
        </w:rPr>
        <w:t>（</w:t>
      </w:r>
      <w:bookmarkEnd w:id="16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月，神码中国、广州神码为神码深圳与上海邦汇商业保理有限公司的贸易事项续签了《最高额保证合同》， 担保金额为人民币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亿元，保证期间为债务履行期限届满之日起两年，提供连带责任保证担保。</w:t>
      </w:r>
    </w:p>
    <w:p>
      <w:pPr>
        <w:pStyle w:val="Style37"/>
        <w:keepNext w:val="0"/>
        <w:keepLines w:val="0"/>
        <w:widowControl w:val="0"/>
        <w:shd w:val="clear" w:color="auto" w:fill="auto"/>
        <w:tabs>
          <w:tab w:pos="801" w:val="left"/>
        </w:tabs>
        <w:bidi w:val="0"/>
        <w:spacing w:before="0" w:after="0" w:line="322" w:lineRule="exact"/>
        <w:ind w:left="0" w:right="0" w:firstLine="320"/>
        <w:jc w:val="both"/>
      </w:pPr>
      <w:bookmarkStart w:id="1634" w:name="bookmark1634"/>
      <w:r>
        <w:rPr>
          <w:color w:val="000000"/>
          <w:spacing w:val="0"/>
          <w:w w:val="100"/>
          <w:position w:val="0"/>
        </w:rPr>
        <w:t>（</w:t>
      </w:r>
      <w:bookmarkEnd w:id="16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月，本公司、神码北京为神码中国的融资贷款事项与中国进出口银行北京分行与签署了《保证合同》，担 保金额人民币</w:t>
      </w:r>
      <w:r>
        <w:rPr>
          <w:rFonts w:ascii="Times New Roman" w:eastAsia="Times New Roman" w:hAnsi="Times New Roman" w:cs="Times New Roman"/>
          <w:color w:val="000000"/>
          <w:spacing w:val="0"/>
          <w:w w:val="100"/>
          <w:position w:val="0"/>
          <w:sz w:val="18"/>
          <w:szCs w:val="18"/>
        </w:rPr>
        <w:t>3.86</w:t>
      </w:r>
      <w:r>
        <w:rPr>
          <w:color w:val="000000"/>
          <w:spacing w:val="0"/>
          <w:w w:val="100"/>
          <w:position w:val="0"/>
        </w:rPr>
        <w:t>亿元，保证期间为债务履行期限届满之日起三年提供连带责任保证担保。</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神码中国为神码北京的融资贷款事项与中国工商银行股份有限公司北京中关村支行与签署了《最高额保证合同》，担保 金额人民币</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亿元，保证期间为债务履行期限届满之日起三年，提供连带责任保证担保。</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神码北京为神码中国的融资贷款事项与中国工商银行股份有限公司北京中关村支行与签署了《最高额保证合同》，担 保金额人民币</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亿元，保证期间为债务履行期限届满之日起三年，提供连带责任保证担保。</w:t>
      </w:r>
    </w:p>
    <w:p>
      <w:pPr>
        <w:pStyle w:val="Style37"/>
        <w:keepNext w:val="0"/>
        <w:keepLines w:val="0"/>
        <w:widowControl w:val="0"/>
        <w:shd w:val="clear" w:color="auto" w:fill="auto"/>
        <w:bidi w:val="0"/>
        <w:spacing w:before="0" w:after="0" w:line="317" w:lineRule="exact"/>
        <w:ind w:left="0" w:right="0" w:firstLine="320"/>
        <w:jc w:val="both"/>
      </w:pPr>
      <w:r>
        <w:rPr>
          <w:color w:val="000000"/>
          <w:spacing w:val="0"/>
          <w:w w:val="100"/>
          <w:position w:val="0"/>
        </w:rPr>
        <w:t>本公司为神码北京的融资贷款事项与中国民生银行股份有限公司北京分行与签署了《最高额保证合同》，担保金额人民 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亿元，保证期间为债务履行期限届满之日起三年，提供连带责任保证担保。</w:t>
      </w:r>
    </w:p>
    <w:p>
      <w:pPr>
        <w:pStyle w:val="Style37"/>
        <w:keepNext w:val="0"/>
        <w:keepLines w:val="0"/>
        <w:widowControl w:val="0"/>
        <w:shd w:val="clear" w:color="auto" w:fill="auto"/>
        <w:bidi w:val="0"/>
        <w:spacing w:before="0" w:after="0" w:line="326" w:lineRule="exact"/>
        <w:ind w:left="0" w:right="0" w:firstLine="320"/>
        <w:jc w:val="both"/>
      </w:pPr>
      <w:r>
        <w:rPr>
          <w:color w:val="000000"/>
          <w:spacing w:val="0"/>
          <w:w w:val="100"/>
          <w:position w:val="0"/>
        </w:rPr>
        <w:t>本公司就烟台牡丹智慧园信息科技有限公司与神码深圳的贸易事项签署了《担保合同》，担保金额人民币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 提供连带责任保证担保，保证期间为债务履行期限届满之日起三年。</w:t>
      </w:r>
    </w:p>
    <w:p>
      <w:pPr>
        <w:pStyle w:val="Style37"/>
        <w:keepNext w:val="0"/>
        <w:keepLines w:val="0"/>
        <w:widowControl w:val="0"/>
        <w:shd w:val="clear" w:color="auto" w:fill="auto"/>
        <w:tabs>
          <w:tab w:pos="783" w:val="left"/>
        </w:tabs>
        <w:bidi w:val="0"/>
        <w:spacing w:before="0" w:after="0" w:line="326" w:lineRule="exact"/>
        <w:ind w:left="0" w:right="0" w:firstLine="320"/>
        <w:jc w:val="both"/>
      </w:pPr>
      <w:bookmarkStart w:id="1635" w:name="bookmark1635"/>
      <w:r>
        <w:rPr>
          <w:color w:val="000000"/>
          <w:spacing w:val="0"/>
          <w:w w:val="100"/>
          <w:position w:val="0"/>
        </w:rPr>
        <w:t>（</w:t>
      </w:r>
      <w:bookmarkEnd w:id="16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月，本公司就飞利浦（中国）投资有限公司与神码深圳的贸易事项签署了《不可撤销担保函》，担保金额 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亿元，保证期间为债务履行期限届满之日起两年，提供连带责任保证担保。</w:t>
      </w:r>
    </w:p>
    <w:p>
      <w:pPr>
        <w:pStyle w:val="Style37"/>
        <w:keepNext w:val="0"/>
        <w:keepLines w:val="0"/>
        <w:widowControl w:val="0"/>
        <w:shd w:val="clear" w:color="auto" w:fill="auto"/>
        <w:tabs>
          <w:tab w:pos="774" w:val="left"/>
        </w:tabs>
        <w:bidi w:val="0"/>
        <w:spacing w:before="0" w:after="0" w:line="322" w:lineRule="exact"/>
        <w:ind w:left="0" w:right="0" w:firstLine="320"/>
        <w:jc w:val="both"/>
      </w:pPr>
      <w:bookmarkStart w:id="1636" w:name="bookmark1636"/>
      <w:r>
        <w:rPr>
          <w:color w:val="000000"/>
          <w:spacing w:val="0"/>
          <w:w w:val="100"/>
          <w:position w:val="0"/>
        </w:rPr>
        <w:t>（</w:t>
      </w:r>
      <w:bookmarkEnd w:id="163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月，本公司就华侨银行有限公司与神码深圳的融资贷款事项签署了《保证合同》，保证期间为债务履行期 限届满之日起两年，提供连带责任保证担保。</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本公司就华侨永亨银行（中国）有限公司深圳分行与神码深圳、神码北京的融资贷款事项签署了《最高额保证合同》， 保证期间为债务履行期限届满之日起三年，提供连带责任保证担保。《保证合同》项下及公司出具给华侨永亨银行（中国） 有限公司深圳分行的《最高额保证合同》的担保金额合计不超过人民币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亿元和美元</w:t>
      </w:r>
      <w:r>
        <w:rPr>
          <w:rFonts w:ascii="Times New Roman" w:eastAsia="Times New Roman" w:hAnsi="Times New Roman" w:cs="Times New Roman"/>
          <w:color w:val="000000"/>
          <w:spacing w:val="0"/>
          <w:w w:val="100"/>
          <w:position w:val="0"/>
          <w:sz w:val="18"/>
          <w:szCs w:val="18"/>
        </w:rPr>
        <w:t>1,525,500</w:t>
      </w:r>
      <w:r>
        <w:rPr>
          <w:color w:val="000000"/>
          <w:spacing w:val="0"/>
          <w:w w:val="100"/>
          <w:position w:val="0"/>
        </w:rPr>
        <w:t>元。</w:t>
      </w:r>
    </w:p>
    <w:p>
      <w:pPr>
        <w:pStyle w:val="Style37"/>
        <w:keepNext w:val="0"/>
        <w:keepLines w:val="0"/>
        <w:widowControl w:val="0"/>
        <w:shd w:val="clear" w:color="auto" w:fill="auto"/>
        <w:bidi w:val="0"/>
        <w:spacing w:before="0" w:after="0" w:line="317" w:lineRule="exact"/>
        <w:ind w:left="0" w:right="0" w:firstLine="320"/>
        <w:jc w:val="both"/>
      </w:pPr>
      <w:bookmarkStart w:id="1637" w:name="bookmark1637"/>
      <w:r>
        <w:rPr>
          <w:color w:val="000000"/>
          <w:spacing w:val="0"/>
          <w:w w:val="100"/>
          <w:position w:val="0"/>
        </w:rPr>
        <w:t>（</w:t>
      </w:r>
      <w:bookmarkEnd w:id="163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月，本公司近期就杭州海康存储科技有限公司与子公司神码北京的贸易事项签署了《担保合同》，担保金 额人民币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万元，保证期间为债务履行期限届满之日起六个月，提供连带责任保证担保。</w:t>
      </w:r>
    </w:p>
    <w:p>
      <w:pPr>
        <w:pStyle w:val="Style37"/>
        <w:keepNext w:val="0"/>
        <w:keepLines w:val="0"/>
        <w:widowControl w:val="0"/>
        <w:shd w:val="clear" w:color="auto" w:fill="auto"/>
        <w:tabs>
          <w:tab w:pos="783" w:val="left"/>
        </w:tabs>
        <w:bidi w:val="0"/>
        <w:spacing w:before="0" w:after="0" w:line="316" w:lineRule="exact"/>
        <w:ind w:left="0" w:right="0" w:firstLine="320"/>
        <w:jc w:val="both"/>
      </w:pPr>
      <w:bookmarkStart w:id="1638" w:name="bookmark1638"/>
      <w:r>
        <w:rPr>
          <w:color w:val="000000"/>
          <w:spacing w:val="0"/>
          <w:w w:val="100"/>
          <w:position w:val="0"/>
        </w:rPr>
        <w:t>（</w:t>
      </w:r>
      <w:bookmarkEnd w:id="163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月，本公司近期就江苏银行股份有限公司北京分行和神码中国、神码北京的融资贷款事项签署了《最高额 连带责任保证书》，担保金额分别为人民币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亿元和人民币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亿元，保证期间为债务履行期限届满日后三年，提供连带 责任保证担保。</w:t>
      </w:r>
    </w:p>
    <w:p>
      <w:pPr>
        <w:pStyle w:val="Style37"/>
        <w:keepNext w:val="0"/>
        <w:keepLines w:val="0"/>
        <w:widowControl w:val="0"/>
        <w:shd w:val="clear" w:color="auto" w:fill="auto"/>
        <w:bidi w:val="0"/>
        <w:spacing w:before="0" w:after="0" w:line="316" w:lineRule="exact"/>
        <w:ind w:left="0" w:right="0" w:firstLine="320"/>
        <w:jc w:val="both"/>
      </w:pPr>
      <w:bookmarkStart w:id="1639" w:name="bookmark1639"/>
      <w:r>
        <w:rPr>
          <w:color w:val="000000"/>
          <w:spacing w:val="0"/>
          <w:w w:val="100"/>
          <w:position w:val="0"/>
        </w:rPr>
        <w:t>（</w:t>
      </w:r>
      <w:bookmarkEnd w:id="163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月，神码中国、神码广州就上海邦汇商业保理有限公司与神码深圳、神码福州的贸易事项签署了《最高额 保证合同》，担保金额人民币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亿元，提供连带责任保证担保，保证期间为债务履行期限届满之日起两年。其中神码中国、 神码广州共同对神码深圳、神码福州担保金额为人民币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亿元，神码深圳对神码福州担保金额为人民币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亿元，神码福 州对神码深圳担保金额为人民币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w:t>
      </w:r>
    </w:p>
    <w:p>
      <w:pPr>
        <w:pStyle w:val="Style37"/>
        <w:keepNext w:val="0"/>
        <w:keepLines w:val="0"/>
        <w:widowControl w:val="0"/>
        <w:shd w:val="clear" w:color="auto" w:fill="auto"/>
        <w:bidi w:val="0"/>
        <w:spacing w:before="0" w:after="0" w:line="331" w:lineRule="exact"/>
        <w:ind w:left="0" w:right="0" w:firstLine="320"/>
        <w:jc w:val="both"/>
      </w:pPr>
      <w:r>
        <w:rPr>
          <w:color w:val="000000"/>
          <w:spacing w:val="0"/>
          <w:w w:val="100"/>
          <w:position w:val="0"/>
        </w:rPr>
        <w:t>本公司就广发银行股份有限公司北京分行与神码中国的融资贷款事项签署了《最高额保证合同》，担保金额为人民币</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亿元，提供连带责任保证担保，保证期间为债务履行期限届满之日起三年。</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本公司、神码中国就广发银行股份有限公司北京分行与神码北京的融资贷款事项签署了《最高额保证合同》，担保金额 为人民币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亿元，提供连带责任保证担保，保证期间为债务履行期限届满之日起三年。</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本公司、神码深圳就中国工商银行股份有限公司广州白云路支行与神码广州的融资贷款事项签署了《最高额保证合同》， 担保金额为人民币</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亿元，提供连带责任保证担保，保证期间为债务履行期限届满之次日起三年。</w:t>
      </w:r>
    </w:p>
    <w:p>
      <w:pPr>
        <w:pStyle w:val="Style37"/>
        <w:keepNext w:val="0"/>
        <w:keepLines w:val="0"/>
        <w:widowControl w:val="0"/>
        <w:shd w:val="clear" w:color="auto" w:fill="auto"/>
        <w:bidi w:val="0"/>
        <w:spacing w:before="0" w:after="0" w:line="326" w:lineRule="exact"/>
        <w:ind w:left="0" w:right="0" w:firstLine="320"/>
        <w:jc w:val="both"/>
      </w:pPr>
      <w:r>
        <w:rPr>
          <w:color w:val="000000"/>
          <w:spacing w:val="0"/>
          <w:w w:val="100"/>
          <w:position w:val="0"/>
        </w:rPr>
        <w:t>本公司就联想凌拓科技有限公司与神码中国的贸易事项签署了《第三方公司保证书》，担保金额为人民币</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亿元，提 供连带责任保证担保，保证期间为债务履行期限届满之日起两年。</w:t>
      </w:r>
    </w:p>
    <w:p>
      <w:pPr>
        <w:pStyle w:val="Style37"/>
        <w:keepNext w:val="0"/>
        <w:keepLines w:val="0"/>
        <w:widowControl w:val="0"/>
        <w:shd w:val="clear" w:color="auto" w:fill="auto"/>
        <w:bidi w:val="0"/>
        <w:spacing w:before="0" w:after="0" w:line="312" w:lineRule="exact"/>
        <w:ind w:left="0" w:right="0" w:firstLine="320"/>
        <w:jc w:val="both"/>
      </w:pPr>
      <w:r>
        <w:rPr>
          <w:color w:val="000000"/>
          <w:spacing w:val="0"/>
          <w:w w:val="100"/>
          <w:position w:val="0"/>
        </w:rPr>
        <w:t xml:space="preserve">本公司就招商银行股份有限公司深圳分行与神码北京的贸易事项签署了《最高额不可撤销担保书》，担保金额为人民币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亿元，提供连带责任保证担保，保证期间为债务履行期限届满之日起三年。</w:t>
      </w:r>
    </w:p>
    <w:p>
      <w:pPr>
        <w:pStyle w:val="Style37"/>
        <w:keepNext w:val="0"/>
        <w:keepLines w:val="0"/>
        <w:widowControl w:val="0"/>
        <w:shd w:val="clear" w:color="auto" w:fill="auto"/>
        <w:tabs>
          <w:tab w:pos="783" w:val="left"/>
        </w:tabs>
        <w:bidi w:val="0"/>
        <w:spacing w:before="0" w:after="0" w:line="312" w:lineRule="exact"/>
        <w:ind w:left="0" w:right="0" w:firstLine="320"/>
        <w:jc w:val="both"/>
      </w:pPr>
      <w:bookmarkStart w:id="1640" w:name="bookmark1640"/>
      <w:r>
        <w:rPr>
          <w:color w:val="000000"/>
          <w:spacing w:val="0"/>
          <w:w w:val="100"/>
          <w:position w:val="0"/>
        </w:rPr>
        <w:t>（</w:t>
      </w:r>
      <w:bookmarkEnd w:id="164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月，本公司就爱普生（中国）有限公司上海分公司与神码北京的贸易事项签署了《保证合同》，担保金额 为人民币</w:t>
      </w:r>
      <w:r>
        <w:rPr>
          <w:rFonts w:ascii="Times New Roman" w:eastAsia="Times New Roman" w:hAnsi="Times New Roman" w:cs="Times New Roman"/>
          <w:color w:val="000000"/>
          <w:spacing w:val="0"/>
          <w:w w:val="100"/>
          <w:position w:val="0"/>
          <w:sz w:val="18"/>
          <w:szCs w:val="18"/>
        </w:rPr>
        <w:t>1.5286</w:t>
      </w:r>
      <w:r>
        <w:rPr>
          <w:color w:val="000000"/>
          <w:spacing w:val="0"/>
          <w:w w:val="100"/>
          <w:position w:val="0"/>
        </w:rPr>
        <w:t>亿元，提供连带责任保证担保，保证期间为债务履行期限届满之日后两年。</w:t>
      </w:r>
    </w:p>
    <w:p>
      <w:pPr>
        <w:pStyle w:val="Style37"/>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本公司、神码北京就中国农业银行股份有限公司北京丰台支行与神码中国的融资贷款事项签署了《保证合同》，担保金 额为人民币</w:t>
      </w:r>
      <w:r>
        <w:rPr>
          <w:rFonts w:ascii="Times New Roman" w:eastAsia="Times New Roman" w:hAnsi="Times New Roman" w:cs="Times New Roman"/>
          <w:color w:val="000000"/>
          <w:spacing w:val="0"/>
          <w:w w:val="100"/>
          <w:position w:val="0"/>
          <w:sz w:val="18"/>
          <w:szCs w:val="18"/>
        </w:rPr>
        <w:t>54,709,802.12</w:t>
      </w:r>
      <w:r>
        <w:rPr>
          <w:color w:val="000000"/>
          <w:spacing w:val="0"/>
          <w:w w:val="100"/>
          <w:position w:val="0"/>
        </w:rPr>
        <w:t>元，提供连带责任保证担保，保证期间为债务履行期限届满之日起三年。</w:t>
      </w:r>
    </w:p>
    <w:p>
      <w:pPr>
        <w:pStyle w:val="Style37"/>
        <w:keepNext w:val="0"/>
        <w:keepLines w:val="0"/>
        <w:widowControl w:val="0"/>
        <w:shd w:val="clear" w:color="auto" w:fill="auto"/>
        <w:bidi w:val="0"/>
        <w:spacing w:before="0" w:after="380" w:line="314" w:lineRule="exact"/>
        <w:ind w:left="0" w:right="0" w:firstLine="3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日，本公司之子公司神码北京设立合肥神州数码信创控股有限公司。合肥神州数码信创控股有限公司引入 合肥市建设投资控股（集团）有限公司、合肥市滨湖新区建设投资有限公司、合肥滨湖金融投资集团有限公司，以现金出资 的方式分别向合肥神州数码信创控股有限公司投资</w:t>
      </w:r>
      <w:r>
        <w:rPr>
          <w:color w:val="000000"/>
          <w:spacing w:val="0"/>
          <w:w w:val="100"/>
          <w:position w:val="0"/>
          <w:sz w:val="18"/>
          <w:szCs w:val="18"/>
        </w:rPr>
        <w:t>10</w:t>
      </w:r>
      <w:r>
        <w:rPr>
          <w:color w:val="000000"/>
          <w:spacing w:val="0"/>
          <w:w w:val="100"/>
          <w:position w:val="0"/>
        </w:rPr>
        <w:t>亿元人民币、</w:t>
      </w:r>
      <w:r>
        <w:rPr>
          <w:color w:val="000000"/>
          <w:spacing w:val="0"/>
          <w:w w:val="100"/>
          <w:position w:val="0"/>
          <w:sz w:val="18"/>
          <w:szCs w:val="18"/>
        </w:rPr>
        <w:t>5</w:t>
      </w:r>
      <w:r>
        <w:rPr>
          <w:color w:val="000000"/>
          <w:spacing w:val="0"/>
          <w:w w:val="100"/>
          <w:position w:val="0"/>
        </w:rPr>
        <w:t>亿元人民币、</w:t>
      </w:r>
      <w:r>
        <w:rPr>
          <w:color w:val="000000"/>
          <w:spacing w:val="0"/>
          <w:w w:val="100"/>
          <w:position w:val="0"/>
          <w:sz w:val="18"/>
          <w:szCs w:val="18"/>
        </w:rPr>
        <w:t>5</w:t>
      </w:r>
      <w:r>
        <w:rPr>
          <w:color w:val="000000"/>
          <w:spacing w:val="0"/>
          <w:w w:val="100"/>
          <w:position w:val="0"/>
        </w:rPr>
        <w:t>亿元人民币，投资后持股比例分别为</w:t>
      </w:r>
      <w:r>
        <w:rPr>
          <w:color w:val="000000"/>
          <w:spacing w:val="0"/>
          <w:w w:val="100"/>
          <w:position w:val="0"/>
          <w:sz w:val="18"/>
          <w:szCs w:val="18"/>
        </w:rPr>
        <w:t>10%</w:t>
      </w:r>
      <w:r>
        <w:rPr>
          <w:color w:val="000000"/>
          <w:spacing w:val="0"/>
          <w:w w:val="100"/>
          <w:position w:val="0"/>
        </w:rPr>
        <w:t xml:space="preserve">、 </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5%</w:t>
      </w:r>
      <w:r>
        <w:rPr>
          <w:color w:val="000000"/>
          <w:spacing w:val="0"/>
          <w:w w:val="100"/>
          <w:position w:val="0"/>
        </w:rPr>
        <w:t>。神码北京持股比例变更为</w:t>
      </w:r>
      <w:r>
        <w:rPr>
          <w:color w:val="000000"/>
          <w:spacing w:val="0"/>
          <w:w w:val="100"/>
          <w:position w:val="0"/>
          <w:sz w:val="18"/>
          <w:szCs w:val="18"/>
        </w:rPr>
        <w:t>80%</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月，合肥神州数码信创控股有限公司注册资本金变更为人民币</w:t>
      </w:r>
      <w:r>
        <w:rPr>
          <w:color w:val="000000"/>
          <w:spacing w:val="0"/>
          <w:w w:val="100"/>
          <w:position w:val="0"/>
          <w:sz w:val="18"/>
          <w:szCs w:val="18"/>
        </w:rPr>
        <w:t>6.25</w:t>
      </w:r>
      <w:r>
        <w:rPr>
          <w:color w:val="000000"/>
          <w:spacing w:val="0"/>
          <w:w w:val="100"/>
          <w:position w:val="0"/>
        </w:rPr>
        <w:t>亿元。截 至报告日，合肥市建设投资控股（集团）有限公司、合肥市滨湖新区建设投资有限公司、合肥滨湖金融投资集团有限公司已 实缴出资共计</w:t>
      </w:r>
      <w:r>
        <w:rPr>
          <w:color w:val="000000"/>
          <w:spacing w:val="0"/>
          <w:w w:val="100"/>
          <w:position w:val="0"/>
          <w:sz w:val="18"/>
          <w:szCs w:val="18"/>
        </w:rPr>
        <w:t>10</w:t>
      </w:r>
      <w:r>
        <w:rPr>
          <w:color w:val="000000"/>
          <w:spacing w:val="0"/>
          <w:w w:val="100"/>
          <w:position w:val="0"/>
        </w:rPr>
        <w:t>亿元人民币。</w:t>
      </w:r>
    </w:p>
    <w:p>
      <w:pPr>
        <w:pStyle w:val="Style37"/>
        <w:keepNext w:val="0"/>
        <w:keepLines w:val="0"/>
        <w:widowControl w:val="0"/>
        <w:shd w:val="clear" w:color="auto" w:fill="auto"/>
        <w:bidi w:val="0"/>
        <w:spacing w:before="0" w:after="0" w:line="315" w:lineRule="exact"/>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日，本公司召开第九届董事会第二十三次会议、第九届监事会第十六次会议，会议审议通过了</w:t>
      </w:r>
    </w:p>
    <w:p>
      <w:pPr>
        <w:pStyle w:val="Style37"/>
        <w:keepNext w:val="0"/>
        <w:keepLines w:val="0"/>
        <w:widowControl w:val="0"/>
        <w:shd w:val="clear" w:color="auto" w:fill="auto"/>
        <w:bidi w:val="0"/>
        <w:spacing w:before="0" w:after="0" w:line="315"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）本集团拟与神州数码控股有限公司签订《日常经营关联交易协议》，预计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年度与关联方神州控股全年关联交 </w:t>
      </w:r>
      <w:r>
        <w:rPr>
          <w:color w:val="000000"/>
          <w:spacing w:val="0"/>
          <w:w w:val="100"/>
          <w:position w:val="0"/>
        </w:rPr>
        <w:t>易总额不高于人民币</w:t>
      </w:r>
      <w:r>
        <w:rPr>
          <w:rFonts w:ascii="Times New Roman" w:eastAsia="Times New Roman" w:hAnsi="Times New Roman" w:cs="Times New Roman"/>
          <w:color w:val="000000"/>
          <w:spacing w:val="0"/>
          <w:w w:val="100"/>
          <w:position w:val="0"/>
          <w:sz w:val="18"/>
          <w:szCs w:val="18"/>
        </w:rPr>
        <w:t>90,000</w:t>
      </w:r>
      <w:r>
        <w:rPr>
          <w:color w:val="000000"/>
          <w:spacing w:val="0"/>
          <w:w w:val="100"/>
          <w:position w:val="0"/>
        </w:rPr>
        <w:t>万元。</w:t>
      </w:r>
    </w:p>
    <w:p>
      <w:pPr>
        <w:pStyle w:val="Style37"/>
        <w:keepNext w:val="0"/>
        <w:keepLines w:val="0"/>
        <w:widowControl w:val="0"/>
        <w:shd w:val="clear" w:color="auto" w:fill="auto"/>
        <w:tabs>
          <w:tab w:pos="838" w:val="left"/>
        </w:tabs>
        <w:bidi w:val="0"/>
        <w:spacing w:before="0" w:after="0" w:line="322" w:lineRule="exact"/>
        <w:ind w:left="0" w:right="0" w:firstLine="320"/>
        <w:jc w:val="both"/>
      </w:pPr>
      <w:bookmarkStart w:id="1641" w:name="bookmark1641"/>
      <w:r>
        <w:rPr>
          <w:color w:val="000000"/>
          <w:spacing w:val="0"/>
          <w:w w:val="100"/>
          <w:position w:val="0"/>
        </w:rPr>
        <w:t>（</w:t>
      </w:r>
      <w:bookmarkEnd w:id="16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本集团拟与神州数码信息服务股份有限公司签订《日常经营关联交易协议》，预计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年度与关联方神州信息全 年关联交易总额不高于人民币</w:t>
      </w:r>
      <w:r>
        <w:rPr>
          <w:rFonts w:ascii="Times New Roman" w:eastAsia="Times New Roman" w:hAnsi="Times New Roman" w:cs="Times New Roman"/>
          <w:color w:val="000000"/>
          <w:spacing w:val="0"/>
          <w:w w:val="100"/>
          <w:position w:val="0"/>
          <w:sz w:val="18"/>
          <w:szCs w:val="18"/>
        </w:rPr>
        <w:t>35,300</w:t>
      </w:r>
      <w:r>
        <w:rPr>
          <w:color w:val="000000"/>
          <w:spacing w:val="0"/>
          <w:w w:val="100"/>
          <w:position w:val="0"/>
        </w:rPr>
        <w:t>万元。</w:t>
      </w:r>
    </w:p>
    <w:p>
      <w:pPr>
        <w:pStyle w:val="Style37"/>
        <w:keepNext w:val="0"/>
        <w:keepLines w:val="0"/>
        <w:widowControl w:val="0"/>
        <w:shd w:val="clear" w:color="auto" w:fill="auto"/>
        <w:tabs>
          <w:tab w:pos="838" w:val="left"/>
        </w:tabs>
        <w:bidi w:val="0"/>
        <w:spacing w:before="0" w:after="360" w:line="322" w:lineRule="exact"/>
        <w:ind w:left="0" w:right="0" w:firstLine="320"/>
        <w:jc w:val="both"/>
      </w:pPr>
      <w:bookmarkStart w:id="1642" w:name="bookmark1642"/>
      <w:r>
        <w:rPr>
          <w:color w:val="000000"/>
          <w:spacing w:val="0"/>
          <w:w w:val="100"/>
          <w:position w:val="0"/>
        </w:rPr>
        <w:t>（</w:t>
      </w:r>
      <w:bookmarkEnd w:id="16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本集团拟与荣联科技集团股份有限公司签订《日常经营关联交易协议》，预计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年度与关联方荣联科技全年关 联交易总额不高于人民币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37"/>
        <w:keepNext w:val="0"/>
        <w:keepLines w:val="0"/>
        <w:widowControl w:val="0"/>
        <w:shd w:val="clear" w:color="auto" w:fill="auto"/>
        <w:bidi w:val="0"/>
        <w:spacing w:before="0" w:after="360" w:line="318" w:lineRule="exact"/>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日，本公司召开第九届董事会第三十二次会议会议通过了《关于公司向银行申请并购贷款的议案》，为满 足本公司经营和业务发展的需要，本公司拟向招商银行股份有限公司北京分行申请并购贷款，用于置换本公司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年向北 京银行股份有限公司中关村科技园区支行申请的并购贷款未结清部分，金额为人民币</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亿元整，并以神码中国</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作为质押担保。</w:t>
      </w:r>
    </w:p>
    <w:p>
      <w:pPr>
        <w:pStyle w:val="Style37"/>
        <w:keepNext w:val="0"/>
        <w:keepLines w:val="0"/>
        <w:widowControl w:val="0"/>
        <w:shd w:val="clear" w:color="auto" w:fill="auto"/>
        <w:bidi w:val="0"/>
        <w:spacing w:before="0" w:after="0" w:line="318" w:lineRule="exact"/>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日，本公司召开第九届董事会第三十三次会议，会议审议通过了：</w:t>
      </w:r>
    </w:p>
    <w:p>
      <w:pPr>
        <w:pStyle w:val="Style37"/>
        <w:keepNext w:val="0"/>
        <w:keepLines w:val="0"/>
        <w:widowControl w:val="0"/>
        <w:shd w:val="clear" w:color="auto" w:fill="auto"/>
        <w:tabs>
          <w:tab w:pos="857" w:val="left"/>
        </w:tabs>
        <w:bidi w:val="0"/>
        <w:spacing w:before="0" w:after="0" w:line="319" w:lineRule="exact"/>
        <w:ind w:left="0" w:right="0" w:firstLine="320"/>
        <w:jc w:val="both"/>
      </w:pPr>
      <w:bookmarkStart w:id="1643" w:name="bookmark1643"/>
      <w:r>
        <w:rPr>
          <w:color w:val="000000"/>
          <w:spacing w:val="0"/>
          <w:w w:val="100"/>
          <w:position w:val="0"/>
        </w:rPr>
        <w:t>（</w:t>
      </w:r>
      <w:bookmarkEnd w:id="16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年度公司利润分配预案：公司拟以披露日前最新总股本</w:t>
      </w:r>
      <w:r>
        <w:rPr>
          <w:rFonts w:ascii="Times New Roman" w:eastAsia="Times New Roman" w:hAnsi="Times New Roman" w:cs="Times New Roman"/>
          <w:color w:val="000000"/>
          <w:spacing w:val="0"/>
          <w:w w:val="100"/>
          <w:position w:val="0"/>
          <w:sz w:val="18"/>
          <w:szCs w:val="18"/>
        </w:rPr>
        <w:t>659,598,277</w:t>
      </w:r>
      <w:r>
        <w:rPr>
          <w:color w:val="000000"/>
          <w:spacing w:val="0"/>
          <w:w w:val="100"/>
          <w:position w:val="0"/>
        </w:rPr>
        <w:t>股扣除回购专用账户</w:t>
      </w:r>
      <w:r>
        <w:rPr>
          <w:rFonts w:ascii="Times New Roman" w:eastAsia="Times New Roman" w:hAnsi="Times New Roman" w:cs="Times New Roman"/>
          <w:color w:val="000000"/>
          <w:spacing w:val="0"/>
          <w:w w:val="100"/>
          <w:position w:val="0"/>
          <w:sz w:val="18"/>
          <w:szCs w:val="18"/>
        </w:rPr>
        <w:t>12,632,272</w:t>
      </w:r>
      <w:r>
        <w:rPr>
          <w:color w:val="000000"/>
          <w:spacing w:val="0"/>
          <w:w w:val="100"/>
          <w:position w:val="0"/>
        </w:rPr>
        <w:t xml:space="preserve">股后的 </w:t>
      </w:r>
      <w:r>
        <w:rPr>
          <w:rFonts w:ascii="Times New Roman" w:eastAsia="Times New Roman" w:hAnsi="Times New Roman" w:cs="Times New Roman"/>
          <w:color w:val="000000"/>
          <w:spacing w:val="0"/>
          <w:w w:val="100"/>
          <w:position w:val="0"/>
          <w:sz w:val="18"/>
          <w:szCs w:val="18"/>
        </w:rPr>
        <w:t>646,966,005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元（含税），向全体股东派发现金红利</w:t>
      </w:r>
      <w:r>
        <w:rPr>
          <w:rFonts w:ascii="Times New Roman" w:eastAsia="Times New Roman" w:hAnsi="Times New Roman" w:cs="Times New Roman"/>
          <w:color w:val="000000"/>
          <w:spacing w:val="0"/>
          <w:w w:val="100"/>
          <w:position w:val="0"/>
          <w:sz w:val="18"/>
          <w:szCs w:val="18"/>
        </w:rPr>
        <w:t>122,378,601.69</w:t>
      </w:r>
      <w:r>
        <w:rPr>
          <w:color w:val="000000"/>
          <w:spacing w:val="0"/>
          <w:w w:val="100"/>
          <w:position w:val="0"/>
        </w:rPr>
        <w:t>元，不送红 股，不以公积金转增股本。</w:t>
      </w:r>
    </w:p>
    <w:p>
      <w:pPr>
        <w:pStyle w:val="Style37"/>
        <w:keepNext w:val="0"/>
        <w:keepLines w:val="0"/>
        <w:widowControl w:val="0"/>
        <w:shd w:val="clear" w:color="auto" w:fill="auto"/>
        <w:tabs>
          <w:tab w:pos="852" w:val="left"/>
        </w:tabs>
        <w:bidi w:val="0"/>
        <w:spacing w:before="0" w:after="0" w:line="314" w:lineRule="exact"/>
        <w:ind w:left="0" w:right="0" w:firstLine="320"/>
        <w:jc w:val="both"/>
      </w:pPr>
      <w:bookmarkStart w:id="1644" w:name="bookmark1644"/>
      <w:r>
        <w:rPr>
          <w:color w:val="000000"/>
          <w:spacing w:val="0"/>
          <w:w w:val="100"/>
          <w:position w:val="0"/>
        </w:rPr>
        <w:t>（</w:t>
      </w:r>
      <w:bookmarkEnd w:id="16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本集团拟申请开展名义本金不超过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亿美元（或等值其他币种）额度的套期保值型衍生品投资，上述申请额度在 授权有效期限内可循环使用，且在任一时间点，衍生品名义本金不超过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亿美元（或等值其他币种）。衍生品投资额度使用 期限为自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w:t>
      </w:r>
    </w:p>
    <w:p>
      <w:pPr>
        <w:pStyle w:val="Style37"/>
        <w:keepNext w:val="0"/>
        <w:keepLines w:val="0"/>
        <w:widowControl w:val="0"/>
        <w:shd w:val="clear" w:color="auto" w:fill="auto"/>
        <w:tabs>
          <w:tab w:pos="852" w:val="left"/>
        </w:tabs>
        <w:bidi w:val="0"/>
        <w:spacing w:before="0" w:after="0" w:line="315" w:lineRule="exact"/>
        <w:ind w:left="0" w:right="0" w:firstLine="320"/>
        <w:jc w:val="both"/>
      </w:pPr>
      <w:bookmarkStart w:id="1645" w:name="bookmark1645"/>
      <w:r>
        <w:rPr>
          <w:color w:val="000000"/>
          <w:spacing w:val="0"/>
          <w:w w:val="100"/>
          <w:position w:val="0"/>
        </w:rPr>
        <w:t>（</w:t>
      </w:r>
      <w:bookmarkEnd w:id="16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本集团拟使用自有资金对证券投资，包括投资股票、债券、证券回购、公募基金、理财产品、证券交易所上市交 易的资产支持证券以及深圳证券交易所认定的其他投资行为。最高额度不超过（含）人民币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亿元，在上述额度内，资金可 以滚动使用，即任一时点本集团证券投资的额度不超过（含）人民币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亿元。投资期限自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个月内有效，在投资期限内，该额度可以循环使用。</w:t>
      </w:r>
    </w:p>
    <w:p>
      <w:pPr>
        <w:pStyle w:val="Style37"/>
        <w:keepNext w:val="0"/>
        <w:keepLines w:val="0"/>
        <w:widowControl w:val="0"/>
        <w:shd w:val="clear" w:color="auto" w:fill="auto"/>
        <w:bidi w:val="0"/>
        <w:spacing w:before="0" w:after="360" w:line="318" w:lineRule="exact"/>
        <w:ind w:left="0" w:right="0" w:firstLine="320"/>
        <w:jc w:val="both"/>
      </w:pPr>
      <w:r>
        <w:rPr>
          <w:color w:val="000000"/>
          <w:spacing w:val="0"/>
          <w:w w:val="100"/>
          <w:position w:val="0"/>
        </w:rPr>
        <w:t>上述议案尚需提交股东大会批准。</w:t>
      </w:r>
    </w:p>
    <w:p>
      <w:pPr>
        <w:pStyle w:val="Style37"/>
        <w:keepNext w:val="0"/>
        <w:keepLines w:val="0"/>
        <w:widowControl w:val="0"/>
        <w:shd w:val="clear" w:color="auto" w:fill="auto"/>
        <w:bidi w:val="0"/>
        <w:spacing w:before="0" w:after="360" w:line="318" w:lineRule="exact"/>
        <w:ind w:left="0" w:right="0"/>
        <w:jc w:val="both"/>
      </w:pPr>
      <w:r>
        <w:rPr>
          <w:color w:val="000000"/>
          <w:spacing w:val="0"/>
          <w:w w:val="100"/>
          <w:position w:val="0"/>
        </w:rPr>
        <w:t>截至报告日，除上述事项外，本集团无需披露的其他重大资产负债表日后事项。</w:t>
      </w:r>
    </w:p>
    <w:p>
      <w:pPr>
        <w:pStyle w:val="Style32"/>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color w:val="000000"/>
          <w:spacing w:val="0"/>
          <w:w w:val="100"/>
          <w:position w:val="0"/>
        </w:rPr>
        <w:t>十六、其他重要事项</w:t>
      </w:r>
      <w:bookmarkEnd w:id="1646"/>
      <w:bookmarkEnd w:id="1647"/>
      <w:bookmarkEnd w:id="1648"/>
    </w:p>
    <w:p>
      <w:pPr>
        <w:pStyle w:val="Style40"/>
        <w:keepNext/>
        <w:keepLines/>
        <w:widowControl w:val="0"/>
        <w:shd w:val="clear" w:color="auto" w:fill="auto"/>
        <w:bidi w:val="0"/>
        <w:spacing w:before="0" w:after="36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49"/>
      <w:bookmarkEnd w:id="1650"/>
      <w:bookmarkEnd w:id="1651"/>
    </w:p>
    <w:p>
      <w:pPr>
        <w:pStyle w:val="Style47"/>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52"/>
      <w:bookmarkEnd w:id="1653"/>
      <w:bookmarkEnd w:id="1654"/>
    </w:p>
    <w:p>
      <w:pPr>
        <w:pStyle w:val="Style47"/>
        <w:keepNext/>
        <w:keepLines/>
        <w:widowControl w:val="0"/>
        <w:shd w:val="clear" w:color="auto" w:fill="auto"/>
        <w:bidi w:val="0"/>
        <w:spacing w:before="0" w:after="240" w:line="240" w:lineRule="auto"/>
        <w:ind w:left="0" w:right="0" w:firstLine="0"/>
        <w:jc w:val="left"/>
        <w:rPr>
          <w:sz w:val="22"/>
          <w:szCs w:val="22"/>
        </w:rPr>
      </w:pPr>
      <w:bookmarkStart w:id="1652" w:name="bookmark1652"/>
      <w:bookmarkStart w:id="1653" w:name="bookmark1653"/>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2"/>
          <w:szCs w:val="22"/>
        </w:rPr>
        <w:t>经营分部</w:t>
      </w:r>
      <w:bookmarkEnd w:id="1652"/>
      <w:bookmarkEnd w:id="1653"/>
    </w:p>
    <w:p>
      <w:pPr>
        <w:pStyle w:val="Style37"/>
        <w:keepNext w:val="0"/>
        <w:keepLines w:val="0"/>
        <w:widowControl w:val="0"/>
        <w:shd w:val="clear" w:color="auto" w:fill="auto"/>
        <w:bidi w:val="0"/>
        <w:spacing w:before="0" w:after="360" w:line="326" w:lineRule="exact"/>
        <w:ind w:left="0" w:right="0"/>
        <w:jc w:val="both"/>
      </w:pPr>
      <w:r>
        <w:rPr>
          <w:color w:val="000000"/>
          <w:spacing w:val="0"/>
          <w:w w:val="100"/>
          <w:position w:val="0"/>
        </w:rPr>
        <w:t>本分部逾</w:t>
      </w:r>
      <w:r>
        <w:rPr>
          <w:color w:val="000000"/>
          <w:spacing w:val="0"/>
          <w:w w:val="100"/>
          <w:position w:val="0"/>
          <w:sz w:val="18"/>
          <w:szCs w:val="18"/>
        </w:rPr>
        <w:t>96.30%</w:t>
      </w:r>
      <w:r>
        <w:rPr>
          <w:color w:val="000000"/>
          <w:spacing w:val="0"/>
          <w:w w:val="100"/>
          <w:position w:val="0"/>
        </w:rPr>
        <w:t>的收入源自销售</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产品，由管理层对其进行统一、集中管理；管理层定期评价本分部的整体的财务状况、 经营成果和现金流量。故本集团只有一个分部。</w:t>
      </w:r>
    </w:p>
    <w:p>
      <w:pPr>
        <w:pStyle w:val="Style17"/>
        <w:keepNext w:val="0"/>
        <w:keepLines w:val="0"/>
        <w:widowControl w:val="0"/>
        <w:shd w:val="clear" w:color="auto" w:fill="auto"/>
        <w:bidi w:val="0"/>
        <w:spacing w:before="0" w:after="320" w:line="240" w:lineRule="auto"/>
        <w:ind w:left="0" w:right="0" w:firstLine="140"/>
        <w:jc w:val="left"/>
        <w:rPr>
          <w:sz w:val="22"/>
          <w:szCs w:val="22"/>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2"/>
          <w:szCs w:val="22"/>
        </w:rPr>
        <w:t>对外交易收入</w:t>
      </w:r>
      <w:r>
        <w:rPr>
          <w:b/>
          <w:bCs/>
          <w:color w:val="000000"/>
          <w:spacing w:val="0"/>
          <w:w w:val="100"/>
          <w:position w:val="0"/>
          <w:sz w:val="22"/>
          <w:szCs w:val="22"/>
        </w:rPr>
        <w:t>一</w:t>
      </w:r>
      <w:r>
        <w:rPr>
          <w:b/>
          <w:bCs/>
          <w:color w:val="000000"/>
          <w:spacing w:val="0"/>
          <w:w w:val="100"/>
          <w:position w:val="0"/>
          <w:sz w:val="22"/>
          <w:szCs w:val="22"/>
        </w:rPr>
        <w:t>产品和劳务信息</w:t>
      </w:r>
    </w:p>
    <w:tbl>
      <w:tblPr>
        <w:tblOverlap w:val="never"/>
        <w:jc w:val="center"/>
        <w:tblLayout w:type="fixed"/>
      </w:tblPr>
      <w:tblGrid>
        <w:gridCol w:w="3240"/>
        <w:gridCol w:w="3230"/>
        <w:gridCol w:w="3245"/>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消费电子业务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57,417,498,316.29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55,379,676,822.01</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企业增值业务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31,235,946,301.32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29,326,427,387.19</w:t>
            </w:r>
          </w:p>
        </w:tc>
      </w:tr>
    </w:tbl>
    <w:p>
      <w:pPr>
        <w:spacing w:lineRule="exact" w:line="1"/>
        <w:rPr>
          <w:sz w:val="2"/>
          <w:szCs w:val="2"/>
        </w:rPr>
      </w:pPr>
      <w:r>
        <w:br w:type="page"/>
      </w:r>
    </w:p>
    <w:tbl>
      <w:tblPr>
        <w:tblOverlap w:val="never"/>
        <w:jc w:val="center"/>
        <w:tblLayout w:type="fixed"/>
      </w:tblPr>
      <w:tblGrid>
        <w:gridCol w:w="3240"/>
        <w:gridCol w:w="3235"/>
        <w:gridCol w:w="3240"/>
      </w:tblGrid>
      <w:tr>
        <w:trPr>
          <w:trHeight w:val="4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3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云计算及数字化转型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2,666,133,995.12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1,530,551,838.92</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自主品牌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727,504,389.80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553,190,728.52</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13,360,403.69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13,529,613.49</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92,060,443,406.22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86,803,376,390.13</w:t>
            </w: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r>
        <w:rPr>
          <w:color w:val="000000"/>
          <w:spacing w:val="0"/>
          <w:w w:val="100"/>
          <w:position w:val="0"/>
        </w:rPr>
        <w:t>十七、母公司财务报表主要项目注释</w:t>
      </w:r>
      <w:bookmarkEnd w:id="1655"/>
      <w:bookmarkEnd w:id="1656"/>
      <w:bookmarkEnd w:id="1657"/>
    </w:p>
    <w:p>
      <w:pPr>
        <w:pStyle w:val="Style40"/>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58"/>
      <w:bookmarkEnd w:id="1659"/>
      <w:bookmarkEnd w:id="1660"/>
    </w:p>
    <w:p>
      <w:pPr>
        <w:pStyle w:val="Style47"/>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61"/>
      <w:bookmarkEnd w:id="1662"/>
      <w:bookmarkEnd w:id="1663"/>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998"/>
        <w:gridCol w:w="1133"/>
        <w:gridCol w:w="710"/>
        <w:gridCol w:w="850"/>
        <w:gridCol w:w="850"/>
        <w:gridCol w:w="1133"/>
        <w:gridCol w:w="854"/>
        <w:gridCol w:w="706"/>
        <w:gridCol w:w="614"/>
        <w:gridCol w:w="792"/>
        <w:gridCol w:w="94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 坏账准备的 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6,570,064.18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11,011.14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账期组合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6,570,064.18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11,011.14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66,364.28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6,570,064.18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11,011.14</w:t>
            </w:r>
          </w:p>
        </w:tc>
      </w:tr>
    </w:tbl>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66,364.28</w:t>
      </w:r>
    </w:p>
    <w:p>
      <w:pPr>
        <w:widowControl w:val="0"/>
        <w:spacing w:after="139" w:line="1" w:lineRule="exact"/>
      </w:pPr>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66,364.28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66,364.28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66,364.28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5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6,636,428.46</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6,636,428.46</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64"/>
      <w:bookmarkEnd w:id="1665"/>
      <w:bookmarkEnd w:id="1666"/>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65,723.42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66,364.28</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640.86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65,723.42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66,364.28</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67"/>
      <w:bookmarkEnd w:id="1668"/>
      <w:bookmarkEnd w:id="1670"/>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405"/>
        <w:gridCol w:w="2371"/>
        <w:gridCol w:w="241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客户二十八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66,364.28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6,636,428.46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71"/>
      <w:bookmarkEnd w:id="1672"/>
      <w:bookmarkEnd w:id="1673"/>
    </w:p>
    <w:p>
      <w:pPr>
        <w:pStyle w:val="Style37"/>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152,541,551.10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53,060,654.92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394,541,551.10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355,060,654.92</w:t>
            </w:r>
          </w:p>
        </w:tc>
      </w:tr>
    </w:tbl>
    <w:p>
      <w:pPr>
        <w:widowControl w:val="0"/>
        <w:spacing w:after="319" w:line="1" w:lineRule="exact"/>
      </w:pPr>
    </w:p>
    <w:p>
      <w:pPr>
        <w:pStyle w:val="Style47"/>
        <w:keepNext/>
        <w:keepLines/>
        <w:widowControl w:val="0"/>
        <w:shd w:val="clear" w:color="auto" w:fill="auto"/>
        <w:bidi w:val="0"/>
        <w:spacing w:before="0" w:after="32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74"/>
      <w:bookmarkEnd w:id="1675"/>
      <w:bookmarkEnd w:id="1676"/>
    </w:p>
    <w:p>
      <w:pPr>
        <w:pStyle w:val="Style68"/>
        <w:keepNext/>
        <w:keepLines/>
        <w:widowControl w:val="0"/>
        <w:shd w:val="clear" w:color="auto" w:fill="auto"/>
        <w:bidi w:val="0"/>
        <w:spacing w:before="0" w:after="40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77"/>
      <w:bookmarkEnd w:id="1678"/>
      <w:bookmarkEnd w:id="1679"/>
    </w:p>
    <w:p>
      <w:pPr>
        <w:pStyle w:val="Style37"/>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神码广州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302,000,000.00</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80"/>
      <w:bookmarkEnd w:id="1681"/>
      <w:bookmarkEnd w:id="1682"/>
    </w:p>
    <w:p>
      <w:pPr>
        <w:pStyle w:val="Style68"/>
        <w:keepNext/>
        <w:keepLines/>
        <w:widowControl w:val="0"/>
        <w:shd w:val="clear" w:color="auto" w:fill="auto"/>
        <w:bidi w:val="0"/>
        <w:spacing w:before="0" w:line="240" w:lineRule="auto"/>
        <w:ind w:left="0" w:right="0" w:firstLine="0"/>
        <w:jc w:val="left"/>
      </w:pPr>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83"/>
      <w:bookmarkEnd w:id="1684"/>
      <w:bookmarkEnd w:id="1685"/>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139,782,276.91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22,375,488.05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30,050,000.00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1,076,323.81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790,619.97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152,908,600.72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53,216,108.02</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86"/>
      <w:bookmarkEnd w:id="1687"/>
      <w:bookmarkEnd w:id="1688"/>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560"/>
        <w:gridCol w:w="1982"/>
        <w:gridCol w:w="1954"/>
        <w:gridCol w:w="1810"/>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153,953.10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155,453.10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-148,605.08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360,201.60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211,596.52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361,701.60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367,049.62</w:t>
            </w:r>
          </w:p>
        </w:tc>
      </w:tr>
    </w:tbl>
    <w:p>
      <w:pPr>
        <w:widowControl w:val="0"/>
        <w:spacing w:after="79"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140,851,880.72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12,006,720.00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152,908,600.72</w:t>
            </w:r>
          </w:p>
        </w:tc>
      </w:tr>
    </w:tbl>
    <w:p>
      <w:pPr>
        <w:spacing w:lineRule="exact" w:line="1"/>
        <w:rPr>
          <w:sz w:val="2"/>
          <w:szCs w:val="2"/>
        </w:rPr>
      </w:pPr>
      <w:r>
        <w:br w:type="page"/>
      </w:r>
    </w:p>
    <w:p>
      <w:pPr>
        <w:pStyle w:val="Style68"/>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3</w:t>
      </w:r>
      <w:bookmarkEnd w:id="1691"/>
      <w:r>
        <w:rPr>
          <w:color w:val="000000"/>
          <w:spacing w:val="0"/>
          <w:w w:val="100"/>
          <w:position w:val="0"/>
        </w:rPr>
        <w:t>）本期计提、收回或转回的坏账准备情况</w:t>
      </w:r>
      <w:bookmarkEnd w:id="1689"/>
      <w:bookmarkEnd w:id="1690"/>
      <w:bookmarkEnd w:id="1692"/>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330"/>
        <w:gridCol w:w="1090"/>
        <w:gridCol w:w="1574"/>
        <w:gridCol w:w="1589"/>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155,453.10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211,596.52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367,049.62</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155,453.10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211,596.52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367,049.62</w:t>
            </w:r>
          </w:p>
        </w:tc>
      </w:tr>
    </w:tbl>
    <w:p>
      <w:pPr>
        <w:widowControl w:val="0"/>
        <w:spacing w:after="319" w:line="1" w:lineRule="exact"/>
      </w:pPr>
    </w:p>
    <w:p>
      <w:pPr>
        <w:pStyle w:val="Style68"/>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color w:val="000000"/>
          <w:spacing w:val="0"/>
          <w:w w:val="100"/>
          <w:position w:val="0"/>
        </w:rPr>
        <w:t>）按欠款方归集的期末余额前五名的其他应收款情况</w:t>
      </w:r>
      <w:bookmarkEnd w:id="1693"/>
      <w:bookmarkEnd w:id="1694"/>
      <w:bookmarkEnd w:id="169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1"/>
        <w:gridCol w:w="1277"/>
        <w:gridCol w:w="1560"/>
        <w:gridCol w:w="1378"/>
        <w:gridCol w:w="1613"/>
        <w:gridCol w:w="1627"/>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92,073,000.00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北京神州数码云计算有限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30,793,164.04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神州信创（北京）集团有限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16,916,112.87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济南顶安企业管理咨询合 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151,782,276.91</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color w:val="000000"/>
          <w:spacing w:val="0"/>
          <w:w w:val="100"/>
          <w:position w:val="0"/>
        </w:rPr>
        <w:t>、长期股权投资</w:t>
      </w:r>
      <w:bookmarkEnd w:id="1697"/>
      <w:bookmarkEnd w:id="1698"/>
      <w:bookmarkEnd w:id="1700"/>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5,601,353,530.61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5,601,353,530.61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5,592,906,330.11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5,592,906,330.11</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111,140,348.50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111,140,348.50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109,564,256.40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109,564,256.40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5,712,493,879.11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5,712,493,879.11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5,702,470,586.51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5,702,470,586.51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01"/>
      <w:bookmarkEnd w:id="1702"/>
      <w:bookmarkEnd w:id="1703"/>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426"/>
        <w:gridCol w:w="1138"/>
        <w:gridCol w:w="936"/>
        <w:gridCol w:w="1166"/>
        <w:gridCol w:w="1013"/>
        <w:gridCol w:w="1411"/>
        <w:gridCol w:w="1224"/>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神码中国、神码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5,220,515,023.79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8,104,460.26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5,228,619,484.05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426"/>
        <w:gridCol w:w="1138"/>
        <w:gridCol w:w="936"/>
        <w:gridCol w:w="1166"/>
        <w:gridCol w:w="1013"/>
        <w:gridCol w:w="1411"/>
        <w:gridCol w:w="122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7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上海、神码广州</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及其子公司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12,278,664.39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161,759.68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12,440,424.07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360,112,641.93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180,980.56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360,293,622.49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5,592,906,330.11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8,447,200.50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5,601,353,530.61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both"/>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04"/>
      <w:bookmarkEnd w:id="1705"/>
      <w:bookmarkEnd w:id="1706"/>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8"/>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8"/>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神州顶联 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109,564,2</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1,576,092</w:t>
            </w:r>
          </w:p>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111,140,3</w:t>
            </w:r>
          </w:p>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109,564,2</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1,576,092</w:t>
            </w:r>
          </w:p>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111,140,3</w:t>
            </w:r>
          </w:p>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109,564,2</w:t>
            </w:r>
          </w:p>
          <w:p>
            <w:pPr>
              <w:pStyle w:val="Style2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1,576,092</w:t>
            </w:r>
          </w:p>
          <w:p>
            <w:pPr>
              <w:pStyle w:val="Style2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111,140,3</w:t>
            </w:r>
          </w:p>
          <w:p>
            <w:pPr>
              <w:pStyle w:val="Style2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7"/>
        <w:keepNext/>
        <w:keepLines/>
        <w:widowControl w:val="0"/>
        <w:shd w:val="clear" w:color="auto" w:fill="auto"/>
        <w:bidi w:val="0"/>
        <w:spacing w:before="0" w:after="280" w:line="240" w:lineRule="auto"/>
        <w:ind w:left="0" w:right="0" w:firstLine="0"/>
        <w:jc w:val="both"/>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07"/>
      <w:bookmarkEnd w:id="1708"/>
      <w:bookmarkEnd w:id="1710"/>
    </w:p>
    <w:p>
      <w:pPr>
        <w:pStyle w:val="Style37"/>
        <w:keepNext w:val="0"/>
        <w:keepLines w:val="0"/>
        <w:widowControl w:val="0"/>
        <w:shd w:val="clear" w:color="auto" w:fill="auto"/>
        <w:bidi w:val="0"/>
        <w:spacing w:before="0" w:after="380" w:line="317" w:lineRule="exact"/>
        <w:ind w:left="0" w:right="0" w:firstLine="320"/>
        <w:jc w:val="both"/>
      </w:pPr>
      <w:r>
        <w:rPr>
          <w:color w:val="000000"/>
          <w:spacing w:val="0"/>
          <w:w w:val="100"/>
          <w:position w:val="0"/>
        </w:rPr>
        <w:t>本年增加系本公司实施了股票期权和限制性股票计划，并于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日首次授予激励对象股票期权和限制性股票。 本公司以自身的权益工具结算的股份授予神码公司、神州云计算、上海云角，本公司按照授予日权益工具的公允价值确认对 子公司的长期股权投资。</w:t>
      </w:r>
    </w:p>
    <w:p>
      <w:pPr>
        <w:pStyle w:val="Style40"/>
        <w:keepNext/>
        <w:keepLines/>
        <w:widowControl w:val="0"/>
        <w:shd w:val="clear" w:color="auto" w:fill="auto"/>
        <w:bidi w:val="0"/>
        <w:spacing w:before="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4</w:t>
      </w:r>
      <w:bookmarkEnd w:id="1713"/>
      <w:r>
        <w:rPr>
          <w:color w:val="000000"/>
          <w:spacing w:val="0"/>
          <w:w w:val="100"/>
          <w:position w:val="0"/>
        </w:rPr>
        <w:t>、营业收入和营业成本</w:t>
      </w:r>
      <w:bookmarkEnd w:id="1711"/>
      <w:bookmarkEnd w:id="1712"/>
      <w:bookmarkEnd w:id="1714"/>
    </w:p>
    <w:p>
      <w:pPr>
        <w:pStyle w:val="Style3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11,794,196.44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11,130,845.75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414,792.58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358,318.00</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11,794,196.44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11,130,845.75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414,792.58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358,318.00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r>
        <w:br w:type="page"/>
      </w:r>
    </w:p>
    <w:p>
      <w:pPr>
        <w:pStyle w:val="Style3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0"/>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5</w:t>
      </w:r>
      <w:bookmarkEnd w:id="1717"/>
      <w:r>
        <w:rPr>
          <w:color w:val="000000"/>
          <w:spacing w:val="0"/>
          <w:w w:val="100"/>
          <w:position w:val="0"/>
        </w:rPr>
        <w:t>、投资收益</w:t>
      </w:r>
      <w:bookmarkEnd w:id="1715"/>
      <w:bookmarkEnd w:id="1716"/>
      <w:bookmarkEnd w:id="171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1,576,092.10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5,460,000.00</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665,445.00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210,831.00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子公司分红款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302,000,000.00</w:t>
            </w:r>
          </w:p>
        </w:tc>
      </w:tr>
      <w:tr>
        <w:trPr>
          <w:trHeight w:val="40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244,241,537.10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307,670,831.00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719" w:name="bookmark1719"/>
      <w:bookmarkStart w:id="1720" w:name="bookmark1720"/>
      <w:bookmarkStart w:id="1721" w:name="bookmark1721"/>
      <w:r>
        <w:rPr>
          <w:color w:val="000000"/>
          <w:spacing w:val="0"/>
          <w:w w:val="100"/>
          <w:position w:val="0"/>
        </w:rPr>
        <w:t>十八、补充资料</w:t>
      </w:r>
      <w:bookmarkEnd w:id="1719"/>
      <w:bookmarkEnd w:id="1720"/>
      <w:bookmarkEnd w:id="1721"/>
    </w:p>
    <w:p>
      <w:pPr>
        <w:pStyle w:val="Style40"/>
        <w:keepNext/>
        <w:keepLines/>
        <w:widowControl w:val="0"/>
        <w:shd w:val="clear" w:color="auto" w:fill="auto"/>
        <w:bidi w:val="0"/>
        <w:spacing w:before="0" w:line="240" w:lineRule="auto"/>
        <w:ind w:left="0" w:right="0" w:firstLine="0"/>
        <w:jc w:val="both"/>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22"/>
      <w:bookmarkEnd w:id="1723"/>
      <w:bookmarkEnd w:id="1724"/>
    </w:p>
    <w:p>
      <w:pPr>
        <w:pStyle w:val="Style3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981"/>
        <w:gridCol w:w="249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10,439,074.43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27,097,791.44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15,354,333.38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 持有交易性金融资产、衍生金融资产、交易性金融负 债、衍生金融负债产生的公允价值变动损益，以及处 置交易性金融资产、衍生金融资产、交易性金融负债、 衍生金融负债和其他债权投资取得的投资收益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2,241,445.00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-359,587.26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重组项目评估审计费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-91,152,023.21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-9,818,677.07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-27,760,358.90</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240"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25"/>
      <w:bookmarkEnd w:id="1726"/>
      <w:bookmarkEnd w:id="1727"/>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0.9509</w:t>
            </w:r>
          </w:p>
        </w:tc>
      </w:tr>
      <w:tr>
        <w:trPr>
          <w:trHeight w:val="720"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0.9923</w:t>
            </w:r>
          </w:p>
        </w:tc>
      </w:tr>
    </w:tbl>
    <w:p>
      <w:pPr>
        <w:widowControl w:val="0"/>
        <w:spacing w:after="279" w:line="1" w:lineRule="exact"/>
      </w:pPr>
    </w:p>
    <w:p>
      <w:pPr>
        <w:pStyle w:val="Style40"/>
        <w:keepNext/>
        <w:keepLines/>
        <w:widowControl w:val="0"/>
        <w:shd w:val="clear" w:color="auto" w:fill="auto"/>
        <w:bidi w:val="0"/>
        <w:spacing w:before="0" w:after="280" w:line="322" w:lineRule="exact"/>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、境内外会计准则下会计数据差异</w:t>
      </w:r>
      <w:bookmarkEnd w:id="1728"/>
      <w:bookmarkEnd w:id="1729"/>
      <w:bookmarkEnd w:id="1731"/>
    </w:p>
    <w:p>
      <w:pPr>
        <w:pStyle w:val="Style47"/>
        <w:keepNext/>
        <w:keepLines/>
        <w:widowControl w:val="0"/>
        <w:shd w:val="clear" w:color="auto" w:fill="auto"/>
        <w:tabs>
          <w:tab w:pos="493" w:val="left"/>
        </w:tabs>
        <w:bidi w:val="0"/>
        <w:spacing w:before="0" w:line="322" w:lineRule="exact"/>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32"/>
      <w:bookmarkEnd w:id="1733"/>
      <w:bookmarkEnd w:id="1735"/>
    </w:p>
    <w:p>
      <w:pPr>
        <w:pStyle w:val="Style3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322" w:lineRule="exact"/>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36"/>
      <w:bookmarkEnd w:id="1737"/>
      <w:bookmarkEnd w:id="1739"/>
    </w:p>
    <w:p>
      <w:pPr>
        <w:pStyle w:val="Style3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322" w:lineRule="exact"/>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740"/>
      <w:bookmarkEnd w:id="1741"/>
      <w:bookmarkEnd w:id="1743"/>
    </w:p>
    <w:p>
      <w:pPr>
        <w:pStyle w:val="Style37"/>
        <w:keepNext w:val="0"/>
        <w:keepLines w:val="0"/>
        <w:widowControl w:val="0"/>
        <w:shd w:val="clear" w:color="auto" w:fill="auto"/>
        <w:bidi w:val="0"/>
        <w:spacing w:before="0" w:after="340" w:line="240" w:lineRule="auto"/>
        <w:ind w:left="0" w:right="0" w:firstLine="0"/>
        <w:jc w:val="left"/>
        <w:sectPr>
          <w:headerReference w:type="default" r:id="rId33"/>
          <w:footerReference w:type="default" r:id="rId34"/>
          <w:footnotePr>
            <w:pos w:val="pageBottom"/>
            <w:numFmt w:val="decimal"/>
            <w:numRestart w:val="continuous"/>
          </w:footnotePr>
          <w:pgSz w:w="11900" w:h="16840"/>
          <w:pgMar w:top="1378" w:right="836" w:bottom="1445" w:left="844" w:header="0" w:footer="3" w:gutter="0"/>
          <w:cols w:space="720"/>
          <w:noEndnote/>
          <w:rtlGutter w:val="0"/>
          <w:docGrid w:linePitch="360"/>
        </w:sectPr>
      </w:pPr>
      <w:r>
        <w:rPr>
          <w:color w:val="000000"/>
          <w:spacing w:val="0"/>
          <w:w w:val="100"/>
          <w:position w:val="0"/>
        </w:rPr>
        <w:t>无</w:t>
      </w:r>
    </w:p>
    <w:p>
      <w:pPr>
        <w:pStyle w:val="Style20"/>
        <w:keepNext/>
        <w:keepLines/>
        <w:widowControl w:val="0"/>
        <w:shd w:val="clear" w:color="auto" w:fill="auto"/>
        <w:bidi w:val="0"/>
        <w:spacing w:before="0" w:after="600" w:line="240" w:lineRule="auto"/>
        <w:ind w:left="0" w:right="0" w:firstLine="0"/>
        <w:jc w:val="center"/>
      </w:pPr>
      <w:bookmarkStart w:id="1744" w:name="bookmark1744"/>
      <w:bookmarkStart w:id="1745" w:name="bookmark1745"/>
      <w:bookmarkStart w:id="1746" w:name="bookmark1746"/>
      <w:r>
        <w:rPr>
          <w:color w:val="000000"/>
          <w:spacing w:val="0"/>
          <w:w w:val="100"/>
          <w:position w:val="0"/>
        </w:rPr>
        <w:t>第十三节备查文件目录</w:t>
      </w:r>
      <w:bookmarkEnd w:id="1744"/>
      <w:bookmarkEnd w:id="1745"/>
      <w:bookmarkEnd w:id="1746"/>
    </w:p>
    <w:p>
      <w:pPr>
        <w:pStyle w:val="Style37"/>
        <w:keepNext w:val="0"/>
        <w:keepLines w:val="0"/>
        <w:widowControl w:val="0"/>
        <w:shd w:val="clear" w:color="auto" w:fill="auto"/>
        <w:tabs>
          <w:tab w:pos="435" w:val="left"/>
        </w:tabs>
        <w:bidi w:val="0"/>
        <w:spacing w:before="0" w:after="120" w:line="240" w:lineRule="auto"/>
        <w:ind w:left="0" w:right="0" w:firstLine="0"/>
        <w:jc w:val="left"/>
      </w:pPr>
      <w:bookmarkStart w:id="1747" w:name="bookmark1747"/>
      <w:bookmarkStart w:id="1748" w:name="bookmark1748"/>
      <w:r>
        <w:rPr>
          <w:color w:val="000000"/>
          <w:spacing w:val="0"/>
          <w:w w:val="100"/>
          <w:position w:val="0"/>
        </w:rPr>
        <w:t>一</w:t>
      </w:r>
      <w:bookmarkEnd w:id="1748"/>
      <w:r>
        <w:rPr>
          <w:color w:val="000000"/>
          <w:spacing w:val="0"/>
          <w:w w:val="100"/>
          <w:position w:val="0"/>
        </w:rPr>
        <w:t>、</w:t>
        <w:tab/>
        <w:t>载有公司负责人、主管会计工作负责人、会计机构负责人签名并盖章的财务报表；</w:t>
      </w:r>
      <w:bookmarkEnd w:id="1747"/>
    </w:p>
    <w:p>
      <w:pPr>
        <w:pStyle w:val="Style37"/>
        <w:keepNext w:val="0"/>
        <w:keepLines w:val="0"/>
        <w:widowControl w:val="0"/>
        <w:shd w:val="clear" w:color="auto" w:fill="auto"/>
        <w:tabs>
          <w:tab w:pos="435" w:val="left"/>
        </w:tabs>
        <w:bidi w:val="0"/>
        <w:spacing w:before="0" w:after="120" w:line="240" w:lineRule="auto"/>
        <w:ind w:left="0" w:right="0" w:firstLine="0"/>
        <w:jc w:val="left"/>
      </w:pPr>
      <w:bookmarkStart w:id="1749" w:name="bookmark1749"/>
      <w:r>
        <w:rPr>
          <w:color w:val="000000"/>
          <w:spacing w:val="0"/>
          <w:w w:val="100"/>
          <w:position w:val="0"/>
        </w:rPr>
        <w:t>二</w:t>
      </w:r>
      <w:bookmarkEnd w:id="1749"/>
      <w:r>
        <w:rPr>
          <w:color w:val="000000"/>
          <w:spacing w:val="0"/>
          <w:w w:val="100"/>
          <w:position w:val="0"/>
        </w:rPr>
        <w:t>、</w:t>
        <w:tab/>
        <w:t>载有信永中和会计师事务所（特殊普通合伙）盖章、注册会计师签字并盖章的审计报告原件；</w:t>
      </w:r>
    </w:p>
    <w:p>
      <w:pPr>
        <w:pStyle w:val="Style37"/>
        <w:keepNext w:val="0"/>
        <w:keepLines w:val="0"/>
        <w:widowControl w:val="0"/>
        <w:shd w:val="clear" w:color="auto" w:fill="auto"/>
        <w:tabs>
          <w:tab w:pos="435" w:val="left"/>
        </w:tabs>
        <w:bidi w:val="0"/>
        <w:spacing w:before="0" w:after="160" w:line="240" w:lineRule="auto"/>
        <w:ind w:left="0" w:right="0" w:firstLine="0"/>
        <w:jc w:val="left"/>
      </w:pPr>
      <w:bookmarkStart w:id="1750" w:name="bookmark1750"/>
      <w:r>
        <w:rPr>
          <w:color w:val="000000"/>
          <w:spacing w:val="0"/>
          <w:w w:val="100"/>
          <w:position w:val="0"/>
        </w:rPr>
        <w:t>三</w:t>
      </w:r>
      <w:bookmarkEnd w:id="1750"/>
      <w:r>
        <w:rPr>
          <w:color w:val="000000"/>
          <w:spacing w:val="0"/>
          <w:w w:val="100"/>
          <w:position w:val="0"/>
        </w:rPr>
        <w:t>、</w:t>
        <w:tab/>
        <w:t>报告期内在中国证监会指定报纸上公开披露过的所有公司文件的正本及公告的原稿；</w:t>
      </w:r>
    </w:p>
    <w:p>
      <w:pPr>
        <w:pStyle w:val="Style37"/>
        <w:keepNext w:val="0"/>
        <w:keepLines w:val="0"/>
        <w:widowControl w:val="0"/>
        <w:shd w:val="clear" w:color="auto" w:fill="auto"/>
        <w:tabs>
          <w:tab w:pos="435" w:val="left"/>
        </w:tabs>
        <w:bidi w:val="0"/>
        <w:spacing w:before="0" w:after="140" w:line="240" w:lineRule="auto"/>
        <w:ind w:left="0" w:right="0" w:firstLine="0"/>
        <w:jc w:val="left"/>
      </w:pPr>
      <w:bookmarkStart w:id="1751" w:name="bookmark1751"/>
      <w:r>
        <w:rPr>
          <w:color w:val="000000"/>
          <w:spacing w:val="0"/>
          <w:w w:val="100"/>
          <w:position w:val="0"/>
        </w:rPr>
        <w:t>四</w:t>
      </w:r>
      <w:bookmarkEnd w:id="1751"/>
      <w:r>
        <w:rPr>
          <w:color w:val="000000"/>
          <w:spacing w:val="0"/>
          <w:w w:val="100"/>
          <w:position w:val="0"/>
        </w:rPr>
        <w:t>、</w:t>
        <w:tab/>
        <w:t>载有董事长签名的年度报告文本。</w:t>
      </w:r>
    </w:p>
    <w:sectPr>
      <w:footnotePr>
        <w:pos w:val="pageBottom"/>
        <w:numFmt w:val="decimal"/>
        <w:numRestart w:val="continuous"/>
      </w:footnotePr>
      <w:pgSz w:w="11900" w:h="16840"/>
      <w:pgMar w:top="1964" w:right="1112" w:bottom="1964"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6805930</wp:posOffset>
              </wp:positionH>
              <wp:positionV relativeFrom="page">
                <wp:posOffset>10132060</wp:posOffset>
              </wp:positionV>
              <wp:extent cx="42545" cy="79375"/>
              <wp:wrapNone/>
              <wp:docPr id="4" name="Shape 4"/>
              <a:graphic xmlns:a="http://schemas.openxmlformats.org/drawingml/2006/main">
                <a:graphicData uri="http://schemas.microsoft.com/office/word/2010/wordprocessingShape">
                  <wps:wsp>
                    <wps:cNvSpPr txBox="1"/>
                    <wps:spPr>
                      <a:xfrm>
                        <a:ext cx="4254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89999999999998pt;margin-top:797.80000000000007pt;width:3.3500000000000001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6668770</wp:posOffset>
              </wp:positionH>
              <wp:positionV relativeFrom="page">
                <wp:posOffset>9961245</wp:posOffset>
              </wp:positionV>
              <wp:extent cx="155575" cy="79375"/>
              <wp:wrapNone/>
              <wp:docPr id="65" name="Shape 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25.10000000000002pt;margin-top:784.35000000000002pt;width:12.25pt;height:6.25pt;z-index:-18874402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9641840</wp:posOffset>
              </wp:positionH>
              <wp:positionV relativeFrom="page">
                <wp:posOffset>6848475</wp:posOffset>
              </wp:positionV>
              <wp:extent cx="155575" cy="79375"/>
              <wp:wrapNone/>
              <wp:docPr id="70" name="Shape 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759.20000000000005pt;margin-top:539.25pt;width:12.25pt;height:6.25pt;z-index:-18874402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6668770</wp:posOffset>
              </wp:positionH>
              <wp:positionV relativeFrom="page">
                <wp:posOffset>9961245</wp:posOffset>
              </wp:positionV>
              <wp:extent cx="155575" cy="79375"/>
              <wp:wrapNone/>
              <wp:docPr id="75" name="Shape 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5.10000000000002pt;margin-top:784.35000000000002pt;width:12.25pt;height:6.25pt;z-index:-18874401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6743065</wp:posOffset>
              </wp:positionH>
              <wp:positionV relativeFrom="page">
                <wp:posOffset>9961245</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0.95000000000005pt;margin-top:784.35000000000002pt;width:7.7000000000000002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9668510</wp:posOffset>
              </wp:positionH>
              <wp:positionV relativeFrom="page">
                <wp:posOffset>6849110</wp:posOffset>
              </wp:positionV>
              <wp:extent cx="109855" cy="79375"/>
              <wp:wrapNone/>
              <wp:docPr id="16" name="Shape 1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761.30000000000007pt;margin-top:539.29999999999995pt;width:8.6500000000000004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6700520</wp:posOffset>
              </wp:positionH>
              <wp:positionV relativeFrom="page">
                <wp:posOffset>9958070</wp:posOffset>
              </wp:positionV>
              <wp:extent cx="103505" cy="79375"/>
              <wp:wrapNone/>
              <wp:docPr id="21" name="Shape 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7.60000000000002pt;margin-top:784.10000000000002pt;width:8.1500000000000004pt;height:6.25pt;z-index:-18874404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9668510</wp:posOffset>
              </wp:positionH>
              <wp:positionV relativeFrom="page">
                <wp:posOffset>6849110</wp:posOffset>
              </wp:positionV>
              <wp:extent cx="109855" cy="79375"/>
              <wp:wrapNone/>
              <wp:docPr id="26" name="Shape 2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761.30000000000007pt;margin-top:539.29999999999995pt;width:8.6500000000000004pt;height:6.25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6713220</wp:posOffset>
              </wp:positionH>
              <wp:positionV relativeFrom="page">
                <wp:posOffset>9961245</wp:posOffset>
              </wp:positionV>
              <wp:extent cx="109855" cy="79375"/>
              <wp:wrapNone/>
              <wp:docPr id="31" name="Shape 3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8.60000000000002pt;margin-top:784.35000000000002pt;width:8.6500000000000004pt;height:6.25pt;z-index:-18874404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9622790</wp:posOffset>
              </wp:positionH>
              <wp:positionV relativeFrom="page">
                <wp:posOffset>6826885</wp:posOffset>
              </wp:positionV>
              <wp:extent cx="155575" cy="79375"/>
              <wp:wrapNone/>
              <wp:docPr id="50" name="Shape 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757.70000000000005pt;margin-top:537.54999999999995pt;width:12.25pt;height:6.25pt;z-index:-18874403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6668770</wp:posOffset>
              </wp:positionH>
              <wp:positionV relativeFrom="page">
                <wp:posOffset>9961245</wp:posOffset>
              </wp:positionV>
              <wp:extent cx="155575" cy="79375"/>
              <wp:wrapNone/>
              <wp:docPr id="55" name="Shape 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5.10000000000002pt;margin-top:784.35000000000002pt;width:12.25pt;height:6.25pt;z-index:-18874403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9622790</wp:posOffset>
              </wp:positionH>
              <wp:positionV relativeFrom="page">
                <wp:posOffset>6840855</wp:posOffset>
              </wp:positionV>
              <wp:extent cx="155575" cy="79375"/>
              <wp:wrapNone/>
              <wp:docPr id="60" name="Shape 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757.70000000000005pt;margin-top:538.64999999999998pt;width:12.25pt;height:6.25pt;z-index:-18874402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4403725</wp:posOffset>
              </wp:positionH>
              <wp:positionV relativeFrom="page">
                <wp:posOffset>476250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6.75pt;margin-top:37.5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35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4373880</wp:posOffset>
              </wp:positionH>
              <wp:positionV relativeFrom="page">
                <wp:posOffset>558165</wp:posOffset>
              </wp:positionV>
              <wp:extent cx="2450465" cy="106680"/>
              <wp:wrapNone/>
              <wp:docPr id="62" name="Shape 6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344.40000000000003pt;margin-top:43.950000000000003pt;width:192.95000000000002pt;height:8.4000000000000004pt;z-index:-18874402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707390</wp:posOffset>
              </wp:positionV>
              <wp:extent cx="6160135" cy="0"/>
              <wp:wrapNone/>
              <wp:docPr id="64" name="Shape 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pt;margin-top:55.700000000000003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7349490</wp:posOffset>
              </wp:positionH>
              <wp:positionV relativeFrom="page">
                <wp:posOffset>545465</wp:posOffset>
              </wp:positionV>
              <wp:extent cx="2447290" cy="106680"/>
              <wp:wrapNone/>
              <wp:docPr id="67" name="Shape 6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578.70000000000005pt;margin-top:42.950000000000003pt;width:192.70000000000002pt;height:8.4000000000000004pt;z-index:-18874402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915670</wp:posOffset>
              </wp:positionH>
              <wp:positionV relativeFrom="page">
                <wp:posOffset>727710</wp:posOffset>
              </wp:positionV>
              <wp:extent cx="8903335" cy="0"/>
              <wp:wrapNone/>
              <wp:docPr id="69" name="Shape 6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2.100000000000009pt;margin-top:57.300000000000004pt;width:701.05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4373880</wp:posOffset>
              </wp:positionH>
              <wp:positionV relativeFrom="page">
                <wp:posOffset>558165</wp:posOffset>
              </wp:positionV>
              <wp:extent cx="2450465" cy="106680"/>
              <wp:wrapNone/>
              <wp:docPr id="72" name="Shape 7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344.40000000000003pt;margin-top:43.950000000000003pt;width:192.95000000000002pt;height:8.4000000000000004pt;z-index:-18874401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707390</wp:posOffset>
              </wp:positionV>
              <wp:extent cx="6160135" cy="0"/>
              <wp:wrapNone/>
              <wp:docPr id="74" name="Shape 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4387850</wp:posOffset>
              </wp:positionH>
              <wp:positionV relativeFrom="page">
                <wp:posOffset>558165</wp:posOffset>
              </wp:positionV>
              <wp:extent cx="2450465" cy="106680"/>
              <wp:wrapNone/>
              <wp:docPr id="8" name="Shape 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45.5pt;margin-top:43.950000000000003pt;width:192.95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0" name="Shape 1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7331075</wp:posOffset>
              </wp:positionH>
              <wp:positionV relativeFrom="page">
                <wp:posOffset>552450</wp:posOffset>
              </wp:positionV>
              <wp:extent cx="2447290" cy="106680"/>
              <wp:wrapNone/>
              <wp:docPr id="13" name="Shape 1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577.25pt;margin-top:43.5pt;width:192.70000000000002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15" name="Shape 1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4353560</wp:posOffset>
              </wp:positionH>
              <wp:positionV relativeFrom="page">
                <wp:posOffset>558165</wp:posOffset>
              </wp:positionV>
              <wp:extent cx="2450465" cy="106680"/>
              <wp:wrapNone/>
              <wp:docPr id="18" name="Shape 1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4" type="#_x0000_t202" style="position:absolute;margin-left:342.80000000000001pt;margin-top:43.950000000000003pt;width:192.95000000000002pt;height:8.4000000000000004pt;z-index:-18874405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707390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399999999999999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7331075</wp:posOffset>
              </wp:positionH>
              <wp:positionV relativeFrom="page">
                <wp:posOffset>552450</wp:posOffset>
              </wp:positionV>
              <wp:extent cx="2447290" cy="106680"/>
              <wp:wrapNone/>
              <wp:docPr id="23" name="Shape 2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577.25pt;margin-top:43.5pt;width:192.70000000000002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神州数码集团股份有限公司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5" name="Shape 2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4371975</wp:posOffset>
              </wp:positionH>
              <wp:positionV relativeFrom="page">
                <wp:posOffset>558165</wp:posOffset>
              </wp:positionV>
              <wp:extent cx="2450465" cy="106680"/>
              <wp:wrapNone/>
              <wp:docPr id="28" name="Shape 2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44.25pt;margin-top:43.950000000000003pt;width:192.95000000000002pt;height:8.4000000000000004pt;z-index:-18874404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707390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850000000000001pt;margin-top:55.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7331075</wp:posOffset>
              </wp:positionH>
              <wp:positionV relativeFrom="page">
                <wp:posOffset>553720</wp:posOffset>
              </wp:positionV>
              <wp:extent cx="2447290" cy="106680"/>
              <wp:wrapNone/>
              <wp:docPr id="47" name="Shape 4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577.25pt;margin-top:43.600000000000001pt;width:192.70000000000002pt;height:8.4000000000000004pt;z-index:-18874403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706120</wp:posOffset>
              </wp:positionV>
              <wp:extent cx="8903335" cy="0"/>
              <wp:wrapNone/>
              <wp:docPr id="49" name="Shape 4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600000000000001pt;width:701.05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4373880</wp:posOffset>
              </wp:positionH>
              <wp:positionV relativeFrom="page">
                <wp:posOffset>558165</wp:posOffset>
              </wp:positionV>
              <wp:extent cx="2450465" cy="106680"/>
              <wp:wrapNone/>
              <wp:docPr id="52" name="Shape 5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44.40000000000003pt;margin-top:43.950000000000003pt;width:192.95000000000002pt;height:8.4000000000000004pt;z-index:-18874403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685800</wp:posOffset>
              </wp:positionH>
              <wp:positionV relativeFrom="page">
                <wp:posOffset>707390</wp:posOffset>
              </wp:positionV>
              <wp:extent cx="6160135" cy="0"/>
              <wp:wrapNone/>
              <wp:docPr id="54" name="Shape 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7331075</wp:posOffset>
              </wp:positionH>
              <wp:positionV relativeFrom="page">
                <wp:posOffset>549275</wp:posOffset>
              </wp:positionV>
              <wp:extent cx="2447290" cy="106680"/>
              <wp:wrapNone/>
              <wp:docPr id="57" name="Shape 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577.25pt;margin-top:43.25pt;width:192.70000000000002pt;height:8.4000000000000004pt;z-index:-18874403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720090</wp:posOffset>
              </wp:positionV>
              <wp:extent cx="8903335" cy="0"/>
              <wp:wrapNone/>
              <wp:docPr id="59" name="Shape 5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6.700000000000003pt;width:701.05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图片标题_"/>
    <w:basedOn w:val="DefaultParagraphFont"/>
    <w:link w:val="Style6"/>
    <w:rPr>
      <w:rFonts w:ascii="Times New Roman" w:eastAsia="Times New Roman" w:hAnsi="Times New Roman" w:cs="Times New Roman"/>
      <w:b w:val="0"/>
      <w:bCs w:val="0"/>
      <w:i w:val="0"/>
      <w:iCs w:val="0"/>
      <w:smallCaps w:val="0"/>
      <w:strike w:val="0"/>
      <w:color w:val="323232"/>
      <w:sz w:val="20"/>
      <w:szCs w:val="20"/>
      <w:u w:val="none"/>
      <w:shd w:val="clear" w:color="auto" w:fill="auto"/>
    </w:rPr>
  </w:style>
  <w:style w:type="character" w:customStyle="1" w:styleId="CharStyle10">
    <w:name w:val="正文文本 (5)_"/>
    <w:basedOn w:val="DefaultParagraphFont"/>
    <w:link w:val="Style9"/>
    <w:rPr>
      <w:rFonts w:ascii="SimSun" w:eastAsia="SimSun" w:hAnsi="SimSun" w:cs="SimSun"/>
      <w:b/>
      <w:bCs/>
      <w:i w:val="0"/>
      <w:iCs w:val="0"/>
      <w:smallCaps w:val="0"/>
      <w:strike w:val="0"/>
      <w:sz w:val="36"/>
      <w:szCs w:val="36"/>
      <w:u w:val="none"/>
      <w:shd w:val="clear" w:color="auto" w:fill="auto"/>
    </w:rPr>
  </w:style>
  <w:style w:type="character" w:customStyle="1" w:styleId="CharStyle12">
    <w:name w:val="正文文本 (4)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6)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标题 #1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 (3)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2_"/>
    <w:basedOn w:val="DefaultParagraphFont"/>
    <w:link w:val="Style32"/>
    <w:rPr>
      <w:rFonts w:ascii="SimSun" w:eastAsia="SimSun" w:hAnsi="SimSun" w:cs="SimSun"/>
      <w:b/>
      <w:bCs/>
      <w:i w:val="0"/>
      <w:iCs w:val="0"/>
      <w:smallCaps w:val="0"/>
      <w:strike w:val="0"/>
      <w:sz w:val="22"/>
      <w:szCs w:val="22"/>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正文文本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标题 #3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3">
    <w:name w:val="页眉或页脚_"/>
    <w:basedOn w:val="DefaultParagraphFont"/>
    <w:link w:val="Style52"/>
    <w:rPr>
      <w:rFonts w:ascii="SimSun" w:eastAsia="SimSun" w:hAnsi="SimSun" w:cs="SimSun"/>
      <w:b w:val="0"/>
      <w:bCs w:val="0"/>
      <w:i w:val="0"/>
      <w:iCs w:val="0"/>
      <w:smallCaps w:val="0"/>
      <w:strike w:val="0"/>
      <w:sz w:val="17"/>
      <w:szCs w:val="17"/>
      <w:u w:val="none"/>
      <w:shd w:val="clear" w:color="auto" w:fill="auto"/>
    </w:rPr>
  </w:style>
  <w:style w:type="character" w:customStyle="1" w:styleId="CharStyle69">
    <w:name w:val="标题 #5_"/>
    <w:basedOn w:val="DefaultParagraphFont"/>
    <w:link w:val="Style68"/>
    <w:rPr>
      <w:rFonts w:ascii="SimSun" w:eastAsia="SimSun" w:hAnsi="SimSun" w:cs="SimSun"/>
      <w:b/>
      <w:bCs/>
      <w:i w:val="0"/>
      <w:iCs w:val="0"/>
      <w:smallCaps w:val="0"/>
      <w:strike w:val="0"/>
      <w:sz w:val="20"/>
      <w:szCs w:val="20"/>
      <w:u w:val="none"/>
      <w:shd w:val="clear" w:color="auto" w:fill="auto"/>
    </w:rPr>
  </w:style>
  <w:style w:type="character" w:customStyle="1" w:styleId="CharStyle72">
    <w:name w:val="正文文本 (9)_"/>
    <w:basedOn w:val="DefaultParagraphFont"/>
    <w:link w:val="Style71"/>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图片标题"/>
    <w:basedOn w:val="Normal"/>
    <w:link w:val="CharStyle7"/>
    <w:pPr>
      <w:widowControl w:val="0"/>
      <w:shd w:val="clear" w:color="auto" w:fill="auto"/>
      <w:spacing w:line="221" w:lineRule="auto"/>
    </w:pPr>
    <w:rPr>
      <w:rFonts w:ascii="Times New Roman" w:eastAsia="Times New Roman" w:hAnsi="Times New Roman" w:cs="Times New Roman"/>
      <w:b w:val="0"/>
      <w:bCs w:val="0"/>
      <w:i w:val="0"/>
      <w:iCs w:val="0"/>
      <w:smallCaps w:val="0"/>
      <w:strike w:val="0"/>
      <w:color w:val="323232"/>
      <w:sz w:val="20"/>
      <w:szCs w:val="20"/>
      <w:u w:val="none"/>
      <w:shd w:val="clear" w:color="auto" w:fill="auto"/>
    </w:rPr>
  </w:style>
  <w:style w:type="paragraph" w:customStyle="1" w:styleId="Style9">
    <w:name w:val="正文文本 (5)"/>
    <w:basedOn w:val="Normal"/>
    <w:link w:val="CharStyle10"/>
    <w:pPr>
      <w:widowControl w:val="0"/>
      <w:shd w:val="clear" w:color="auto" w:fill="auto"/>
      <w:spacing w:before="700" w:after="8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1">
    <w:name w:val="正文文本 (4)"/>
    <w:basedOn w:val="Normal"/>
    <w:link w:val="CharStyle12"/>
    <w:pPr>
      <w:widowControl w:val="0"/>
      <w:shd w:val="clear" w:color="auto" w:fill="auto"/>
      <w:spacing w:before="100" w:after="2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6)"/>
    <w:basedOn w:val="Normal"/>
    <w:link w:val="CharStyle15"/>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line="408"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标题 #1"/>
    <w:basedOn w:val="Normal"/>
    <w:link w:val="CharStyle21"/>
    <w:pPr>
      <w:widowControl w:val="0"/>
      <w:shd w:val="clear" w:color="auto" w:fill="auto"/>
      <w:spacing w:before="38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3)"/>
    <w:basedOn w:val="Normal"/>
    <w:link w:val="CharStyle2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5">
    <w:name w:val="目录"/>
    <w:basedOn w:val="Normal"/>
    <w:link w:val="CharStyle2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8">
    <w:name w:val="其他"/>
    <w:basedOn w:val="Normal"/>
    <w:link w:val="CharStyle29"/>
    <w:pPr>
      <w:widowControl w:val="0"/>
      <w:shd w:val="clear" w:color="auto" w:fill="auto"/>
      <w:spacing w:after="4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2"/>
    <w:basedOn w:val="Normal"/>
    <w:link w:val="CharStyle3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正文文本"/>
    <w:basedOn w:val="Normal"/>
    <w:link w:val="CharStyle38"/>
    <w:pPr>
      <w:widowControl w:val="0"/>
      <w:shd w:val="clear" w:color="auto" w:fill="auto"/>
      <w:spacing w:after="4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标题 #3"/>
    <w:basedOn w:val="Normal"/>
    <w:link w:val="CharStyle41"/>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页眉或页脚"/>
    <w:basedOn w:val="Normal"/>
    <w:link w:val="CharStyle5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8">
    <w:name w:val="标题 #5"/>
    <w:basedOn w:val="Normal"/>
    <w:link w:val="CharStyle69"/>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1">
    <w:name w:val="正文文本 (9)"/>
    <w:basedOn w:val="Normal"/>
    <w:link w:val="CharStyle72"/>
    <w:pPr>
      <w:widowControl w:val="0"/>
      <w:shd w:val="clear" w:color="auto" w:fill="auto"/>
      <w:spacing w:line="315"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神州数码集团股份有限公司2020年年度报告全文</dc:title>
  <dc:subject/>
  <dc:creator>神州数码集团股份有限公司</dc:creator>
  <cp:keywords/>
</cp:coreProperties>
</file>